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A39F9" w14:textId="4B084224" w:rsidR="00F517A9" w:rsidRPr="00D549EE" w:rsidRDefault="00D74F13" w:rsidP="00C9582F">
      <w:pPr>
        <w:jc w:val="center"/>
        <w:rPr>
          <w:rFonts w:eastAsia="MS Mincho"/>
          <w:sz w:val="28"/>
          <w:szCs w:val="28"/>
          <w:lang w:val="en-US"/>
        </w:rPr>
      </w:pPr>
      <w:r w:rsidRPr="00D549EE">
        <w:rPr>
          <w:sz w:val="28"/>
          <w:szCs w:val="28"/>
          <w:lang w:val="en-US"/>
        </w:rPr>
        <w:softHyphen/>
      </w:r>
      <w:r w:rsidR="00F517A9" w:rsidRPr="00D549EE">
        <w:rPr>
          <w:sz w:val="28"/>
          <w:szCs w:val="28"/>
          <w:lang w:val="en-US"/>
        </w:rPr>
        <w:t>Ministry of Education and Science of the Republic of Kazakhstan</w:t>
      </w:r>
    </w:p>
    <w:p w14:paraId="777EDB52" w14:textId="2CFAF069" w:rsidR="00F517A9" w:rsidRPr="00D549EE" w:rsidRDefault="00F517A9" w:rsidP="00C9582F">
      <w:pPr>
        <w:shd w:val="clear" w:color="auto" w:fill="FFFFFF"/>
        <w:ind w:right="182"/>
        <w:jc w:val="center"/>
        <w:rPr>
          <w:spacing w:val="1"/>
          <w:sz w:val="28"/>
          <w:szCs w:val="28"/>
          <w:lang w:val="en-US"/>
        </w:rPr>
      </w:pPr>
      <w:r w:rsidRPr="00D549EE">
        <w:rPr>
          <w:spacing w:val="1"/>
          <w:sz w:val="28"/>
          <w:szCs w:val="28"/>
          <w:lang w:val="en-US"/>
        </w:rPr>
        <w:t xml:space="preserve">Al-Farabi Kazakh </w:t>
      </w:r>
      <w:r w:rsidR="00CC177D">
        <w:rPr>
          <w:spacing w:val="1"/>
          <w:sz w:val="28"/>
          <w:szCs w:val="28"/>
          <w:lang w:val="en-US"/>
        </w:rPr>
        <w:t>N</w:t>
      </w:r>
      <w:r w:rsidRPr="00D549EE">
        <w:rPr>
          <w:spacing w:val="1"/>
          <w:sz w:val="28"/>
          <w:szCs w:val="28"/>
          <w:lang w:val="en-US"/>
        </w:rPr>
        <w:t>ational University</w:t>
      </w:r>
    </w:p>
    <w:p w14:paraId="58B0DF22" w14:textId="77777777" w:rsidR="00F517A9" w:rsidRPr="00D549EE" w:rsidRDefault="00F517A9" w:rsidP="00C9582F">
      <w:pPr>
        <w:pStyle w:val="a5"/>
        <w:spacing w:before="0" w:beforeAutospacing="0" w:after="0" w:afterAutospacing="0"/>
        <w:ind w:firstLine="12"/>
        <w:jc w:val="center"/>
        <w:rPr>
          <w:sz w:val="28"/>
          <w:szCs w:val="28"/>
          <w:lang w:val="en-US"/>
        </w:rPr>
      </w:pPr>
    </w:p>
    <w:p w14:paraId="146D0F6B" w14:textId="77777777" w:rsidR="00F517A9" w:rsidRPr="00D549EE" w:rsidRDefault="00F517A9" w:rsidP="00C9582F">
      <w:pPr>
        <w:pStyle w:val="a5"/>
        <w:spacing w:before="0" w:beforeAutospacing="0" w:after="0" w:afterAutospacing="0"/>
        <w:ind w:firstLine="12"/>
        <w:jc w:val="center"/>
        <w:rPr>
          <w:sz w:val="28"/>
          <w:szCs w:val="28"/>
          <w:lang w:val="en-US"/>
        </w:rPr>
      </w:pPr>
    </w:p>
    <w:p w14:paraId="36F53D36" w14:textId="77777777" w:rsidR="00F517A9" w:rsidRPr="00D549EE" w:rsidRDefault="00F517A9" w:rsidP="00C9582F">
      <w:pPr>
        <w:pStyle w:val="a5"/>
        <w:spacing w:before="0" w:beforeAutospacing="0" w:after="0" w:afterAutospacing="0"/>
        <w:ind w:right="182"/>
        <w:jc w:val="center"/>
        <w:rPr>
          <w:sz w:val="28"/>
          <w:szCs w:val="28"/>
          <w:lang w:val="en-US"/>
        </w:rPr>
      </w:pPr>
    </w:p>
    <w:p w14:paraId="793A0313" w14:textId="33BC9AB7" w:rsidR="00F517A9" w:rsidRPr="00D549EE" w:rsidRDefault="00F517A9" w:rsidP="00C9582F">
      <w:pPr>
        <w:pStyle w:val="a5"/>
        <w:spacing w:before="0" w:beforeAutospacing="0" w:after="0" w:afterAutospacing="0"/>
        <w:jc w:val="both"/>
        <w:rPr>
          <w:sz w:val="28"/>
          <w:szCs w:val="28"/>
          <w:lang w:val="en-US"/>
        </w:rPr>
      </w:pPr>
      <w:r w:rsidRPr="00D549EE">
        <w:rPr>
          <w:color w:val="000000" w:themeColor="text1"/>
          <w:spacing w:val="-6"/>
          <w:sz w:val="28"/>
          <w:szCs w:val="28"/>
          <w:lang w:val="en-US"/>
        </w:rPr>
        <w:t>UDC</w:t>
      </w:r>
      <w:r w:rsidRPr="00D549EE">
        <w:rPr>
          <w:color w:val="000000" w:themeColor="text1"/>
          <w:sz w:val="28"/>
          <w:szCs w:val="28"/>
          <w:lang w:val="en-US"/>
        </w:rPr>
        <w:t xml:space="preserve"> 336.</w:t>
      </w:r>
      <w:r w:rsidR="00C80428" w:rsidRPr="00D549EE">
        <w:rPr>
          <w:color w:val="000000" w:themeColor="text1"/>
          <w:sz w:val="28"/>
          <w:szCs w:val="28"/>
          <w:lang w:val="en-US"/>
        </w:rPr>
        <w:t>113.23</w:t>
      </w:r>
      <w:r w:rsidRPr="00D549EE">
        <w:rPr>
          <w:sz w:val="28"/>
          <w:szCs w:val="28"/>
          <w:lang w:val="en-US"/>
        </w:rPr>
        <w:t xml:space="preserve">                                                                           On manuscript right</w:t>
      </w:r>
    </w:p>
    <w:p w14:paraId="4194F487" w14:textId="77777777" w:rsidR="00F517A9" w:rsidRPr="00D549EE" w:rsidRDefault="00F517A9" w:rsidP="00C9582F">
      <w:pPr>
        <w:pStyle w:val="a5"/>
        <w:spacing w:before="0" w:beforeAutospacing="0" w:after="0" w:afterAutospacing="0"/>
        <w:ind w:right="182"/>
        <w:jc w:val="center"/>
        <w:rPr>
          <w:sz w:val="28"/>
          <w:szCs w:val="28"/>
          <w:lang w:val="en-US"/>
        </w:rPr>
      </w:pPr>
    </w:p>
    <w:p w14:paraId="0A75A601" w14:textId="77777777" w:rsidR="00F517A9" w:rsidRPr="00D549EE" w:rsidRDefault="00F517A9" w:rsidP="00C9582F">
      <w:pPr>
        <w:pStyle w:val="a5"/>
        <w:spacing w:before="0" w:beforeAutospacing="0" w:after="0" w:afterAutospacing="0"/>
        <w:ind w:right="182"/>
        <w:jc w:val="center"/>
        <w:rPr>
          <w:sz w:val="28"/>
          <w:szCs w:val="28"/>
          <w:lang w:val="en-US"/>
        </w:rPr>
      </w:pPr>
    </w:p>
    <w:p w14:paraId="5E6E285D" w14:textId="77777777" w:rsidR="00F517A9" w:rsidRPr="00D549EE" w:rsidRDefault="00F517A9" w:rsidP="00C9582F">
      <w:pPr>
        <w:pStyle w:val="a5"/>
        <w:spacing w:before="0" w:beforeAutospacing="0" w:after="0" w:afterAutospacing="0"/>
        <w:ind w:right="182"/>
        <w:jc w:val="center"/>
        <w:rPr>
          <w:sz w:val="28"/>
          <w:szCs w:val="28"/>
          <w:lang w:val="en-US"/>
        </w:rPr>
      </w:pPr>
    </w:p>
    <w:p w14:paraId="430F53DF" w14:textId="77777777" w:rsidR="00F517A9" w:rsidRPr="00D549EE" w:rsidRDefault="00F517A9" w:rsidP="00C9582F">
      <w:pPr>
        <w:pStyle w:val="a5"/>
        <w:spacing w:before="0" w:beforeAutospacing="0" w:after="0" w:afterAutospacing="0"/>
        <w:ind w:right="182"/>
        <w:jc w:val="center"/>
        <w:rPr>
          <w:sz w:val="28"/>
          <w:szCs w:val="28"/>
          <w:lang w:val="en-US"/>
        </w:rPr>
      </w:pPr>
    </w:p>
    <w:p w14:paraId="3E1174EB" w14:textId="77777777" w:rsidR="00F517A9" w:rsidRPr="00D549EE" w:rsidRDefault="00F517A9" w:rsidP="00C9582F">
      <w:pPr>
        <w:pStyle w:val="a5"/>
        <w:spacing w:before="0" w:beforeAutospacing="0" w:after="0" w:afterAutospacing="0"/>
        <w:ind w:right="182"/>
        <w:jc w:val="center"/>
        <w:rPr>
          <w:b/>
          <w:spacing w:val="7"/>
          <w:sz w:val="28"/>
          <w:szCs w:val="28"/>
          <w:lang w:val="en-US"/>
        </w:rPr>
      </w:pPr>
      <w:r w:rsidRPr="00D549EE">
        <w:rPr>
          <w:b/>
          <w:spacing w:val="7"/>
          <w:sz w:val="28"/>
          <w:szCs w:val="28"/>
          <w:lang w:val="en-US"/>
        </w:rPr>
        <w:t>KUANOVA LAURA AIBOLOVNA</w:t>
      </w:r>
    </w:p>
    <w:p w14:paraId="3EBF2C38" w14:textId="77777777" w:rsidR="00F517A9" w:rsidRPr="00D549EE" w:rsidRDefault="00F517A9" w:rsidP="00C9582F">
      <w:pPr>
        <w:pStyle w:val="a5"/>
        <w:spacing w:before="0" w:beforeAutospacing="0" w:after="0" w:afterAutospacing="0"/>
        <w:ind w:right="182"/>
        <w:jc w:val="center"/>
        <w:rPr>
          <w:b/>
          <w:spacing w:val="7"/>
          <w:sz w:val="28"/>
          <w:szCs w:val="28"/>
          <w:lang w:val="en-US"/>
        </w:rPr>
      </w:pPr>
    </w:p>
    <w:p w14:paraId="471039CF" w14:textId="77777777" w:rsidR="00F517A9" w:rsidRPr="00D549EE" w:rsidRDefault="00F517A9" w:rsidP="00C9582F">
      <w:pPr>
        <w:pStyle w:val="a5"/>
        <w:spacing w:before="0" w:beforeAutospacing="0" w:after="0" w:afterAutospacing="0"/>
        <w:ind w:right="182"/>
        <w:jc w:val="center"/>
        <w:rPr>
          <w:sz w:val="28"/>
          <w:szCs w:val="28"/>
          <w:lang w:val="en-US"/>
        </w:rPr>
      </w:pPr>
    </w:p>
    <w:p w14:paraId="54868F64" w14:textId="0B63CD51" w:rsidR="00F517A9" w:rsidRPr="00D549EE" w:rsidRDefault="00F517A9" w:rsidP="00C9582F">
      <w:pPr>
        <w:pStyle w:val="a5"/>
        <w:spacing w:before="0" w:beforeAutospacing="0" w:after="0" w:afterAutospacing="0"/>
        <w:ind w:right="182"/>
        <w:jc w:val="center"/>
        <w:rPr>
          <w:sz w:val="28"/>
          <w:szCs w:val="28"/>
          <w:lang w:val="en-US"/>
        </w:rPr>
      </w:pPr>
      <w:r w:rsidRPr="00D549EE">
        <w:rPr>
          <w:b/>
          <w:spacing w:val="5"/>
          <w:sz w:val="28"/>
          <w:szCs w:val="28"/>
          <w:lang w:val="en-US"/>
        </w:rPr>
        <w:t xml:space="preserve">The social effectiveness of Islamic </w:t>
      </w:r>
      <w:r w:rsidR="00F11AA3">
        <w:rPr>
          <w:b/>
          <w:spacing w:val="5"/>
          <w:sz w:val="28"/>
          <w:szCs w:val="28"/>
          <w:lang w:val="en-US"/>
        </w:rPr>
        <w:t>f</w:t>
      </w:r>
      <w:r w:rsidRPr="00D549EE">
        <w:rPr>
          <w:b/>
          <w:spacing w:val="5"/>
          <w:sz w:val="28"/>
          <w:szCs w:val="28"/>
          <w:lang w:val="en-US"/>
        </w:rPr>
        <w:t>inance: theory and practice</w:t>
      </w:r>
    </w:p>
    <w:p w14:paraId="4937DD53" w14:textId="77777777" w:rsidR="00F517A9" w:rsidRPr="00D549EE" w:rsidRDefault="00F517A9" w:rsidP="00C9582F">
      <w:pPr>
        <w:pStyle w:val="a5"/>
        <w:spacing w:before="0" w:beforeAutospacing="0" w:after="0" w:afterAutospacing="0"/>
        <w:ind w:right="182"/>
        <w:jc w:val="center"/>
        <w:rPr>
          <w:sz w:val="28"/>
          <w:szCs w:val="28"/>
          <w:lang w:val="en-US"/>
        </w:rPr>
      </w:pPr>
    </w:p>
    <w:p w14:paraId="7F328580" w14:textId="77777777" w:rsidR="00F517A9" w:rsidRPr="00D549EE" w:rsidRDefault="00F517A9" w:rsidP="00C9582F">
      <w:pPr>
        <w:pStyle w:val="a5"/>
        <w:spacing w:before="0" w:beforeAutospacing="0" w:after="0" w:afterAutospacing="0"/>
        <w:ind w:right="182"/>
        <w:jc w:val="center"/>
        <w:rPr>
          <w:sz w:val="28"/>
          <w:szCs w:val="28"/>
          <w:lang w:val="en-US"/>
        </w:rPr>
      </w:pPr>
    </w:p>
    <w:p w14:paraId="50388339" w14:textId="77777777" w:rsidR="00F517A9" w:rsidRPr="00D549EE" w:rsidRDefault="00F517A9" w:rsidP="00C9582F">
      <w:pPr>
        <w:pStyle w:val="a5"/>
        <w:spacing w:before="0" w:beforeAutospacing="0" w:after="0" w:afterAutospacing="0"/>
        <w:ind w:right="182"/>
        <w:jc w:val="center"/>
        <w:rPr>
          <w:sz w:val="28"/>
          <w:szCs w:val="28"/>
          <w:lang w:val="en-US"/>
        </w:rPr>
      </w:pPr>
    </w:p>
    <w:p w14:paraId="230F0823" w14:textId="77777777" w:rsidR="00F517A9" w:rsidRPr="00D549EE" w:rsidRDefault="00F517A9" w:rsidP="00C9582F">
      <w:pPr>
        <w:shd w:val="clear" w:color="auto" w:fill="FFFFFF"/>
        <w:ind w:hanging="12"/>
        <w:jc w:val="center"/>
        <w:rPr>
          <w:sz w:val="28"/>
          <w:szCs w:val="28"/>
          <w:lang w:val="en-US"/>
        </w:rPr>
      </w:pPr>
      <w:r w:rsidRPr="00D549EE">
        <w:rPr>
          <w:color w:val="000000"/>
          <w:sz w:val="28"/>
          <w:szCs w:val="28"/>
          <w:lang w:val="en-US"/>
        </w:rPr>
        <w:t>6D050900</w:t>
      </w:r>
      <w:r w:rsidRPr="00D549EE">
        <w:rPr>
          <w:sz w:val="28"/>
          <w:szCs w:val="28"/>
          <w:lang w:val="en-US"/>
        </w:rPr>
        <w:t xml:space="preserve"> – Finance</w:t>
      </w:r>
    </w:p>
    <w:p w14:paraId="12B7E5CF" w14:textId="77777777" w:rsidR="00F517A9" w:rsidRPr="00D549EE" w:rsidRDefault="00F517A9" w:rsidP="00C9582F">
      <w:pPr>
        <w:shd w:val="clear" w:color="auto" w:fill="FFFFFF"/>
        <w:ind w:hanging="12"/>
        <w:jc w:val="center"/>
        <w:rPr>
          <w:sz w:val="28"/>
          <w:szCs w:val="28"/>
          <w:lang w:val="en-US"/>
        </w:rPr>
      </w:pPr>
    </w:p>
    <w:p w14:paraId="33F7E76E" w14:textId="77777777" w:rsidR="00F517A9" w:rsidRPr="00D549EE" w:rsidRDefault="00F517A9" w:rsidP="00C9582F">
      <w:pPr>
        <w:shd w:val="clear" w:color="auto" w:fill="FFFFFF"/>
        <w:ind w:hanging="12"/>
        <w:jc w:val="center"/>
        <w:rPr>
          <w:spacing w:val="4"/>
          <w:sz w:val="28"/>
          <w:szCs w:val="28"/>
          <w:lang w:val="en-US"/>
        </w:rPr>
      </w:pPr>
    </w:p>
    <w:p w14:paraId="48762766" w14:textId="77777777" w:rsidR="00F517A9" w:rsidRPr="00D549EE" w:rsidRDefault="00F517A9" w:rsidP="00C9582F">
      <w:pPr>
        <w:pStyle w:val="a5"/>
        <w:spacing w:before="0" w:beforeAutospacing="0" w:after="0" w:afterAutospacing="0"/>
        <w:jc w:val="center"/>
        <w:rPr>
          <w:sz w:val="28"/>
          <w:szCs w:val="28"/>
          <w:lang w:val="en-US"/>
        </w:rPr>
      </w:pPr>
      <w:r w:rsidRPr="00D549EE">
        <w:rPr>
          <w:spacing w:val="2"/>
          <w:sz w:val="28"/>
          <w:szCs w:val="28"/>
          <w:lang w:val="en-US"/>
        </w:rPr>
        <w:t>Dissertation submitted for the degree of Doctor of Philosophy</w:t>
      </w:r>
      <w:r w:rsidRPr="00D549EE">
        <w:rPr>
          <w:spacing w:val="-3"/>
          <w:sz w:val="28"/>
          <w:szCs w:val="28"/>
          <w:lang w:val="en-US"/>
        </w:rPr>
        <w:t xml:space="preserve"> (PhD)</w:t>
      </w:r>
    </w:p>
    <w:p w14:paraId="77D255FC" w14:textId="77777777" w:rsidR="00F517A9" w:rsidRPr="00D549EE" w:rsidRDefault="00F517A9" w:rsidP="00C9582F">
      <w:pPr>
        <w:pStyle w:val="a5"/>
        <w:spacing w:before="0" w:beforeAutospacing="0" w:after="0" w:afterAutospacing="0"/>
        <w:ind w:left="38"/>
        <w:jc w:val="center"/>
        <w:rPr>
          <w:sz w:val="28"/>
          <w:szCs w:val="28"/>
          <w:lang w:val="en-US"/>
        </w:rPr>
      </w:pPr>
    </w:p>
    <w:p w14:paraId="5B398DE5" w14:textId="77777777" w:rsidR="00F517A9" w:rsidRPr="00D549EE" w:rsidRDefault="00F517A9" w:rsidP="00C9582F">
      <w:pPr>
        <w:pStyle w:val="a5"/>
        <w:spacing w:before="0" w:beforeAutospacing="0" w:after="0" w:afterAutospacing="0"/>
        <w:jc w:val="center"/>
        <w:rPr>
          <w:sz w:val="28"/>
          <w:szCs w:val="28"/>
          <w:lang w:val="en-US"/>
        </w:rPr>
      </w:pPr>
    </w:p>
    <w:p w14:paraId="4A057304" w14:textId="77777777" w:rsidR="00F517A9" w:rsidRPr="00D549EE" w:rsidRDefault="00F517A9" w:rsidP="00C9582F">
      <w:pPr>
        <w:pStyle w:val="a5"/>
        <w:spacing w:before="0" w:beforeAutospacing="0" w:after="0" w:afterAutospacing="0"/>
        <w:jc w:val="center"/>
        <w:rPr>
          <w:sz w:val="28"/>
          <w:szCs w:val="28"/>
          <w:lang w:val="en-US"/>
        </w:rPr>
      </w:pPr>
    </w:p>
    <w:p w14:paraId="4E1A3EB6" w14:textId="77777777" w:rsidR="00F517A9" w:rsidRPr="00D549EE" w:rsidRDefault="00F517A9" w:rsidP="00C9582F">
      <w:pPr>
        <w:pStyle w:val="a5"/>
        <w:spacing w:before="0" w:beforeAutospacing="0" w:after="0" w:afterAutospacing="0"/>
        <w:jc w:val="center"/>
        <w:rPr>
          <w:sz w:val="28"/>
          <w:szCs w:val="28"/>
          <w:lang w:val="en-US"/>
        </w:rPr>
      </w:pPr>
    </w:p>
    <w:p w14:paraId="5FE4B949" w14:textId="77777777" w:rsidR="00F517A9" w:rsidRPr="00D549EE" w:rsidRDefault="00F517A9" w:rsidP="00C9582F">
      <w:pPr>
        <w:pStyle w:val="a5"/>
        <w:spacing w:before="0" w:beforeAutospacing="0" w:after="0" w:afterAutospacing="0"/>
        <w:jc w:val="center"/>
        <w:rPr>
          <w:sz w:val="28"/>
          <w:szCs w:val="28"/>
          <w:lang w:val="en-US"/>
        </w:rPr>
      </w:pPr>
    </w:p>
    <w:tbl>
      <w:tblPr>
        <w:tblW w:w="0" w:type="auto"/>
        <w:tblLook w:val="04A0" w:firstRow="1" w:lastRow="0" w:firstColumn="1" w:lastColumn="0" w:noHBand="0" w:noVBand="1"/>
      </w:tblPr>
      <w:tblGrid>
        <w:gridCol w:w="5245"/>
        <w:gridCol w:w="4099"/>
      </w:tblGrid>
      <w:tr w:rsidR="00F517A9" w:rsidRPr="00D549EE" w14:paraId="6F23B5B2" w14:textId="77777777" w:rsidTr="00F517A9">
        <w:tc>
          <w:tcPr>
            <w:tcW w:w="5245" w:type="dxa"/>
            <w:hideMark/>
          </w:tcPr>
          <w:p w14:paraId="64A5184F" w14:textId="77777777" w:rsidR="00F517A9" w:rsidRPr="00D549EE" w:rsidRDefault="00F517A9" w:rsidP="00C9582F">
            <w:pPr>
              <w:pStyle w:val="a5"/>
              <w:tabs>
                <w:tab w:val="left" w:pos="7088"/>
              </w:tabs>
              <w:spacing w:before="0" w:beforeAutospacing="0" w:after="0" w:afterAutospacing="0"/>
              <w:rPr>
                <w:sz w:val="28"/>
                <w:szCs w:val="28"/>
                <w:lang w:val="en-US"/>
              </w:rPr>
            </w:pPr>
          </w:p>
        </w:tc>
        <w:tc>
          <w:tcPr>
            <w:tcW w:w="4099" w:type="dxa"/>
            <w:hideMark/>
          </w:tcPr>
          <w:p w14:paraId="2CA27308" w14:textId="77777777" w:rsidR="00F517A9" w:rsidRPr="00D549EE" w:rsidRDefault="00F517A9" w:rsidP="00C9582F">
            <w:pPr>
              <w:pStyle w:val="a5"/>
              <w:spacing w:before="0" w:beforeAutospacing="0" w:after="0" w:afterAutospacing="0"/>
              <w:rPr>
                <w:sz w:val="28"/>
                <w:szCs w:val="28"/>
                <w:lang w:val="en-US"/>
              </w:rPr>
            </w:pPr>
            <w:r w:rsidRPr="00D549EE">
              <w:rPr>
                <w:sz w:val="28"/>
                <w:szCs w:val="28"/>
                <w:lang w:val="en-US"/>
              </w:rPr>
              <w:t>Research supervisors</w:t>
            </w:r>
          </w:p>
        </w:tc>
      </w:tr>
      <w:tr w:rsidR="00F517A9" w:rsidRPr="00F11AA3" w14:paraId="4F33D4E4" w14:textId="77777777" w:rsidTr="00F517A9">
        <w:tc>
          <w:tcPr>
            <w:tcW w:w="5245" w:type="dxa"/>
            <w:hideMark/>
          </w:tcPr>
          <w:p w14:paraId="47FE6BEB" w14:textId="77777777" w:rsidR="00F517A9" w:rsidRPr="00D549EE" w:rsidRDefault="00F517A9" w:rsidP="00C9582F">
            <w:pPr>
              <w:pStyle w:val="a5"/>
              <w:tabs>
                <w:tab w:val="left" w:pos="7088"/>
              </w:tabs>
              <w:spacing w:before="0" w:beforeAutospacing="0" w:after="0" w:afterAutospacing="0"/>
              <w:rPr>
                <w:sz w:val="28"/>
                <w:szCs w:val="28"/>
              </w:rPr>
            </w:pPr>
          </w:p>
        </w:tc>
        <w:tc>
          <w:tcPr>
            <w:tcW w:w="4099" w:type="dxa"/>
            <w:hideMark/>
          </w:tcPr>
          <w:p w14:paraId="067EF2C3" w14:textId="77777777" w:rsidR="00F517A9" w:rsidRPr="00D549EE" w:rsidRDefault="00F517A9" w:rsidP="00C9582F">
            <w:pPr>
              <w:pStyle w:val="a5"/>
              <w:spacing w:before="0" w:beforeAutospacing="0" w:after="0" w:afterAutospacing="0"/>
              <w:rPr>
                <w:sz w:val="28"/>
                <w:szCs w:val="28"/>
                <w:lang w:val="en-US"/>
              </w:rPr>
            </w:pPr>
            <w:r w:rsidRPr="00D549EE">
              <w:rPr>
                <w:sz w:val="28"/>
                <w:szCs w:val="28"/>
                <w:lang w:val="en-US"/>
              </w:rPr>
              <w:t>Acting professor, d.e.s.</w:t>
            </w:r>
          </w:p>
        </w:tc>
      </w:tr>
      <w:tr w:rsidR="00F517A9" w:rsidRPr="00D549EE" w14:paraId="13B8BF55" w14:textId="77777777" w:rsidTr="00F517A9">
        <w:tc>
          <w:tcPr>
            <w:tcW w:w="5245" w:type="dxa"/>
            <w:hideMark/>
          </w:tcPr>
          <w:p w14:paraId="127B158F" w14:textId="77777777" w:rsidR="00F517A9" w:rsidRPr="00D549EE" w:rsidRDefault="00F517A9" w:rsidP="00C9582F">
            <w:pPr>
              <w:pStyle w:val="a5"/>
              <w:tabs>
                <w:tab w:val="left" w:pos="7088"/>
              </w:tabs>
              <w:spacing w:before="0" w:beforeAutospacing="0" w:after="0" w:afterAutospacing="0"/>
              <w:rPr>
                <w:sz w:val="28"/>
                <w:szCs w:val="28"/>
                <w:lang w:val="en-US"/>
              </w:rPr>
            </w:pPr>
          </w:p>
        </w:tc>
        <w:tc>
          <w:tcPr>
            <w:tcW w:w="4099" w:type="dxa"/>
            <w:hideMark/>
          </w:tcPr>
          <w:p w14:paraId="16F6C38D" w14:textId="77777777" w:rsidR="00F517A9" w:rsidRPr="00D549EE" w:rsidRDefault="00F517A9" w:rsidP="00C9582F">
            <w:pPr>
              <w:pStyle w:val="a5"/>
              <w:spacing w:before="0" w:beforeAutospacing="0" w:after="0" w:afterAutospacing="0"/>
              <w:rPr>
                <w:sz w:val="28"/>
                <w:szCs w:val="28"/>
              </w:rPr>
            </w:pPr>
            <w:r w:rsidRPr="00D549EE">
              <w:rPr>
                <w:sz w:val="28"/>
                <w:szCs w:val="28"/>
                <w:lang w:val="en-US"/>
              </w:rPr>
              <w:t>Sagiyeva</w:t>
            </w:r>
            <w:r w:rsidRPr="00D549EE">
              <w:rPr>
                <w:sz w:val="28"/>
                <w:szCs w:val="28"/>
              </w:rPr>
              <w:t xml:space="preserve"> </w:t>
            </w:r>
            <w:r w:rsidRPr="00D549EE">
              <w:rPr>
                <w:sz w:val="28"/>
                <w:szCs w:val="28"/>
                <w:lang w:val="en-US"/>
              </w:rPr>
              <w:t>R</w:t>
            </w:r>
            <w:r w:rsidRPr="00D549EE">
              <w:rPr>
                <w:sz w:val="28"/>
                <w:szCs w:val="28"/>
              </w:rPr>
              <w:t>.</w:t>
            </w:r>
            <w:r w:rsidRPr="00D549EE">
              <w:rPr>
                <w:sz w:val="28"/>
                <w:szCs w:val="28"/>
                <w:lang w:val="en-US"/>
              </w:rPr>
              <w:t>K</w:t>
            </w:r>
            <w:r w:rsidRPr="00D549EE">
              <w:rPr>
                <w:sz w:val="28"/>
                <w:szCs w:val="28"/>
              </w:rPr>
              <w:t>.</w:t>
            </w:r>
          </w:p>
        </w:tc>
      </w:tr>
      <w:tr w:rsidR="00F517A9" w:rsidRPr="00D549EE" w14:paraId="478F8339" w14:textId="77777777" w:rsidTr="00F517A9">
        <w:tc>
          <w:tcPr>
            <w:tcW w:w="5245" w:type="dxa"/>
            <w:hideMark/>
          </w:tcPr>
          <w:p w14:paraId="3190E1D1" w14:textId="77777777" w:rsidR="00F517A9" w:rsidRPr="00D549EE" w:rsidRDefault="00F517A9" w:rsidP="00C9582F">
            <w:pPr>
              <w:pStyle w:val="a5"/>
              <w:tabs>
                <w:tab w:val="left" w:pos="7088"/>
              </w:tabs>
              <w:spacing w:before="0" w:beforeAutospacing="0" w:after="0" w:afterAutospacing="0"/>
              <w:rPr>
                <w:sz w:val="28"/>
                <w:szCs w:val="28"/>
              </w:rPr>
            </w:pPr>
          </w:p>
        </w:tc>
        <w:tc>
          <w:tcPr>
            <w:tcW w:w="4099" w:type="dxa"/>
            <w:hideMark/>
          </w:tcPr>
          <w:p w14:paraId="1E33E2C6" w14:textId="77777777" w:rsidR="00F517A9" w:rsidRPr="00D549EE" w:rsidRDefault="00F517A9" w:rsidP="00C9582F">
            <w:pPr>
              <w:pStyle w:val="a5"/>
              <w:spacing w:before="0" w:beforeAutospacing="0" w:after="0" w:afterAutospacing="0"/>
              <w:rPr>
                <w:sz w:val="28"/>
                <w:szCs w:val="28"/>
              </w:rPr>
            </w:pPr>
          </w:p>
        </w:tc>
      </w:tr>
      <w:tr w:rsidR="00F517A9" w:rsidRPr="00D549EE" w14:paraId="7398E531" w14:textId="77777777" w:rsidTr="00F517A9">
        <w:tc>
          <w:tcPr>
            <w:tcW w:w="5245" w:type="dxa"/>
            <w:hideMark/>
          </w:tcPr>
          <w:p w14:paraId="67A9EB82" w14:textId="77777777" w:rsidR="00F517A9" w:rsidRPr="00D549EE" w:rsidRDefault="00F517A9" w:rsidP="00C9582F">
            <w:pPr>
              <w:pStyle w:val="a5"/>
              <w:tabs>
                <w:tab w:val="left" w:pos="7088"/>
              </w:tabs>
              <w:spacing w:before="0" w:beforeAutospacing="0" w:after="0" w:afterAutospacing="0"/>
              <w:rPr>
                <w:sz w:val="28"/>
                <w:szCs w:val="28"/>
              </w:rPr>
            </w:pPr>
          </w:p>
        </w:tc>
        <w:tc>
          <w:tcPr>
            <w:tcW w:w="4099" w:type="dxa"/>
            <w:hideMark/>
          </w:tcPr>
          <w:p w14:paraId="7CBCD734" w14:textId="77777777" w:rsidR="00F517A9" w:rsidRPr="00D549EE" w:rsidRDefault="00F517A9" w:rsidP="00C9582F">
            <w:pPr>
              <w:pStyle w:val="a5"/>
              <w:spacing w:before="0" w:beforeAutospacing="0" w:after="0" w:afterAutospacing="0"/>
              <w:rPr>
                <w:sz w:val="28"/>
                <w:szCs w:val="28"/>
                <w:lang w:val="en-US"/>
              </w:rPr>
            </w:pPr>
            <w:r w:rsidRPr="00D549EE">
              <w:rPr>
                <w:sz w:val="28"/>
                <w:szCs w:val="28"/>
                <w:lang w:val="en-US"/>
              </w:rPr>
              <w:t>Professor</w:t>
            </w:r>
            <w:r w:rsidRPr="00D549EE">
              <w:rPr>
                <w:sz w:val="28"/>
                <w:szCs w:val="28"/>
              </w:rPr>
              <w:t xml:space="preserve">, </w:t>
            </w:r>
            <w:r w:rsidRPr="00D549EE">
              <w:rPr>
                <w:sz w:val="28"/>
                <w:szCs w:val="28"/>
                <w:lang w:val="en-US"/>
              </w:rPr>
              <w:t>PhD</w:t>
            </w:r>
          </w:p>
        </w:tc>
      </w:tr>
      <w:tr w:rsidR="00F517A9" w:rsidRPr="00D549EE" w14:paraId="186A0166" w14:textId="77777777" w:rsidTr="00F517A9">
        <w:tc>
          <w:tcPr>
            <w:tcW w:w="5245" w:type="dxa"/>
            <w:hideMark/>
          </w:tcPr>
          <w:p w14:paraId="4B9D7A04" w14:textId="77777777" w:rsidR="00F517A9" w:rsidRPr="00D549EE" w:rsidRDefault="00F517A9" w:rsidP="00C9582F">
            <w:pPr>
              <w:pStyle w:val="a5"/>
              <w:tabs>
                <w:tab w:val="left" w:pos="7088"/>
              </w:tabs>
              <w:spacing w:before="0" w:beforeAutospacing="0" w:after="0" w:afterAutospacing="0"/>
              <w:rPr>
                <w:sz w:val="28"/>
                <w:szCs w:val="28"/>
              </w:rPr>
            </w:pPr>
          </w:p>
        </w:tc>
        <w:tc>
          <w:tcPr>
            <w:tcW w:w="4099" w:type="dxa"/>
            <w:hideMark/>
          </w:tcPr>
          <w:p w14:paraId="735ED6F9" w14:textId="77777777" w:rsidR="00F517A9" w:rsidRPr="00D549EE" w:rsidRDefault="00F517A9" w:rsidP="00C9582F">
            <w:pPr>
              <w:pStyle w:val="a5"/>
              <w:spacing w:before="0" w:beforeAutospacing="0" w:after="0" w:afterAutospacing="0"/>
              <w:rPr>
                <w:sz w:val="28"/>
                <w:szCs w:val="28"/>
              </w:rPr>
            </w:pPr>
            <w:r w:rsidRPr="00D549EE">
              <w:rPr>
                <w:sz w:val="28"/>
                <w:szCs w:val="28"/>
                <w:lang w:val="en-US"/>
              </w:rPr>
              <w:t>Shirazi</w:t>
            </w:r>
            <w:r w:rsidRPr="00D549EE">
              <w:rPr>
                <w:sz w:val="28"/>
                <w:szCs w:val="28"/>
              </w:rPr>
              <w:t xml:space="preserve"> </w:t>
            </w:r>
            <w:r w:rsidRPr="00D549EE">
              <w:rPr>
                <w:sz w:val="28"/>
                <w:szCs w:val="28"/>
                <w:lang w:val="en-US"/>
              </w:rPr>
              <w:t>N.Sh</w:t>
            </w:r>
            <w:r w:rsidRPr="00D549EE">
              <w:rPr>
                <w:sz w:val="28"/>
                <w:szCs w:val="28"/>
              </w:rPr>
              <w:t xml:space="preserve">. </w:t>
            </w:r>
          </w:p>
        </w:tc>
      </w:tr>
    </w:tbl>
    <w:p w14:paraId="35C4721C" w14:textId="77777777" w:rsidR="00F517A9" w:rsidRPr="00CC177D" w:rsidRDefault="00F517A9" w:rsidP="00C9582F">
      <w:pPr>
        <w:pStyle w:val="a5"/>
        <w:spacing w:before="0" w:beforeAutospacing="0" w:after="0" w:afterAutospacing="0"/>
        <w:jc w:val="center"/>
        <w:rPr>
          <w:sz w:val="28"/>
          <w:szCs w:val="28"/>
          <w:lang w:val="kk-KZ"/>
        </w:rPr>
      </w:pPr>
    </w:p>
    <w:p w14:paraId="4C5A5DA9" w14:textId="77777777" w:rsidR="00F517A9" w:rsidRPr="00D549EE" w:rsidRDefault="00F517A9" w:rsidP="00C9582F">
      <w:pPr>
        <w:pStyle w:val="a5"/>
        <w:spacing w:before="0" w:beforeAutospacing="0" w:after="0" w:afterAutospacing="0"/>
        <w:jc w:val="center"/>
        <w:rPr>
          <w:sz w:val="28"/>
          <w:szCs w:val="28"/>
          <w:lang w:val="kk-KZ"/>
        </w:rPr>
      </w:pPr>
    </w:p>
    <w:p w14:paraId="41C7ECCB" w14:textId="77777777" w:rsidR="00F517A9" w:rsidRPr="00D549EE" w:rsidRDefault="00F517A9" w:rsidP="00C9582F">
      <w:pPr>
        <w:pStyle w:val="a5"/>
        <w:spacing w:before="0" w:beforeAutospacing="0" w:after="0" w:afterAutospacing="0"/>
        <w:jc w:val="center"/>
        <w:rPr>
          <w:sz w:val="28"/>
          <w:szCs w:val="28"/>
          <w:lang w:val="en-US"/>
        </w:rPr>
      </w:pPr>
    </w:p>
    <w:p w14:paraId="2DD3FDC4" w14:textId="77777777" w:rsidR="00F517A9" w:rsidRPr="00D549EE" w:rsidRDefault="00F517A9" w:rsidP="00C9582F">
      <w:pPr>
        <w:pStyle w:val="a5"/>
        <w:spacing w:before="0" w:beforeAutospacing="0" w:after="0" w:afterAutospacing="0"/>
        <w:jc w:val="center"/>
        <w:rPr>
          <w:sz w:val="28"/>
          <w:szCs w:val="28"/>
          <w:lang w:val="en-US"/>
        </w:rPr>
      </w:pPr>
    </w:p>
    <w:p w14:paraId="38BB0FC3" w14:textId="77777777" w:rsidR="00F517A9" w:rsidRPr="00D549EE" w:rsidRDefault="00F517A9" w:rsidP="00C9582F">
      <w:pPr>
        <w:pStyle w:val="a5"/>
        <w:spacing w:before="0" w:beforeAutospacing="0" w:after="0" w:afterAutospacing="0"/>
        <w:jc w:val="center"/>
        <w:rPr>
          <w:sz w:val="28"/>
          <w:szCs w:val="28"/>
          <w:lang w:val="en-US"/>
        </w:rPr>
      </w:pPr>
    </w:p>
    <w:p w14:paraId="7B587138" w14:textId="77777777" w:rsidR="00F517A9" w:rsidRPr="00D549EE" w:rsidRDefault="00F517A9" w:rsidP="00C9582F">
      <w:pPr>
        <w:pStyle w:val="a5"/>
        <w:spacing w:before="0" w:beforeAutospacing="0" w:after="0" w:afterAutospacing="0"/>
        <w:jc w:val="center"/>
        <w:rPr>
          <w:sz w:val="28"/>
          <w:szCs w:val="28"/>
          <w:lang w:val="en-US"/>
        </w:rPr>
      </w:pPr>
    </w:p>
    <w:p w14:paraId="0AFC7931" w14:textId="77777777" w:rsidR="00F517A9" w:rsidRPr="00D549EE" w:rsidRDefault="00F517A9" w:rsidP="00C9582F">
      <w:pPr>
        <w:pStyle w:val="a5"/>
        <w:spacing w:before="0" w:beforeAutospacing="0" w:after="0" w:afterAutospacing="0"/>
        <w:jc w:val="center"/>
        <w:rPr>
          <w:sz w:val="28"/>
          <w:szCs w:val="28"/>
          <w:lang w:val="en-US"/>
        </w:rPr>
      </w:pPr>
    </w:p>
    <w:p w14:paraId="12C20C6B" w14:textId="624F42F2" w:rsidR="00F517A9" w:rsidRPr="00D549EE" w:rsidRDefault="00F517A9" w:rsidP="00C9582F">
      <w:pPr>
        <w:pStyle w:val="a5"/>
        <w:spacing w:before="0" w:beforeAutospacing="0" w:after="0" w:afterAutospacing="0"/>
        <w:jc w:val="center"/>
        <w:rPr>
          <w:sz w:val="28"/>
          <w:szCs w:val="28"/>
          <w:lang w:val="en-US"/>
        </w:rPr>
      </w:pPr>
    </w:p>
    <w:p w14:paraId="15C81F2D" w14:textId="3960ABFC" w:rsidR="00F517A9" w:rsidRPr="00D549EE" w:rsidRDefault="00F517A9" w:rsidP="00C9582F">
      <w:pPr>
        <w:pStyle w:val="a5"/>
        <w:spacing w:before="0" w:beforeAutospacing="0" w:after="0" w:afterAutospacing="0"/>
        <w:jc w:val="center"/>
        <w:rPr>
          <w:sz w:val="28"/>
          <w:szCs w:val="28"/>
          <w:lang w:val="en-US"/>
        </w:rPr>
      </w:pPr>
    </w:p>
    <w:p w14:paraId="6B11A3CB" w14:textId="1EC58E92" w:rsidR="00F517A9" w:rsidRPr="00D549EE" w:rsidRDefault="00F517A9" w:rsidP="00D74F7B">
      <w:pPr>
        <w:pStyle w:val="a5"/>
        <w:spacing w:before="0" w:beforeAutospacing="0" w:after="0" w:afterAutospacing="0"/>
        <w:rPr>
          <w:sz w:val="28"/>
          <w:szCs w:val="28"/>
          <w:lang w:val="en-US"/>
        </w:rPr>
      </w:pPr>
    </w:p>
    <w:p w14:paraId="1BFB3934" w14:textId="77777777" w:rsidR="00F517A9" w:rsidRPr="00D549EE" w:rsidRDefault="00F517A9" w:rsidP="00C9582F">
      <w:pPr>
        <w:pStyle w:val="a5"/>
        <w:spacing w:before="0" w:beforeAutospacing="0" w:after="0" w:afterAutospacing="0"/>
        <w:jc w:val="center"/>
        <w:rPr>
          <w:sz w:val="28"/>
          <w:szCs w:val="28"/>
          <w:lang w:val="en-US"/>
        </w:rPr>
      </w:pPr>
    </w:p>
    <w:p w14:paraId="39632084" w14:textId="77777777" w:rsidR="00F517A9" w:rsidRPr="00D549EE" w:rsidRDefault="00F517A9" w:rsidP="00C9582F">
      <w:pPr>
        <w:pStyle w:val="a5"/>
        <w:spacing w:before="0" w:beforeAutospacing="0" w:after="0" w:afterAutospacing="0"/>
        <w:jc w:val="center"/>
        <w:rPr>
          <w:sz w:val="28"/>
          <w:szCs w:val="28"/>
          <w:lang w:val="en-US"/>
        </w:rPr>
      </w:pPr>
      <w:r w:rsidRPr="00D549EE">
        <w:rPr>
          <w:sz w:val="28"/>
          <w:szCs w:val="28"/>
          <w:lang w:val="en-US"/>
        </w:rPr>
        <w:t>Republic of Kazakhstan</w:t>
      </w:r>
    </w:p>
    <w:p w14:paraId="3B22B194" w14:textId="3B1D764F" w:rsidR="00F517A9" w:rsidRDefault="00F517A9" w:rsidP="00C9582F">
      <w:pPr>
        <w:pStyle w:val="a5"/>
        <w:spacing w:before="0" w:beforeAutospacing="0" w:after="0" w:afterAutospacing="0"/>
        <w:jc w:val="center"/>
        <w:rPr>
          <w:sz w:val="28"/>
          <w:szCs w:val="28"/>
          <w:lang w:val="en-US"/>
        </w:rPr>
      </w:pPr>
      <w:r w:rsidRPr="00D549EE">
        <w:rPr>
          <w:sz w:val="28"/>
          <w:szCs w:val="28"/>
          <w:lang w:val="en-US"/>
        </w:rPr>
        <w:t>Almaty, 202</w:t>
      </w:r>
      <w:r w:rsidR="001D4508" w:rsidRPr="00D549EE">
        <w:rPr>
          <w:sz w:val="28"/>
          <w:szCs w:val="28"/>
          <w:lang w:val="en-US"/>
        </w:rPr>
        <w:t>2</w:t>
      </w:r>
    </w:p>
    <w:p w14:paraId="74507A74" w14:textId="77777777" w:rsidR="00FC1D64" w:rsidRPr="00D549EE" w:rsidRDefault="00FC1D64" w:rsidP="00C9582F">
      <w:pPr>
        <w:pStyle w:val="a5"/>
        <w:spacing w:before="0" w:beforeAutospacing="0" w:after="0" w:afterAutospacing="0"/>
        <w:jc w:val="center"/>
        <w:rPr>
          <w:sz w:val="28"/>
          <w:szCs w:val="28"/>
          <w:lang w:val="en-US"/>
        </w:rPr>
      </w:pPr>
    </w:p>
    <w:p w14:paraId="3B3641FC" w14:textId="378574E9" w:rsidR="00A34ADA" w:rsidRPr="00D549EE" w:rsidRDefault="00A34ADA" w:rsidP="00C9582F">
      <w:pPr>
        <w:jc w:val="center"/>
        <w:rPr>
          <w:b/>
          <w:bCs/>
          <w:sz w:val="28"/>
          <w:szCs w:val="28"/>
          <w:lang w:val="en-US"/>
        </w:rPr>
      </w:pPr>
      <w:r w:rsidRPr="00D549EE">
        <w:rPr>
          <w:b/>
          <w:bCs/>
          <w:sz w:val="28"/>
          <w:szCs w:val="28"/>
          <w:lang w:val="en-US"/>
        </w:rPr>
        <w:lastRenderedPageBreak/>
        <w:t>CONTENTS</w:t>
      </w:r>
    </w:p>
    <w:p w14:paraId="15E2CEB6" w14:textId="77777777" w:rsidR="00A34ADA" w:rsidRPr="00D549EE" w:rsidRDefault="00A34ADA" w:rsidP="00C9582F">
      <w:pPr>
        <w:jc w:val="center"/>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A34ADA" w:rsidRPr="00D549EE" w14:paraId="3609ADAE" w14:textId="77777777" w:rsidTr="004234F7">
        <w:tc>
          <w:tcPr>
            <w:tcW w:w="8642" w:type="dxa"/>
          </w:tcPr>
          <w:p w14:paraId="2B8E2F5F" w14:textId="2EB0D13F" w:rsidR="00A34ADA" w:rsidRPr="00D549EE" w:rsidRDefault="00ED338B" w:rsidP="00C9582F">
            <w:pPr>
              <w:rPr>
                <w:b/>
                <w:sz w:val="28"/>
                <w:szCs w:val="28"/>
              </w:rPr>
            </w:pPr>
            <w:r w:rsidRPr="00D549EE">
              <w:rPr>
                <w:b/>
                <w:sz w:val="28"/>
                <w:szCs w:val="28"/>
                <w:lang w:val="en-US"/>
              </w:rPr>
              <w:t>NORMATIVE REFERENCES</w:t>
            </w:r>
          </w:p>
        </w:tc>
        <w:tc>
          <w:tcPr>
            <w:tcW w:w="986" w:type="dxa"/>
          </w:tcPr>
          <w:p w14:paraId="08BC2CA7" w14:textId="77777777" w:rsidR="00A34ADA" w:rsidRPr="00D549EE" w:rsidRDefault="00A34ADA" w:rsidP="00C9582F">
            <w:pPr>
              <w:jc w:val="center"/>
              <w:rPr>
                <w:sz w:val="28"/>
                <w:szCs w:val="28"/>
              </w:rPr>
            </w:pPr>
            <w:r w:rsidRPr="00D549EE">
              <w:rPr>
                <w:sz w:val="28"/>
                <w:szCs w:val="28"/>
              </w:rPr>
              <w:t>3</w:t>
            </w:r>
          </w:p>
        </w:tc>
      </w:tr>
      <w:tr w:rsidR="003178CD" w:rsidRPr="00D549EE" w14:paraId="6D531E82" w14:textId="77777777" w:rsidTr="004234F7">
        <w:tc>
          <w:tcPr>
            <w:tcW w:w="8642" w:type="dxa"/>
          </w:tcPr>
          <w:p w14:paraId="7A407AC6" w14:textId="4E89A696" w:rsidR="003178CD" w:rsidRPr="00D549EE" w:rsidRDefault="00ED338B" w:rsidP="003178CD">
            <w:pPr>
              <w:jc w:val="left"/>
              <w:rPr>
                <w:b/>
                <w:sz w:val="28"/>
                <w:szCs w:val="28"/>
                <w:lang w:val="en-US"/>
              </w:rPr>
            </w:pPr>
            <w:r w:rsidRPr="00D549EE">
              <w:rPr>
                <w:b/>
                <w:bCs/>
                <w:sz w:val="28"/>
                <w:szCs w:val="28"/>
                <w:lang w:val="en-US"/>
              </w:rPr>
              <w:t>NOTATIONS AND ABBREVIATIONS</w:t>
            </w:r>
          </w:p>
        </w:tc>
        <w:tc>
          <w:tcPr>
            <w:tcW w:w="986" w:type="dxa"/>
          </w:tcPr>
          <w:p w14:paraId="16B30853" w14:textId="01C463F3" w:rsidR="003178CD" w:rsidRPr="00D549EE" w:rsidRDefault="009147F1" w:rsidP="00C9582F">
            <w:pPr>
              <w:jc w:val="center"/>
              <w:rPr>
                <w:sz w:val="28"/>
                <w:szCs w:val="28"/>
              </w:rPr>
            </w:pPr>
            <w:r w:rsidRPr="00D549EE">
              <w:rPr>
                <w:sz w:val="28"/>
                <w:szCs w:val="28"/>
              </w:rPr>
              <w:t>4</w:t>
            </w:r>
          </w:p>
        </w:tc>
      </w:tr>
      <w:tr w:rsidR="00A34ADA" w:rsidRPr="00D549EE" w14:paraId="627A4B69" w14:textId="77777777" w:rsidTr="004234F7">
        <w:tc>
          <w:tcPr>
            <w:tcW w:w="8642" w:type="dxa"/>
          </w:tcPr>
          <w:p w14:paraId="2C58A9BB" w14:textId="47C9C987" w:rsidR="00A34ADA" w:rsidRPr="00D549EE" w:rsidRDefault="00A34ADA" w:rsidP="00C9582F">
            <w:pPr>
              <w:rPr>
                <w:b/>
                <w:sz w:val="28"/>
                <w:szCs w:val="28"/>
              </w:rPr>
            </w:pPr>
            <w:r w:rsidRPr="00D549EE">
              <w:rPr>
                <w:b/>
                <w:bCs/>
                <w:sz w:val="28"/>
                <w:szCs w:val="28"/>
                <w:lang w:val="en-US"/>
              </w:rPr>
              <w:t>INTRODUCTION</w:t>
            </w:r>
            <w:r w:rsidR="00ED338B" w:rsidRPr="00D549EE">
              <w:rPr>
                <w:b/>
                <w:bCs/>
                <w:sz w:val="28"/>
                <w:szCs w:val="28"/>
                <w:lang w:val="en-US"/>
              </w:rPr>
              <w:t xml:space="preserve"> </w:t>
            </w:r>
          </w:p>
        </w:tc>
        <w:tc>
          <w:tcPr>
            <w:tcW w:w="986" w:type="dxa"/>
          </w:tcPr>
          <w:p w14:paraId="60742347" w14:textId="663B23F6" w:rsidR="00A34ADA" w:rsidRPr="00D549EE" w:rsidRDefault="009147F1" w:rsidP="00C9582F">
            <w:pPr>
              <w:jc w:val="center"/>
              <w:rPr>
                <w:sz w:val="28"/>
                <w:szCs w:val="28"/>
              </w:rPr>
            </w:pPr>
            <w:r w:rsidRPr="00D549EE">
              <w:rPr>
                <w:sz w:val="28"/>
                <w:szCs w:val="28"/>
              </w:rPr>
              <w:t>5</w:t>
            </w:r>
          </w:p>
        </w:tc>
      </w:tr>
      <w:tr w:rsidR="00A34ADA" w:rsidRPr="00D549EE" w14:paraId="1FD41068" w14:textId="77777777" w:rsidTr="004234F7">
        <w:tc>
          <w:tcPr>
            <w:tcW w:w="8642" w:type="dxa"/>
          </w:tcPr>
          <w:p w14:paraId="08ABD536" w14:textId="312AABD5" w:rsidR="00A34ADA" w:rsidRPr="00D549EE" w:rsidRDefault="00A34ADA" w:rsidP="00C9582F">
            <w:pPr>
              <w:rPr>
                <w:b/>
                <w:sz w:val="28"/>
                <w:szCs w:val="28"/>
                <w:lang w:val="en-US"/>
              </w:rPr>
            </w:pPr>
            <w:r w:rsidRPr="00D549EE">
              <w:rPr>
                <w:b/>
                <w:sz w:val="28"/>
                <w:szCs w:val="28"/>
                <w:lang w:val="en-US"/>
              </w:rPr>
              <w:t xml:space="preserve">1 </w:t>
            </w:r>
            <w:r w:rsidR="00A2106D" w:rsidRPr="00D549EE">
              <w:rPr>
                <w:b/>
                <w:bCs/>
                <w:color w:val="000000" w:themeColor="text1"/>
                <w:sz w:val="28"/>
                <w:szCs w:val="28"/>
                <w:lang w:val="en-US"/>
              </w:rPr>
              <w:t xml:space="preserve">SOCIAL EFFECTIVENESS OF ISLAMIC FINANCE: THEORETICAL AND METHODOLOGICAL APPROACHES </w:t>
            </w:r>
            <w:r w:rsidR="00A2106D" w:rsidRPr="00D549EE">
              <w:rPr>
                <w:b/>
                <w:color w:val="000000" w:themeColor="text1"/>
                <w:sz w:val="28"/>
                <w:szCs w:val="28"/>
                <w:shd w:val="clear" w:color="auto" w:fill="FFFFFF"/>
                <w:lang w:val="en-US"/>
              </w:rPr>
              <w:t>TO CONTENT DETERMINATION AND MEASUREMENT</w:t>
            </w:r>
          </w:p>
        </w:tc>
        <w:tc>
          <w:tcPr>
            <w:tcW w:w="986" w:type="dxa"/>
          </w:tcPr>
          <w:p w14:paraId="431F38D5" w14:textId="6B5F6437" w:rsidR="00A34ADA" w:rsidRPr="00D549EE" w:rsidRDefault="009147F1" w:rsidP="00C9582F">
            <w:pPr>
              <w:jc w:val="center"/>
              <w:rPr>
                <w:sz w:val="28"/>
                <w:szCs w:val="28"/>
              </w:rPr>
            </w:pPr>
            <w:r w:rsidRPr="00D549EE">
              <w:rPr>
                <w:sz w:val="28"/>
                <w:szCs w:val="28"/>
              </w:rPr>
              <w:t>11</w:t>
            </w:r>
          </w:p>
        </w:tc>
      </w:tr>
      <w:tr w:rsidR="00A34ADA" w:rsidRPr="00D549EE" w14:paraId="2D53FB06" w14:textId="77777777" w:rsidTr="004234F7">
        <w:tc>
          <w:tcPr>
            <w:tcW w:w="8642" w:type="dxa"/>
          </w:tcPr>
          <w:p w14:paraId="25863522" w14:textId="690FA908" w:rsidR="00A34ADA" w:rsidRPr="00D549EE" w:rsidRDefault="00A34ADA" w:rsidP="00C9582F">
            <w:pPr>
              <w:rPr>
                <w:sz w:val="28"/>
                <w:szCs w:val="28"/>
                <w:lang w:val="en-US"/>
              </w:rPr>
            </w:pPr>
            <w:r w:rsidRPr="00D549EE">
              <w:rPr>
                <w:sz w:val="28"/>
                <w:szCs w:val="28"/>
                <w:lang w:val="en-US"/>
              </w:rPr>
              <w:t xml:space="preserve">1.1 </w:t>
            </w:r>
            <w:r w:rsidRPr="00D549EE">
              <w:rPr>
                <w:color w:val="000000"/>
                <w:sz w:val="28"/>
                <w:szCs w:val="28"/>
                <w:lang w:val="en-US"/>
              </w:rPr>
              <w:t>The social component of Islamic finance, its economic nature and functional forms</w:t>
            </w:r>
          </w:p>
        </w:tc>
        <w:tc>
          <w:tcPr>
            <w:tcW w:w="986" w:type="dxa"/>
          </w:tcPr>
          <w:p w14:paraId="28B11A8A" w14:textId="6C85ABC0" w:rsidR="00A34ADA" w:rsidRPr="00D549EE" w:rsidRDefault="009147F1" w:rsidP="00C9582F">
            <w:pPr>
              <w:jc w:val="center"/>
              <w:rPr>
                <w:sz w:val="28"/>
                <w:szCs w:val="28"/>
              </w:rPr>
            </w:pPr>
            <w:r w:rsidRPr="00D549EE">
              <w:rPr>
                <w:sz w:val="28"/>
                <w:szCs w:val="28"/>
              </w:rPr>
              <w:t>11</w:t>
            </w:r>
          </w:p>
        </w:tc>
      </w:tr>
      <w:tr w:rsidR="00A34ADA" w:rsidRPr="00D549EE" w14:paraId="3683084E" w14:textId="77777777" w:rsidTr="004234F7">
        <w:tc>
          <w:tcPr>
            <w:tcW w:w="8642" w:type="dxa"/>
          </w:tcPr>
          <w:p w14:paraId="09D1D552" w14:textId="3518A951" w:rsidR="00A34ADA" w:rsidRPr="00D549EE" w:rsidRDefault="00A34ADA" w:rsidP="00C9582F">
            <w:pPr>
              <w:rPr>
                <w:sz w:val="28"/>
                <w:szCs w:val="28"/>
                <w:lang w:val="en-US"/>
              </w:rPr>
            </w:pPr>
            <w:r w:rsidRPr="00D549EE">
              <w:rPr>
                <w:sz w:val="28"/>
                <w:szCs w:val="28"/>
                <w:lang w:val="en-US"/>
              </w:rPr>
              <w:t xml:space="preserve">1.2 </w:t>
            </w:r>
            <w:r w:rsidRPr="00D549EE">
              <w:rPr>
                <w:color w:val="000000"/>
                <w:sz w:val="28"/>
                <w:szCs w:val="28"/>
                <w:lang w:val="en-US"/>
              </w:rPr>
              <w:t xml:space="preserve">Islamic Social </w:t>
            </w:r>
            <w:r w:rsidR="00F11AA3">
              <w:rPr>
                <w:color w:val="000000"/>
                <w:sz w:val="28"/>
                <w:szCs w:val="28"/>
                <w:lang w:val="en-US"/>
              </w:rPr>
              <w:t>f</w:t>
            </w:r>
            <w:r w:rsidRPr="00D549EE">
              <w:rPr>
                <w:color w:val="000000"/>
                <w:sz w:val="28"/>
                <w:szCs w:val="28"/>
                <w:lang w:val="en-US"/>
              </w:rPr>
              <w:t>inance: concept and functions of Zakat, Waqf and Islamic microfinance</w:t>
            </w:r>
          </w:p>
        </w:tc>
        <w:tc>
          <w:tcPr>
            <w:tcW w:w="986" w:type="dxa"/>
          </w:tcPr>
          <w:p w14:paraId="51F170D9" w14:textId="7E7717EE" w:rsidR="00A34ADA" w:rsidRPr="00D549EE" w:rsidRDefault="009147F1" w:rsidP="00C9582F">
            <w:pPr>
              <w:jc w:val="center"/>
              <w:rPr>
                <w:sz w:val="28"/>
                <w:szCs w:val="28"/>
                <w:lang w:val="en-US"/>
              </w:rPr>
            </w:pPr>
            <w:r w:rsidRPr="00D549EE">
              <w:rPr>
                <w:sz w:val="28"/>
                <w:szCs w:val="28"/>
              </w:rPr>
              <w:t>2</w:t>
            </w:r>
            <w:r w:rsidR="004E0288" w:rsidRPr="00D549EE">
              <w:rPr>
                <w:sz w:val="28"/>
                <w:szCs w:val="28"/>
                <w:lang w:val="en-US"/>
              </w:rPr>
              <w:t>9</w:t>
            </w:r>
          </w:p>
        </w:tc>
      </w:tr>
      <w:tr w:rsidR="00A34ADA" w:rsidRPr="00D549EE" w14:paraId="59A043B9" w14:textId="77777777" w:rsidTr="004234F7">
        <w:tc>
          <w:tcPr>
            <w:tcW w:w="8642" w:type="dxa"/>
          </w:tcPr>
          <w:p w14:paraId="5BE25926" w14:textId="152BC298" w:rsidR="00A34ADA" w:rsidRPr="00D549EE" w:rsidRDefault="00A34ADA" w:rsidP="00C9582F">
            <w:pPr>
              <w:rPr>
                <w:sz w:val="28"/>
                <w:szCs w:val="28"/>
                <w:lang w:val="en-US"/>
              </w:rPr>
            </w:pPr>
            <w:r w:rsidRPr="00D549EE">
              <w:rPr>
                <w:sz w:val="28"/>
                <w:szCs w:val="28"/>
                <w:lang w:val="en-US"/>
              </w:rPr>
              <w:t xml:space="preserve">1.3 Methodological approaches for the assessment of Islamic finance’s social effectiveness  </w:t>
            </w:r>
          </w:p>
        </w:tc>
        <w:tc>
          <w:tcPr>
            <w:tcW w:w="986" w:type="dxa"/>
          </w:tcPr>
          <w:p w14:paraId="1582E538" w14:textId="126D0C00" w:rsidR="00A34ADA" w:rsidRPr="00D549EE" w:rsidRDefault="008E3C30" w:rsidP="00C9582F">
            <w:pPr>
              <w:jc w:val="center"/>
              <w:rPr>
                <w:sz w:val="28"/>
                <w:szCs w:val="28"/>
                <w:lang w:val="en-US"/>
              </w:rPr>
            </w:pPr>
            <w:r w:rsidRPr="00D549EE">
              <w:rPr>
                <w:sz w:val="28"/>
                <w:szCs w:val="28"/>
                <w:lang w:val="en-US"/>
              </w:rPr>
              <w:t>4</w:t>
            </w:r>
            <w:r w:rsidR="004E0288" w:rsidRPr="00D549EE">
              <w:rPr>
                <w:sz w:val="28"/>
                <w:szCs w:val="28"/>
                <w:lang w:val="en-US"/>
              </w:rPr>
              <w:t>6</w:t>
            </w:r>
          </w:p>
        </w:tc>
      </w:tr>
      <w:tr w:rsidR="00A34ADA" w:rsidRPr="00D549EE" w14:paraId="4C0369FD" w14:textId="77777777" w:rsidTr="004234F7">
        <w:tc>
          <w:tcPr>
            <w:tcW w:w="8642" w:type="dxa"/>
          </w:tcPr>
          <w:p w14:paraId="7452FAC1" w14:textId="4EA463A4" w:rsidR="00A34ADA" w:rsidRPr="00D549EE" w:rsidRDefault="00A34ADA" w:rsidP="00C9582F">
            <w:pPr>
              <w:rPr>
                <w:b/>
                <w:sz w:val="28"/>
                <w:szCs w:val="28"/>
                <w:lang w:val="en-US"/>
              </w:rPr>
            </w:pPr>
            <w:r w:rsidRPr="00D549EE">
              <w:rPr>
                <w:b/>
                <w:sz w:val="28"/>
                <w:szCs w:val="28"/>
                <w:lang w:val="en-US"/>
              </w:rPr>
              <w:t xml:space="preserve">2 </w:t>
            </w:r>
            <w:r w:rsidR="00A2106D" w:rsidRPr="00D549EE">
              <w:rPr>
                <w:b/>
                <w:bCs/>
                <w:color w:val="000000"/>
                <w:sz w:val="28"/>
                <w:szCs w:val="28"/>
                <w:lang w:val="en-US"/>
              </w:rPr>
              <w:t>THE SPECIFICS OF THE ISLAMIC FINANCE IMPLEMENTATION IN THE REPUBLIC OF KAZAKHSTAN: ANALYSIS AND ASSESSMENT OF SOCIAL PROSPECTS AND EFFECTS</w:t>
            </w:r>
          </w:p>
        </w:tc>
        <w:tc>
          <w:tcPr>
            <w:tcW w:w="986" w:type="dxa"/>
          </w:tcPr>
          <w:p w14:paraId="2E6AA331" w14:textId="3A2306B1" w:rsidR="00A34ADA" w:rsidRPr="00D549EE" w:rsidRDefault="008E3C30" w:rsidP="00C9582F">
            <w:pPr>
              <w:jc w:val="center"/>
              <w:rPr>
                <w:sz w:val="28"/>
                <w:szCs w:val="28"/>
                <w:lang w:val="en-US"/>
              </w:rPr>
            </w:pPr>
            <w:r w:rsidRPr="00D549EE">
              <w:rPr>
                <w:sz w:val="28"/>
                <w:szCs w:val="28"/>
                <w:lang w:val="en-US"/>
              </w:rPr>
              <w:t>6</w:t>
            </w:r>
            <w:r w:rsidR="00981837" w:rsidRPr="00D549EE">
              <w:rPr>
                <w:sz w:val="28"/>
                <w:szCs w:val="28"/>
                <w:lang w:val="en-US"/>
              </w:rPr>
              <w:t>4</w:t>
            </w:r>
          </w:p>
        </w:tc>
      </w:tr>
      <w:tr w:rsidR="00A34ADA" w:rsidRPr="00D549EE" w14:paraId="26880A74" w14:textId="77777777" w:rsidTr="004234F7">
        <w:tc>
          <w:tcPr>
            <w:tcW w:w="8642" w:type="dxa"/>
          </w:tcPr>
          <w:p w14:paraId="3A05EAEC" w14:textId="1FE026F9" w:rsidR="00A34ADA" w:rsidRPr="00D549EE" w:rsidRDefault="00A34ADA" w:rsidP="00C9582F">
            <w:pPr>
              <w:rPr>
                <w:sz w:val="28"/>
                <w:szCs w:val="28"/>
                <w:lang w:val="en-US"/>
              </w:rPr>
            </w:pPr>
            <w:r w:rsidRPr="00D549EE">
              <w:rPr>
                <w:sz w:val="28"/>
                <w:szCs w:val="28"/>
                <w:lang w:val="en-US"/>
              </w:rPr>
              <w:t xml:space="preserve">2.1 </w:t>
            </w:r>
            <w:r w:rsidRPr="00D549EE">
              <w:rPr>
                <w:color w:val="000000"/>
                <w:sz w:val="28"/>
                <w:szCs w:val="28"/>
                <w:lang w:val="en-US"/>
              </w:rPr>
              <w:t xml:space="preserve">Analysis and assessment of the evolution of Islamic finance in the </w:t>
            </w:r>
            <w:r w:rsidR="00BC3B57" w:rsidRPr="00D549EE">
              <w:rPr>
                <w:color w:val="000000"/>
                <w:sz w:val="28"/>
                <w:szCs w:val="28"/>
                <w:lang w:val="en-US"/>
              </w:rPr>
              <w:t xml:space="preserve">economy of the </w:t>
            </w:r>
            <w:r w:rsidRPr="00D549EE">
              <w:rPr>
                <w:color w:val="000000"/>
                <w:sz w:val="28"/>
                <w:szCs w:val="28"/>
                <w:lang w:val="en-US"/>
              </w:rPr>
              <w:t xml:space="preserve">Republic of Kazakhstan </w:t>
            </w:r>
          </w:p>
        </w:tc>
        <w:tc>
          <w:tcPr>
            <w:tcW w:w="986" w:type="dxa"/>
          </w:tcPr>
          <w:p w14:paraId="10123BAD" w14:textId="493DA764" w:rsidR="00A34ADA" w:rsidRPr="00D549EE" w:rsidRDefault="008E3C30" w:rsidP="00C9582F">
            <w:pPr>
              <w:jc w:val="center"/>
              <w:rPr>
                <w:sz w:val="28"/>
                <w:szCs w:val="28"/>
                <w:lang w:val="en-US"/>
              </w:rPr>
            </w:pPr>
            <w:r w:rsidRPr="00D549EE">
              <w:rPr>
                <w:sz w:val="28"/>
                <w:szCs w:val="28"/>
                <w:lang w:val="en-US"/>
              </w:rPr>
              <w:t>6</w:t>
            </w:r>
            <w:r w:rsidR="00981837" w:rsidRPr="00D549EE">
              <w:rPr>
                <w:sz w:val="28"/>
                <w:szCs w:val="28"/>
                <w:lang w:val="en-US"/>
              </w:rPr>
              <w:t>4</w:t>
            </w:r>
          </w:p>
        </w:tc>
      </w:tr>
      <w:tr w:rsidR="00A34ADA" w:rsidRPr="00D549EE" w14:paraId="11D7030B" w14:textId="77777777" w:rsidTr="00A34ADA">
        <w:trPr>
          <w:trHeight w:val="724"/>
        </w:trPr>
        <w:tc>
          <w:tcPr>
            <w:tcW w:w="8642" w:type="dxa"/>
          </w:tcPr>
          <w:p w14:paraId="4C05DD3B" w14:textId="713FA572" w:rsidR="00A34ADA" w:rsidRPr="00D549EE" w:rsidRDefault="00A34ADA" w:rsidP="00C9582F">
            <w:pPr>
              <w:pStyle w:val="a3"/>
              <w:snapToGrid w:val="0"/>
              <w:spacing w:line="240" w:lineRule="auto"/>
              <w:ind w:left="0"/>
              <w:rPr>
                <w:rFonts w:ascii="Times New Roman" w:hAnsi="Times New Roman"/>
                <w:color w:val="000000"/>
                <w:sz w:val="28"/>
                <w:szCs w:val="28"/>
                <w:lang w:val="en-US"/>
              </w:rPr>
            </w:pPr>
            <w:r w:rsidRPr="00D549EE">
              <w:rPr>
                <w:rFonts w:ascii="Times New Roman" w:hAnsi="Times New Roman"/>
                <w:sz w:val="28"/>
                <w:szCs w:val="28"/>
                <w:lang w:val="en-US"/>
              </w:rPr>
              <w:t xml:space="preserve">2.2 </w:t>
            </w:r>
            <w:r w:rsidRPr="00D549EE">
              <w:rPr>
                <w:rFonts w:ascii="Times New Roman" w:hAnsi="Times New Roman"/>
                <w:color w:val="000000"/>
                <w:sz w:val="28"/>
                <w:szCs w:val="28"/>
                <w:lang w:val="en-US"/>
              </w:rPr>
              <w:t>The potential social effects of Islamic finance in the Republic of Kazakhstan</w:t>
            </w:r>
          </w:p>
        </w:tc>
        <w:tc>
          <w:tcPr>
            <w:tcW w:w="986" w:type="dxa"/>
          </w:tcPr>
          <w:p w14:paraId="1804F927" w14:textId="15269F80" w:rsidR="00A34ADA" w:rsidRPr="00D549EE" w:rsidRDefault="00981837" w:rsidP="00C9582F">
            <w:pPr>
              <w:jc w:val="center"/>
              <w:rPr>
                <w:sz w:val="28"/>
                <w:szCs w:val="28"/>
                <w:lang w:val="en-US"/>
              </w:rPr>
            </w:pPr>
            <w:r w:rsidRPr="00D549EE">
              <w:rPr>
                <w:sz w:val="28"/>
                <w:szCs w:val="28"/>
                <w:lang w:val="en-US"/>
              </w:rPr>
              <w:t>7</w:t>
            </w:r>
            <w:r w:rsidR="00697A02">
              <w:rPr>
                <w:sz w:val="28"/>
                <w:szCs w:val="28"/>
                <w:lang w:val="en-US"/>
              </w:rPr>
              <w:t>9</w:t>
            </w:r>
          </w:p>
        </w:tc>
      </w:tr>
      <w:tr w:rsidR="00A34ADA" w:rsidRPr="00D549EE" w14:paraId="556A2D50" w14:textId="77777777" w:rsidTr="004234F7">
        <w:tc>
          <w:tcPr>
            <w:tcW w:w="8642" w:type="dxa"/>
          </w:tcPr>
          <w:p w14:paraId="009C877B" w14:textId="7A3DE080" w:rsidR="00A34ADA" w:rsidRPr="00D549EE" w:rsidRDefault="00A34ADA" w:rsidP="00C9582F">
            <w:pPr>
              <w:tabs>
                <w:tab w:val="left" w:pos="435"/>
              </w:tabs>
              <w:rPr>
                <w:sz w:val="28"/>
                <w:szCs w:val="28"/>
                <w:lang w:val="en-US"/>
              </w:rPr>
            </w:pPr>
            <w:r w:rsidRPr="00D549EE">
              <w:rPr>
                <w:sz w:val="28"/>
                <w:szCs w:val="28"/>
                <w:lang w:val="en-US"/>
              </w:rPr>
              <w:t xml:space="preserve">2.3 </w:t>
            </w:r>
            <w:r w:rsidRPr="00D549EE">
              <w:rPr>
                <w:color w:val="000000"/>
                <w:sz w:val="28"/>
                <w:szCs w:val="28"/>
                <w:lang w:val="en-US"/>
              </w:rPr>
              <w:t>The role of Islamic finance and Islamic financial institutions in solving social problems of the Republic of Kazakhstan</w:t>
            </w:r>
          </w:p>
        </w:tc>
        <w:tc>
          <w:tcPr>
            <w:tcW w:w="986" w:type="dxa"/>
          </w:tcPr>
          <w:p w14:paraId="10061BEE" w14:textId="72A34851" w:rsidR="00A34ADA" w:rsidRPr="00D549EE" w:rsidRDefault="001951ED" w:rsidP="00C9582F">
            <w:pPr>
              <w:jc w:val="center"/>
              <w:rPr>
                <w:sz w:val="28"/>
                <w:szCs w:val="28"/>
                <w:lang w:val="en-US"/>
              </w:rPr>
            </w:pPr>
            <w:r w:rsidRPr="00D549EE">
              <w:rPr>
                <w:sz w:val="28"/>
                <w:szCs w:val="28"/>
                <w:lang w:val="en-US"/>
              </w:rPr>
              <w:t>9</w:t>
            </w:r>
            <w:r w:rsidR="00697A02">
              <w:rPr>
                <w:sz w:val="28"/>
                <w:szCs w:val="28"/>
                <w:lang w:val="en-US"/>
              </w:rPr>
              <w:t>2</w:t>
            </w:r>
          </w:p>
        </w:tc>
      </w:tr>
      <w:tr w:rsidR="00A34ADA" w:rsidRPr="00D549EE" w14:paraId="6DE31B73" w14:textId="77777777" w:rsidTr="004234F7">
        <w:tc>
          <w:tcPr>
            <w:tcW w:w="8642" w:type="dxa"/>
          </w:tcPr>
          <w:p w14:paraId="65592FB6" w14:textId="2A16865E" w:rsidR="00A34ADA" w:rsidRPr="00D549EE" w:rsidRDefault="00A34ADA" w:rsidP="00C9582F">
            <w:pPr>
              <w:rPr>
                <w:b/>
                <w:sz w:val="28"/>
                <w:szCs w:val="28"/>
                <w:lang w:val="en-US"/>
              </w:rPr>
            </w:pPr>
            <w:r w:rsidRPr="00D549EE">
              <w:rPr>
                <w:b/>
                <w:sz w:val="28"/>
                <w:szCs w:val="28"/>
                <w:lang w:val="en-US"/>
              </w:rPr>
              <w:t xml:space="preserve">3 </w:t>
            </w:r>
            <w:r w:rsidR="00E73D11" w:rsidRPr="00D549EE">
              <w:rPr>
                <w:b/>
                <w:bCs/>
                <w:color w:val="000000" w:themeColor="text1"/>
                <w:sz w:val="28"/>
                <w:szCs w:val="28"/>
                <w:lang w:val="en-US"/>
              </w:rPr>
              <w:t>PROVISION</w:t>
            </w:r>
            <w:r w:rsidR="00E73D11" w:rsidRPr="00D549EE">
              <w:rPr>
                <w:b/>
                <w:bCs/>
                <w:color w:val="000000"/>
                <w:sz w:val="28"/>
                <w:szCs w:val="28"/>
                <w:lang w:val="en-US"/>
              </w:rPr>
              <w:t xml:space="preserve"> THE SOCIAL </w:t>
            </w:r>
            <w:r w:rsidR="00E73D11" w:rsidRPr="00D549EE">
              <w:rPr>
                <w:b/>
                <w:color w:val="000000" w:themeColor="text1"/>
                <w:sz w:val="28"/>
                <w:szCs w:val="28"/>
                <w:lang w:val="en-US"/>
              </w:rPr>
              <w:t>EFFECTIVENESS</w:t>
            </w:r>
            <w:r w:rsidR="00E73D11" w:rsidRPr="00D549EE">
              <w:rPr>
                <w:b/>
                <w:bCs/>
                <w:color w:val="000000"/>
                <w:sz w:val="28"/>
                <w:szCs w:val="28"/>
                <w:lang w:val="en-US"/>
              </w:rPr>
              <w:t xml:space="preserve"> OF ISLAMIC FINANCE IN THE REPUBLIC OF KAZAKHSTAN: OPPORTUNITIES AND PROSPECTS</w:t>
            </w:r>
          </w:p>
        </w:tc>
        <w:tc>
          <w:tcPr>
            <w:tcW w:w="986" w:type="dxa"/>
          </w:tcPr>
          <w:p w14:paraId="298852F4" w14:textId="7067A430" w:rsidR="00A34ADA" w:rsidRPr="00D549EE" w:rsidRDefault="00B036AF" w:rsidP="00C9582F">
            <w:pPr>
              <w:jc w:val="center"/>
              <w:rPr>
                <w:sz w:val="28"/>
                <w:szCs w:val="28"/>
                <w:lang w:val="en-US"/>
              </w:rPr>
            </w:pPr>
            <w:r w:rsidRPr="00D549EE">
              <w:rPr>
                <w:sz w:val="28"/>
                <w:szCs w:val="28"/>
                <w:lang w:val="en-US"/>
              </w:rPr>
              <w:t>10</w:t>
            </w:r>
            <w:r w:rsidR="00697A02">
              <w:rPr>
                <w:sz w:val="28"/>
                <w:szCs w:val="28"/>
                <w:lang w:val="en-US"/>
              </w:rPr>
              <w:t>9</w:t>
            </w:r>
          </w:p>
        </w:tc>
      </w:tr>
      <w:tr w:rsidR="00A34ADA" w:rsidRPr="00D549EE" w14:paraId="346DB648" w14:textId="77777777" w:rsidTr="004234F7">
        <w:tc>
          <w:tcPr>
            <w:tcW w:w="8642" w:type="dxa"/>
          </w:tcPr>
          <w:p w14:paraId="3CA10F8D" w14:textId="6C922478" w:rsidR="00A34ADA" w:rsidRPr="00D549EE" w:rsidRDefault="00A34ADA" w:rsidP="00C9582F">
            <w:pPr>
              <w:tabs>
                <w:tab w:val="left" w:pos="459"/>
              </w:tabs>
              <w:rPr>
                <w:sz w:val="28"/>
                <w:szCs w:val="28"/>
                <w:lang w:val="en-US"/>
              </w:rPr>
            </w:pPr>
            <w:r w:rsidRPr="00D549EE">
              <w:rPr>
                <w:sz w:val="28"/>
                <w:szCs w:val="28"/>
                <w:lang w:val="en-US"/>
              </w:rPr>
              <w:t xml:space="preserve">3.1 </w:t>
            </w:r>
            <w:r w:rsidR="00E73D11" w:rsidRPr="00D549EE">
              <w:rPr>
                <w:color w:val="000000" w:themeColor="text1"/>
                <w:sz w:val="27"/>
                <w:szCs w:val="27"/>
                <w:shd w:val="clear" w:color="auto" w:fill="FFFFFF"/>
                <w:lang w:val="en-US"/>
              </w:rPr>
              <w:t>Financial technology as a tool for expanding the social function of Islamic finance</w:t>
            </w:r>
          </w:p>
        </w:tc>
        <w:tc>
          <w:tcPr>
            <w:tcW w:w="986" w:type="dxa"/>
          </w:tcPr>
          <w:p w14:paraId="09DE68F8" w14:textId="0F4F57B2" w:rsidR="00A34ADA" w:rsidRPr="00D549EE" w:rsidRDefault="00B036AF" w:rsidP="00C9582F">
            <w:pPr>
              <w:jc w:val="center"/>
              <w:rPr>
                <w:sz w:val="28"/>
                <w:szCs w:val="28"/>
                <w:lang w:val="en-US"/>
              </w:rPr>
            </w:pPr>
            <w:r w:rsidRPr="00D549EE">
              <w:rPr>
                <w:sz w:val="28"/>
                <w:szCs w:val="28"/>
                <w:lang w:val="en-US"/>
              </w:rPr>
              <w:t>10</w:t>
            </w:r>
            <w:r w:rsidR="00697A02">
              <w:rPr>
                <w:sz w:val="28"/>
                <w:szCs w:val="28"/>
                <w:lang w:val="en-US"/>
              </w:rPr>
              <w:t>9</w:t>
            </w:r>
          </w:p>
        </w:tc>
      </w:tr>
      <w:tr w:rsidR="00A34ADA" w:rsidRPr="00D549EE" w14:paraId="347B64AB" w14:textId="77777777" w:rsidTr="004234F7">
        <w:tc>
          <w:tcPr>
            <w:tcW w:w="8642" w:type="dxa"/>
          </w:tcPr>
          <w:p w14:paraId="6FF6A6DE" w14:textId="31ED1EAE" w:rsidR="00A34ADA" w:rsidRPr="00D549EE" w:rsidRDefault="00A2106D" w:rsidP="00C9582F">
            <w:pPr>
              <w:rPr>
                <w:sz w:val="28"/>
                <w:szCs w:val="28"/>
                <w:lang w:val="en-US"/>
              </w:rPr>
            </w:pPr>
            <w:r w:rsidRPr="00D549EE">
              <w:rPr>
                <w:sz w:val="28"/>
                <w:szCs w:val="28"/>
                <w:lang w:val="en-US"/>
              </w:rPr>
              <w:t xml:space="preserve">3.2 </w:t>
            </w:r>
            <w:r w:rsidR="009C562C" w:rsidRPr="00D549EE">
              <w:rPr>
                <w:sz w:val="28"/>
                <w:szCs w:val="28"/>
                <w:lang w:val="en-US"/>
              </w:rPr>
              <w:t>The p</w:t>
            </w:r>
            <w:r w:rsidR="006E7DAF" w:rsidRPr="00D549EE">
              <w:rPr>
                <w:bCs/>
                <w:color w:val="000000"/>
                <w:sz w:val="28"/>
                <w:szCs w:val="28"/>
                <w:lang w:val="en-US"/>
              </w:rPr>
              <w:t>riorities of institutional support for the Islamic finance</w:t>
            </w:r>
            <w:r w:rsidR="008C2D15" w:rsidRPr="00D549EE">
              <w:rPr>
                <w:bCs/>
                <w:color w:val="000000"/>
                <w:sz w:val="28"/>
                <w:szCs w:val="28"/>
                <w:lang w:val="en-US"/>
              </w:rPr>
              <w:t xml:space="preserve"> </w:t>
            </w:r>
            <w:r w:rsidR="006E7DAF" w:rsidRPr="00D549EE">
              <w:rPr>
                <w:bCs/>
                <w:color w:val="000000"/>
                <w:sz w:val="28"/>
                <w:szCs w:val="28"/>
                <w:lang w:val="en-US"/>
              </w:rPr>
              <w:t xml:space="preserve">development </w:t>
            </w:r>
            <w:r w:rsidR="008C2D15" w:rsidRPr="00D549EE">
              <w:rPr>
                <w:bCs/>
                <w:color w:val="000000"/>
                <w:sz w:val="28"/>
                <w:szCs w:val="28"/>
                <w:lang w:val="en-US"/>
              </w:rPr>
              <w:t xml:space="preserve">in </w:t>
            </w:r>
            <w:r w:rsidR="006E7DAF" w:rsidRPr="00D549EE">
              <w:rPr>
                <w:bCs/>
                <w:color w:val="000000"/>
                <w:sz w:val="28"/>
                <w:szCs w:val="28"/>
                <w:lang w:val="en-US"/>
              </w:rPr>
              <w:t xml:space="preserve">the Republic of </w:t>
            </w:r>
            <w:r w:rsidR="008C2D15" w:rsidRPr="00D549EE">
              <w:rPr>
                <w:bCs/>
                <w:color w:val="000000"/>
                <w:sz w:val="28"/>
                <w:szCs w:val="28"/>
                <w:lang w:val="en-US"/>
              </w:rPr>
              <w:t>Kazakhstan</w:t>
            </w:r>
          </w:p>
        </w:tc>
        <w:tc>
          <w:tcPr>
            <w:tcW w:w="986" w:type="dxa"/>
          </w:tcPr>
          <w:p w14:paraId="646C941F" w14:textId="517CCD61" w:rsidR="00A34ADA" w:rsidRPr="00D549EE" w:rsidRDefault="00B036AF" w:rsidP="00C9582F">
            <w:pPr>
              <w:jc w:val="center"/>
              <w:rPr>
                <w:sz w:val="28"/>
                <w:szCs w:val="28"/>
                <w:lang w:val="en-US"/>
              </w:rPr>
            </w:pPr>
            <w:r w:rsidRPr="00D549EE">
              <w:rPr>
                <w:sz w:val="28"/>
                <w:szCs w:val="28"/>
                <w:lang w:val="en-US"/>
              </w:rPr>
              <w:t>12</w:t>
            </w:r>
            <w:r w:rsidR="00697A02">
              <w:rPr>
                <w:sz w:val="28"/>
                <w:szCs w:val="28"/>
                <w:lang w:val="en-US"/>
              </w:rPr>
              <w:t>6</w:t>
            </w:r>
          </w:p>
        </w:tc>
      </w:tr>
      <w:tr w:rsidR="00A34ADA" w:rsidRPr="00D549EE" w14:paraId="6E804B2F" w14:textId="77777777" w:rsidTr="004234F7">
        <w:tc>
          <w:tcPr>
            <w:tcW w:w="8642" w:type="dxa"/>
          </w:tcPr>
          <w:p w14:paraId="0AB1521C" w14:textId="5E35AB16" w:rsidR="00A34ADA" w:rsidRPr="00D549EE" w:rsidRDefault="00E73D11" w:rsidP="00C9582F">
            <w:pPr>
              <w:rPr>
                <w:b/>
                <w:sz w:val="28"/>
                <w:szCs w:val="28"/>
              </w:rPr>
            </w:pPr>
            <w:r w:rsidRPr="00D549EE">
              <w:rPr>
                <w:b/>
                <w:bCs/>
                <w:color w:val="000000"/>
                <w:sz w:val="28"/>
                <w:szCs w:val="28"/>
                <w:lang w:val="en-US"/>
              </w:rPr>
              <w:t>CONCLUSION</w:t>
            </w:r>
          </w:p>
        </w:tc>
        <w:tc>
          <w:tcPr>
            <w:tcW w:w="986" w:type="dxa"/>
          </w:tcPr>
          <w:p w14:paraId="4FA7AC0D" w14:textId="17EDA737" w:rsidR="00A34ADA" w:rsidRPr="00D549EE" w:rsidRDefault="001719D2" w:rsidP="00C9582F">
            <w:pPr>
              <w:jc w:val="center"/>
              <w:rPr>
                <w:sz w:val="28"/>
                <w:szCs w:val="28"/>
                <w:lang w:val="en-US"/>
              </w:rPr>
            </w:pPr>
            <w:r w:rsidRPr="00D549EE">
              <w:rPr>
                <w:sz w:val="28"/>
                <w:szCs w:val="28"/>
                <w:lang w:val="en-US"/>
              </w:rPr>
              <w:t>1</w:t>
            </w:r>
            <w:r w:rsidR="00981837" w:rsidRPr="00D549EE">
              <w:rPr>
                <w:sz w:val="28"/>
                <w:szCs w:val="28"/>
                <w:lang w:val="en-US"/>
              </w:rPr>
              <w:t>3</w:t>
            </w:r>
            <w:r w:rsidR="00697A02">
              <w:rPr>
                <w:sz w:val="28"/>
                <w:szCs w:val="28"/>
                <w:lang w:val="en-US"/>
              </w:rPr>
              <w:t>9</w:t>
            </w:r>
          </w:p>
        </w:tc>
      </w:tr>
      <w:tr w:rsidR="00A34ADA" w:rsidRPr="00D549EE" w14:paraId="3980FD61" w14:textId="77777777" w:rsidTr="004234F7">
        <w:tc>
          <w:tcPr>
            <w:tcW w:w="8642" w:type="dxa"/>
          </w:tcPr>
          <w:p w14:paraId="4AD12975" w14:textId="71F6DD6B" w:rsidR="00A34ADA" w:rsidRPr="00D549EE" w:rsidRDefault="00E73D11" w:rsidP="00C9582F">
            <w:pPr>
              <w:rPr>
                <w:b/>
                <w:sz w:val="28"/>
                <w:szCs w:val="28"/>
              </w:rPr>
            </w:pPr>
            <w:r w:rsidRPr="00D549EE">
              <w:rPr>
                <w:b/>
                <w:bCs/>
                <w:color w:val="000000"/>
                <w:sz w:val="28"/>
                <w:szCs w:val="28"/>
                <w:lang w:val="en-US"/>
              </w:rPr>
              <w:t>REFERENCES</w:t>
            </w:r>
          </w:p>
        </w:tc>
        <w:tc>
          <w:tcPr>
            <w:tcW w:w="986" w:type="dxa"/>
          </w:tcPr>
          <w:p w14:paraId="5530502F" w14:textId="640CCA0E" w:rsidR="00A34ADA" w:rsidRPr="00D549EE" w:rsidRDefault="008D3ECC" w:rsidP="00C9582F">
            <w:pPr>
              <w:jc w:val="center"/>
              <w:rPr>
                <w:sz w:val="28"/>
                <w:szCs w:val="28"/>
                <w:lang w:val="en-US"/>
              </w:rPr>
            </w:pPr>
            <w:r w:rsidRPr="00D549EE">
              <w:rPr>
                <w:sz w:val="28"/>
                <w:szCs w:val="28"/>
                <w:lang w:val="en-US"/>
              </w:rPr>
              <w:t>14</w:t>
            </w:r>
            <w:r w:rsidR="00697A02">
              <w:rPr>
                <w:sz w:val="28"/>
                <w:szCs w:val="28"/>
                <w:lang w:val="en-US"/>
              </w:rPr>
              <w:t>3</w:t>
            </w:r>
          </w:p>
        </w:tc>
      </w:tr>
      <w:tr w:rsidR="00A34ADA" w:rsidRPr="00D549EE" w14:paraId="7E963B14" w14:textId="77777777" w:rsidTr="004234F7">
        <w:tc>
          <w:tcPr>
            <w:tcW w:w="8642" w:type="dxa"/>
          </w:tcPr>
          <w:p w14:paraId="24855811" w14:textId="1118DD2D" w:rsidR="00A34ADA" w:rsidRPr="00D549EE" w:rsidRDefault="00AE6CB2" w:rsidP="00C9582F">
            <w:pPr>
              <w:rPr>
                <w:sz w:val="28"/>
                <w:szCs w:val="28"/>
                <w:lang w:val="en-US"/>
              </w:rPr>
            </w:pPr>
            <w:r w:rsidRPr="00D549EE">
              <w:rPr>
                <w:b/>
                <w:sz w:val="28"/>
                <w:szCs w:val="28"/>
                <w:lang w:val="en-US"/>
              </w:rPr>
              <w:t>APPENDICES</w:t>
            </w:r>
          </w:p>
        </w:tc>
        <w:tc>
          <w:tcPr>
            <w:tcW w:w="986" w:type="dxa"/>
          </w:tcPr>
          <w:p w14:paraId="2A90583F" w14:textId="5DED4BCD" w:rsidR="00A34ADA" w:rsidRPr="00D549EE" w:rsidRDefault="00B51A8E" w:rsidP="00C9582F">
            <w:pPr>
              <w:jc w:val="center"/>
              <w:rPr>
                <w:sz w:val="28"/>
                <w:szCs w:val="28"/>
                <w:lang w:val="en-US"/>
              </w:rPr>
            </w:pPr>
            <w:r w:rsidRPr="00D549EE">
              <w:rPr>
                <w:sz w:val="28"/>
                <w:szCs w:val="28"/>
                <w:lang w:val="en-US"/>
              </w:rPr>
              <w:t>15</w:t>
            </w:r>
            <w:r w:rsidR="00697A02">
              <w:rPr>
                <w:sz w:val="28"/>
                <w:szCs w:val="28"/>
                <w:lang w:val="en-US"/>
              </w:rPr>
              <w:t>1</w:t>
            </w:r>
          </w:p>
        </w:tc>
      </w:tr>
    </w:tbl>
    <w:p w14:paraId="6E03CEE9" w14:textId="77777777" w:rsidR="00A34ADA" w:rsidRPr="00D549EE" w:rsidRDefault="00A34ADA" w:rsidP="00C9582F">
      <w:pPr>
        <w:jc w:val="center"/>
        <w:rPr>
          <w:sz w:val="28"/>
          <w:szCs w:val="28"/>
          <w:lang w:val="en-US"/>
        </w:rPr>
      </w:pPr>
      <w:bookmarkStart w:id="0" w:name="_GoBack"/>
      <w:bookmarkEnd w:id="0"/>
    </w:p>
    <w:p w14:paraId="2FAE62B4" w14:textId="01E9B0B6" w:rsidR="00CB52B4" w:rsidRPr="00D549EE" w:rsidRDefault="00CB52B4" w:rsidP="00C9582F">
      <w:pPr>
        <w:ind w:firstLine="567"/>
        <w:rPr>
          <w:sz w:val="28"/>
          <w:szCs w:val="28"/>
          <w:lang w:val="en-US"/>
        </w:rPr>
      </w:pPr>
    </w:p>
    <w:p w14:paraId="7D2CF3C8" w14:textId="40912C4E" w:rsidR="00AE6CB2" w:rsidRPr="00D549EE" w:rsidRDefault="00AE6CB2" w:rsidP="00C9582F">
      <w:pPr>
        <w:ind w:firstLine="567"/>
        <w:rPr>
          <w:sz w:val="28"/>
          <w:szCs w:val="28"/>
          <w:lang w:val="en-US"/>
        </w:rPr>
      </w:pPr>
    </w:p>
    <w:p w14:paraId="1C5D856E" w14:textId="4AD47F50" w:rsidR="00AE6CB2" w:rsidRPr="00D549EE" w:rsidRDefault="00AE6CB2" w:rsidP="00C9582F">
      <w:pPr>
        <w:ind w:firstLine="567"/>
        <w:rPr>
          <w:sz w:val="28"/>
          <w:szCs w:val="28"/>
          <w:lang w:val="en-US"/>
        </w:rPr>
      </w:pPr>
    </w:p>
    <w:p w14:paraId="5524FC4C" w14:textId="06EFE075" w:rsidR="00AE6CB2" w:rsidRPr="00D549EE" w:rsidRDefault="00AE6CB2" w:rsidP="00C9582F">
      <w:pPr>
        <w:ind w:firstLine="567"/>
        <w:rPr>
          <w:sz w:val="28"/>
          <w:szCs w:val="28"/>
          <w:lang w:val="en-US"/>
        </w:rPr>
      </w:pPr>
    </w:p>
    <w:p w14:paraId="3B828ABF" w14:textId="1A119B9A" w:rsidR="00AE6CB2" w:rsidRPr="00D549EE" w:rsidRDefault="00AE6CB2" w:rsidP="00C9582F">
      <w:pPr>
        <w:ind w:firstLine="567"/>
        <w:rPr>
          <w:sz w:val="28"/>
          <w:szCs w:val="28"/>
          <w:lang w:val="en-US"/>
        </w:rPr>
      </w:pPr>
    </w:p>
    <w:p w14:paraId="308B3119" w14:textId="66E750DD" w:rsidR="00AE6CB2" w:rsidRPr="00D549EE" w:rsidRDefault="00AE6CB2" w:rsidP="00C9582F">
      <w:pPr>
        <w:ind w:firstLine="567"/>
        <w:rPr>
          <w:sz w:val="28"/>
          <w:szCs w:val="28"/>
          <w:lang w:val="en-US"/>
        </w:rPr>
      </w:pPr>
    </w:p>
    <w:p w14:paraId="531624BF" w14:textId="77777777" w:rsidR="00AE6CB2" w:rsidRPr="00D549EE" w:rsidRDefault="00AE6CB2" w:rsidP="00C9582F">
      <w:pPr>
        <w:ind w:firstLine="567"/>
        <w:rPr>
          <w:sz w:val="28"/>
          <w:szCs w:val="28"/>
          <w:lang w:val="en-US"/>
        </w:rPr>
      </w:pPr>
    </w:p>
    <w:p w14:paraId="50FADF1E" w14:textId="434E7297" w:rsidR="008C1825" w:rsidRPr="00D549EE" w:rsidRDefault="008C1825" w:rsidP="00C9582F">
      <w:pPr>
        <w:ind w:firstLine="567"/>
        <w:rPr>
          <w:sz w:val="28"/>
          <w:szCs w:val="28"/>
          <w:lang w:val="en-US"/>
        </w:rPr>
      </w:pPr>
    </w:p>
    <w:p w14:paraId="6CE01EAF" w14:textId="77777777" w:rsidR="00CA099C" w:rsidRPr="00D549EE" w:rsidRDefault="00CA099C" w:rsidP="00C9582F">
      <w:pPr>
        <w:jc w:val="center"/>
        <w:rPr>
          <w:b/>
          <w:sz w:val="28"/>
          <w:szCs w:val="28"/>
          <w:lang w:val="en-US"/>
        </w:rPr>
      </w:pPr>
    </w:p>
    <w:p w14:paraId="0FD896E2" w14:textId="24809CDA" w:rsidR="00274F06" w:rsidRPr="00D549EE" w:rsidRDefault="00274F06" w:rsidP="00C9582F">
      <w:pPr>
        <w:jc w:val="center"/>
        <w:rPr>
          <w:b/>
          <w:sz w:val="28"/>
          <w:szCs w:val="28"/>
          <w:lang w:val="en-US"/>
        </w:rPr>
      </w:pPr>
      <w:r w:rsidRPr="00D549EE">
        <w:rPr>
          <w:b/>
          <w:sz w:val="28"/>
          <w:szCs w:val="28"/>
          <w:lang w:val="en-US"/>
        </w:rPr>
        <w:lastRenderedPageBreak/>
        <w:t>NORMATIVE REFERENCES</w:t>
      </w:r>
    </w:p>
    <w:p w14:paraId="750E18E8" w14:textId="77777777" w:rsidR="00274F06" w:rsidRPr="00D549EE" w:rsidRDefault="00274F06" w:rsidP="00693BE2">
      <w:pPr>
        <w:jc w:val="center"/>
        <w:rPr>
          <w:b/>
          <w:sz w:val="28"/>
          <w:szCs w:val="28"/>
          <w:lang w:val="en-US"/>
        </w:rPr>
      </w:pPr>
    </w:p>
    <w:p w14:paraId="52010B77" w14:textId="64D338B8" w:rsidR="00693BE2" w:rsidRPr="00D549EE" w:rsidRDefault="001C63FB" w:rsidP="00E12E19">
      <w:pPr>
        <w:pStyle w:val="a3"/>
        <w:numPr>
          <w:ilvl w:val="0"/>
          <w:numId w:val="16"/>
        </w:numPr>
        <w:spacing w:line="240" w:lineRule="auto"/>
        <w:ind w:left="0" w:firstLine="360"/>
        <w:jc w:val="both"/>
        <w:rPr>
          <w:rFonts w:ascii="Times New Roman" w:hAnsi="Times New Roman"/>
          <w:sz w:val="28"/>
          <w:szCs w:val="28"/>
          <w:lang w:val="en-US"/>
        </w:rPr>
      </w:pPr>
      <w:r w:rsidRPr="00D549EE">
        <w:rPr>
          <w:rFonts w:ascii="Times New Roman" w:hAnsi="Times New Roman"/>
          <w:sz w:val="28"/>
          <w:szCs w:val="28"/>
          <w:lang w:val="en-US"/>
        </w:rPr>
        <w:t xml:space="preserve">The Law of the Republic of Kazakhstan </w:t>
      </w:r>
      <w:r w:rsidR="00AF3C4B" w:rsidRPr="00D549EE">
        <w:rPr>
          <w:rFonts w:ascii="Times New Roman" w:hAnsi="Times New Roman"/>
          <w:sz w:val="28"/>
          <w:szCs w:val="28"/>
          <w:lang w:val="en-US"/>
        </w:rPr>
        <w:t>dated February 12, 2009 No. 133-IV “</w:t>
      </w:r>
      <w:r w:rsidRPr="00D549EE">
        <w:rPr>
          <w:rFonts w:ascii="Times New Roman" w:hAnsi="Times New Roman"/>
          <w:sz w:val="28"/>
          <w:szCs w:val="28"/>
          <w:lang w:val="en-US"/>
        </w:rPr>
        <w:t>On Amendments and Additions to Some Legislative Acts of the Republic of Kazakhstan on the organization and activities of Islamic banks and the Organization of Islamic Finance”</w:t>
      </w:r>
      <w:r w:rsidR="00E6046D" w:rsidRPr="00D549EE">
        <w:rPr>
          <w:rFonts w:ascii="Times New Roman" w:hAnsi="Times New Roman"/>
          <w:sz w:val="28"/>
          <w:szCs w:val="28"/>
          <w:lang w:val="en-US"/>
        </w:rPr>
        <w:t>.</w:t>
      </w:r>
    </w:p>
    <w:p w14:paraId="2D361866" w14:textId="77777777" w:rsidR="00E6046D" w:rsidRPr="00D549EE" w:rsidRDefault="00AF3C4B" w:rsidP="00E12E19">
      <w:pPr>
        <w:pStyle w:val="a3"/>
        <w:numPr>
          <w:ilvl w:val="0"/>
          <w:numId w:val="16"/>
        </w:numPr>
        <w:spacing w:line="240" w:lineRule="auto"/>
        <w:ind w:left="0" w:firstLine="360"/>
        <w:jc w:val="both"/>
        <w:rPr>
          <w:rFonts w:ascii="Times New Roman" w:hAnsi="Times New Roman"/>
          <w:sz w:val="28"/>
          <w:szCs w:val="28"/>
          <w:lang w:val="en-US"/>
        </w:rPr>
      </w:pPr>
      <w:r w:rsidRPr="00D549EE">
        <w:rPr>
          <w:rFonts w:ascii="Times New Roman" w:hAnsi="Times New Roman"/>
          <w:sz w:val="28"/>
          <w:szCs w:val="28"/>
          <w:lang w:val="en-US"/>
        </w:rPr>
        <w:t xml:space="preserve">Law of the Republic of Kazakhstan dated </w:t>
      </w:r>
      <w:r w:rsidR="00693BE2" w:rsidRPr="00D549EE">
        <w:rPr>
          <w:rFonts w:ascii="Times New Roman" w:hAnsi="Times New Roman"/>
          <w:sz w:val="28"/>
          <w:szCs w:val="28"/>
          <w:lang w:val="en-US"/>
        </w:rPr>
        <w:t xml:space="preserve">August, 1995 12 </w:t>
      </w:r>
      <w:r w:rsidRPr="00D549EE">
        <w:rPr>
          <w:rFonts w:ascii="Times New Roman" w:hAnsi="Times New Roman"/>
          <w:sz w:val="28"/>
          <w:szCs w:val="28"/>
          <w:lang w:val="en-US"/>
        </w:rPr>
        <w:t xml:space="preserve">No. 2444 </w:t>
      </w:r>
      <w:r w:rsidR="00693BE2" w:rsidRPr="00D549EE">
        <w:rPr>
          <w:rFonts w:ascii="Times New Roman" w:hAnsi="Times New Roman"/>
          <w:sz w:val="28"/>
          <w:szCs w:val="28"/>
          <w:lang w:val="en-US"/>
        </w:rPr>
        <w:t>“On banks and banking activities in the Republic of Kazakhstan” (with amendments and additions as of 01.0</w:t>
      </w:r>
      <w:r w:rsidR="00E6046D" w:rsidRPr="00D549EE">
        <w:rPr>
          <w:rFonts w:ascii="Times New Roman" w:hAnsi="Times New Roman"/>
          <w:sz w:val="28"/>
          <w:szCs w:val="28"/>
          <w:lang w:val="en-US"/>
        </w:rPr>
        <w:t>1</w:t>
      </w:r>
      <w:r w:rsidR="00693BE2" w:rsidRPr="00D549EE">
        <w:rPr>
          <w:rFonts w:ascii="Times New Roman" w:hAnsi="Times New Roman"/>
          <w:sz w:val="28"/>
          <w:szCs w:val="28"/>
          <w:lang w:val="en-US"/>
        </w:rPr>
        <w:t>.2022).</w:t>
      </w:r>
    </w:p>
    <w:p w14:paraId="5C08918A" w14:textId="7F2195F0" w:rsidR="00476C3E" w:rsidRPr="00D549EE" w:rsidRDefault="00E6046D" w:rsidP="00E12E19">
      <w:pPr>
        <w:pStyle w:val="a3"/>
        <w:numPr>
          <w:ilvl w:val="0"/>
          <w:numId w:val="16"/>
        </w:numPr>
        <w:spacing w:line="240" w:lineRule="auto"/>
        <w:ind w:left="0" w:firstLine="360"/>
        <w:jc w:val="both"/>
        <w:rPr>
          <w:rFonts w:ascii="Times New Roman" w:hAnsi="Times New Roman"/>
          <w:sz w:val="28"/>
          <w:szCs w:val="28"/>
          <w:lang w:val="en-US"/>
        </w:rPr>
      </w:pPr>
      <w:r w:rsidRPr="00D549EE">
        <w:rPr>
          <w:rFonts w:ascii="Times New Roman" w:hAnsi="Times New Roman"/>
          <w:sz w:val="28"/>
          <w:szCs w:val="28"/>
          <w:lang w:val="en-US"/>
        </w:rPr>
        <w:t>Law of the Republic of Kazakhstan dated July 2, 2003 No. 461-II “On of the securities market” (with amendments and additions as of 01.07.2021).</w:t>
      </w:r>
    </w:p>
    <w:p w14:paraId="46820881" w14:textId="1A1F68CF" w:rsidR="001F4248" w:rsidRPr="00D549EE" w:rsidRDefault="001F4248" w:rsidP="00E12E19">
      <w:pPr>
        <w:pStyle w:val="a3"/>
        <w:numPr>
          <w:ilvl w:val="0"/>
          <w:numId w:val="16"/>
        </w:numPr>
        <w:spacing w:line="240" w:lineRule="auto"/>
        <w:ind w:left="0" w:firstLine="360"/>
        <w:jc w:val="both"/>
        <w:rPr>
          <w:rFonts w:ascii="Times New Roman" w:hAnsi="Times New Roman"/>
          <w:sz w:val="28"/>
          <w:szCs w:val="28"/>
          <w:lang w:val="en-US"/>
        </w:rPr>
      </w:pPr>
      <w:r w:rsidRPr="00D549EE">
        <w:rPr>
          <w:rFonts w:ascii="Times New Roman" w:hAnsi="Times New Roman"/>
          <w:sz w:val="28"/>
          <w:szCs w:val="28"/>
          <w:lang w:val="en-US"/>
        </w:rPr>
        <w:t>The Constitution of the Republic of Kazakhstan dated August 30, 1995 (with amendments and additions as of 03.23.2019).</w:t>
      </w:r>
    </w:p>
    <w:p w14:paraId="75E6F46A" w14:textId="0AC86A09" w:rsidR="00E6046D" w:rsidRPr="00D549EE" w:rsidRDefault="00E6046D" w:rsidP="00E12E19">
      <w:pPr>
        <w:pStyle w:val="a3"/>
        <w:numPr>
          <w:ilvl w:val="0"/>
          <w:numId w:val="16"/>
        </w:numPr>
        <w:spacing w:line="240" w:lineRule="auto"/>
        <w:ind w:left="0" w:firstLine="360"/>
        <w:jc w:val="both"/>
        <w:rPr>
          <w:rFonts w:ascii="Times New Roman" w:hAnsi="Times New Roman"/>
          <w:sz w:val="28"/>
          <w:szCs w:val="28"/>
          <w:lang w:val="en-US"/>
        </w:rPr>
      </w:pPr>
      <w:r w:rsidRPr="00D549EE">
        <w:rPr>
          <w:rFonts w:ascii="Times New Roman" w:hAnsi="Times New Roman"/>
          <w:sz w:val="28"/>
          <w:szCs w:val="28"/>
          <w:lang w:val="en-US"/>
        </w:rPr>
        <w:t>Code of the Republic of Kazakhstan “On taxes and other mandatory payments to the budget”</w:t>
      </w:r>
      <w:r w:rsidR="00476C3E" w:rsidRPr="00D549EE">
        <w:rPr>
          <w:rFonts w:ascii="Times New Roman" w:hAnsi="Times New Roman"/>
          <w:sz w:val="28"/>
          <w:szCs w:val="28"/>
          <w:lang w:val="en-US"/>
        </w:rPr>
        <w:t xml:space="preserve"> </w:t>
      </w:r>
      <w:r w:rsidRPr="00D549EE">
        <w:rPr>
          <w:rFonts w:ascii="Times New Roman" w:hAnsi="Times New Roman"/>
          <w:sz w:val="28"/>
          <w:szCs w:val="28"/>
          <w:lang w:val="en-US"/>
        </w:rPr>
        <w:t>Tax Code</w:t>
      </w:r>
      <w:r w:rsidR="00476C3E" w:rsidRPr="00D549EE">
        <w:rPr>
          <w:rFonts w:ascii="Times New Roman" w:hAnsi="Times New Roman"/>
          <w:sz w:val="28"/>
          <w:szCs w:val="28"/>
          <w:lang w:val="en-US"/>
        </w:rPr>
        <w:t xml:space="preserve"> </w:t>
      </w:r>
      <w:r w:rsidRPr="00D549EE">
        <w:rPr>
          <w:rFonts w:ascii="Times New Roman" w:hAnsi="Times New Roman"/>
          <w:sz w:val="28"/>
          <w:szCs w:val="28"/>
          <w:lang w:val="en-US"/>
        </w:rPr>
        <w:t>(with amendments and additions as of 01.0</w:t>
      </w:r>
      <w:r w:rsidR="00476C3E" w:rsidRPr="00D549EE">
        <w:rPr>
          <w:rFonts w:ascii="Times New Roman" w:hAnsi="Times New Roman"/>
          <w:sz w:val="28"/>
          <w:szCs w:val="28"/>
          <w:lang w:val="en-US"/>
        </w:rPr>
        <w:t>1</w:t>
      </w:r>
      <w:r w:rsidRPr="00D549EE">
        <w:rPr>
          <w:rFonts w:ascii="Times New Roman" w:hAnsi="Times New Roman"/>
          <w:sz w:val="28"/>
          <w:szCs w:val="28"/>
          <w:lang w:val="en-US"/>
        </w:rPr>
        <w:t>.2022)</w:t>
      </w:r>
      <w:r w:rsidR="00476C3E" w:rsidRPr="00D549EE">
        <w:rPr>
          <w:rFonts w:ascii="Times New Roman" w:hAnsi="Times New Roman"/>
          <w:sz w:val="28"/>
          <w:szCs w:val="28"/>
          <w:lang w:val="en-US"/>
        </w:rPr>
        <w:t>.</w:t>
      </w:r>
    </w:p>
    <w:p w14:paraId="07839623" w14:textId="77777777" w:rsidR="00193D99" w:rsidRPr="00D549EE" w:rsidRDefault="00193D99" w:rsidP="00E12E19">
      <w:pPr>
        <w:pStyle w:val="a3"/>
        <w:numPr>
          <w:ilvl w:val="0"/>
          <w:numId w:val="16"/>
        </w:numPr>
        <w:spacing w:line="240" w:lineRule="auto"/>
        <w:ind w:left="0" w:firstLine="360"/>
        <w:jc w:val="both"/>
        <w:rPr>
          <w:rFonts w:ascii="Times New Roman" w:hAnsi="Times New Roman"/>
          <w:sz w:val="28"/>
          <w:szCs w:val="28"/>
          <w:lang w:val="en-US"/>
        </w:rPr>
      </w:pPr>
      <w:r w:rsidRPr="00D549EE">
        <w:rPr>
          <w:rFonts w:ascii="Times New Roman" w:hAnsi="Times New Roman"/>
          <w:sz w:val="28"/>
          <w:szCs w:val="28"/>
          <w:lang w:val="en-US"/>
        </w:rPr>
        <w:t>Civil code of the republic of Kazakhstan, General part (with amendments and additions as of 12.01.2022).</w:t>
      </w:r>
    </w:p>
    <w:p w14:paraId="76C0C867" w14:textId="0A750410" w:rsidR="00193D99" w:rsidRPr="00D549EE" w:rsidRDefault="00193D99" w:rsidP="00E12E19">
      <w:pPr>
        <w:pStyle w:val="a3"/>
        <w:numPr>
          <w:ilvl w:val="0"/>
          <w:numId w:val="16"/>
        </w:numPr>
        <w:spacing w:line="240" w:lineRule="auto"/>
        <w:ind w:left="0" w:firstLine="360"/>
        <w:jc w:val="both"/>
        <w:rPr>
          <w:rFonts w:ascii="Times New Roman" w:hAnsi="Times New Roman"/>
          <w:sz w:val="28"/>
          <w:szCs w:val="28"/>
          <w:lang w:val="en-US"/>
        </w:rPr>
      </w:pPr>
      <w:r w:rsidRPr="00D549EE">
        <w:rPr>
          <w:rFonts w:ascii="Times New Roman" w:hAnsi="Times New Roman"/>
          <w:sz w:val="28"/>
          <w:szCs w:val="28"/>
          <w:lang w:val="en-US"/>
        </w:rPr>
        <w:t>Law of the Republic of Kazakhstan dated July 7, 2004 No. 576-II “On investment and venture funds (with amendments and additions as of 02.01.2021).</w:t>
      </w:r>
    </w:p>
    <w:p w14:paraId="46298426" w14:textId="2FDD2428" w:rsidR="00520539" w:rsidRPr="00D549EE" w:rsidRDefault="00520539" w:rsidP="00E12E19">
      <w:pPr>
        <w:pStyle w:val="a3"/>
        <w:numPr>
          <w:ilvl w:val="0"/>
          <w:numId w:val="16"/>
        </w:numPr>
        <w:spacing w:line="240" w:lineRule="auto"/>
        <w:ind w:left="0" w:firstLine="360"/>
        <w:jc w:val="both"/>
        <w:rPr>
          <w:rFonts w:ascii="Times New Roman" w:hAnsi="Times New Roman"/>
          <w:sz w:val="28"/>
          <w:szCs w:val="28"/>
          <w:lang w:val="en-US"/>
        </w:rPr>
      </w:pPr>
      <w:r w:rsidRPr="00D549EE">
        <w:rPr>
          <w:rFonts w:ascii="Times New Roman" w:hAnsi="Times New Roman"/>
          <w:sz w:val="28"/>
          <w:szCs w:val="28"/>
          <w:lang w:val="en-US"/>
        </w:rPr>
        <w:t>Law of the Republic of Kazakhstan dated July 26, 2007 No. 310-III “On State Registration of rights to immovable property” (with amendments and additions as of 01.07.2021).</w:t>
      </w:r>
    </w:p>
    <w:p w14:paraId="43598770" w14:textId="77777777" w:rsidR="0097713C" w:rsidRDefault="00520539" w:rsidP="0097713C">
      <w:pPr>
        <w:pStyle w:val="a3"/>
        <w:numPr>
          <w:ilvl w:val="0"/>
          <w:numId w:val="16"/>
        </w:numPr>
        <w:spacing w:line="240" w:lineRule="auto"/>
        <w:ind w:left="0" w:firstLine="360"/>
        <w:jc w:val="both"/>
        <w:rPr>
          <w:rFonts w:ascii="Times New Roman" w:hAnsi="Times New Roman"/>
          <w:sz w:val="28"/>
          <w:szCs w:val="28"/>
          <w:lang w:val="en-US"/>
        </w:rPr>
      </w:pPr>
      <w:r w:rsidRPr="00D549EE">
        <w:rPr>
          <w:rFonts w:ascii="Times New Roman" w:hAnsi="Times New Roman"/>
          <w:sz w:val="28"/>
          <w:szCs w:val="28"/>
          <w:lang w:val="en-US"/>
        </w:rPr>
        <w:t xml:space="preserve">Law of the Republic of Kazakhstan dated May 16, 2014 No. 202-V “On Permits and Notifications” (with amendments and additions as of 02.01.2022). </w:t>
      </w:r>
    </w:p>
    <w:p w14:paraId="1EE1CA69" w14:textId="60E81AD0" w:rsidR="00AF3EA2" w:rsidRPr="0097713C" w:rsidRDefault="00520539" w:rsidP="0097713C">
      <w:pPr>
        <w:pStyle w:val="a3"/>
        <w:numPr>
          <w:ilvl w:val="0"/>
          <w:numId w:val="16"/>
        </w:numPr>
        <w:spacing w:line="240" w:lineRule="auto"/>
        <w:ind w:left="0" w:firstLine="284"/>
        <w:jc w:val="both"/>
        <w:rPr>
          <w:rFonts w:ascii="Times New Roman" w:hAnsi="Times New Roman"/>
          <w:sz w:val="28"/>
          <w:szCs w:val="28"/>
          <w:lang w:val="en-US"/>
        </w:rPr>
      </w:pPr>
      <w:r w:rsidRPr="0097713C">
        <w:rPr>
          <w:rFonts w:ascii="Times New Roman" w:hAnsi="Times New Roman"/>
          <w:sz w:val="28"/>
          <w:szCs w:val="28"/>
          <w:lang w:val="en-US"/>
        </w:rPr>
        <w:t xml:space="preserve">The Law of the Republic of Kazakhstan </w:t>
      </w:r>
      <w:r w:rsidR="00367385" w:rsidRPr="0097713C">
        <w:rPr>
          <w:rFonts w:ascii="Times New Roman" w:hAnsi="Times New Roman"/>
          <w:sz w:val="28"/>
          <w:szCs w:val="28"/>
          <w:lang w:val="en-US"/>
        </w:rPr>
        <w:t xml:space="preserve">dated July 7, 2006, No. 169-III </w:t>
      </w:r>
      <w:r w:rsidRPr="0097713C">
        <w:rPr>
          <w:rFonts w:ascii="Times New Roman" w:hAnsi="Times New Roman"/>
          <w:sz w:val="28"/>
          <w:szCs w:val="28"/>
          <w:lang w:val="en-US"/>
        </w:rPr>
        <w:t>“On mandatory guarantee of deposits placed in second-tier banks of the Republic of Kazakhstan”</w:t>
      </w:r>
      <w:r w:rsidR="00367385" w:rsidRPr="0097713C">
        <w:rPr>
          <w:rFonts w:ascii="Times New Roman" w:hAnsi="Times New Roman"/>
          <w:sz w:val="28"/>
          <w:szCs w:val="28"/>
          <w:lang w:val="en-US"/>
        </w:rPr>
        <w:t xml:space="preserve"> (with amendments and additions as of 02.01.2022).</w:t>
      </w:r>
    </w:p>
    <w:p w14:paraId="4807EB1C" w14:textId="571EDE6F" w:rsidR="00AF3EA2" w:rsidRPr="00D549EE" w:rsidRDefault="00AF3EA2" w:rsidP="00E12E19">
      <w:pPr>
        <w:pStyle w:val="a3"/>
        <w:numPr>
          <w:ilvl w:val="0"/>
          <w:numId w:val="16"/>
        </w:numPr>
        <w:spacing w:line="240" w:lineRule="auto"/>
        <w:ind w:left="0" w:firstLine="284"/>
        <w:jc w:val="both"/>
        <w:rPr>
          <w:rFonts w:ascii="Times New Roman" w:hAnsi="Times New Roman"/>
          <w:sz w:val="28"/>
          <w:szCs w:val="28"/>
          <w:lang w:val="en-US"/>
        </w:rPr>
      </w:pPr>
      <w:r w:rsidRPr="00D549EE">
        <w:rPr>
          <w:rFonts w:ascii="Times New Roman" w:hAnsi="Times New Roman"/>
          <w:sz w:val="28"/>
          <w:szCs w:val="28"/>
          <w:lang w:val="en-US"/>
        </w:rPr>
        <w:t>Law of the Republic of Kazakhstan dated July 5, 2000 No. 78-II “On financial leasing” (with amendments and additions as of 01.01.2020).</w:t>
      </w:r>
    </w:p>
    <w:p w14:paraId="56481C51" w14:textId="7FA4469A" w:rsidR="00AF3EA2" w:rsidRPr="00D549EE" w:rsidRDefault="00AF3EA2" w:rsidP="00E12E19">
      <w:pPr>
        <w:pStyle w:val="a3"/>
        <w:numPr>
          <w:ilvl w:val="0"/>
          <w:numId w:val="16"/>
        </w:numPr>
        <w:spacing w:line="240" w:lineRule="auto"/>
        <w:ind w:left="0" w:firstLine="284"/>
        <w:jc w:val="both"/>
        <w:rPr>
          <w:rFonts w:ascii="Times New Roman" w:hAnsi="Times New Roman"/>
          <w:sz w:val="28"/>
          <w:szCs w:val="28"/>
          <w:lang w:val="en-US"/>
        </w:rPr>
      </w:pPr>
      <w:r w:rsidRPr="00D549EE">
        <w:rPr>
          <w:rFonts w:ascii="Times New Roman" w:hAnsi="Times New Roman"/>
          <w:sz w:val="28"/>
          <w:szCs w:val="28"/>
          <w:lang w:val="en-US"/>
        </w:rPr>
        <w:t>Law of the Republic of Kazakhstan dated December 18, 2000 No. 126-II "On Insurance activities" (with amendments and additions as of 01.01.2022)</w:t>
      </w:r>
    </w:p>
    <w:p w14:paraId="38738A3A" w14:textId="46960BE8" w:rsidR="003178CD" w:rsidRPr="00D549EE" w:rsidRDefault="003178CD" w:rsidP="00E12E19">
      <w:pPr>
        <w:pStyle w:val="a3"/>
        <w:numPr>
          <w:ilvl w:val="0"/>
          <w:numId w:val="16"/>
        </w:numPr>
        <w:spacing w:line="240" w:lineRule="auto"/>
        <w:ind w:left="0" w:firstLine="284"/>
        <w:jc w:val="both"/>
        <w:rPr>
          <w:rFonts w:ascii="Times New Roman" w:hAnsi="Times New Roman"/>
          <w:sz w:val="28"/>
          <w:szCs w:val="28"/>
          <w:lang w:val="en-US"/>
        </w:rPr>
      </w:pPr>
      <w:r w:rsidRPr="00D549EE">
        <w:rPr>
          <w:rFonts w:ascii="Times New Roman" w:hAnsi="Times New Roman"/>
          <w:sz w:val="28"/>
          <w:szCs w:val="28"/>
          <w:lang w:val="en-US"/>
        </w:rPr>
        <w:t>Law of the Republic of Kazakhstan dated November 16, 2015 No. 402-V “On Charity” (with amendments and additions as of 02.01.2021).</w:t>
      </w:r>
    </w:p>
    <w:p w14:paraId="3441C626" w14:textId="51389680" w:rsidR="003178CD" w:rsidRPr="00D549EE" w:rsidRDefault="003178CD" w:rsidP="00E12E19">
      <w:pPr>
        <w:pStyle w:val="a3"/>
        <w:numPr>
          <w:ilvl w:val="0"/>
          <w:numId w:val="16"/>
        </w:numPr>
        <w:spacing w:line="240" w:lineRule="auto"/>
        <w:ind w:left="0" w:firstLine="284"/>
        <w:jc w:val="both"/>
        <w:rPr>
          <w:rFonts w:ascii="Times New Roman" w:hAnsi="Times New Roman"/>
          <w:sz w:val="28"/>
          <w:szCs w:val="28"/>
          <w:lang w:val="en-US"/>
        </w:rPr>
      </w:pPr>
      <w:r w:rsidRPr="00D549EE">
        <w:rPr>
          <w:rFonts w:ascii="Times New Roman" w:hAnsi="Times New Roman"/>
          <w:sz w:val="28"/>
          <w:szCs w:val="28"/>
          <w:lang w:val="en-US"/>
        </w:rPr>
        <w:t>Law of the Republic of Kazakhstan dated June 25, 2020 No. 347-VI “On Amendments and Additions to Some Legislative Acts of the Republic of Kazakhstan on the regulation of digital technologies”.</w:t>
      </w:r>
    </w:p>
    <w:p w14:paraId="27E380FB" w14:textId="77777777" w:rsidR="00274F06" w:rsidRPr="00D549EE" w:rsidRDefault="00274F06" w:rsidP="00C9582F">
      <w:pPr>
        <w:jc w:val="center"/>
        <w:rPr>
          <w:b/>
          <w:sz w:val="28"/>
          <w:szCs w:val="28"/>
          <w:lang w:val="en-US"/>
        </w:rPr>
      </w:pPr>
    </w:p>
    <w:p w14:paraId="2BD0D806" w14:textId="77777777" w:rsidR="003178CD" w:rsidRPr="00D549EE" w:rsidRDefault="003178CD" w:rsidP="00C9582F">
      <w:pPr>
        <w:jc w:val="center"/>
        <w:rPr>
          <w:b/>
          <w:sz w:val="28"/>
          <w:szCs w:val="28"/>
          <w:lang w:val="en-US"/>
        </w:rPr>
      </w:pPr>
    </w:p>
    <w:p w14:paraId="33973330" w14:textId="4F9AA631" w:rsidR="003178CD" w:rsidRPr="00D549EE" w:rsidRDefault="003178CD" w:rsidP="00C9582F">
      <w:pPr>
        <w:jc w:val="center"/>
        <w:rPr>
          <w:b/>
          <w:sz w:val="28"/>
          <w:szCs w:val="28"/>
          <w:lang w:val="en-US"/>
        </w:rPr>
      </w:pPr>
    </w:p>
    <w:p w14:paraId="7AE68FD2" w14:textId="7A286C50" w:rsidR="006E7714" w:rsidRPr="00D549EE" w:rsidRDefault="006E7714" w:rsidP="00C9582F">
      <w:pPr>
        <w:jc w:val="center"/>
        <w:rPr>
          <w:b/>
          <w:sz w:val="28"/>
          <w:szCs w:val="28"/>
          <w:lang w:val="en-US"/>
        </w:rPr>
      </w:pPr>
    </w:p>
    <w:p w14:paraId="7BD0312B" w14:textId="7CFB456A" w:rsidR="006E7714" w:rsidRPr="00D549EE" w:rsidRDefault="006E7714" w:rsidP="00C9582F">
      <w:pPr>
        <w:jc w:val="center"/>
        <w:rPr>
          <w:b/>
          <w:sz w:val="28"/>
          <w:szCs w:val="28"/>
          <w:lang w:val="en-US"/>
        </w:rPr>
      </w:pPr>
    </w:p>
    <w:p w14:paraId="4EA2EB05" w14:textId="77777777" w:rsidR="006E7714" w:rsidRPr="00D549EE" w:rsidRDefault="006E7714" w:rsidP="00C9582F">
      <w:pPr>
        <w:jc w:val="center"/>
        <w:rPr>
          <w:b/>
          <w:sz w:val="28"/>
          <w:szCs w:val="28"/>
          <w:lang w:val="en-US"/>
        </w:rPr>
      </w:pPr>
    </w:p>
    <w:p w14:paraId="0FB15098" w14:textId="065A2E8F" w:rsidR="003178CD" w:rsidRPr="00D549EE" w:rsidRDefault="003178CD" w:rsidP="00C9582F">
      <w:pPr>
        <w:jc w:val="center"/>
        <w:rPr>
          <w:b/>
          <w:sz w:val="28"/>
          <w:szCs w:val="28"/>
          <w:lang w:val="en-US"/>
        </w:rPr>
      </w:pPr>
    </w:p>
    <w:p w14:paraId="4CB8CF42" w14:textId="77777777" w:rsidR="007661FA" w:rsidRPr="00D549EE" w:rsidRDefault="007661FA" w:rsidP="00C9582F">
      <w:pPr>
        <w:jc w:val="center"/>
        <w:rPr>
          <w:b/>
          <w:sz w:val="28"/>
          <w:szCs w:val="28"/>
          <w:lang w:val="en-US"/>
        </w:rPr>
      </w:pPr>
    </w:p>
    <w:p w14:paraId="324F3794" w14:textId="77777777" w:rsidR="006F2AB6" w:rsidRPr="00D549EE" w:rsidRDefault="006F2AB6" w:rsidP="006F2AB6">
      <w:pPr>
        <w:snapToGrid w:val="0"/>
        <w:contextualSpacing/>
        <w:jc w:val="center"/>
        <w:rPr>
          <w:b/>
          <w:bCs/>
          <w:sz w:val="28"/>
          <w:szCs w:val="28"/>
          <w:lang w:val="en-US"/>
        </w:rPr>
      </w:pPr>
      <w:r w:rsidRPr="00D549EE">
        <w:rPr>
          <w:b/>
          <w:bCs/>
          <w:sz w:val="28"/>
          <w:szCs w:val="28"/>
          <w:lang w:val="en-US"/>
        </w:rPr>
        <w:lastRenderedPageBreak/>
        <w:t>NOTATIONS AND ABBREVIATIONS</w:t>
      </w:r>
    </w:p>
    <w:p w14:paraId="2414078D" w14:textId="77777777" w:rsidR="006F2AB6" w:rsidRPr="00D549EE" w:rsidRDefault="006F2AB6" w:rsidP="006F2AB6">
      <w:pPr>
        <w:rPr>
          <w:sz w:val="28"/>
          <w:szCs w:val="28"/>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8254"/>
      </w:tblGrid>
      <w:tr w:rsidR="006F2AB6" w:rsidRPr="00F11AA3" w14:paraId="70080E02" w14:textId="77777777" w:rsidTr="00ED338B">
        <w:tc>
          <w:tcPr>
            <w:tcW w:w="1379" w:type="dxa"/>
          </w:tcPr>
          <w:p w14:paraId="2F727D72" w14:textId="77777777" w:rsidR="006F2AB6" w:rsidRPr="00D549EE" w:rsidRDefault="006F2AB6" w:rsidP="00ED338B">
            <w:pPr>
              <w:rPr>
                <w:color w:val="000000" w:themeColor="text1"/>
                <w:sz w:val="28"/>
                <w:szCs w:val="28"/>
              </w:rPr>
            </w:pPr>
            <w:r w:rsidRPr="00D549EE">
              <w:rPr>
                <w:color w:val="000000" w:themeColor="text1"/>
                <w:sz w:val="28"/>
                <w:szCs w:val="28"/>
                <w:lang w:val="en-US"/>
              </w:rPr>
              <w:t>AAOIFI</w:t>
            </w:r>
          </w:p>
        </w:tc>
        <w:tc>
          <w:tcPr>
            <w:tcW w:w="8254" w:type="dxa"/>
          </w:tcPr>
          <w:p w14:paraId="5643545B" w14:textId="77777777" w:rsidR="006F2AB6" w:rsidRPr="00D549EE" w:rsidRDefault="006F2AB6" w:rsidP="00ED338B">
            <w:pPr>
              <w:rPr>
                <w:rFonts w:eastAsiaTheme="minorHAnsi"/>
                <w:color w:val="000000" w:themeColor="text1"/>
                <w:sz w:val="28"/>
                <w:szCs w:val="28"/>
                <w:lang w:val="en-US" w:eastAsia="en-US"/>
              </w:rPr>
            </w:pPr>
            <w:r w:rsidRPr="00D549EE">
              <w:rPr>
                <w:color w:val="000000" w:themeColor="text1"/>
                <w:sz w:val="28"/>
                <w:szCs w:val="28"/>
                <w:lang w:val="en-US"/>
              </w:rPr>
              <w:t>Accounting and Auditing Organization for Islamic Financial Institutions</w:t>
            </w:r>
          </w:p>
        </w:tc>
      </w:tr>
      <w:tr w:rsidR="006F2AB6" w:rsidRPr="00D549EE" w14:paraId="0DC8A374" w14:textId="77777777" w:rsidTr="00ED338B">
        <w:tc>
          <w:tcPr>
            <w:tcW w:w="1379" w:type="dxa"/>
          </w:tcPr>
          <w:p w14:paraId="000E5299"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AFSA</w:t>
            </w:r>
          </w:p>
        </w:tc>
        <w:tc>
          <w:tcPr>
            <w:tcW w:w="8254" w:type="dxa"/>
          </w:tcPr>
          <w:p w14:paraId="40837267" w14:textId="77777777" w:rsidR="006F2AB6" w:rsidRPr="00D549EE" w:rsidRDefault="006F2AB6" w:rsidP="00ED338B">
            <w:pPr>
              <w:rPr>
                <w:color w:val="000000" w:themeColor="text1"/>
                <w:sz w:val="28"/>
                <w:szCs w:val="28"/>
              </w:rPr>
            </w:pPr>
            <w:r w:rsidRPr="00D549EE">
              <w:rPr>
                <w:bCs/>
                <w:color w:val="000000" w:themeColor="text1"/>
                <w:sz w:val="28"/>
                <w:szCs w:val="28"/>
                <w:lang w:val="en-US"/>
              </w:rPr>
              <w:t>Astana Financial Services Authority</w:t>
            </w:r>
          </w:p>
        </w:tc>
      </w:tr>
      <w:tr w:rsidR="006F2AB6" w:rsidRPr="00D549EE" w14:paraId="6CB37934" w14:textId="77777777" w:rsidTr="00ED338B">
        <w:tc>
          <w:tcPr>
            <w:tcW w:w="1379" w:type="dxa"/>
          </w:tcPr>
          <w:p w14:paraId="65334592"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AIFC</w:t>
            </w:r>
          </w:p>
        </w:tc>
        <w:tc>
          <w:tcPr>
            <w:tcW w:w="8254" w:type="dxa"/>
          </w:tcPr>
          <w:p w14:paraId="7B00E739" w14:textId="77777777" w:rsidR="006F2AB6" w:rsidRPr="00D549EE" w:rsidRDefault="006F2AB6" w:rsidP="00ED338B">
            <w:pPr>
              <w:rPr>
                <w:rFonts w:eastAsiaTheme="minorHAnsi"/>
                <w:color w:val="000000" w:themeColor="text1"/>
                <w:sz w:val="28"/>
                <w:szCs w:val="28"/>
                <w:lang w:eastAsia="en-US"/>
              </w:rPr>
            </w:pPr>
            <w:r w:rsidRPr="00D549EE">
              <w:rPr>
                <w:color w:val="000000" w:themeColor="text1"/>
                <w:sz w:val="28"/>
                <w:szCs w:val="28"/>
                <w:lang w:val="en-US"/>
              </w:rPr>
              <w:t>Astana International Financial Centre</w:t>
            </w:r>
          </w:p>
        </w:tc>
      </w:tr>
      <w:tr w:rsidR="006F2AB6" w:rsidRPr="00D549EE" w14:paraId="443EA3D6" w14:textId="77777777" w:rsidTr="00ED338B">
        <w:tc>
          <w:tcPr>
            <w:tcW w:w="1379" w:type="dxa"/>
          </w:tcPr>
          <w:p w14:paraId="3C3DB7B4"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AIX</w:t>
            </w:r>
          </w:p>
        </w:tc>
        <w:tc>
          <w:tcPr>
            <w:tcW w:w="8254" w:type="dxa"/>
          </w:tcPr>
          <w:p w14:paraId="26BD38F4" w14:textId="77777777" w:rsidR="006F2AB6" w:rsidRPr="00D549EE" w:rsidRDefault="006F2AB6" w:rsidP="00ED338B">
            <w:pPr>
              <w:rPr>
                <w:rFonts w:eastAsiaTheme="minorHAnsi"/>
                <w:color w:val="000000" w:themeColor="text1"/>
                <w:sz w:val="28"/>
                <w:szCs w:val="28"/>
                <w:lang w:eastAsia="en-US"/>
              </w:rPr>
            </w:pPr>
            <w:r w:rsidRPr="00D549EE">
              <w:rPr>
                <w:color w:val="000000" w:themeColor="text1"/>
                <w:sz w:val="28"/>
                <w:szCs w:val="28"/>
                <w:lang w:val="en-US"/>
              </w:rPr>
              <w:t>Astana International Exchange</w:t>
            </w:r>
          </w:p>
        </w:tc>
      </w:tr>
      <w:tr w:rsidR="006F2AB6" w:rsidRPr="00F11AA3" w14:paraId="7DCBFD11" w14:textId="77777777" w:rsidTr="00ED338B">
        <w:tc>
          <w:tcPr>
            <w:tcW w:w="1379" w:type="dxa"/>
          </w:tcPr>
          <w:p w14:paraId="32200F40"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AMFOK</w:t>
            </w:r>
          </w:p>
        </w:tc>
        <w:tc>
          <w:tcPr>
            <w:tcW w:w="8254" w:type="dxa"/>
          </w:tcPr>
          <w:p w14:paraId="12F5E12B" w14:textId="77777777" w:rsidR="006F2AB6" w:rsidRPr="00D549EE" w:rsidRDefault="006F2AB6" w:rsidP="00ED338B">
            <w:pPr>
              <w:rPr>
                <w:rFonts w:eastAsiaTheme="minorHAnsi"/>
                <w:color w:val="000000" w:themeColor="text1"/>
                <w:sz w:val="28"/>
                <w:szCs w:val="28"/>
                <w:lang w:val="en-US" w:eastAsia="en-US"/>
              </w:rPr>
            </w:pPr>
            <w:r w:rsidRPr="00D549EE">
              <w:rPr>
                <w:color w:val="000000" w:themeColor="text1"/>
                <w:sz w:val="28"/>
                <w:szCs w:val="28"/>
                <w:lang w:val="en-US"/>
              </w:rPr>
              <w:t>Association of Microfinance Organizations of Kazakhstan</w:t>
            </w:r>
          </w:p>
        </w:tc>
      </w:tr>
      <w:tr w:rsidR="006F2AB6" w:rsidRPr="00D549EE" w14:paraId="3DBDB6D3" w14:textId="77777777" w:rsidTr="00ED338B">
        <w:tc>
          <w:tcPr>
            <w:tcW w:w="1379" w:type="dxa"/>
          </w:tcPr>
          <w:p w14:paraId="15B87C33"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AHP</w:t>
            </w:r>
          </w:p>
        </w:tc>
        <w:tc>
          <w:tcPr>
            <w:tcW w:w="8254" w:type="dxa"/>
          </w:tcPr>
          <w:p w14:paraId="6181704A" w14:textId="77777777" w:rsidR="006F2AB6" w:rsidRPr="00D549EE" w:rsidRDefault="006F2AB6" w:rsidP="00ED338B">
            <w:pPr>
              <w:rPr>
                <w:color w:val="000000" w:themeColor="text1"/>
                <w:sz w:val="28"/>
                <w:szCs w:val="28"/>
                <w:lang w:val="en-US"/>
              </w:rPr>
            </w:pPr>
            <w:r w:rsidRPr="00D549EE">
              <w:rPr>
                <w:rFonts w:eastAsiaTheme="minorHAnsi"/>
                <w:sz w:val="28"/>
                <w:szCs w:val="28"/>
                <w:lang w:val="en-US"/>
              </w:rPr>
              <w:t>Analytical Hierarchy Process</w:t>
            </w:r>
          </w:p>
        </w:tc>
      </w:tr>
      <w:tr w:rsidR="006F2AB6" w:rsidRPr="00D549EE" w14:paraId="21DD5308" w14:textId="77777777" w:rsidTr="00ED338B">
        <w:tc>
          <w:tcPr>
            <w:tcW w:w="1379" w:type="dxa"/>
          </w:tcPr>
          <w:p w14:paraId="321BA4BB"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CCA</w:t>
            </w:r>
          </w:p>
        </w:tc>
        <w:tc>
          <w:tcPr>
            <w:tcW w:w="8254" w:type="dxa"/>
          </w:tcPr>
          <w:p w14:paraId="698B58DF" w14:textId="77777777" w:rsidR="006F2AB6" w:rsidRPr="00D549EE" w:rsidRDefault="006F2AB6" w:rsidP="00ED338B">
            <w:pPr>
              <w:rPr>
                <w:color w:val="000000" w:themeColor="text1"/>
                <w:sz w:val="28"/>
                <w:szCs w:val="28"/>
              </w:rPr>
            </w:pPr>
            <w:r w:rsidRPr="00D549EE">
              <w:rPr>
                <w:bCs/>
                <w:color w:val="000000" w:themeColor="text1"/>
                <w:sz w:val="28"/>
                <w:szCs w:val="28"/>
                <w:lang w:val="en-US"/>
              </w:rPr>
              <w:t>Caucasus and Central Asia</w:t>
            </w:r>
          </w:p>
        </w:tc>
      </w:tr>
      <w:tr w:rsidR="006F2AB6" w:rsidRPr="00F11AA3" w14:paraId="06F477E1" w14:textId="77777777" w:rsidTr="00ED338B">
        <w:tc>
          <w:tcPr>
            <w:tcW w:w="1379" w:type="dxa"/>
          </w:tcPr>
          <w:p w14:paraId="42C72296"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CCESS</w:t>
            </w:r>
          </w:p>
        </w:tc>
        <w:tc>
          <w:tcPr>
            <w:tcW w:w="8254" w:type="dxa"/>
          </w:tcPr>
          <w:p w14:paraId="6C86B5AC"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 xml:space="preserve">Committee for Control in the sphere of Education and Science  </w:t>
            </w:r>
          </w:p>
        </w:tc>
      </w:tr>
      <w:tr w:rsidR="006F2AB6" w:rsidRPr="00D549EE" w14:paraId="611F4767" w14:textId="77777777" w:rsidTr="00ED338B">
        <w:tc>
          <w:tcPr>
            <w:tcW w:w="1379" w:type="dxa"/>
          </w:tcPr>
          <w:p w14:paraId="6BA7B7E5"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CIS</w:t>
            </w:r>
          </w:p>
        </w:tc>
        <w:tc>
          <w:tcPr>
            <w:tcW w:w="8254" w:type="dxa"/>
          </w:tcPr>
          <w:p w14:paraId="1C46BF22" w14:textId="77777777" w:rsidR="006F2AB6" w:rsidRPr="00D549EE" w:rsidRDefault="006F2AB6" w:rsidP="00ED338B">
            <w:pPr>
              <w:rPr>
                <w:color w:val="000000" w:themeColor="text1"/>
                <w:sz w:val="28"/>
                <w:szCs w:val="28"/>
              </w:rPr>
            </w:pPr>
            <w:r w:rsidRPr="00D549EE">
              <w:rPr>
                <w:color w:val="000000" w:themeColor="text1"/>
                <w:sz w:val="28"/>
                <w:szCs w:val="28"/>
                <w:lang w:val="en-US"/>
              </w:rPr>
              <w:t>Commonwealth of Independent States</w:t>
            </w:r>
          </w:p>
        </w:tc>
      </w:tr>
      <w:tr w:rsidR="006F2AB6" w:rsidRPr="00D549EE" w14:paraId="5AE1883F" w14:textId="77777777" w:rsidTr="00ED338B">
        <w:tc>
          <w:tcPr>
            <w:tcW w:w="1379" w:type="dxa"/>
          </w:tcPr>
          <w:p w14:paraId="08032246"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GCC</w:t>
            </w:r>
          </w:p>
        </w:tc>
        <w:tc>
          <w:tcPr>
            <w:tcW w:w="8254" w:type="dxa"/>
          </w:tcPr>
          <w:p w14:paraId="7B468176" w14:textId="77777777" w:rsidR="006F2AB6" w:rsidRPr="00D549EE" w:rsidRDefault="006F2AB6" w:rsidP="00ED338B">
            <w:pPr>
              <w:rPr>
                <w:color w:val="000000" w:themeColor="text1"/>
                <w:sz w:val="28"/>
                <w:szCs w:val="28"/>
              </w:rPr>
            </w:pPr>
            <w:r w:rsidRPr="00D549EE">
              <w:rPr>
                <w:bCs/>
                <w:color w:val="000000" w:themeColor="text1"/>
                <w:sz w:val="28"/>
                <w:szCs w:val="28"/>
              </w:rPr>
              <w:t>Gulf</w:t>
            </w:r>
            <w:r w:rsidRPr="00D549EE">
              <w:rPr>
                <w:rStyle w:val="apple-converted-space"/>
                <w:color w:val="000000" w:themeColor="text1"/>
                <w:sz w:val="28"/>
                <w:szCs w:val="28"/>
                <w:shd w:val="clear" w:color="auto" w:fill="FFFFFF"/>
              </w:rPr>
              <w:t> </w:t>
            </w:r>
            <w:r w:rsidRPr="00D549EE">
              <w:rPr>
                <w:bCs/>
                <w:color w:val="000000" w:themeColor="text1"/>
                <w:sz w:val="28"/>
                <w:szCs w:val="28"/>
              </w:rPr>
              <w:t>Cooperation</w:t>
            </w:r>
            <w:r w:rsidRPr="00D549EE">
              <w:rPr>
                <w:rStyle w:val="apple-converted-space"/>
                <w:color w:val="000000" w:themeColor="text1"/>
                <w:sz w:val="28"/>
                <w:szCs w:val="28"/>
                <w:shd w:val="clear" w:color="auto" w:fill="FFFFFF"/>
              </w:rPr>
              <w:t> </w:t>
            </w:r>
            <w:r w:rsidRPr="00D549EE">
              <w:rPr>
                <w:bCs/>
                <w:color w:val="000000" w:themeColor="text1"/>
                <w:sz w:val="28"/>
                <w:szCs w:val="28"/>
              </w:rPr>
              <w:t>Council</w:t>
            </w:r>
          </w:p>
        </w:tc>
      </w:tr>
      <w:tr w:rsidR="006F2AB6" w:rsidRPr="00D549EE" w14:paraId="74A50D9C" w14:textId="77777777" w:rsidTr="00ED338B">
        <w:tc>
          <w:tcPr>
            <w:tcW w:w="1379" w:type="dxa"/>
          </w:tcPr>
          <w:p w14:paraId="1934C6CF"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GDP</w:t>
            </w:r>
          </w:p>
        </w:tc>
        <w:tc>
          <w:tcPr>
            <w:tcW w:w="8254" w:type="dxa"/>
          </w:tcPr>
          <w:p w14:paraId="18BBB896"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Gross Domestic Product</w:t>
            </w:r>
          </w:p>
        </w:tc>
      </w:tr>
      <w:tr w:rsidR="006F2AB6" w:rsidRPr="00D549EE" w14:paraId="65E00E33" w14:textId="77777777" w:rsidTr="00ED338B">
        <w:tc>
          <w:tcPr>
            <w:tcW w:w="1379" w:type="dxa"/>
          </w:tcPr>
          <w:p w14:paraId="7B07FF92"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GHI</w:t>
            </w:r>
          </w:p>
        </w:tc>
        <w:tc>
          <w:tcPr>
            <w:tcW w:w="8254" w:type="dxa"/>
          </w:tcPr>
          <w:p w14:paraId="7CE48570"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Global Hunger Index</w:t>
            </w:r>
          </w:p>
        </w:tc>
      </w:tr>
      <w:tr w:rsidR="006F2AB6" w:rsidRPr="00D549EE" w14:paraId="5A796750" w14:textId="77777777" w:rsidTr="00ED338B">
        <w:tc>
          <w:tcPr>
            <w:tcW w:w="1379" w:type="dxa"/>
          </w:tcPr>
          <w:p w14:paraId="5F8DA5C0"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GIFT</w:t>
            </w:r>
          </w:p>
        </w:tc>
        <w:tc>
          <w:tcPr>
            <w:tcW w:w="8254" w:type="dxa"/>
          </w:tcPr>
          <w:p w14:paraId="581C8DD1" w14:textId="77777777" w:rsidR="006F2AB6" w:rsidRPr="00D549EE" w:rsidRDefault="006F2AB6" w:rsidP="00ED338B">
            <w:pPr>
              <w:rPr>
                <w:rFonts w:eastAsiaTheme="minorHAnsi"/>
                <w:color w:val="000000" w:themeColor="text1"/>
                <w:sz w:val="28"/>
                <w:szCs w:val="28"/>
                <w:lang w:eastAsia="en-US"/>
              </w:rPr>
            </w:pPr>
            <w:r w:rsidRPr="00D549EE">
              <w:rPr>
                <w:color w:val="000000" w:themeColor="text1"/>
                <w:sz w:val="28"/>
                <w:szCs w:val="28"/>
                <w:shd w:val="clear" w:color="auto" w:fill="FFFFFF"/>
                <w:lang w:val="en-US"/>
              </w:rPr>
              <w:t>Global Islamic Fintech Index</w:t>
            </w:r>
          </w:p>
        </w:tc>
      </w:tr>
      <w:tr w:rsidR="006F2AB6" w:rsidRPr="00F11AA3" w14:paraId="1EF3FA66" w14:textId="77777777" w:rsidTr="00ED338B">
        <w:tc>
          <w:tcPr>
            <w:tcW w:w="1379" w:type="dxa"/>
          </w:tcPr>
          <w:p w14:paraId="7E7D4079"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ICD</w:t>
            </w:r>
          </w:p>
        </w:tc>
        <w:tc>
          <w:tcPr>
            <w:tcW w:w="8254" w:type="dxa"/>
          </w:tcPr>
          <w:p w14:paraId="261F6F0D" w14:textId="77777777" w:rsidR="006F2AB6" w:rsidRPr="00D549EE" w:rsidRDefault="006F2AB6" w:rsidP="00ED338B">
            <w:pPr>
              <w:rPr>
                <w:color w:val="000000" w:themeColor="text1"/>
                <w:sz w:val="28"/>
                <w:szCs w:val="28"/>
                <w:lang w:val="en-US"/>
              </w:rPr>
            </w:pPr>
            <w:r w:rsidRPr="00D549EE">
              <w:rPr>
                <w:color w:val="000000" w:themeColor="text1"/>
                <w:sz w:val="28"/>
                <w:szCs w:val="28"/>
                <w:shd w:val="clear" w:color="auto" w:fill="FFFFFF"/>
                <w:lang w:val="en-US"/>
              </w:rPr>
              <w:t>Islamic Corporation for the Development of the Private Sector</w:t>
            </w:r>
          </w:p>
        </w:tc>
      </w:tr>
      <w:tr w:rsidR="006F2AB6" w:rsidRPr="00D549EE" w14:paraId="096EF4D8" w14:textId="77777777" w:rsidTr="00ED338B">
        <w:tc>
          <w:tcPr>
            <w:tcW w:w="1379" w:type="dxa"/>
          </w:tcPr>
          <w:p w14:paraId="10D9E922"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IDB</w:t>
            </w:r>
          </w:p>
        </w:tc>
        <w:tc>
          <w:tcPr>
            <w:tcW w:w="8254" w:type="dxa"/>
          </w:tcPr>
          <w:p w14:paraId="12D17B2C"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 xml:space="preserve">Islamic Development Bank </w:t>
            </w:r>
          </w:p>
        </w:tc>
      </w:tr>
      <w:tr w:rsidR="006F2AB6" w:rsidRPr="00D549EE" w14:paraId="38EAD0B3" w14:textId="77777777" w:rsidTr="00ED338B">
        <w:tc>
          <w:tcPr>
            <w:tcW w:w="1379" w:type="dxa"/>
          </w:tcPr>
          <w:p w14:paraId="00B3BC3E"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IFSB</w:t>
            </w:r>
          </w:p>
        </w:tc>
        <w:tc>
          <w:tcPr>
            <w:tcW w:w="8254" w:type="dxa"/>
          </w:tcPr>
          <w:p w14:paraId="0A494BBA" w14:textId="77777777" w:rsidR="006F2AB6" w:rsidRPr="00D549EE" w:rsidRDefault="006F2AB6" w:rsidP="00ED338B">
            <w:pPr>
              <w:rPr>
                <w:color w:val="000000" w:themeColor="text1"/>
                <w:sz w:val="28"/>
                <w:szCs w:val="28"/>
              </w:rPr>
            </w:pPr>
            <w:r w:rsidRPr="00D549EE">
              <w:rPr>
                <w:color w:val="000000" w:themeColor="text1"/>
                <w:sz w:val="28"/>
                <w:szCs w:val="28"/>
                <w:shd w:val="clear" w:color="auto" w:fill="FFFFFF"/>
                <w:lang w:val="en-US"/>
              </w:rPr>
              <w:t>Islamic Financial Services Board</w:t>
            </w:r>
          </w:p>
        </w:tc>
      </w:tr>
      <w:tr w:rsidR="006F2AB6" w:rsidRPr="00D549EE" w14:paraId="7A9A2077" w14:textId="77777777" w:rsidTr="00ED338B">
        <w:trPr>
          <w:trHeight w:val="175"/>
        </w:trPr>
        <w:tc>
          <w:tcPr>
            <w:tcW w:w="1379" w:type="dxa"/>
          </w:tcPr>
          <w:p w14:paraId="235535DD"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IMF</w:t>
            </w:r>
          </w:p>
        </w:tc>
        <w:tc>
          <w:tcPr>
            <w:tcW w:w="8254" w:type="dxa"/>
          </w:tcPr>
          <w:p w14:paraId="17001E61"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International Monetary Fund</w:t>
            </w:r>
          </w:p>
        </w:tc>
      </w:tr>
      <w:tr w:rsidR="006F2AB6" w:rsidRPr="00F11AA3" w14:paraId="74327B17" w14:textId="77777777" w:rsidTr="00ED338B">
        <w:tc>
          <w:tcPr>
            <w:tcW w:w="1379" w:type="dxa"/>
          </w:tcPr>
          <w:p w14:paraId="05DC5C09" w14:textId="77777777" w:rsidR="006F2AB6" w:rsidRPr="00D549EE" w:rsidRDefault="006F2AB6" w:rsidP="00ED338B">
            <w:pPr>
              <w:rPr>
                <w:color w:val="000000" w:themeColor="text1"/>
                <w:sz w:val="28"/>
                <w:szCs w:val="28"/>
              </w:rPr>
            </w:pPr>
            <w:r w:rsidRPr="00D549EE">
              <w:rPr>
                <w:color w:val="000000" w:themeColor="text1"/>
                <w:sz w:val="28"/>
                <w:szCs w:val="28"/>
                <w:lang w:val="en-US"/>
              </w:rPr>
              <w:t>IRTI</w:t>
            </w:r>
          </w:p>
        </w:tc>
        <w:tc>
          <w:tcPr>
            <w:tcW w:w="8254" w:type="dxa"/>
          </w:tcPr>
          <w:p w14:paraId="71C380D6" w14:textId="77777777" w:rsidR="006F2AB6" w:rsidRPr="00D549EE" w:rsidRDefault="006F2AB6" w:rsidP="00ED338B">
            <w:pPr>
              <w:rPr>
                <w:color w:val="000000" w:themeColor="text1"/>
                <w:sz w:val="28"/>
                <w:szCs w:val="28"/>
                <w:lang w:val="en-US"/>
              </w:rPr>
            </w:pPr>
            <w:r w:rsidRPr="00D549EE">
              <w:rPr>
                <w:color w:val="000000" w:themeColor="text1"/>
                <w:sz w:val="28"/>
                <w:szCs w:val="28"/>
                <w:shd w:val="clear" w:color="auto" w:fill="FFFFFF"/>
                <w:lang w:val="en-US"/>
              </w:rPr>
              <w:t>Islamic Research and Training Institute</w:t>
            </w:r>
          </w:p>
        </w:tc>
      </w:tr>
      <w:tr w:rsidR="006F2AB6" w:rsidRPr="00D549EE" w14:paraId="2E494B23" w14:textId="77777777" w:rsidTr="00ED338B">
        <w:tc>
          <w:tcPr>
            <w:tcW w:w="1379" w:type="dxa"/>
          </w:tcPr>
          <w:p w14:paraId="4FA90A2E"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JSC</w:t>
            </w:r>
          </w:p>
        </w:tc>
        <w:tc>
          <w:tcPr>
            <w:tcW w:w="8254" w:type="dxa"/>
          </w:tcPr>
          <w:p w14:paraId="22F8650C"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Join Stock Company</w:t>
            </w:r>
          </w:p>
        </w:tc>
      </w:tr>
      <w:tr w:rsidR="006F2AB6" w:rsidRPr="00D549EE" w14:paraId="39C656F4" w14:textId="77777777" w:rsidTr="00ED338B">
        <w:tc>
          <w:tcPr>
            <w:tcW w:w="1379" w:type="dxa"/>
          </w:tcPr>
          <w:p w14:paraId="4CD44605"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KASE</w:t>
            </w:r>
          </w:p>
        </w:tc>
        <w:tc>
          <w:tcPr>
            <w:tcW w:w="8254" w:type="dxa"/>
          </w:tcPr>
          <w:p w14:paraId="068F1286"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Kazakhstan Stock Exchange</w:t>
            </w:r>
          </w:p>
        </w:tc>
      </w:tr>
      <w:tr w:rsidR="006F2AB6" w:rsidRPr="00D549EE" w14:paraId="5148235C" w14:textId="77777777" w:rsidTr="00ED338B">
        <w:tc>
          <w:tcPr>
            <w:tcW w:w="1379" w:type="dxa"/>
          </w:tcPr>
          <w:p w14:paraId="090291EE"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KIC</w:t>
            </w:r>
          </w:p>
        </w:tc>
        <w:tc>
          <w:tcPr>
            <w:tcW w:w="8254" w:type="dxa"/>
          </w:tcPr>
          <w:p w14:paraId="42A50F48"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Kazakhstan Ijara Company</w:t>
            </w:r>
          </w:p>
        </w:tc>
      </w:tr>
      <w:tr w:rsidR="006F2AB6" w:rsidRPr="00D549EE" w14:paraId="46E99809" w14:textId="77777777" w:rsidTr="00ED338B">
        <w:tc>
          <w:tcPr>
            <w:tcW w:w="1379" w:type="dxa"/>
          </w:tcPr>
          <w:p w14:paraId="578150F8"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MCO</w:t>
            </w:r>
          </w:p>
        </w:tc>
        <w:tc>
          <w:tcPr>
            <w:tcW w:w="8254" w:type="dxa"/>
          </w:tcPr>
          <w:p w14:paraId="170C1E0D"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Micro Credit Organization</w:t>
            </w:r>
          </w:p>
        </w:tc>
      </w:tr>
      <w:tr w:rsidR="006F2AB6" w:rsidRPr="00F11AA3" w14:paraId="296750A3" w14:textId="77777777" w:rsidTr="00ED338B">
        <w:tc>
          <w:tcPr>
            <w:tcW w:w="1379" w:type="dxa"/>
          </w:tcPr>
          <w:p w14:paraId="0A7A7DC5"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MENA</w:t>
            </w:r>
          </w:p>
        </w:tc>
        <w:tc>
          <w:tcPr>
            <w:tcW w:w="8254" w:type="dxa"/>
          </w:tcPr>
          <w:p w14:paraId="1837A2A5"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Middle East and North Africa</w:t>
            </w:r>
          </w:p>
        </w:tc>
      </w:tr>
      <w:tr w:rsidR="006F2AB6" w:rsidRPr="00D549EE" w14:paraId="4BD8C1A1" w14:textId="77777777" w:rsidTr="00ED338B">
        <w:tc>
          <w:tcPr>
            <w:tcW w:w="1379" w:type="dxa"/>
          </w:tcPr>
          <w:p w14:paraId="7B8D35A2"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MTN</w:t>
            </w:r>
          </w:p>
        </w:tc>
        <w:tc>
          <w:tcPr>
            <w:tcW w:w="8254" w:type="dxa"/>
          </w:tcPr>
          <w:p w14:paraId="734F7F6F"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Medium Term Notes</w:t>
            </w:r>
          </w:p>
        </w:tc>
      </w:tr>
      <w:tr w:rsidR="006F2AB6" w:rsidRPr="00F11AA3" w14:paraId="10C5AE96" w14:textId="77777777" w:rsidTr="00ED338B">
        <w:tc>
          <w:tcPr>
            <w:tcW w:w="1379" w:type="dxa"/>
          </w:tcPr>
          <w:p w14:paraId="55892484"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OECD</w:t>
            </w:r>
          </w:p>
        </w:tc>
        <w:tc>
          <w:tcPr>
            <w:tcW w:w="8254" w:type="dxa"/>
          </w:tcPr>
          <w:p w14:paraId="094AAC6E" w14:textId="77777777" w:rsidR="006F2AB6" w:rsidRPr="00D549EE" w:rsidRDefault="006F2AB6" w:rsidP="00ED338B">
            <w:pPr>
              <w:rPr>
                <w:rFonts w:eastAsiaTheme="minorHAnsi"/>
                <w:color w:val="000000" w:themeColor="text1"/>
                <w:sz w:val="28"/>
                <w:szCs w:val="28"/>
                <w:lang w:val="en-US" w:eastAsia="en-US"/>
              </w:rPr>
            </w:pPr>
            <w:r w:rsidRPr="00D549EE">
              <w:rPr>
                <w:bCs/>
                <w:color w:val="000000" w:themeColor="text1"/>
                <w:sz w:val="28"/>
                <w:szCs w:val="28"/>
                <w:shd w:val="clear" w:color="auto" w:fill="FFFFFF"/>
                <w:lang w:val="en-US"/>
              </w:rPr>
              <w:t>Organization for Economic Co-operation and Development</w:t>
            </w:r>
          </w:p>
        </w:tc>
      </w:tr>
      <w:tr w:rsidR="006F2AB6" w:rsidRPr="00D549EE" w14:paraId="2FCE3D4E" w14:textId="77777777" w:rsidTr="00ED338B">
        <w:tc>
          <w:tcPr>
            <w:tcW w:w="1379" w:type="dxa"/>
          </w:tcPr>
          <w:p w14:paraId="0AC773EE"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OIC</w:t>
            </w:r>
          </w:p>
        </w:tc>
        <w:tc>
          <w:tcPr>
            <w:tcW w:w="8254" w:type="dxa"/>
          </w:tcPr>
          <w:p w14:paraId="20B73739" w14:textId="77777777" w:rsidR="006F2AB6" w:rsidRPr="00D549EE" w:rsidRDefault="006F2AB6" w:rsidP="00ED338B">
            <w:pPr>
              <w:rPr>
                <w:rFonts w:eastAsiaTheme="minorHAnsi"/>
                <w:color w:val="000000" w:themeColor="text1"/>
                <w:sz w:val="28"/>
                <w:szCs w:val="28"/>
                <w:lang w:val="en-US" w:eastAsia="en-US"/>
              </w:rPr>
            </w:pPr>
            <w:r w:rsidRPr="00D549EE">
              <w:rPr>
                <w:bCs/>
                <w:color w:val="000000" w:themeColor="text1"/>
                <w:sz w:val="28"/>
                <w:szCs w:val="28"/>
                <w:lang w:val="en-US"/>
              </w:rPr>
              <w:t>Organization of Islamic Cooperation</w:t>
            </w:r>
          </w:p>
        </w:tc>
      </w:tr>
      <w:tr w:rsidR="006F2AB6" w:rsidRPr="00D549EE" w14:paraId="6D034CAB" w14:textId="77777777" w:rsidTr="00ED338B">
        <w:tc>
          <w:tcPr>
            <w:tcW w:w="1379" w:type="dxa"/>
          </w:tcPr>
          <w:p w14:paraId="1612AAA3"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PPP</w:t>
            </w:r>
          </w:p>
        </w:tc>
        <w:tc>
          <w:tcPr>
            <w:tcW w:w="8254" w:type="dxa"/>
          </w:tcPr>
          <w:p w14:paraId="6528E5C3" w14:textId="77777777" w:rsidR="006F2AB6" w:rsidRPr="00D549EE" w:rsidRDefault="006F2AB6" w:rsidP="00ED338B">
            <w:pPr>
              <w:rPr>
                <w:rFonts w:eastAsiaTheme="minorHAnsi"/>
                <w:color w:val="000000" w:themeColor="text1"/>
                <w:sz w:val="28"/>
                <w:szCs w:val="28"/>
                <w:lang w:eastAsia="en-US"/>
              </w:rPr>
            </w:pPr>
            <w:r w:rsidRPr="00D549EE">
              <w:rPr>
                <w:bCs/>
                <w:color w:val="000000" w:themeColor="text1"/>
                <w:sz w:val="28"/>
                <w:szCs w:val="28"/>
                <w:lang w:val="en-US"/>
              </w:rPr>
              <w:t>Purchasing Power Parity</w:t>
            </w:r>
            <w:r w:rsidRPr="00D549EE">
              <w:rPr>
                <w:color w:val="000000" w:themeColor="text1"/>
                <w:sz w:val="28"/>
                <w:szCs w:val="28"/>
                <w:shd w:val="clear" w:color="auto" w:fill="FFFFFF"/>
                <w:lang w:val="en-US"/>
              </w:rPr>
              <w:t> </w:t>
            </w:r>
          </w:p>
        </w:tc>
      </w:tr>
      <w:tr w:rsidR="006F2AB6" w:rsidRPr="00D549EE" w14:paraId="0052D613" w14:textId="77777777" w:rsidTr="00ED338B">
        <w:tc>
          <w:tcPr>
            <w:tcW w:w="1379" w:type="dxa"/>
          </w:tcPr>
          <w:p w14:paraId="32A12C5D"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RK</w:t>
            </w:r>
          </w:p>
        </w:tc>
        <w:tc>
          <w:tcPr>
            <w:tcW w:w="8254" w:type="dxa"/>
          </w:tcPr>
          <w:p w14:paraId="6C2FC985"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Republic of Kazakhstan</w:t>
            </w:r>
          </w:p>
        </w:tc>
      </w:tr>
      <w:tr w:rsidR="006F2AB6" w:rsidRPr="00F11AA3" w14:paraId="6510A7AA" w14:textId="77777777" w:rsidTr="00ED338B">
        <w:tc>
          <w:tcPr>
            <w:tcW w:w="1379" w:type="dxa"/>
          </w:tcPr>
          <w:p w14:paraId="04EB59F8"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SAMK</w:t>
            </w:r>
          </w:p>
        </w:tc>
        <w:tc>
          <w:tcPr>
            <w:tcW w:w="8254" w:type="dxa"/>
          </w:tcPr>
          <w:p w14:paraId="53E72203" w14:textId="77777777" w:rsidR="006F2AB6" w:rsidRPr="00D549EE" w:rsidRDefault="006F2AB6" w:rsidP="00ED338B">
            <w:pPr>
              <w:rPr>
                <w:color w:val="000000" w:themeColor="text1"/>
                <w:sz w:val="28"/>
                <w:szCs w:val="28"/>
                <w:lang w:val="en-US"/>
              </w:rPr>
            </w:pPr>
            <w:r w:rsidRPr="00D549EE">
              <w:rPr>
                <w:color w:val="000000" w:themeColor="text1"/>
                <w:sz w:val="28"/>
                <w:szCs w:val="28"/>
                <w:bdr w:val="none" w:sz="0" w:space="0" w:color="auto" w:frame="1"/>
                <w:lang w:val="en-US"/>
              </w:rPr>
              <w:t>Spiritual Administration of Muslims of Kazakhstan</w:t>
            </w:r>
          </w:p>
        </w:tc>
      </w:tr>
      <w:tr w:rsidR="006F2AB6" w:rsidRPr="00D549EE" w14:paraId="28B00F91" w14:textId="77777777" w:rsidTr="00ED338B">
        <w:tc>
          <w:tcPr>
            <w:tcW w:w="1379" w:type="dxa"/>
          </w:tcPr>
          <w:p w14:paraId="4AFCFEE5"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SDG</w:t>
            </w:r>
          </w:p>
        </w:tc>
        <w:tc>
          <w:tcPr>
            <w:tcW w:w="8254" w:type="dxa"/>
          </w:tcPr>
          <w:p w14:paraId="66CB84BC" w14:textId="77777777" w:rsidR="006F2AB6" w:rsidRPr="00D549EE" w:rsidRDefault="006F2AB6" w:rsidP="00ED338B">
            <w:pPr>
              <w:rPr>
                <w:rFonts w:eastAsiaTheme="minorHAnsi"/>
                <w:color w:val="000000" w:themeColor="text1"/>
                <w:sz w:val="28"/>
                <w:szCs w:val="28"/>
                <w:lang w:eastAsia="en-US"/>
              </w:rPr>
            </w:pPr>
            <w:r w:rsidRPr="00D549EE">
              <w:rPr>
                <w:color w:val="000000" w:themeColor="text1"/>
                <w:sz w:val="28"/>
                <w:szCs w:val="28"/>
                <w:lang w:val="en-US"/>
              </w:rPr>
              <w:t>Sustainable Development Goals</w:t>
            </w:r>
          </w:p>
        </w:tc>
      </w:tr>
      <w:tr w:rsidR="006F2AB6" w:rsidRPr="00F11AA3" w14:paraId="1B231047" w14:textId="77777777" w:rsidTr="00ED338B">
        <w:tc>
          <w:tcPr>
            <w:tcW w:w="1379" w:type="dxa"/>
          </w:tcPr>
          <w:p w14:paraId="0551FD67"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SME</w:t>
            </w:r>
          </w:p>
        </w:tc>
        <w:tc>
          <w:tcPr>
            <w:tcW w:w="8254" w:type="dxa"/>
          </w:tcPr>
          <w:p w14:paraId="35731616"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 xml:space="preserve">Small and Medium-sized Enterprises </w:t>
            </w:r>
          </w:p>
        </w:tc>
      </w:tr>
      <w:tr w:rsidR="006F2AB6" w:rsidRPr="00D549EE" w14:paraId="799C91D6" w14:textId="77777777" w:rsidTr="00ED338B">
        <w:tc>
          <w:tcPr>
            <w:tcW w:w="1379" w:type="dxa"/>
          </w:tcPr>
          <w:p w14:paraId="2B3435CE"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SIA</w:t>
            </w:r>
          </w:p>
        </w:tc>
        <w:tc>
          <w:tcPr>
            <w:tcW w:w="8254" w:type="dxa"/>
          </w:tcPr>
          <w:p w14:paraId="0D00FAA7"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Social Impact Assessment</w:t>
            </w:r>
          </w:p>
        </w:tc>
      </w:tr>
      <w:tr w:rsidR="006F2AB6" w:rsidRPr="00D549EE" w14:paraId="3CE56F7A" w14:textId="77777777" w:rsidTr="00ED338B">
        <w:tc>
          <w:tcPr>
            <w:tcW w:w="1379" w:type="dxa"/>
          </w:tcPr>
          <w:p w14:paraId="0693AF4A"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SPV</w:t>
            </w:r>
          </w:p>
        </w:tc>
        <w:tc>
          <w:tcPr>
            <w:tcW w:w="8254" w:type="dxa"/>
          </w:tcPr>
          <w:p w14:paraId="6AB856C3" w14:textId="77777777" w:rsidR="006F2AB6" w:rsidRPr="00D549EE" w:rsidRDefault="006F2AB6" w:rsidP="00ED338B">
            <w:pPr>
              <w:rPr>
                <w:color w:val="000000" w:themeColor="text1"/>
                <w:sz w:val="28"/>
                <w:szCs w:val="28"/>
              </w:rPr>
            </w:pPr>
            <w:r w:rsidRPr="00D549EE">
              <w:rPr>
                <w:bCs/>
                <w:color w:val="000000" w:themeColor="text1"/>
                <w:sz w:val="28"/>
                <w:szCs w:val="28"/>
                <w:lang w:val="en-US"/>
              </w:rPr>
              <w:t>S</w:t>
            </w:r>
            <w:r w:rsidRPr="00D549EE">
              <w:rPr>
                <w:bCs/>
                <w:color w:val="000000" w:themeColor="text1"/>
                <w:sz w:val="28"/>
                <w:szCs w:val="28"/>
              </w:rPr>
              <w:t>pecial</w:t>
            </w:r>
            <w:r w:rsidRPr="00D549EE">
              <w:rPr>
                <w:rStyle w:val="apple-converted-space"/>
                <w:color w:val="000000" w:themeColor="text1"/>
                <w:sz w:val="28"/>
                <w:szCs w:val="28"/>
                <w:shd w:val="clear" w:color="auto" w:fill="FFFFFF"/>
              </w:rPr>
              <w:t> </w:t>
            </w:r>
            <w:r w:rsidRPr="00D549EE">
              <w:rPr>
                <w:rStyle w:val="apple-converted-space"/>
                <w:color w:val="000000" w:themeColor="text1"/>
                <w:sz w:val="28"/>
                <w:szCs w:val="28"/>
                <w:shd w:val="clear" w:color="auto" w:fill="FFFFFF"/>
                <w:lang w:val="en-US"/>
              </w:rPr>
              <w:t>P</w:t>
            </w:r>
            <w:r w:rsidRPr="00D549EE">
              <w:rPr>
                <w:bCs/>
                <w:color w:val="000000" w:themeColor="text1"/>
                <w:sz w:val="28"/>
                <w:szCs w:val="28"/>
              </w:rPr>
              <w:t>urpose</w:t>
            </w:r>
            <w:r w:rsidRPr="00D549EE">
              <w:rPr>
                <w:rStyle w:val="apple-converted-space"/>
                <w:color w:val="000000" w:themeColor="text1"/>
                <w:sz w:val="28"/>
                <w:szCs w:val="28"/>
                <w:shd w:val="clear" w:color="auto" w:fill="FFFFFF"/>
              </w:rPr>
              <w:t> </w:t>
            </w:r>
            <w:r w:rsidRPr="00D549EE">
              <w:rPr>
                <w:rStyle w:val="apple-converted-space"/>
                <w:color w:val="000000" w:themeColor="text1"/>
                <w:sz w:val="28"/>
                <w:szCs w:val="28"/>
                <w:shd w:val="clear" w:color="auto" w:fill="FFFFFF"/>
                <w:lang w:val="en-US"/>
              </w:rPr>
              <w:t>V</w:t>
            </w:r>
            <w:r w:rsidRPr="00D549EE">
              <w:rPr>
                <w:bCs/>
                <w:color w:val="000000" w:themeColor="text1"/>
                <w:sz w:val="28"/>
                <w:szCs w:val="28"/>
              </w:rPr>
              <w:t>ehicle</w:t>
            </w:r>
          </w:p>
        </w:tc>
      </w:tr>
      <w:tr w:rsidR="006F2AB6" w:rsidRPr="00D549EE" w14:paraId="209E8256" w14:textId="77777777" w:rsidTr="00ED338B">
        <w:tc>
          <w:tcPr>
            <w:tcW w:w="1379" w:type="dxa"/>
          </w:tcPr>
          <w:p w14:paraId="48F25FBB"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SROI</w:t>
            </w:r>
          </w:p>
        </w:tc>
        <w:tc>
          <w:tcPr>
            <w:tcW w:w="8254" w:type="dxa"/>
          </w:tcPr>
          <w:p w14:paraId="154F5C8E" w14:textId="77777777" w:rsidR="006F2AB6" w:rsidRPr="00D549EE" w:rsidRDefault="006F2AB6" w:rsidP="00ED338B">
            <w:pPr>
              <w:rPr>
                <w:color w:val="000000" w:themeColor="text1"/>
                <w:sz w:val="28"/>
                <w:szCs w:val="28"/>
              </w:rPr>
            </w:pPr>
            <w:r w:rsidRPr="00D549EE">
              <w:rPr>
                <w:bCs/>
                <w:color w:val="000000" w:themeColor="text1"/>
                <w:sz w:val="28"/>
                <w:szCs w:val="28"/>
              </w:rPr>
              <w:t>Social</w:t>
            </w:r>
            <w:r w:rsidRPr="00D549EE">
              <w:rPr>
                <w:rStyle w:val="apple-converted-space"/>
                <w:color w:val="000000" w:themeColor="text1"/>
                <w:sz w:val="28"/>
                <w:szCs w:val="28"/>
                <w:shd w:val="clear" w:color="auto" w:fill="FFFFFF"/>
              </w:rPr>
              <w:t> </w:t>
            </w:r>
            <w:r w:rsidRPr="00D549EE">
              <w:rPr>
                <w:bCs/>
                <w:color w:val="000000" w:themeColor="text1"/>
                <w:sz w:val="28"/>
                <w:szCs w:val="28"/>
              </w:rPr>
              <w:t>return</w:t>
            </w:r>
            <w:r w:rsidRPr="00D549EE">
              <w:rPr>
                <w:rStyle w:val="apple-converted-space"/>
                <w:color w:val="000000" w:themeColor="text1"/>
                <w:sz w:val="28"/>
                <w:szCs w:val="28"/>
                <w:shd w:val="clear" w:color="auto" w:fill="FFFFFF"/>
              </w:rPr>
              <w:t> </w:t>
            </w:r>
            <w:r w:rsidRPr="00D549EE">
              <w:rPr>
                <w:color w:val="000000" w:themeColor="text1"/>
                <w:sz w:val="28"/>
                <w:szCs w:val="28"/>
                <w:shd w:val="clear" w:color="auto" w:fill="FFFFFF"/>
              </w:rPr>
              <w:t>on</w:t>
            </w:r>
            <w:r w:rsidRPr="00D549EE">
              <w:rPr>
                <w:rStyle w:val="apple-converted-space"/>
                <w:color w:val="000000" w:themeColor="text1"/>
                <w:sz w:val="28"/>
                <w:szCs w:val="28"/>
                <w:shd w:val="clear" w:color="auto" w:fill="FFFFFF"/>
              </w:rPr>
              <w:t> </w:t>
            </w:r>
            <w:r w:rsidRPr="00D549EE">
              <w:rPr>
                <w:bCs/>
                <w:color w:val="000000" w:themeColor="text1"/>
                <w:sz w:val="28"/>
                <w:szCs w:val="28"/>
              </w:rPr>
              <w:t>investment</w:t>
            </w:r>
          </w:p>
        </w:tc>
      </w:tr>
      <w:tr w:rsidR="006F2AB6" w:rsidRPr="00F11AA3" w14:paraId="1C7BC8CC" w14:textId="77777777" w:rsidTr="00ED338B">
        <w:tc>
          <w:tcPr>
            <w:tcW w:w="1379" w:type="dxa"/>
          </w:tcPr>
          <w:p w14:paraId="7BFAF368"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STEGM</w:t>
            </w:r>
          </w:p>
        </w:tc>
        <w:tc>
          <w:tcPr>
            <w:tcW w:w="8254" w:type="dxa"/>
          </w:tcPr>
          <w:p w14:paraId="6558D8A3"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Science, technology, engineering and mathematics</w:t>
            </w:r>
          </w:p>
        </w:tc>
      </w:tr>
      <w:tr w:rsidR="006F2AB6" w:rsidRPr="00D549EE" w14:paraId="5F25A13B" w14:textId="77777777" w:rsidTr="00ED338B">
        <w:tc>
          <w:tcPr>
            <w:tcW w:w="1379" w:type="dxa"/>
          </w:tcPr>
          <w:p w14:paraId="53D2FCF2"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SWOT</w:t>
            </w:r>
          </w:p>
        </w:tc>
        <w:tc>
          <w:tcPr>
            <w:tcW w:w="8254" w:type="dxa"/>
          </w:tcPr>
          <w:p w14:paraId="603EAAA7" w14:textId="77777777" w:rsidR="006F2AB6" w:rsidRPr="00D549EE" w:rsidRDefault="006F2AB6" w:rsidP="00ED338B">
            <w:pPr>
              <w:rPr>
                <w:color w:val="000000" w:themeColor="text1"/>
                <w:sz w:val="28"/>
                <w:szCs w:val="28"/>
              </w:rPr>
            </w:pPr>
            <w:r w:rsidRPr="00D549EE">
              <w:rPr>
                <w:rFonts w:eastAsiaTheme="minorHAnsi"/>
                <w:color w:val="000000" w:themeColor="text1"/>
                <w:sz w:val="28"/>
                <w:szCs w:val="28"/>
                <w:lang w:val="en-US" w:eastAsia="en-US"/>
              </w:rPr>
              <w:t>S</w:t>
            </w:r>
            <w:r w:rsidRPr="00D549EE">
              <w:rPr>
                <w:rFonts w:eastAsiaTheme="minorHAnsi"/>
                <w:color w:val="000000" w:themeColor="text1"/>
                <w:sz w:val="28"/>
                <w:szCs w:val="28"/>
                <w:lang w:val="kk-KZ" w:eastAsia="en-US"/>
              </w:rPr>
              <w:t>trengths, weaknesses</w:t>
            </w:r>
            <w:r w:rsidRPr="00D549EE">
              <w:rPr>
                <w:rFonts w:eastAsiaTheme="minorHAnsi"/>
                <w:color w:val="000000" w:themeColor="text1"/>
                <w:sz w:val="28"/>
                <w:szCs w:val="28"/>
                <w:lang w:eastAsia="en-US"/>
              </w:rPr>
              <w:t xml:space="preserve">, </w:t>
            </w:r>
            <w:r w:rsidRPr="00D549EE">
              <w:rPr>
                <w:rFonts w:eastAsiaTheme="minorHAnsi"/>
                <w:color w:val="000000" w:themeColor="text1"/>
                <w:sz w:val="28"/>
                <w:szCs w:val="28"/>
                <w:lang w:val="kk-KZ" w:eastAsia="en-US"/>
              </w:rPr>
              <w:t>opportunities</w:t>
            </w:r>
            <w:r w:rsidRPr="00D549EE">
              <w:rPr>
                <w:rFonts w:eastAsiaTheme="minorHAnsi"/>
                <w:color w:val="000000" w:themeColor="text1"/>
                <w:sz w:val="28"/>
                <w:szCs w:val="28"/>
                <w:lang w:eastAsia="en-US"/>
              </w:rPr>
              <w:t xml:space="preserve">, </w:t>
            </w:r>
            <w:r w:rsidRPr="00D549EE">
              <w:rPr>
                <w:rFonts w:eastAsiaTheme="minorHAnsi"/>
                <w:color w:val="000000" w:themeColor="text1"/>
                <w:sz w:val="28"/>
                <w:szCs w:val="28"/>
                <w:lang w:val="kk-KZ" w:eastAsia="en-US"/>
              </w:rPr>
              <w:t>threats</w:t>
            </w:r>
          </w:p>
        </w:tc>
      </w:tr>
      <w:tr w:rsidR="006F2AB6" w:rsidRPr="00D549EE" w14:paraId="69F3A4B1" w14:textId="77777777" w:rsidTr="00ED338B">
        <w:tc>
          <w:tcPr>
            <w:tcW w:w="1379" w:type="dxa"/>
          </w:tcPr>
          <w:p w14:paraId="41A74919"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UAE</w:t>
            </w:r>
          </w:p>
        </w:tc>
        <w:tc>
          <w:tcPr>
            <w:tcW w:w="8254" w:type="dxa"/>
          </w:tcPr>
          <w:p w14:paraId="49AC16CD"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 xml:space="preserve">United Arab Emirates </w:t>
            </w:r>
          </w:p>
        </w:tc>
      </w:tr>
      <w:tr w:rsidR="006F2AB6" w:rsidRPr="00D549EE" w14:paraId="63B2C450" w14:textId="77777777" w:rsidTr="00ED338B">
        <w:tc>
          <w:tcPr>
            <w:tcW w:w="1379" w:type="dxa"/>
          </w:tcPr>
          <w:p w14:paraId="4301FB8F"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UK</w:t>
            </w:r>
          </w:p>
        </w:tc>
        <w:tc>
          <w:tcPr>
            <w:tcW w:w="8254" w:type="dxa"/>
          </w:tcPr>
          <w:p w14:paraId="3E1C6DF2"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United Kingdom</w:t>
            </w:r>
          </w:p>
        </w:tc>
      </w:tr>
      <w:tr w:rsidR="006F2AB6" w:rsidRPr="00D549EE" w14:paraId="69794A11" w14:textId="77777777" w:rsidTr="00ED338B">
        <w:tc>
          <w:tcPr>
            <w:tcW w:w="1379" w:type="dxa"/>
          </w:tcPr>
          <w:p w14:paraId="5C222460"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UN</w:t>
            </w:r>
          </w:p>
        </w:tc>
        <w:tc>
          <w:tcPr>
            <w:tcW w:w="8254" w:type="dxa"/>
          </w:tcPr>
          <w:p w14:paraId="24DA659F"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United Nations</w:t>
            </w:r>
          </w:p>
        </w:tc>
      </w:tr>
      <w:tr w:rsidR="006F2AB6" w:rsidRPr="00D549EE" w14:paraId="60B48D20" w14:textId="77777777" w:rsidTr="00ED338B">
        <w:tc>
          <w:tcPr>
            <w:tcW w:w="1379" w:type="dxa"/>
          </w:tcPr>
          <w:p w14:paraId="6D1B6F0D"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USA</w:t>
            </w:r>
          </w:p>
        </w:tc>
        <w:tc>
          <w:tcPr>
            <w:tcW w:w="8254" w:type="dxa"/>
          </w:tcPr>
          <w:p w14:paraId="50802FBF"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United States of America</w:t>
            </w:r>
          </w:p>
        </w:tc>
      </w:tr>
      <w:tr w:rsidR="006F2AB6" w:rsidRPr="00D549EE" w14:paraId="3AA30B2B" w14:textId="77777777" w:rsidTr="00ED338B">
        <w:tc>
          <w:tcPr>
            <w:tcW w:w="1379" w:type="dxa"/>
          </w:tcPr>
          <w:p w14:paraId="0996DD32" w14:textId="77777777" w:rsidR="006F2AB6" w:rsidRPr="00D549EE" w:rsidRDefault="006F2AB6" w:rsidP="00ED338B">
            <w:pPr>
              <w:rPr>
                <w:color w:val="000000" w:themeColor="text1"/>
                <w:sz w:val="28"/>
                <w:szCs w:val="28"/>
                <w:lang w:val="en-US"/>
              </w:rPr>
            </w:pPr>
            <w:r w:rsidRPr="00D549EE">
              <w:rPr>
                <w:color w:val="000000" w:themeColor="text1"/>
                <w:sz w:val="28"/>
                <w:szCs w:val="28"/>
                <w:lang w:val="en-US"/>
              </w:rPr>
              <w:t>VAT</w:t>
            </w:r>
          </w:p>
        </w:tc>
        <w:tc>
          <w:tcPr>
            <w:tcW w:w="8254" w:type="dxa"/>
          </w:tcPr>
          <w:p w14:paraId="7BB06F19" w14:textId="77777777" w:rsidR="006F2AB6" w:rsidRPr="00D549EE" w:rsidRDefault="006F2AB6" w:rsidP="00ED338B">
            <w:pPr>
              <w:rPr>
                <w:rFonts w:eastAsiaTheme="minorHAnsi"/>
                <w:color w:val="000000" w:themeColor="text1"/>
                <w:sz w:val="28"/>
                <w:szCs w:val="28"/>
                <w:lang w:val="en-US" w:eastAsia="en-US"/>
              </w:rPr>
            </w:pPr>
            <w:r w:rsidRPr="00D549EE">
              <w:rPr>
                <w:rFonts w:eastAsiaTheme="minorHAnsi"/>
                <w:color w:val="000000" w:themeColor="text1"/>
                <w:sz w:val="28"/>
                <w:szCs w:val="28"/>
                <w:lang w:val="en-US" w:eastAsia="en-US"/>
              </w:rPr>
              <w:t>Value Added Tax</w:t>
            </w:r>
          </w:p>
        </w:tc>
      </w:tr>
    </w:tbl>
    <w:p w14:paraId="1BF0387B" w14:textId="77777777" w:rsidR="006F2AB6" w:rsidRPr="00D549EE" w:rsidRDefault="006F2AB6" w:rsidP="006F2AB6">
      <w:pPr>
        <w:jc w:val="center"/>
        <w:rPr>
          <w:b/>
          <w:sz w:val="28"/>
          <w:szCs w:val="28"/>
          <w:lang w:val="en-US"/>
        </w:rPr>
      </w:pPr>
    </w:p>
    <w:p w14:paraId="0271FE67" w14:textId="77777777" w:rsidR="003178CD" w:rsidRPr="00D549EE" w:rsidRDefault="003178CD" w:rsidP="00C9582F">
      <w:pPr>
        <w:jc w:val="center"/>
        <w:rPr>
          <w:b/>
          <w:sz w:val="28"/>
          <w:szCs w:val="28"/>
          <w:lang w:val="en-US"/>
        </w:rPr>
      </w:pPr>
    </w:p>
    <w:p w14:paraId="7EC7FFF1" w14:textId="1B896EF2" w:rsidR="00F517A9" w:rsidRPr="00D549EE" w:rsidRDefault="00F517A9" w:rsidP="00C9582F">
      <w:pPr>
        <w:jc w:val="center"/>
        <w:rPr>
          <w:b/>
          <w:sz w:val="28"/>
          <w:szCs w:val="28"/>
          <w:lang w:val="en-US"/>
        </w:rPr>
      </w:pPr>
      <w:r w:rsidRPr="00D549EE">
        <w:rPr>
          <w:b/>
          <w:sz w:val="28"/>
          <w:szCs w:val="28"/>
          <w:lang w:val="en-US"/>
        </w:rPr>
        <w:lastRenderedPageBreak/>
        <w:t>INTRODUCTION</w:t>
      </w:r>
    </w:p>
    <w:p w14:paraId="59B2B42A" w14:textId="77777777" w:rsidR="00F517A9" w:rsidRPr="00D549EE" w:rsidRDefault="00F517A9" w:rsidP="00C9582F">
      <w:pPr>
        <w:jc w:val="center"/>
        <w:rPr>
          <w:sz w:val="28"/>
          <w:szCs w:val="28"/>
          <w:lang w:val="en-US"/>
        </w:rPr>
      </w:pPr>
    </w:p>
    <w:p w14:paraId="09ABA61D" w14:textId="77777777" w:rsidR="00103952" w:rsidRPr="00103952" w:rsidRDefault="00264276" w:rsidP="00103952">
      <w:pPr>
        <w:jc w:val="both"/>
        <w:rPr>
          <w:sz w:val="28"/>
          <w:szCs w:val="28"/>
          <w:lang w:val="en-US"/>
        </w:rPr>
      </w:pPr>
      <w:r w:rsidRPr="00D549EE">
        <w:rPr>
          <w:b/>
          <w:sz w:val="28"/>
          <w:szCs w:val="28"/>
          <w:lang w:val="en-US"/>
        </w:rPr>
        <w:tab/>
      </w:r>
      <w:r w:rsidR="00103952" w:rsidRPr="00103952">
        <w:rPr>
          <w:b/>
          <w:sz w:val="28"/>
          <w:szCs w:val="28"/>
          <w:lang w:val="en-US"/>
        </w:rPr>
        <w:t>An overview of the thesis</w:t>
      </w:r>
      <w:r w:rsidR="00103952" w:rsidRPr="00103952">
        <w:rPr>
          <w:sz w:val="28"/>
          <w:szCs w:val="28"/>
          <w:lang w:val="en-US"/>
        </w:rPr>
        <w:t xml:space="preserve">. The dissertation research is devoted to studying the nature of the phenomenon of the social effectiveness of Islamic finance and the development of recommendations for the successful implementation of Islamic social instruments in the financial system of the Republic of Kazakhstan. </w:t>
      </w:r>
    </w:p>
    <w:p w14:paraId="19104C4D" w14:textId="77777777" w:rsidR="00103952" w:rsidRPr="00103952" w:rsidRDefault="00103952" w:rsidP="00103952">
      <w:pPr>
        <w:jc w:val="both"/>
        <w:rPr>
          <w:sz w:val="28"/>
          <w:szCs w:val="28"/>
          <w:lang w:val="en-US"/>
        </w:rPr>
      </w:pPr>
      <w:r w:rsidRPr="00103952">
        <w:rPr>
          <w:sz w:val="28"/>
          <w:szCs w:val="28"/>
          <w:lang w:val="en-US"/>
        </w:rPr>
        <w:tab/>
        <w:t>The relevance of the research. The recurring financial crises of the last two decades, including those related to the Covid-19 pandemic, have demonstrated that the Islamic finance industry has suffered relatively less than the traditional financial sector. This fact not only determines the growing academic interest of researchers around the world in Islamic finance but also continues to be accompanied by heated discussions, as according to experts, Islamic financial instruments, by their social nature, are among the optimal tools for the implementation of the 17 U.N. Sustainable Development Goals.[1] [2] [3].</w:t>
      </w:r>
    </w:p>
    <w:p w14:paraId="214BEE6E" w14:textId="77777777" w:rsidR="00103952" w:rsidRPr="00103952" w:rsidRDefault="00103952" w:rsidP="00103952">
      <w:pPr>
        <w:jc w:val="both"/>
        <w:rPr>
          <w:sz w:val="28"/>
          <w:szCs w:val="28"/>
          <w:lang w:val="en-US"/>
        </w:rPr>
      </w:pPr>
      <w:r w:rsidRPr="00103952">
        <w:rPr>
          <w:sz w:val="28"/>
          <w:szCs w:val="28"/>
          <w:lang w:val="en-US"/>
        </w:rPr>
        <w:tab/>
        <w:t xml:space="preserve">The current global Islamic financial services industry is estimated at 2.88 trillion U.S. dollars, 1% of all world financial assets [4]. The average growth rate of global Islamic finance over the past ten years has amounted to 12.5%. There are 1462 Islamic financial institutions in more than 75 countries, including 505 Islamic banks. Notably, Islamic finance and banking proliferate in Islamic countries and show progress in non-Islamic countries. Outside the Islamic world, Islamic financing has increased in the U.K., followed by other European countries and the U.S. This growth has arguably been driven by the demand from the faith and risk diversification-focused investors. </w:t>
      </w:r>
    </w:p>
    <w:p w14:paraId="7906BE3C" w14:textId="77777777" w:rsidR="00103952" w:rsidRPr="00103952" w:rsidRDefault="00103952" w:rsidP="00103952">
      <w:pPr>
        <w:jc w:val="both"/>
        <w:rPr>
          <w:sz w:val="28"/>
          <w:szCs w:val="28"/>
          <w:lang w:val="en-US"/>
        </w:rPr>
      </w:pPr>
      <w:r w:rsidRPr="00103952">
        <w:rPr>
          <w:sz w:val="28"/>
          <w:szCs w:val="28"/>
          <w:lang w:val="en-US"/>
        </w:rPr>
        <w:tab/>
        <w:t>Thus, today all countries of the world can take advantage of the corporate social responsibility of the Islamic financial industry, based on special principles of profit and loss distribution and promotion of real economic development. In addition, Islamic financial instruments reduce transaction costs associated with property rights protection, opportunistic behavior, and increased confidence.</w:t>
      </w:r>
    </w:p>
    <w:p w14:paraId="12BD008E" w14:textId="77777777" w:rsidR="00103952" w:rsidRPr="00103952" w:rsidRDefault="00103952" w:rsidP="00103952">
      <w:pPr>
        <w:jc w:val="both"/>
        <w:rPr>
          <w:sz w:val="28"/>
          <w:szCs w:val="28"/>
          <w:lang w:val="en-US"/>
        </w:rPr>
      </w:pPr>
      <w:r w:rsidRPr="00103952">
        <w:rPr>
          <w:sz w:val="28"/>
          <w:szCs w:val="28"/>
          <w:lang w:val="en-US"/>
        </w:rPr>
        <w:tab/>
        <w:t xml:space="preserve">In Kazakhstan, where about 70% of the population adheres to Islam to varying degrees, the country takes advantage of the social principles of Islamic finance and uses them as one of the driving forces. This is also vital for the current period of the Covid-19 pandemic, characterized by high turbulence, unpredictability, and repeated lockdowns, which negatively affected the world market and national economies, and the global financial architecture. Simultaneously, as can be seen, the global financial system itself is radically changing its conceptual configuration, becoming high-tech and increasingly virtual. </w:t>
      </w:r>
    </w:p>
    <w:p w14:paraId="77CB0BB1" w14:textId="77777777" w:rsidR="00103952" w:rsidRPr="00103952" w:rsidRDefault="00103952" w:rsidP="00103952">
      <w:pPr>
        <w:jc w:val="both"/>
        <w:rPr>
          <w:sz w:val="28"/>
          <w:szCs w:val="28"/>
          <w:lang w:val="en-US"/>
        </w:rPr>
      </w:pPr>
      <w:r w:rsidRPr="00103952">
        <w:rPr>
          <w:sz w:val="28"/>
          <w:szCs w:val="28"/>
          <w:lang w:val="en-US"/>
        </w:rPr>
        <w:tab/>
        <w:t xml:space="preserve">In these circumstances, Kazakhstan is facing a decline in GDP, accompanied by a growing budget deficit, a sharp decline in the population's real incomes, a steady devaluation of the national currency, and increasing transfers from the National Fund. Also, the country's banking sector has been repeatedly subjected to crises, and the stock market has not become an instrument for effective capital transfer. All these negative phenomena occur against the background of high volatility in world oil prices, on the export of which the state budget revenues and investment activity in the country still depend. Obviously, in the search for alternative ways out of the deepening crisis, researchers pay attention to the advantages of Islamic finance and the Islamic economy, which is designed to provide for basic human needs without neglecting moral laws and </w:t>
      </w:r>
      <w:r w:rsidRPr="00103952">
        <w:rPr>
          <w:sz w:val="28"/>
          <w:szCs w:val="28"/>
          <w:lang w:val="en-US"/>
        </w:rPr>
        <w:lastRenderedPageBreak/>
        <w:t xml:space="preserve">prohibitions by the interpretation of Shariah. Among them, social solidarity through creating conditions for unity and cooperation between capital and labor, achieving social justice through reasonable wages, and eliminating unemployment may become essential for Kazakhstan. It is noteworthy that exactly such strategic goals of our country were repeatedly announced by the President of the Republic of Kazakhstan K.K. Tokayev [5]. </w:t>
      </w:r>
    </w:p>
    <w:p w14:paraId="438C89C6" w14:textId="77777777" w:rsidR="00103952" w:rsidRPr="00103952" w:rsidRDefault="00103952" w:rsidP="00103952">
      <w:pPr>
        <w:jc w:val="both"/>
        <w:rPr>
          <w:sz w:val="28"/>
          <w:szCs w:val="28"/>
          <w:lang w:val="en-US"/>
        </w:rPr>
      </w:pPr>
      <w:r w:rsidRPr="00103952">
        <w:rPr>
          <w:sz w:val="28"/>
          <w:szCs w:val="28"/>
          <w:lang w:val="en-US"/>
        </w:rPr>
        <w:tab/>
        <w:t>Thus, the socially-oriented nature inherent in Islamic finance, dynamic growth in the world, and the untapped potential of the Islamic financial industry in the Republic of Kazakhstan, determined the relevance of the proposed dissertation research. In turn, to widely use the advantages of the Islamic financial industry in solving the socio-economic problems of the population of Kazakhstan, there was a need for a theoretical and methodological justification of the social effectiveness of Islamic finance and the development of practical recommendations for their implementation in the financial system of the country.</w:t>
      </w:r>
    </w:p>
    <w:p w14:paraId="018E502B" w14:textId="77777777" w:rsidR="00103952" w:rsidRPr="00DE00E9" w:rsidRDefault="00103952" w:rsidP="00103952">
      <w:pPr>
        <w:jc w:val="both"/>
        <w:rPr>
          <w:b/>
          <w:sz w:val="28"/>
          <w:szCs w:val="28"/>
          <w:lang w:val="en-US"/>
        </w:rPr>
      </w:pPr>
      <w:r w:rsidRPr="00103952">
        <w:rPr>
          <w:sz w:val="28"/>
          <w:szCs w:val="28"/>
          <w:lang w:val="en-US"/>
        </w:rPr>
        <w:tab/>
      </w:r>
      <w:r w:rsidRPr="00DE00E9">
        <w:rPr>
          <w:b/>
          <w:sz w:val="28"/>
          <w:szCs w:val="28"/>
          <w:lang w:val="en-US"/>
        </w:rPr>
        <w:t>The degree of density of the issues.</w:t>
      </w:r>
    </w:p>
    <w:p w14:paraId="4BA62FED" w14:textId="77777777" w:rsidR="00103952" w:rsidRPr="00103952" w:rsidRDefault="00103952" w:rsidP="00103952">
      <w:pPr>
        <w:jc w:val="both"/>
        <w:rPr>
          <w:sz w:val="28"/>
          <w:szCs w:val="28"/>
          <w:lang w:val="en-US"/>
        </w:rPr>
      </w:pPr>
      <w:r w:rsidRPr="00103952">
        <w:rPr>
          <w:sz w:val="28"/>
          <w:szCs w:val="28"/>
          <w:lang w:val="en-US"/>
        </w:rPr>
        <w:tab/>
        <w:t>The tasks of assessing the social effectiveness of Islamic finance have not been solved before. The degree of density of the problem is represented by the research of foreign and Kazakhstani scholars on issues related to the social functions of Islamic finance and social efficiency assessment. The primary studies of foreign scientists al Qardawi, M.Kahf, A.Khan, N.Shirazi and M.Amin, A.Tahiri Jouti, T.Kuran, H.Ahmed, M.Mohammad, and A.Mar Iman, who first studied the social tools of Islamic Finance as a significant source of solutions for problems of poverty, covering the resources shortfalls of the countries and social welfare. The authors' research indicates a scientific interest in the issues of Islamic finance and its social functions R.Kamla and H.Rammal, R.Aggarwal and T.Yousef, K.Samad T.Kochuyt, M.Gaudiosi. This contributed to creating a specific theoretical basis for the study of A.Ummulkhayr, A.Tahiri Jouti, and M. Obaidullah. However, some issues remain a constant subject of discussion, particularly approaches to assessing the actual volume of Islamic social finance.</w:t>
      </w:r>
    </w:p>
    <w:p w14:paraId="41897AAE" w14:textId="3FBA9280"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xml:space="preserve">In the countries of the Commonwealth of Independent States (CIS), the leading members of which belong to the Central Asian region, the social component of the Islamic finance is unstudied direction, and there are few studies from the region by Mirzoev, T.Ignatova, and A.Dobayev, R.Bekkin, N.Lvova, A.Nagimova. </w:t>
      </w:r>
    </w:p>
    <w:p w14:paraId="52343383" w14:textId="77777777" w:rsidR="00103952" w:rsidRPr="00103952" w:rsidRDefault="00103952" w:rsidP="00103952">
      <w:pPr>
        <w:jc w:val="both"/>
        <w:rPr>
          <w:sz w:val="28"/>
          <w:szCs w:val="28"/>
          <w:lang w:val="en-US"/>
        </w:rPr>
      </w:pPr>
      <w:r w:rsidRPr="00103952">
        <w:rPr>
          <w:sz w:val="28"/>
          <w:szCs w:val="28"/>
          <w:lang w:val="en-US"/>
        </w:rPr>
        <w:t>In Kazakhstan, Y.Baidaulet, Y.Nurmukhanbetov, and D.Onaltaev study the problem of Islamic finance development.</w:t>
      </w:r>
    </w:p>
    <w:p w14:paraId="37A8FB50" w14:textId="73930C1E"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The degree of research in this area, taking into account the specifics of Kazakhstan, is shallow thus far. Therefore, the issue needs further study and, above all, a focus on finding new approaches, methods, and mechanisms for forming the social functioning of Islamic financial instruments.</w:t>
      </w:r>
    </w:p>
    <w:p w14:paraId="68BDF3EB" w14:textId="77777777" w:rsidR="00103952" w:rsidRPr="00103952" w:rsidRDefault="00103952" w:rsidP="00103952">
      <w:pPr>
        <w:jc w:val="both"/>
        <w:rPr>
          <w:sz w:val="28"/>
          <w:szCs w:val="28"/>
          <w:lang w:val="en-US"/>
        </w:rPr>
      </w:pPr>
      <w:r w:rsidRPr="00103952">
        <w:rPr>
          <w:sz w:val="28"/>
          <w:szCs w:val="28"/>
          <w:lang w:val="en-US"/>
        </w:rPr>
        <w:t xml:space="preserve">The above circumstances determined the choice of the thesis, the purpose, and the objectives of the dissertation research. </w:t>
      </w:r>
    </w:p>
    <w:p w14:paraId="5A435FA0" w14:textId="6B44D002" w:rsidR="00103952" w:rsidRPr="00DE00E9" w:rsidRDefault="00DE00E9" w:rsidP="00103952">
      <w:pPr>
        <w:jc w:val="both"/>
        <w:rPr>
          <w:b/>
          <w:sz w:val="28"/>
          <w:szCs w:val="28"/>
          <w:lang w:val="en-US"/>
        </w:rPr>
      </w:pPr>
      <w:r>
        <w:rPr>
          <w:sz w:val="28"/>
          <w:szCs w:val="28"/>
          <w:lang w:val="en-US"/>
        </w:rPr>
        <w:tab/>
      </w:r>
      <w:r w:rsidR="00103952" w:rsidRPr="00DE00E9">
        <w:rPr>
          <w:b/>
          <w:sz w:val="28"/>
          <w:szCs w:val="28"/>
          <w:lang w:val="en-US"/>
        </w:rPr>
        <w:t xml:space="preserve">Purpose and objectives of the study. </w:t>
      </w:r>
    </w:p>
    <w:p w14:paraId="65B8747C" w14:textId="49ECD955"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xml:space="preserve">The purpose of the dissertation is to study the theoretical and methodological foundations of the social effectiveness of Islamic finance and development practical </w:t>
      </w:r>
      <w:r w:rsidR="00103952" w:rsidRPr="00103952">
        <w:rPr>
          <w:sz w:val="28"/>
          <w:szCs w:val="28"/>
          <w:lang w:val="en-US"/>
        </w:rPr>
        <w:lastRenderedPageBreak/>
        <w:t xml:space="preserve">recommendations for the successful implementation of Islamic financial instruments in the financial system of the Republic of Kazakhstan. </w:t>
      </w:r>
    </w:p>
    <w:p w14:paraId="7059A072" w14:textId="1E5A6E6B"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xml:space="preserve">For achieving this goal, the following theoretical and practical objectives have been identified: </w:t>
      </w:r>
    </w:p>
    <w:p w14:paraId="396D28BB" w14:textId="0E4ABEDD"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study and generalization of theoretical and methodological approaches to determining the social content and social functions of Islamic finance as an economic phenomenon based on the principles of Shariah and other spiritual Muslim sources;</w:t>
      </w:r>
    </w:p>
    <w:p w14:paraId="2BC05664" w14:textId="6488DC68"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clarification of the content and functions of Islamic social finance: zakat, waqf, Islamic microfinance in the context of the experience of foreign countries;</w:t>
      </w:r>
    </w:p>
    <w:p w14:paraId="0CBF069C" w14:textId="717C5D7E"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substantiation of the methodology and methods for assessing the social effectiveness of Islamic finance based on a review of foreign and domestic scientific sources;</w:t>
      </w:r>
    </w:p>
    <w:p w14:paraId="176D3EB4" w14:textId="4B1B9133"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the Islamic finance development trends and results analysis  in the current economy of the Republic of Kazakhstan;</w:t>
      </w:r>
    </w:p>
    <w:p w14:paraId="550B436D" w14:textId="7B9E370D"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identification of the Islamic finance development barriers in the Republic of Kazakhstan and assessment of their potential social effects;</w:t>
      </w:r>
    </w:p>
    <w:p w14:paraId="2C2683BE" w14:textId="7FB2F2A4"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assessment of the performance of Islamic financial institutions and non-financial social organizations, their role in the social welfare of the country;</w:t>
      </w:r>
    </w:p>
    <w:p w14:paraId="5C98CD03" w14:textId="0F1386C6"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justification of the application of financial technologies prospects to enhance the social effectiveness of Islamic finance in the Republic of Kazakhstan;</w:t>
      </w:r>
    </w:p>
    <w:p w14:paraId="6CFDE6BF" w14:textId="7B2623E1"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develop the institutional support conceptual model for implementing the social effectiveness of Islamic finance in the Republic of Kazakhstan.</w:t>
      </w:r>
    </w:p>
    <w:p w14:paraId="638A147C" w14:textId="013B79A9"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The object of the study is Islamic financial institutions and Islamic non-financial social organizations of Kazakhstan.</w:t>
      </w:r>
    </w:p>
    <w:p w14:paraId="4340D6DA" w14:textId="61B6F2E1"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The subject of the study is the financial and economic relations arising between Islamic and non-Islamic financial institutions for increasing the social effectiveness of Islamic finance in the Republic of Kazakhstan.</w:t>
      </w:r>
    </w:p>
    <w:p w14:paraId="297F4210" w14:textId="42907B34" w:rsidR="00103952" w:rsidRPr="00DE00E9" w:rsidRDefault="00DE00E9" w:rsidP="00103952">
      <w:pPr>
        <w:jc w:val="both"/>
        <w:rPr>
          <w:b/>
          <w:sz w:val="28"/>
          <w:szCs w:val="28"/>
          <w:lang w:val="en-US"/>
        </w:rPr>
      </w:pPr>
      <w:r>
        <w:rPr>
          <w:sz w:val="28"/>
          <w:szCs w:val="28"/>
          <w:lang w:val="en-US"/>
        </w:rPr>
        <w:tab/>
      </w:r>
      <w:r w:rsidR="00103952" w:rsidRPr="00DE00E9">
        <w:rPr>
          <w:b/>
          <w:sz w:val="28"/>
          <w:szCs w:val="28"/>
          <w:lang w:val="en-US"/>
        </w:rPr>
        <w:t>The theoretical and methodological basis of the study.</w:t>
      </w:r>
    </w:p>
    <w:p w14:paraId="121623A0" w14:textId="3BD35A8C"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The dissertation research was conducted based on a systematic approach using the following quantitative and qualitative methods: generalization, systematization, comparison, historical and logical methods – to study the economic essence of the concept of the social component of Islamic finance (section 1.1); analysis of foreign experience in the development of Islamic finance and the use of social tools (section 1.2); analysis of the legislative framework of Kazakhstan for the activities of Islamic financial and non-financial institutions (section 2.1); narrative and statistical analysis - for investigation the state of the Islamic financial system (section 2.1); SWOT analysis and the method of expert assessments - for determining the priority directions of the development of Islamic finance in solving social problems (section 2.2); financial analysis – for assessing the social effectiveness of Islamic finance (section 1.3) and its impact on the social well-being of the country (section 3.1).</w:t>
      </w:r>
    </w:p>
    <w:p w14:paraId="7661735C" w14:textId="364592D6"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Stata and Microsoft Excel programs were used for statistical data processing.</w:t>
      </w:r>
    </w:p>
    <w:p w14:paraId="13938025" w14:textId="261EFDC0" w:rsidR="00103952" w:rsidRPr="00103952" w:rsidRDefault="00DE00E9" w:rsidP="00103952">
      <w:pPr>
        <w:jc w:val="both"/>
        <w:rPr>
          <w:sz w:val="28"/>
          <w:szCs w:val="28"/>
          <w:lang w:val="en-US"/>
        </w:rPr>
      </w:pPr>
      <w:r>
        <w:rPr>
          <w:sz w:val="28"/>
          <w:szCs w:val="28"/>
          <w:lang w:val="en-US"/>
        </w:rPr>
        <w:tab/>
      </w:r>
      <w:r w:rsidR="00103952" w:rsidRPr="00DE00E9">
        <w:rPr>
          <w:b/>
          <w:sz w:val="28"/>
          <w:szCs w:val="28"/>
          <w:lang w:val="en-US"/>
        </w:rPr>
        <w:t>Information base of the study.</w:t>
      </w:r>
      <w:r w:rsidR="00103952" w:rsidRPr="00103952">
        <w:rPr>
          <w:sz w:val="28"/>
          <w:szCs w:val="28"/>
          <w:lang w:val="en-US"/>
        </w:rPr>
        <w:t xml:space="preserve"> The information base of the dissertation research was primary and secondary data. Sources of primary data: data of expert assessment of 45 experts on the profile of the dissertation, professionals in the field of Islamic finance in Kazakhstan, data of in-depth interviews of representatives of the </w:t>
      </w:r>
      <w:r w:rsidR="00103952" w:rsidRPr="00103952">
        <w:rPr>
          <w:sz w:val="28"/>
          <w:szCs w:val="28"/>
          <w:lang w:val="en-US"/>
        </w:rPr>
        <w:lastRenderedPageBreak/>
        <w:t xml:space="preserve">management of Islamic financial institutions, conventional financial institutions, and social Islamic non-financial foundations, data of a survey of 1376 respondents. Sources of secondary data: statistical data of the Bureau of National Statistics of the Agency for Strategic Planning and Reform of the Republic of Kazakhstan, analytical reports of the Agency of the Republic of Kazakhstan for Regulation and Development of the Financial Market, the National Bank of the Republic of Kazakhstan, the "Astana" International Financial Centre, Kazakhstan Stock Exchange, the World Bank, the Islamic Research and Training Institute, and the United Nations. </w:t>
      </w:r>
    </w:p>
    <w:p w14:paraId="1CA7B853" w14:textId="0DF978B5" w:rsidR="00103952" w:rsidRPr="00103952" w:rsidRDefault="00DE00E9" w:rsidP="00103952">
      <w:pPr>
        <w:jc w:val="both"/>
        <w:rPr>
          <w:sz w:val="28"/>
          <w:szCs w:val="28"/>
          <w:lang w:val="en-US"/>
        </w:rPr>
      </w:pPr>
      <w:r>
        <w:rPr>
          <w:sz w:val="28"/>
          <w:szCs w:val="28"/>
          <w:lang w:val="en-US"/>
        </w:rPr>
        <w:tab/>
      </w:r>
      <w:r w:rsidR="00103952" w:rsidRPr="00DE00E9">
        <w:rPr>
          <w:b/>
          <w:sz w:val="28"/>
          <w:szCs w:val="28"/>
          <w:lang w:val="en-US"/>
        </w:rPr>
        <w:t>The scientific novelty of the research.</w:t>
      </w:r>
      <w:r w:rsidR="00103952" w:rsidRPr="00103952">
        <w:rPr>
          <w:sz w:val="28"/>
          <w:szCs w:val="28"/>
          <w:lang w:val="en-US"/>
        </w:rPr>
        <w:t xml:space="preserve"> The following results were obtained during the dissertation research, defining its scientific novelty:</w:t>
      </w:r>
    </w:p>
    <w:p w14:paraId="69571A6C" w14:textId="369875F2"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the concepts of the social function of Islamic finance and Islamic social finance have been clarified and delineated;</w:t>
      </w:r>
    </w:p>
    <w:p w14:paraId="4D9D8C02" w14:textId="11F1959D"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xml:space="preserve">- by identifying the role of specific Islamic social financial instruments - zakat, waqf, and Islamic microfinance, considering the peculiarities of the foreign countries' experience, the forms range of Islamic social finance for Kazakhstan has been expanded; </w:t>
      </w:r>
    </w:p>
    <w:p w14:paraId="3010FC59" w14:textId="7C05738F"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the methodology for assessing the social effectiveness of Islamic finance at different levels of the economic hierarchy has been proposed;</w:t>
      </w:r>
    </w:p>
    <w:p w14:paraId="16ADB116" w14:textId="782F38BF"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the methods of assessing the potential Islamic finance assets and potential zakat amount have been proposed, and their impact on the welfare of socially vulnerable groups of the population of the country has been determined;</w:t>
      </w:r>
    </w:p>
    <w:p w14:paraId="206F48CC" w14:textId="46A0E4B5"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the role of Islamic financial institutions and non-financial organizations in solving social problems in Kazakhstan has been substantiated;</w:t>
      </w:r>
    </w:p>
    <w:p w14:paraId="68488F9A" w14:textId="2572CE32"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the measures for improving the social effectiveness of Islamic finance in the Republic of Kazakhstan based on the application of information technologies such as crowdfunding and blockchain have been proposed;</w:t>
      </w:r>
    </w:p>
    <w:p w14:paraId="42B9EA73" w14:textId="405D10DB"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the recommendations on institutional support for implementing the social function of Islamic finance in the Republic of Kazakhstan have been developed.</w:t>
      </w:r>
    </w:p>
    <w:p w14:paraId="71642001" w14:textId="77777777" w:rsidR="00103952" w:rsidRPr="00103952" w:rsidRDefault="00103952" w:rsidP="00103952">
      <w:pPr>
        <w:jc w:val="both"/>
        <w:rPr>
          <w:sz w:val="28"/>
          <w:szCs w:val="28"/>
          <w:lang w:val="en-US"/>
        </w:rPr>
      </w:pPr>
      <w:r w:rsidRPr="00103952">
        <w:rPr>
          <w:sz w:val="28"/>
          <w:szCs w:val="28"/>
          <w:lang w:val="en-US"/>
        </w:rPr>
        <w:t>The main statements for thesis defense:</w:t>
      </w:r>
    </w:p>
    <w:p w14:paraId="292CCB96" w14:textId="77777777" w:rsidR="00103952" w:rsidRPr="00103952" w:rsidRDefault="00103952" w:rsidP="00103952">
      <w:pPr>
        <w:jc w:val="both"/>
        <w:rPr>
          <w:sz w:val="28"/>
          <w:szCs w:val="28"/>
          <w:lang w:val="en-US"/>
        </w:rPr>
      </w:pPr>
      <w:r w:rsidRPr="00103952">
        <w:rPr>
          <w:sz w:val="28"/>
          <w:szCs w:val="28"/>
          <w:lang w:val="en-US"/>
        </w:rPr>
        <w:tab/>
        <w:t xml:space="preserve">- economic relations based on the principles of the Shariah determine specific social and ethical norms, which, on the one hand, allow the use of finance as close as possible to their economic nature in the real economy. On the other hand, Islamic finance demonstrates a competitive advantage in crises and social problems compared to conventional finance. </w:t>
      </w:r>
    </w:p>
    <w:p w14:paraId="368B11D5" w14:textId="77777777" w:rsidR="00103952" w:rsidRPr="00103952" w:rsidRDefault="00103952" w:rsidP="00103952">
      <w:pPr>
        <w:jc w:val="both"/>
        <w:rPr>
          <w:sz w:val="28"/>
          <w:szCs w:val="28"/>
          <w:lang w:val="en-US"/>
        </w:rPr>
      </w:pPr>
      <w:r w:rsidRPr="00103952">
        <w:rPr>
          <w:sz w:val="28"/>
          <w:szCs w:val="28"/>
          <w:lang w:val="en-US"/>
        </w:rPr>
        <w:tab/>
        <w:t>- specific Islamic social finance  - zakat, waqf and microfinance, play a crucial role in addressing the social problems of the population in many countries. The institutional structure of specific Islamic finance management varies from country to country but does not change its socially-oriented function.</w:t>
      </w:r>
    </w:p>
    <w:p w14:paraId="4E3735CC" w14:textId="7022020C" w:rsidR="00103952" w:rsidRPr="00103952" w:rsidRDefault="00103952" w:rsidP="00103952">
      <w:pPr>
        <w:jc w:val="both"/>
        <w:rPr>
          <w:sz w:val="28"/>
          <w:szCs w:val="28"/>
          <w:lang w:val="en-US"/>
        </w:rPr>
      </w:pPr>
      <w:r w:rsidRPr="00103952">
        <w:rPr>
          <w:sz w:val="28"/>
          <w:szCs w:val="28"/>
          <w:lang w:val="en-US"/>
        </w:rPr>
        <w:tab/>
        <w:t xml:space="preserve">- to assess the social effectiveness of Islamic finance, it is proposed to use criteria for different economic hierarchy levels. At the macroeconomics level, the AHP method (an analytical hierarchy process) was used to measure the potential social effects of Islamic investment; the potential assets of Islamic finance in the country were evaluated; </w:t>
      </w:r>
      <w:r w:rsidR="00DE00E9">
        <w:rPr>
          <w:sz w:val="28"/>
          <w:szCs w:val="28"/>
          <w:lang w:val="en-US"/>
        </w:rPr>
        <w:t>a</w:t>
      </w:r>
      <w:r w:rsidRPr="00103952">
        <w:rPr>
          <w:sz w:val="28"/>
          <w:szCs w:val="28"/>
          <w:lang w:val="en-US"/>
        </w:rPr>
        <w:t>t the micro-level, the method of estimating savings of needy and people with limited incomes is proposed, and the social effect of realization of social business in the form of entrepreneurial activity.</w:t>
      </w:r>
      <w:r w:rsidRPr="00103952">
        <w:rPr>
          <w:sz w:val="28"/>
          <w:szCs w:val="28"/>
          <w:lang w:val="en-US"/>
        </w:rPr>
        <w:tab/>
      </w:r>
    </w:p>
    <w:p w14:paraId="3717C035" w14:textId="77777777" w:rsidR="00103952" w:rsidRPr="00103952" w:rsidRDefault="00103952" w:rsidP="00103952">
      <w:pPr>
        <w:jc w:val="both"/>
        <w:rPr>
          <w:sz w:val="28"/>
          <w:szCs w:val="28"/>
          <w:lang w:val="en-US"/>
        </w:rPr>
      </w:pPr>
      <w:r w:rsidRPr="00103952">
        <w:rPr>
          <w:sz w:val="28"/>
          <w:szCs w:val="28"/>
          <w:lang w:val="en-US"/>
        </w:rPr>
        <w:lastRenderedPageBreak/>
        <w:tab/>
        <w:t xml:space="preserve">- the potential assets of Islamic finance in the country were evaluated, and the potential zakat collection in the country was assessed using the Kahf and Shirazi approach, adjusted to the actual situation with the country's economic indicators. The social impact of Islamic finance was estimated using the savings in public financial resources allocated to social needs. </w:t>
      </w:r>
    </w:p>
    <w:p w14:paraId="253576B7" w14:textId="77777777" w:rsidR="00103952" w:rsidRPr="00103952" w:rsidRDefault="00103952" w:rsidP="00103952">
      <w:pPr>
        <w:jc w:val="both"/>
        <w:rPr>
          <w:sz w:val="28"/>
          <w:szCs w:val="28"/>
          <w:lang w:val="en-US"/>
        </w:rPr>
      </w:pPr>
      <w:r w:rsidRPr="00103952">
        <w:rPr>
          <w:sz w:val="28"/>
          <w:szCs w:val="28"/>
          <w:lang w:val="en-US"/>
        </w:rPr>
        <w:tab/>
        <w:t xml:space="preserve">- based on qualitative analysis conducted through questionnaires, in-depth interviews, and financial data provided, the social contribution and social effectiveness of Islamic and non-Islamic financial organizations operating in Kazakhstan were identified. </w:t>
      </w:r>
    </w:p>
    <w:p w14:paraId="0F180C92" w14:textId="63B57D32"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the role of financial technologies is dramatically increasing in the Islamic financial system as part of the global financial system and market. Financial technologies used for the convenience of customers, reducing transaction costs, and increasing transparency and security of financial transactions also affect the social functions of Islamic financial services. The evaluation of the effectiveness of using the crowdfunding platform to collect zakat and charity for the integration forms of the platform has shown its high effectiveness due to saving state resources and ensuring transparency for both donors and applicants for social assistance.</w:t>
      </w:r>
    </w:p>
    <w:p w14:paraId="28A6F875" w14:textId="4490C44D"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 recommendations for successful Islamic finance development and ensuring social effectiveness in the Republic of Kazakhstan were developed based on the analysis of the legislative framework. The appropriate institutional support is needed, including several legislative, organizational, and economic measures that will form the basis of the Strategy for the Development of Islamic Finance. This strategy should include Islamic banking and the Islamic capital market, Islamic investments, Islamic insurance, and Islamic social financing, especially the development of the waqf system in the country.</w:t>
      </w:r>
    </w:p>
    <w:p w14:paraId="28967BEB" w14:textId="77777777" w:rsidR="00103952" w:rsidRPr="00DE00E9" w:rsidRDefault="00103952" w:rsidP="00103952">
      <w:pPr>
        <w:jc w:val="both"/>
        <w:rPr>
          <w:b/>
          <w:sz w:val="28"/>
          <w:szCs w:val="28"/>
          <w:lang w:val="en-US"/>
        </w:rPr>
      </w:pPr>
      <w:r w:rsidRPr="00103952">
        <w:rPr>
          <w:sz w:val="28"/>
          <w:szCs w:val="28"/>
          <w:lang w:val="en-US"/>
        </w:rPr>
        <w:tab/>
      </w:r>
      <w:r w:rsidRPr="00DE00E9">
        <w:rPr>
          <w:b/>
          <w:sz w:val="28"/>
          <w:szCs w:val="28"/>
          <w:lang w:val="en-US"/>
        </w:rPr>
        <w:t>The theoretical contribution of the research results.</w:t>
      </w:r>
    </w:p>
    <w:p w14:paraId="301CB0ED" w14:textId="77777777" w:rsidR="00103952" w:rsidRPr="00103952" w:rsidRDefault="00103952" w:rsidP="00103952">
      <w:pPr>
        <w:jc w:val="both"/>
        <w:rPr>
          <w:sz w:val="28"/>
          <w:szCs w:val="28"/>
          <w:lang w:val="en-US"/>
        </w:rPr>
      </w:pPr>
      <w:r w:rsidRPr="00103952">
        <w:rPr>
          <w:sz w:val="28"/>
          <w:szCs w:val="28"/>
          <w:lang w:val="en-US"/>
        </w:rPr>
        <w:tab/>
        <w:t>There has been gained new theoretical knowledge of the methods of assessing the social effectiveness of Islamic finance. Theoretical conclusions and the results of this research are essential for developing theoretical and methodological foundations for studying social instruments of Islamic finance, the socio-economic efficiency of the application, and the expansion of the range of Islamic finance functions in solving social problems. The dissertation research results can become the basis for setting new research tasks for both domestic and world science.</w:t>
      </w:r>
    </w:p>
    <w:p w14:paraId="57BC43AC" w14:textId="77777777" w:rsidR="00103952" w:rsidRPr="00DE00E9" w:rsidRDefault="00103952" w:rsidP="00103952">
      <w:pPr>
        <w:jc w:val="both"/>
        <w:rPr>
          <w:b/>
          <w:sz w:val="28"/>
          <w:szCs w:val="28"/>
          <w:lang w:val="en-US"/>
        </w:rPr>
      </w:pPr>
      <w:r w:rsidRPr="00103952">
        <w:rPr>
          <w:sz w:val="28"/>
          <w:szCs w:val="28"/>
          <w:lang w:val="en-US"/>
        </w:rPr>
        <w:tab/>
      </w:r>
      <w:r w:rsidRPr="00DE00E9">
        <w:rPr>
          <w:b/>
          <w:sz w:val="28"/>
          <w:szCs w:val="28"/>
          <w:lang w:val="en-US"/>
        </w:rPr>
        <w:t>The practical contribution of the study.</w:t>
      </w:r>
    </w:p>
    <w:p w14:paraId="6C7CF393" w14:textId="77777777" w:rsidR="00103952" w:rsidRPr="00103952" w:rsidRDefault="00103952" w:rsidP="00103952">
      <w:pPr>
        <w:jc w:val="both"/>
        <w:rPr>
          <w:sz w:val="28"/>
          <w:szCs w:val="28"/>
          <w:lang w:val="en-US"/>
        </w:rPr>
      </w:pPr>
      <w:r w:rsidRPr="00103952">
        <w:rPr>
          <w:sz w:val="28"/>
          <w:szCs w:val="28"/>
          <w:lang w:val="en-US"/>
        </w:rPr>
        <w:tab/>
        <w:t xml:space="preserve">The results of this research can be useful for assessing the social effectiveness and socio-economic efficiency of social business. The conclusions, proposals, and scientific and practical recommendations can be taken into account and used in the implementation, development, and improvement of strategies, programs, concepts, and development plans of the Ministry of Labor and Social Protection of the Republic of Kazakhstan and the Agency of the Republic of Kazakhstan for Regulation and Development of the Financial Market within the Ministry of Finance. The results obtained during the research will contribute to the development of instruments of Islamic finance by integrating financial technologies into the activities of the Zeket and charity foundation of Kazakhstan to ensure transparency and openness, which in turn, </w:t>
      </w:r>
      <w:r w:rsidRPr="00103952">
        <w:rPr>
          <w:sz w:val="28"/>
          <w:szCs w:val="28"/>
          <w:lang w:val="en-US"/>
        </w:rPr>
        <w:lastRenderedPageBreak/>
        <w:t>will lead to an increase in the financing of social projects and reduce the cost of state assistance for the socially vulnerable population of the country.</w:t>
      </w:r>
    </w:p>
    <w:p w14:paraId="1099434B" w14:textId="77777777" w:rsidR="00103952" w:rsidRPr="00103952" w:rsidRDefault="00103952" w:rsidP="00103952">
      <w:pPr>
        <w:jc w:val="both"/>
        <w:rPr>
          <w:sz w:val="28"/>
          <w:szCs w:val="28"/>
          <w:lang w:val="en-US"/>
        </w:rPr>
      </w:pPr>
      <w:r w:rsidRPr="00103952">
        <w:rPr>
          <w:sz w:val="28"/>
          <w:szCs w:val="28"/>
          <w:lang w:val="en-US"/>
        </w:rPr>
        <w:t>The materials in the thesis can be used in the educational process to prepare specialists in the following specialties: Finance, Islamic Finance, and financial technologies.</w:t>
      </w:r>
    </w:p>
    <w:p w14:paraId="62B75582" w14:textId="77777777" w:rsidR="00103952" w:rsidRPr="00103952" w:rsidRDefault="00103952" w:rsidP="00103952">
      <w:pPr>
        <w:jc w:val="both"/>
        <w:rPr>
          <w:sz w:val="28"/>
          <w:szCs w:val="28"/>
          <w:lang w:val="en-US"/>
        </w:rPr>
      </w:pPr>
      <w:r w:rsidRPr="00103952">
        <w:rPr>
          <w:sz w:val="28"/>
          <w:szCs w:val="28"/>
          <w:lang w:val="en-US"/>
        </w:rPr>
        <w:tab/>
      </w:r>
      <w:r w:rsidRPr="00DE00E9">
        <w:rPr>
          <w:b/>
          <w:sz w:val="28"/>
          <w:szCs w:val="28"/>
          <w:lang w:val="en-US"/>
        </w:rPr>
        <w:t>Approbation and implementation of the research results</w:t>
      </w:r>
      <w:r w:rsidRPr="00103952">
        <w:rPr>
          <w:sz w:val="28"/>
          <w:szCs w:val="28"/>
          <w:lang w:val="en-US"/>
        </w:rPr>
        <w:t>. An Act on the implementation has signed the results of the study by the Public Foundation UME Social Services in the activities of the social market. The main propositions of this study were discussed at scientific and methodological seminars of the Higher School of Economics and Business of the Al-Farabi Kazakh National University and the international forum Astana Finance Days 2020 of the Astana International Financial Centre.</w:t>
      </w:r>
    </w:p>
    <w:p w14:paraId="2E583E16" w14:textId="00C78F59" w:rsidR="00103952" w:rsidRPr="00103952" w:rsidRDefault="00DE00E9" w:rsidP="00103952">
      <w:pPr>
        <w:jc w:val="both"/>
        <w:rPr>
          <w:sz w:val="28"/>
          <w:szCs w:val="28"/>
          <w:lang w:val="en-US"/>
        </w:rPr>
      </w:pPr>
      <w:r>
        <w:rPr>
          <w:sz w:val="28"/>
          <w:szCs w:val="28"/>
          <w:lang w:val="en-US"/>
        </w:rPr>
        <w:tab/>
      </w:r>
      <w:r w:rsidR="00103952" w:rsidRPr="00103952">
        <w:rPr>
          <w:sz w:val="28"/>
          <w:szCs w:val="28"/>
          <w:lang w:val="en-US"/>
        </w:rPr>
        <w:t>The main results of the research were reported and presented at the international scientific conferences "Innovative and entrepreneurial education in the context of improving the quality of life" (12.12.2018, Almaty, Kazakhstan); "Competitiveness of national economies and regions in the context of global challenges of the world economy" (19.04.2019, Rostov-on-Don-Taganrog, Russia); "Innovative and entrepreneurial education in the context of improving the quality of life" (12.12.2018, Almaty, Kazakhstan); "Kazakhstan in a multipolar world: economic scenarios" (10.04.2019, Almaty, Kazakhstan); "2021 International Conference of Young Scholars, SDU" (26.05.2021, Kaskelen, Kazakhstan).</w:t>
      </w:r>
    </w:p>
    <w:p w14:paraId="0A528E03" w14:textId="02D306DA" w:rsidR="00103952" w:rsidRPr="00103952" w:rsidRDefault="00DE00E9" w:rsidP="00103952">
      <w:pPr>
        <w:jc w:val="both"/>
        <w:rPr>
          <w:sz w:val="28"/>
          <w:szCs w:val="28"/>
          <w:lang w:val="en-US"/>
        </w:rPr>
      </w:pPr>
      <w:r>
        <w:rPr>
          <w:sz w:val="28"/>
          <w:szCs w:val="28"/>
          <w:lang w:val="en-US"/>
        </w:rPr>
        <w:tab/>
      </w:r>
      <w:r w:rsidR="00103952" w:rsidRPr="00DE00E9">
        <w:rPr>
          <w:b/>
          <w:sz w:val="28"/>
          <w:szCs w:val="28"/>
          <w:lang w:val="en-US"/>
        </w:rPr>
        <w:t>Publications.</w:t>
      </w:r>
      <w:r w:rsidR="00103952" w:rsidRPr="00103952">
        <w:rPr>
          <w:sz w:val="28"/>
          <w:szCs w:val="28"/>
          <w:lang w:val="en-US"/>
        </w:rPr>
        <w:t xml:space="preserve"> The main provisions and conclusions submitted for defense were reflected in 15 scientific papers, 3 of which were published in the journal with a non-zero impact factor and included in the international information resources Scopus and Web of Science, 3 - in scientific publications recommended by CCSES of the MES RK, and 9 reports in the proceedings of international scientific and practical conferences, including 1 abroad (Russia), RSCI.</w:t>
      </w:r>
    </w:p>
    <w:p w14:paraId="600675BB" w14:textId="467A4F7F" w:rsidR="00103952" w:rsidRPr="00103952" w:rsidRDefault="00103952" w:rsidP="00103952">
      <w:pPr>
        <w:jc w:val="both"/>
        <w:rPr>
          <w:color w:val="000000" w:themeColor="text1"/>
          <w:sz w:val="28"/>
          <w:szCs w:val="28"/>
          <w:lang w:val="en-US"/>
        </w:rPr>
      </w:pPr>
      <w:r w:rsidRPr="00103952">
        <w:rPr>
          <w:sz w:val="28"/>
          <w:szCs w:val="28"/>
          <w:lang w:val="en-US"/>
        </w:rPr>
        <w:tab/>
        <w:t>Structure and scope of the thesis. The dissertation structure reflects the logic, the order of research, and the algorithm for solving the tasks. The dissertation consists of the content, notation and abbreviations, introduction, three chapters, conclusion, list of references, and 6 appendices. The volume of the dissertation research is 1</w:t>
      </w:r>
      <w:r w:rsidR="00020CDF">
        <w:rPr>
          <w:sz w:val="28"/>
          <w:szCs w:val="28"/>
          <w:lang w:val="en-US"/>
        </w:rPr>
        <w:t>50</w:t>
      </w:r>
      <w:r w:rsidRPr="00103952">
        <w:rPr>
          <w:sz w:val="28"/>
          <w:szCs w:val="28"/>
          <w:lang w:val="en-US"/>
        </w:rPr>
        <w:t xml:space="preserve"> pages of typewritten text (appendices excluding), including 57 tables, 24 figures, and 8 formulas. The list of used references includes 149 sources.</w:t>
      </w:r>
      <w:r w:rsidRPr="00103952">
        <w:rPr>
          <w:color w:val="000000" w:themeColor="text1"/>
          <w:sz w:val="28"/>
          <w:szCs w:val="28"/>
          <w:lang w:val="en-US"/>
        </w:rPr>
        <w:t xml:space="preserve"> </w:t>
      </w:r>
    </w:p>
    <w:p w14:paraId="346E5740" w14:textId="77777777" w:rsidR="00DE00E9" w:rsidRDefault="00DE00E9" w:rsidP="00103952">
      <w:pPr>
        <w:jc w:val="both"/>
        <w:rPr>
          <w:color w:val="000000" w:themeColor="text1"/>
          <w:lang w:val="en-US"/>
        </w:rPr>
      </w:pPr>
    </w:p>
    <w:p w14:paraId="4FA42DFE" w14:textId="77777777" w:rsidR="00DE00E9" w:rsidRDefault="00DE00E9" w:rsidP="00103952">
      <w:pPr>
        <w:jc w:val="both"/>
        <w:rPr>
          <w:color w:val="000000" w:themeColor="text1"/>
          <w:lang w:val="en-US"/>
        </w:rPr>
      </w:pPr>
    </w:p>
    <w:p w14:paraId="5ED09A26" w14:textId="77777777" w:rsidR="00DE00E9" w:rsidRDefault="00DE00E9" w:rsidP="00103952">
      <w:pPr>
        <w:jc w:val="both"/>
        <w:rPr>
          <w:color w:val="000000" w:themeColor="text1"/>
          <w:lang w:val="en-US"/>
        </w:rPr>
      </w:pPr>
    </w:p>
    <w:p w14:paraId="0E23D068" w14:textId="77777777" w:rsidR="00DE00E9" w:rsidRDefault="00DE00E9" w:rsidP="00103952">
      <w:pPr>
        <w:jc w:val="both"/>
        <w:rPr>
          <w:color w:val="000000" w:themeColor="text1"/>
          <w:lang w:val="en-US"/>
        </w:rPr>
      </w:pPr>
    </w:p>
    <w:p w14:paraId="615D5098" w14:textId="77777777" w:rsidR="00DE00E9" w:rsidRDefault="00DE00E9" w:rsidP="00103952">
      <w:pPr>
        <w:jc w:val="both"/>
        <w:rPr>
          <w:color w:val="000000" w:themeColor="text1"/>
          <w:lang w:val="en-US"/>
        </w:rPr>
      </w:pPr>
    </w:p>
    <w:p w14:paraId="4C92A090" w14:textId="77777777" w:rsidR="00DE00E9" w:rsidRDefault="00DE00E9" w:rsidP="00103952">
      <w:pPr>
        <w:jc w:val="both"/>
        <w:rPr>
          <w:color w:val="000000" w:themeColor="text1"/>
          <w:lang w:val="en-US"/>
        </w:rPr>
      </w:pPr>
    </w:p>
    <w:p w14:paraId="51538969" w14:textId="77777777" w:rsidR="00DE00E9" w:rsidRDefault="00DE00E9" w:rsidP="00103952">
      <w:pPr>
        <w:jc w:val="both"/>
        <w:rPr>
          <w:color w:val="000000" w:themeColor="text1"/>
          <w:lang w:val="en-US"/>
        </w:rPr>
      </w:pPr>
    </w:p>
    <w:p w14:paraId="70124B5B" w14:textId="77777777" w:rsidR="00DE00E9" w:rsidRDefault="00DE00E9" w:rsidP="00103952">
      <w:pPr>
        <w:jc w:val="both"/>
        <w:rPr>
          <w:color w:val="000000" w:themeColor="text1"/>
          <w:lang w:val="en-US"/>
        </w:rPr>
      </w:pPr>
    </w:p>
    <w:p w14:paraId="5964DC1B" w14:textId="77777777" w:rsidR="00DE00E9" w:rsidRDefault="00DE00E9" w:rsidP="00103952">
      <w:pPr>
        <w:jc w:val="both"/>
        <w:rPr>
          <w:color w:val="000000" w:themeColor="text1"/>
          <w:lang w:val="en-US"/>
        </w:rPr>
      </w:pPr>
    </w:p>
    <w:p w14:paraId="41364D30" w14:textId="77777777" w:rsidR="00DE00E9" w:rsidRDefault="00DE00E9" w:rsidP="00103952">
      <w:pPr>
        <w:jc w:val="both"/>
        <w:rPr>
          <w:color w:val="000000" w:themeColor="text1"/>
          <w:lang w:val="en-US"/>
        </w:rPr>
      </w:pPr>
    </w:p>
    <w:p w14:paraId="265DA1E9" w14:textId="77777777" w:rsidR="00DE00E9" w:rsidRDefault="00DE00E9" w:rsidP="00103952">
      <w:pPr>
        <w:jc w:val="both"/>
        <w:rPr>
          <w:color w:val="000000" w:themeColor="text1"/>
          <w:lang w:val="en-US"/>
        </w:rPr>
      </w:pPr>
    </w:p>
    <w:p w14:paraId="6CDE92A9" w14:textId="77777777" w:rsidR="00DE00E9" w:rsidRDefault="00DE00E9" w:rsidP="00103952">
      <w:pPr>
        <w:jc w:val="both"/>
        <w:rPr>
          <w:color w:val="000000" w:themeColor="text1"/>
          <w:lang w:val="en-US"/>
        </w:rPr>
      </w:pPr>
    </w:p>
    <w:p w14:paraId="62D5895D" w14:textId="77777777" w:rsidR="00DE00E9" w:rsidRDefault="00DE00E9" w:rsidP="00103952">
      <w:pPr>
        <w:jc w:val="both"/>
        <w:rPr>
          <w:color w:val="000000" w:themeColor="text1"/>
          <w:lang w:val="en-US"/>
        </w:rPr>
      </w:pPr>
    </w:p>
    <w:p w14:paraId="51E4CEF1" w14:textId="05719740" w:rsidR="005A1EE9" w:rsidRDefault="005A1EE9" w:rsidP="00E9221E">
      <w:pPr>
        <w:jc w:val="both"/>
        <w:rPr>
          <w:b/>
          <w:bCs/>
          <w:color w:val="000000" w:themeColor="text1"/>
          <w:sz w:val="28"/>
          <w:szCs w:val="28"/>
          <w:lang w:val="en-US"/>
        </w:rPr>
      </w:pPr>
      <w:r w:rsidRPr="00B0001C">
        <w:rPr>
          <w:b/>
          <w:color w:val="000000" w:themeColor="text1"/>
          <w:sz w:val="28"/>
          <w:szCs w:val="28"/>
          <w:lang w:val="en-US"/>
        </w:rPr>
        <w:lastRenderedPageBreak/>
        <w:t xml:space="preserve">1 </w:t>
      </w:r>
      <w:r w:rsidR="00A2106D" w:rsidRPr="00B0001C">
        <w:rPr>
          <w:b/>
          <w:bCs/>
          <w:color w:val="000000" w:themeColor="text1"/>
          <w:sz w:val="28"/>
          <w:szCs w:val="28"/>
          <w:lang w:val="en-US"/>
        </w:rPr>
        <w:t xml:space="preserve">SOCIAL EFFECTIVENESS OF ISLAMIC FINANCE: THEORETICAL AND METHODOLOGICAL APPROACHES </w:t>
      </w:r>
      <w:r w:rsidR="00A2106D" w:rsidRPr="00B0001C">
        <w:rPr>
          <w:b/>
          <w:color w:val="000000" w:themeColor="text1"/>
          <w:sz w:val="28"/>
          <w:szCs w:val="28"/>
          <w:shd w:val="clear" w:color="auto" w:fill="FFFFFF"/>
          <w:lang w:val="en-US"/>
        </w:rPr>
        <w:t>TO CONTENT DETERMINATION AND MEASUREMENT</w:t>
      </w:r>
      <w:r w:rsidRPr="00B0001C">
        <w:rPr>
          <w:b/>
          <w:bCs/>
          <w:color w:val="000000" w:themeColor="text1"/>
          <w:sz w:val="28"/>
          <w:szCs w:val="28"/>
          <w:lang w:val="en-US"/>
        </w:rPr>
        <w:t xml:space="preserve">  </w:t>
      </w:r>
    </w:p>
    <w:p w14:paraId="71C416E3" w14:textId="77777777" w:rsidR="00AC0BEF" w:rsidRPr="00B0001C" w:rsidRDefault="00AC0BEF" w:rsidP="00E9221E">
      <w:pPr>
        <w:jc w:val="both"/>
        <w:rPr>
          <w:b/>
          <w:bCs/>
          <w:color w:val="000000" w:themeColor="text1"/>
          <w:sz w:val="28"/>
          <w:szCs w:val="28"/>
          <w:lang w:val="en-US"/>
        </w:rPr>
      </w:pPr>
    </w:p>
    <w:p w14:paraId="7334C40B" w14:textId="77777777" w:rsidR="005A1EE9" w:rsidRPr="00D549EE" w:rsidRDefault="005A1EE9" w:rsidP="00C9582F">
      <w:pPr>
        <w:pStyle w:val="31"/>
        <w:spacing w:before="0"/>
        <w:rPr>
          <w:color w:val="000000"/>
          <w:lang w:val="en-US"/>
        </w:rPr>
      </w:pPr>
      <w:r w:rsidRPr="00D549EE">
        <w:rPr>
          <w:lang w:val="en-US"/>
        </w:rPr>
        <w:t xml:space="preserve">1.1 </w:t>
      </w:r>
      <w:r w:rsidRPr="00D549EE">
        <w:rPr>
          <w:color w:val="000000"/>
          <w:lang w:val="en-US"/>
        </w:rPr>
        <w:t>The social component of Islamic finance, its economic nature and functional forms</w:t>
      </w:r>
    </w:p>
    <w:p w14:paraId="5B34D8F9" w14:textId="40B441F2" w:rsidR="005A1EE9" w:rsidRPr="00D549EE" w:rsidRDefault="00C06710" w:rsidP="00C9582F">
      <w:pPr>
        <w:pStyle w:val="31"/>
        <w:spacing w:before="0"/>
        <w:contextualSpacing/>
        <w:rPr>
          <w:b w:val="0"/>
          <w:color w:val="000000" w:themeColor="text1"/>
          <w:lang w:val="en-US"/>
        </w:rPr>
      </w:pPr>
      <w:r w:rsidRPr="00D549EE">
        <w:rPr>
          <w:b w:val="0"/>
          <w:color w:val="000000"/>
          <w:lang w:val="en-US"/>
        </w:rPr>
        <w:t xml:space="preserve">One of the significant reasons for the widespread </w:t>
      </w:r>
      <w:r w:rsidR="00E05F9F" w:rsidRPr="00D549EE">
        <w:rPr>
          <w:b w:val="0"/>
          <w:color w:val="000000"/>
          <w:lang w:val="en-US"/>
        </w:rPr>
        <w:t xml:space="preserve">of the using </w:t>
      </w:r>
      <w:r w:rsidRPr="00D549EE">
        <w:rPr>
          <w:b w:val="0"/>
          <w:color w:val="000000"/>
          <w:lang w:val="en-US"/>
        </w:rPr>
        <w:t>of Islamic financial instruments</w:t>
      </w:r>
      <w:r w:rsidR="00E05F9F" w:rsidRPr="00D549EE">
        <w:rPr>
          <w:b w:val="0"/>
          <w:color w:val="000000"/>
          <w:lang w:val="en-US"/>
        </w:rPr>
        <w:t xml:space="preserve"> </w:t>
      </w:r>
      <w:r w:rsidRPr="00D549EE">
        <w:rPr>
          <w:b w:val="0"/>
          <w:color w:val="000000"/>
          <w:lang w:val="en-US"/>
        </w:rPr>
        <w:t>in the world, experts call their social nature. Islam came to organize economic life and develop a system based on social justice. Islamic economics has nothing to do with the scientific discovery of existing economic relations.</w:t>
      </w:r>
      <w:r w:rsidR="009C007C" w:rsidRPr="00D549EE">
        <w:rPr>
          <w:b w:val="0"/>
          <w:color w:val="000000"/>
          <w:lang w:val="en-US"/>
        </w:rPr>
        <w:t xml:space="preserve"> </w:t>
      </w:r>
      <w:r w:rsidR="0031609A" w:rsidRPr="00D549EE">
        <w:rPr>
          <w:b w:val="0"/>
          <w:color w:val="000000"/>
          <w:lang w:val="en-US"/>
        </w:rPr>
        <w:t xml:space="preserve">Thus, Islamic economics is understood as a doctrine or a special </w:t>
      </w:r>
      <w:r w:rsidR="00DC748A" w:rsidRPr="00D549EE">
        <w:rPr>
          <w:b w:val="0"/>
          <w:color w:val="000000"/>
          <w:lang w:val="en-US"/>
        </w:rPr>
        <w:t>“</w:t>
      </w:r>
      <w:r w:rsidR="0031609A" w:rsidRPr="00D549EE">
        <w:rPr>
          <w:b w:val="0"/>
          <w:color w:val="000000"/>
          <w:lang w:val="en-US"/>
        </w:rPr>
        <w:t>ideology and methodology” of approach to solving economic problems</w:t>
      </w:r>
      <w:r w:rsidR="00F02F70" w:rsidRPr="00D549EE">
        <w:rPr>
          <w:b w:val="0"/>
          <w:color w:val="000000"/>
          <w:lang w:val="en-US"/>
        </w:rPr>
        <w:t xml:space="preserve"> </w:t>
      </w:r>
      <w:r w:rsidR="00F02F70" w:rsidRPr="00D549EE">
        <w:rPr>
          <w:b w:val="0"/>
          <w:color w:val="000000"/>
          <w:lang w:val="en-US"/>
        </w:rPr>
        <w:fldChar w:fldCharType="begin" w:fldLock="1"/>
      </w:r>
      <w:r w:rsidR="00785182" w:rsidRPr="00D549EE">
        <w:rPr>
          <w:b w:val="0"/>
          <w:color w:val="000000"/>
          <w:lang w:val="en-US"/>
        </w:rPr>
        <w:instrText>ADDIN CSL_CITATION {"citationItems":[{"id":"ITEM-1","itemData":{"author":[{"dropping-particle":"","family":"Siukiiainen","given":"Leonid","non-dropping-particle":"","parse-names":false,"suffix":""}],"container-title":"PAX ISLAMICA","id":"ITEM-1","issue":"1","issued":{"date-parts":[["2010"]]},"page":"163-180","title":"Legal foundations of the Islamic economy : interaction of Islamic and European legal cultures","type":"article-journal"},"uris":["http://www.mendeley.com/documents/?uuid=eb05ee5e-2b7f-4e28-a361-5639448be141"]}],"mendeley":{"formattedCitation":"[6]","plainTextFormattedCitation":"[6]","previouslyFormattedCitation":"[6]"},"properties":{"noteIndex":0},"schema":"https://github.com/citation-style-language/schema/raw/master/csl-citation.json"}</w:instrText>
      </w:r>
      <w:r w:rsidR="00F02F70" w:rsidRPr="00D549EE">
        <w:rPr>
          <w:b w:val="0"/>
          <w:color w:val="000000"/>
          <w:lang w:val="en-US"/>
        </w:rPr>
        <w:fldChar w:fldCharType="separate"/>
      </w:r>
      <w:r w:rsidR="00785182" w:rsidRPr="00D549EE">
        <w:rPr>
          <w:b w:val="0"/>
          <w:noProof/>
          <w:color w:val="000000"/>
          <w:lang w:val="en-US"/>
        </w:rPr>
        <w:t>[6]</w:t>
      </w:r>
      <w:r w:rsidR="00F02F70" w:rsidRPr="00D549EE">
        <w:rPr>
          <w:b w:val="0"/>
          <w:color w:val="000000"/>
          <w:lang w:val="en-US"/>
        </w:rPr>
        <w:fldChar w:fldCharType="end"/>
      </w:r>
      <w:r w:rsidR="007A200F" w:rsidRPr="00D549EE">
        <w:rPr>
          <w:b w:val="0"/>
          <w:color w:val="000000"/>
          <w:lang w:val="en-US"/>
        </w:rPr>
        <w:t>.</w:t>
      </w:r>
      <w:r w:rsidR="00F02F70" w:rsidRPr="00D549EE">
        <w:rPr>
          <w:b w:val="0"/>
          <w:color w:val="000000"/>
          <w:lang w:val="en-US"/>
        </w:rPr>
        <w:t xml:space="preserve"> In fact, in contrast to the traditional neoclassical approaches that give priority to material interests and the theory of </w:t>
      </w:r>
      <w:r w:rsidR="00205091" w:rsidRPr="00D549EE">
        <w:rPr>
          <w:b w:val="0"/>
          <w:color w:val="000000"/>
          <w:lang w:val="en-US"/>
        </w:rPr>
        <w:t xml:space="preserve">the </w:t>
      </w:r>
      <w:r w:rsidR="00F02F70" w:rsidRPr="00D549EE">
        <w:rPr>
          <w:b w:val="0"/>
          <w:color w:val="000000"/>
          <w:lang w:val="en-US"/>
        </w:rPr>
        <w:t xml:space="preserve">rationality of individuals aimed at maximizing utility while minimizing their costs, Islamic economics is aimed at providing basic human needs by using </w:t>
      </w:r>
      <w:r w:rsidR="00F02F70" w:rsidRPr="00D549EE">
        <w:rPr>
          <w:b w:val="0"/>
          <w:color w:val="000000" w:themeColor="text1"/>
          <w:lang w:val="en-US"/>
        </w:rPr>
        <w:t xml:space="preserve">harmonic resources.  </w:t>
      </w:r>
    </w:p>
    <w:p w14:paraId="3141058E" w14:textId="205B93B5" w:rsidR="005A1EE9" w:rsidRPr="00D549EE" w:rsidRDefault="005254F6" w:rsidP="00C9582F">
      <w:pPr>
        <w:pStyle w:val="31"/>
        <w:spacing w:before="0"/>
        <w:contextualSpacing/>
        <w:rPr>
          <w:b w:val="0"/>
          <w:color w:val="000000" w:themeColor="text1"/>
          <w:shd w:val="clear" w:color="auto" w:fill="FFFFFF"/>
          <w:lang w:val="en-US"/>
        </w:rPr>
      </w:pPr>
      <w:r w:rsidRPr="00D549EE">
        <w:rPr>
          <w:b w:val="0"/>
          <w:color w:val="000000" w:themeColor="text1"/>
          <w:lang w:val="en-US"/>
        </w:rPr>
        <w:t xml:space="preserve">The social component inherent in Islamic economic relations is defined in the Holy Scripture. Islam is the faith for the creation of peace and wealth on Earth, Allah said: “do good to parents, kinsfolk, orphans, Al-Masakin (the poor), the neighbor who is near of kin, the neighbor who is a stranger, the companion by your side, the wayfarer (you meet), and those (slaves) whom your right hands possess. Verily, Allah does not like such as are proud and boastful” 4:36 </w:t>
      </w:r>
      <w:r w:rsidRPr="00D549EE">
        <w:rPr>
          <w:b w:val="0"/>
          <w:color w:val="000000" w:themeColor="text1"/>
          <w:lang w:val="en-US"/>
        </w:rPr>
        <w:fldChar w:fldCharType="begin" w:fldLock="1"/>
      </w:r>
      <w:r w:rsidR="00D851B9" w:rsidRPr="00D549EE">
        <w:rPr>
          <w:b w:val="0"/>
          <w:color w:val="000000" w:themeColor="text1"/>
          <w:lang w:val="en-US"/>
        </w:rPr>
        <w:instrText>ADDIN CSL_CITATION {"citationItems":[{"id":"ITEM-1","itemData":{"author":[{"dropping-particle":"","family":"Ali","given":"Maualwi Sher","non-dropping-particle":"","parse-names":false,"suffix":""}],"id":"ITEM-1","issued":{"date-parts":[["2015"]]},"number-of-pages":"836","publisher":"Islam International publications Limited","title":"The Holy-Quran, Arabic text and English Translation","type":"book"},"uris":["http://www.mendeley.com/documents/?uuid=f9fa377e-58aa-401f-80ab-8caf62735865"]}],"mendeley":{"formattedCitation":"[7]","manualFormatting":"[7, p.57]","plainTextFormattedCitation":"[7]","previouslyFormattedCitation":"[7]"},"properties":{"noteIndex":0},"schema":"https://github.com/citation-style-language/schema/raw/master/csl-citation.json"}</w:instrText>
      </w:r>
      <w:r w:rsidRPr="00D549EE">
        <w:rPr>
          <w:b w:val="0"/>
          <w:color w:val="000000" w:themeColor="text1"/>
          <w:lang w:val="en-US"/>
        </w:rPr>
        <w:fldChar w:fldCharType="separate"/>
      </w:r>
      <w:r w:rsidR="00785182" w:rsidRPr="00D549EE">
        <w:rPr>
          <w:b w:val="0"/>
          <w:noProof/>
          <w:color w:val="000000" w:themeColor="text1"/>
          <w:lang w:val="en-US"/>
        </w:rPr>
        <w:t>[7</w:t>
      </w:r>
      <w:r w:rsidR="00D851B9" w:rsidRPr="00D549EE">
        <w:rPr>
          <w:b w:val="0"/>
          <w:noProof/>
          <w:color w:val="000000" w:themeColor="text1"/>
          <w:lang w:val="en-US"/>
        </w:rPr>
        <w:t>, p.57</w:t>
      </w:r>
      <w:r w:rsidR="00785182" w:rsidRPr="00D549EE">
        <w:rPr>
          <w:b w:val="0"/>
          <w:noProof/>
          <w:color w:val="000000" w:themeColor="text1"/>
          <w:lang w:val="en-US"/>
        </w:rPr>
        <w:t>]</w:t>
      </w:r>
      <w:r w:rsidRPr="00D549EE">
        <w:rPr>
          <w:b w:val="0"/>
          <w:color w:val="000000" w:themeColor="text1"/>
          <w:lang w:val="en-US"/>
        </w:rPr>
        <w:fldChar w:fldCharType="end"/>
      </w:r>
      <w:r w:rsidR="007A200F" w:rsidRPr="00D549EE">
        <w:rPr>
          <w:b w:val="0"/>
          <w:color w:val="000000" w:themeColor="text1"/>
          <w:lang w:val="en-US"/>
        </w:rPr>
        <w:t>.</w:t>
      </w:r>
      <w:r w:rsidRPr="00D549EE">
        <w:rPr>
          <w:b w:val="0"/>
          <w:color w:val="000000" w:themeColor="text1"/>
          <w:lang w:val="en-US"/>
        </w:rPr>
        <w:t xml:space="preserve"> Every bad thought, action and contention </w:t>
      </w:r>
      <w:r w:rsidR="004A0EA0" w:rsidRPr="00D549EE">
        <w:rPr>
          <w:b w:val="0"/>
          <w:color w:val="000000" w:themeColor="text1"/>
          <w:lang w:val="en-US"/>
        </w:rPr>
        <w:t>are</w:t>
      </w:r>
      <w:r w:rsidRPr="00D549EE">
        <w:rPr>
          <w:b w:val="0"/>
          <w:color w:val="000000" w:themeColor="text1"/>
          <w:lang w:val="en-US"/>
        </w:rPr>
        <w:t xml:space="preserve"> prohibited by Islam. “</w:t>
      </w:r>
      <w:r w:rsidRPr="00D549EE">
        <w:rPr>
          <w:b w:val="0"/>
          <w:color w:val="000000" w:themeColor="text1"/>
          <w:shd w:val="clear" w:color="auto" w:fill="FFFFFF"/>
          <w:lang w:val="en-US"/>
        </w:rPr>
        <w:t xml:space="preserve">Cooperate with one another in goodness and righteousness, and do not cooperate in sin and transgression. And be mindful of Allah” 5:2 </w:t>
      </w:r>
      <w:r w:rsidRPr="00D549EE">
        <w:rPr>
          <w:b w:val="0"/>
          <w:color w:val="000000" w:themeColor="text1"/>
          <w:shd w:val="clear" w:color="auto" w:fill="FFFFFF"/>
          <w:lang w:val="en-US"/>
        </w:rPr>
        <w:fldChar w:fldCharType="begin" w:fldLock="1"/>
      </w:r>
      <w:r w:rsidR="0097294E" w:rsidRPr="00D549EE">
        <w:rPr>
          <w:b w:val="0"/>
          <w:color w:val="000000" w:themeColor="text1"/>
          <w:shd w:val="clear" w:color="auto" w:fill="FFFFFF"/>
          <w:lang w:val="en-US"/>
        </w:rPr>
        <w:instrText>ADDIN CSL_CITATION {"citationItems":[{"id":"ITEM-1","itemData":{"author":[{"dropping-particle":"","family":"Ali","given":"Maualwi Sher","non-dropping-particle":"","parse-names":false,"suffix":""}],"id":"ITEM-1","issued":{"date-parts":[["2015"]]},"number-of-pages":"836","publisher":"Islam International publications Limited","title":"The Holy-Quran, Arabic text and English Translation","type":"book"},"uris":["http://www.mendeley.com/documents/?uuid=f9fa377e-58aa-401f-80ab-8caf62735865"]}],"mendeley":{"formattedCitation":"[7]","manualFormatting":"[7, p.115]","plainTextFormattedCitation":"[7]","previouslyFormattedCitation":"[7]"},"properties":{"noteIndex":0},"schema":"https://github.com/citation-style-language/schema/raw/master/csl-citation.json"}</w:instrText>
      </w:r>
      <w:r w:rsidRPr="00D549EE">
        <w:rPr>
          <w:b w:val="0"/>
          <w:color w:val="000000" w:themeColor="text1"/>
          <w:shd w:val="clear" w:color="auto" w:fill="FFFFFF"/>
          <w:lang w:val="en-US"/>
        </w:rPr>
        <w:fldChar w:fldCharType="separate"/>
      </w:r>
      <w:r w:rsidR="00785182" w:rsidRPr="00D549EE">
        <w:rPr>
          <w:b w:val="0"/>
          <w:noProof/>
          <w:color w:val="000000" w:themeColor="text1"/>
          <w:shd w:val="clear" w:color="auto" w:fill="FFFFFF"/>
          <w:lang w:val="en-US"/>
        </w:rPr>
        <w:t>[7</w:t>
      </w:r>
      <w:r w:rsidR="0097294E" w:rsidRPr="00D549EE">
        <w:rPr>
          <w:b w:val="0"/>
          <w:noProof/>
          <w:color w:val="000000" w:themeColor="text1"/>
          <w:shd w:val="clear" w:color="auto" w:fill="FFFFFF"/>
          <w:lang w:val="en-US"/>
        </w:rPr>
        <w:t>, p.115</w:t>
      </w:r>
      <w:r w:rsidR="00785182" w:rsidRPr="00D549EE">
        <w:rPr>
          <w:b w:val="0"/>
          <w:noProof/>
          <w:color w:val="000000" w:themeColor="text1"/>
          <w:shd w:val="clear" w:color="auto" w:fill="FFFFFF"/>
          <w:lang w:val="en-US"/>
        </w:rPr>
        <w:t>]</w:t>
      </w:r>
      <w:r w:rsidRPr="00D549EE">
        <w:rPr>
          <w:b w:val="0"/>
          <w:color w:val="000000" w:themeColor="text1"/>
          <w:shd w:val="clear" w:color="auto" w:fill="FFFFFF"/>
          <w:lang w:val="en-US"/>
        </w:rPr>
        <w:fldChar w:fldCharType="end"/>
      </w:r>
      <w:r w:rsidR="007A200F" w:rsidRPr="00D549EE">
        <w:rPr>
          <w:b w:val="0"/>
          <w:color w:val="000000" w:themeColor="text1"/>
          <w:shd w:val="clear" w:color="auto" w:fill="FFFFFF"/>
          <w:lang w:val="en-US"/>
        </w:rPr>
        <w:t>.</w:t>
      </w:r>
    </w:p>
    <w:p w14:paraId="65495AE1" w14:textId="08BEC7E5" w:rsidR="005A1EE9" w:rsidRPr="00D549EE" w:rsidRDefault="00F02F70" w:rsidP="00C9582F">
      <w:pPr>
        <w:pStyle w:val="31"/>
        <w:spacing w:before="0"/>
        <w:contextualSpacing/>
        <w:rPr>
          <w:b w:val="0"/>
          <w:color w:val="000000" w:themeColor="text1"/>
          <w:shd w:val="clear" w:color="auto" w:fill="FFFFFF"/>
          <w:lang w:val="en-US"/>
        </w:rPr>
      </w:pPr>
      <w:r w:rsidRPr="00D549EE">
        <w:rPr>
          <w:b w:val="0"/>
          <w:color w:val="000000"/>
          <w:lang w:val="en-US"/>
        </w:rPr>
        <w:t>Islamic econom</w:t>
      </w:r>
      <w:r w:rsidR="00476931" w:rsidRPr="00D549EE">
        <w:rPr>
          <w:b w:val="0"/>
          <w:color w:val="000000"/>
          <w:lang w:val="en-US"/>
        </w:rPr>
        <w:t>ics</w:t>
      </w:r>
      <w:r w:rsidRPr="00D549EE">
        <w:rPr>
          <w:b w:val="0"/>
          <w:color w:val="000000"/>
          <w:lang w:val="en-US"/>
        </w:rPr>
        <w:t xml:space="preserve"> </w:t>
      </w:r>
      <w:r w:rsidR="00476931" w:rsidRPr="00D549EE">
        <w:rPr>
          <w:b w:val="0"/>
          <w:color w:val="000000"/>
          <w:lang w:val="en-US"/>
        </w:rPr>
        <w:t>is aimed at spreading the idea of social solidarity by providing conditions for unity and cooperation between capital and labor, with the complete rejection of monopolism, as well as at achieving social justice through reasonable wages and the elimination of unemployment. On this basis, Islamic economics succeeds in resolving the most complex tasks of the time, in establishing a balance between the needs of the individual and the progress of the society</w:t>
      </w:r>
      <w:r w:rsidR="007A200F" w:rsidRPr="00D549EE">
        <w:rPr>
          <w:b w:val="0"/>
          <w:color w:val="000000"/>
          <w:lang w:val="en-US"/>
        </w:rPr>
        <w:t xml:space="preserve"> </w:t>
      </w:r>
      <w:r w:rsidR="00476931" w:rsidRPr="00D549EE">
        <w:rPr>
          <w:b w:val="0"/>
          <w:color w:val="000000"/>
          <w:lang w:val="en-US"/>
        </w:rPr>
        <w:fldChar w:fldCharType="begin" w:fldLock="1"/>
      </w:r>
      <w:r w:rsidR="00785182" w:rsidRPr="00D549EE">
        <w:rPr>
          <w:b w:val="0"/>
          <w:color w:val="000000"/>
          <w:lang w:val="en-US"/>
        </w:rPr>
        <w:instrText>ADDIN CSL_CITATION {"citationItems":[{"id":"ITEM-1","itemData":{"author":[{"dropping-particle":"","family":"Bekkin","given":"Renat","non-dropping-particle":"","parse-names":false,"suffix":""}],"container-title":"Tatar World","id":"ITEM-1","issue":"28","issued":{"date-parts":[["2003"]]},"page":"8","title":"Muslim business","type":"article-journal","volume":"18"},"uris":["http://www.mendeley.com/documents/?uuid=d3cd7c1a-1a79-4d1d-97c1-2445d76fbfc3"]}],"mendeley":{"formattedCitation":"[8]","plainTextFormattedCitation":"[8]","previouslyFormattedCitation":"[8]"},"properties":{"noteIndex":0},"schema":"https://github.com/citation-style-language/schema/raw/master/csl-citation.json"}</w:instrText>
      </w:r>
      <w:r w:rsidR="00476931" w:rsidRPr="00D549EE">
        <w:rPr>
          <w:b w:val="0"/>
          <w:color w:val="000000"/>
          <w:lang w:val="en-US"/>
        </w:rPr>
        <w:fldChar w:fldCharType="separate"/>
      </w:r>
      <w:r w:rsidR="00106F14" w:rsidRPr="00D549EE">
        <w:rPr>
          <w:b w:val="0"/>
          <w:noProof/>
          <w:color w:val="000000"/>
          <w:lang w:val="en-US"/>
        </w:rPr>
        <w:t>[8]</w:t>
      </w:r>
      <w:r w:rsidR="00476931" w:rsidRPr="00D549EE">
        <w:rPr>
          <w:b w:val="0"/>
          <w:color w:val="000000"/>
          <w:lang w:val="en-US"/>
        </w:rPr>
        <w:fldChar w:fldCharType="end"/>
      </w:r>
      <w:r w:rsidR="007A200F" w:rsidRPr="00D549EE">
        <w:rPr>
          <w:b w:val="0"/>
          <w:color w:val="000000"/>
          <w:lang w:val="en-US"/>
        </w:rPr>
        <w:t>.</w:t>
      </w:r>
      <w:r w:rsidR="00404B20" w:rsidRPr="00D549EE">
        <w:rPr>
          <w:b w:val="0"/>
          <w:color w:val="000000"/>
          <w:lang w:val="en-US"/>
        </w:rPr>
        <w:t xml:space="preserve"> </w:t>
      </w:r>
      <w:r w:rsidR="004921F7" w:rsidRPr="00D549EE">
        <w:rPr>
          <w:b w:val="0"/>
          <w:lang w:val="en-US"/>
        </w:rPr>
        <w:br/>
      </w:r>
      <w:r w:rsidR="00FA064F" w:rsidRPr="00D549EE">
        <w:rPr>
          <w:b w:val="0"/>
          <w:color w:val="000000" w:themeColor="text1"/>
          <w:shd w:val="clear" w:color="auto" w:fill="FFFFFF"/>
          <w:lang w:val="en-US"/>
        </w:rPr>
        <w:tab/>
        <w:t xml:space="preserve">Nowadays, about one-fifth of the world's population professes Islam. According to estimation Muslim population will be 2.9 billion which is 30% of the </w:t>
      </w:r>
      <w:r w:rsidR="004A0EA0" w:rsidRPr="00D549EE">
        <w:rPr>
          <w:b w:val="0"/>
          <w:color w:val="000000" w:themeColor="text1"/>
          <w:shd w:val="clear" w:color="auto" w:fill="FFFFFF"/>
          <w:lang w:val="en-US"/>
        </w:rPr>
        <w:t>w</w:t>
      </w:r>
      <w:r w:rsidR="00FA064F" w:rsidRPr="00D549EE">
        <w:rPr>
          <w:b w:val="0"/>
          <w:color w:val="000000" w:themeColor="text1"/>
          <w:shd w:val="clear" w:color="auto" w:fill="FFFFFF"/>
          <w:lang w:val="en-US"/>
        </w:rPr>
        <w:t>orld population by 2050</w:t>
      </w:r>
      <w:r w:rsidR="007A200F" w:rsidRPr="00D549EE">
        <w:rPr>
          <w:b w:val="0"/>
          <w:color w:val="000000" w:themeColor="text1"/>
          <w:shd w:val="clear" w:color="auto" w:fill="FFFFFF"/>
          <w:lang w:val="en-US"/>
        </w:rPr>
        <w:t xml:space="preserve"> </w:t>
      </w:r>
      <w:r w:rsidR="00785182" w:rsidRPr="00D549EE">
        <w:rPr>
          <w:b w:val="0"/>
          <w:color w:val="000000" w:themeColor="text1"/>
          <w:shd w:val="clear" w:color="auto" w:fill="FFFFFF"/>
          <w:lang w:val="en-US"/>
        </w:rPr>
        <w:fldChar w:fldCharType="begin" w:fldLock="1"/>
      </w:r>
      <w:r w:rsidR="00785182" w:rsidRPr="00D549EE">
        <w:rPr>
          <w:b w:val="0"/>
          <w:color w:val="000000" w:themeColor="text1"/>
          <w:shd w:val="clear" w:color="auto" w:fill="FFFFFF"/>
          <w:lang w:val="en-US"/>
        </w:rPr>
        <w:instrText>ADDIN CSL_CITATION {"citationItems":[{"id":"ITEM-1","itemData":{"author":[{"dropping-particle":"","family":"Rew Research Center","given":"","non-dropping-particle":"","parse-names":false,"suffix":""}],"id":"ITEM-1","issued":{"date-parts":[["2015"]]},"title":"The Future of World Religions : Population Growth Projections , 2010-2050 Why Muslims Are Rising Fastest and the Unaffiliated Are","type":"report"},"uris":["http://www.mendeley.com/documents/?uuid=718dc28e-4548-49e2-ad7d-37fe017ab426"]}],"mendeley":{"formattedCitation":"[9]","plainTextFormattedCitation":"[9]","previouslyFormattedCitation":"[9]"},"properties":{"noteIndex":0},"schema":"https://github.com/citation-style-language/schema/raw/master/csl-citation.json"}</w:instrText>
      </w:r>
      <w:r w:rsidR="00785182" w:rsidRPr="00D549EE">
        <w:rPr>
          <w:b w:val="0"/>
          <w:color w:val="000000" w:themeColor="text1"/>
          <w:shd w:val="clear" w:color="auto" w:fill="FFFFFF"/>
          <w:lang w:val="en-US"/>
        </w:rPr>
        <w:fldChar w:fldCharType="separate"/>
      </w:r>
      <w:r w:rsidR="00785182" w:rsidRPr="00D549EE">
        <w:rPr>
          <w:b w:val="0"/>
          <w:noProof/>
          <w:color w:val="000000" w:themeColor="text1"/>
          <w:shd w:val="clear" w:color="auto" w:fill="FFFFFF"/>
          <w:lang w:val="en-US"/>
        </w:rPr>
        <w:t>[9]</w:t>
      </w:r>
      <w:r w:rsidR="00785182" w:rsidRPr="00D549EE">
        <w:rPr>
          <w:b w:val="0"/>
          <w:color w:val="000000" w:themeColor="text1"/>
          <w:shd w:val="clear" w:color="auto" w:fill="FFFFFF"/>
          <w:lang w:val="en-US"/>
        </w:rPr>
        <w:fldChar w:fldCharType="end"/>
      </w:r>
      <w:r w:rsidR="00785182" w:rsidRPr="00D549EE">
        <w:rPr>
          <w:b w:val="0"/>
          <w:color w:val="000000" w:themeColor="text1"/>
          <w:shd w:val="clear" w:color="auto" w:fill="FFFFFF"/>
          <w:lang w:val="en-US"/>
        </w:rPr>
        <w:t>.</w:t>
      </w:r>
      <w:r w:rsidR="00FA064F" w:rsidRPr="00D549EE">
        <w:rPr>
          <w:b w:val="0"/>
          <w:color w:val="000000" w:themeColor="text1"/>
          <w:shd w:val="clear" w:color="auto" w:fill="FFFFFF"/>
          <w:lang w:val="en-US"/>
        </w:rPr>
        <w:t xml:space="preserve"> Islam, in contrast with other faiths, is not limited to matters of belief, it also tries to regulate all aspects of human life. Influence is exerted on the spiritual and economic spheres not only through moral and ethical norms but also through special instructions contained in the Quran. Islam is not purely a religion, it is also an exhaustive socio-economic and political system for society.</w:t>
      </w:r>
    </w:p>
    <w:p w14:paraId="30594AAF" w14:textId="330DE304" w:rsidR="00032C0D" w:rsidRPr="00D549EE" w:rsidRDefault="0064025F" w:rsidP="00C9582F">
      <w:pPr>
        <w:snapToGrid w:val="0"/>
        <w:ind w:firstLine="708"/>
        <w:contextualSpacing/>
        <w:jc w:val="both"/>
        <w:rPr>
          <w:b/>
          <w:sz w:val="28"/>
          <w:szCs w:val="28"/>
          <w:lang w:val="en-US"/>
        </w:rPr>
      </w:pPr>
      <w:r w:rsidRPr="00D549EE">
        <w:rPr>
          <w:sz w:val="28"/>
          <w:szCs w:val="28"/>
          <w:lang w:val="en-US"/>
        </w:rPr>
        <w:t>Summarizing several dozens of attempts to give a scientific definition of this phenomenon, it can be concluded that, the Islamic economic system is a system based on the rules formulated by Islamic law, known as Sharia</w:t>
      </w:r>
      <w:r w:rsidR="000F2C5D" w:rsidRPr="00D549EE">
        <w:rPr>
          <w:sz w:val="28"/>
          <w:szCs w:val="28"/>
          <w:lang w:val="en-US"/>
        </w:rPr>
        <w:t xml:space="preserve">h. </w:t>
      </w:r>
      <w:r w:rsidRPr="00D549EE">
        <w:rPr>
          <w:sz w:val="28"/>
          <w:szCs w:val="28"/>
          <w:lang w:val="en-US"/>
        </w:rPr>
        <w:t xml:space="preserve"> In turn, the Sharia</w:t>
      </w:r>
      <w:r w:rsidR="007F55B1" w:rsidRPr="00D549EE">
        <w:rPr>
          <w:sz w:val="28"/>
          <w:szCs w:val="28"/>
          <w:lang w:val="en-US"/>
        </w:rPr>
        <w:t>h</w:t>
      </w:r>
      <w:r w:rsidRPr="00D549EE">
        <w:rPr>
          <w:sz w:val="28"/>
          <w:szCs w:val="28"/>
          <w:lang w:val="en-US"/>
        </w:rPr>
        <w:t xml:space="preserve"> consists of constitutional and regulatory rules by which every Muslim and his community must conduct their affairs.</w:t>
      </w:r>
      <w:r w:rsidR="003E6718" w:rsidRPr="00D549EE">
        <w:rPr>
          <w:sz w:val="28"/>
          <w:szCs w:val="28"/>
          <w:lang w:val="en-US"/>
        </w:rPr>
        <w:t xml:space="preserve"> There are about 22 instances in the </w:t>
      </w:r>
      <w:r w:rsidR="003E6718" w:rsidRPr="00D549EE">
        <w:rPr>
          <w:iCs/>
          <w:sz w:val="28"/>
          <w:szCs w:val="28"/>
          <w:lang w:val="en-US"/>
        </w:rPr>
        <w:t>Quran</w:t>
      </w:r>
      <w:r w:rsidR="003E6718" w:rsidRPr="00D549EE">
        <w:rPr>
          <w:i/>
          <w:iCs/>
          <w:sz w:val="28"/>
          <w:szCs w:val="28"/>
          <w:lang w:val="en-US"/>
        </w:rPr>
        <w:t xml:space="preserve"> </w:t>
      </w:r>
      <w:r w:rsidR="00F70A1E" w:rsidRPr="00D549EE">
        <w:rPr>
          <w:sz w:val="28"/>
          <w:szCs w:val="28"/>
          <w:lang w:val="en-US"/>
        </w:rPr>
        <w:t>which are related</w:t>
      </w:r>
      <w:r w:rsidR="003E6718" w:rsidRPr="00D549EE">
        <w:rPr>
          <w:sz w:val="28"/>
          <w:szCs w:val="28"/>
          <w:lang w:val="en-US"/>
        </w:rPr>
        <w:t xml:space="preserve"> to characteristics of the Islamic economic and financial system</w:t>
      </w:r>
      <w:r w:rsidR="004B09AE" w:rsidRPr="00D549EE">
        <w:rPr>
          <w:sz w:val="28"/>
          <w:szCs w:val="28"/>
          <w:lang w:val="en-US"/>
        </w:rPr>
        <w:t xml:space="preserve"> </w:t>
      </w:r>
      <w:r w:rsidR="004B09AE" w:rsidRPr="00D549EE">
        <w:rPr>
          <w:sz w:val="28"/>
          <w:szCs w:val="28"/>
          <w:lang w:val="en-US"/>
        </w:rPr>
        <w:fldChar w:fldCharType="begin" w:fldLock="1"/>
      </w:r>
      <w:r w:rsidR="00785182" w:rsidRPr="00D549EE">
        <w:rPr>
          <w:sz w:val="28"/>
          <w:szCs w:val="28"/>
          <w:lang w:val="en-US"/>
        </w:rPr>
        <w:instrText>ADDIN CSL_CITATION {"citationItems":[{"id":"ITEM-1","itemData":{"author":[{"dropping-particle":"","family":"Maududi","given":"Abul Al’a","non-dropping-particle":"","parse-names":false,"suffix":""}],"container-title":"2","id":"ITEM-1","issued":{"date-parts":[["0"]]},"page":"68","publisher":"Pakistan Philosophical Congress [3]","publisher-place":"Pakistan","title":"A history of Muslim Philosophy: Advent Of Islam, Fundamental Teachings Of The Qur'an","type":"chapter"},"uris":["http://www.mendeley.com/documents/?uuid=93238ed5-ddfe-4780-96c4-17d8e98b357a"]}],"mendeley":{"formattedCitation":"[10]","plainTextFormattedCitation":"[10]","previouslyFormattedCitation":"[10]"},"properties":{"noteIndex":0},"schema":"https://github.com/citation-style-language/schema/raw/master/csl-citation.json"}</w:instrText>
      </w:r>
      <w:r w:rsidR="004B09AE" w:rsidRPr="00D549EE">
        <w:rPr>
          <w:sz w:val="28"/>
          <w:szCs w:val="28"/>
          <w:lang w:val="en-US"/>
        </w:rPr>
        <w:fldChar w:fldCharType="separate"/>
      </w:r>
      <w:r w:rsidR="00785182" w:rsidRPr="00D549EE">
        <w:rPr>
          <w:noProof/>
          <w:sz w:val="28"/>
          <w:szCs w:val="28"/>
          <w:lang w:val="en-US"/>
        </w:rPr>
        <w:t>[10]</w:t>
      </w:r>
      <w:r w:rsidR="004B09AE" w:rsidRPr="00D549EE">
        <w:rPr>
          <w:sz w:val="28"/>
          <w:szCs w:val="28"/>
          <w:lang w:val="en-US"/>
        </w:rPr>
        <w:fldChar w:fldCharType="end"/>
      </w:r>
      <w:r w:rsidR="00785182" w:rsidRPr="00D549EE">
        <w:rPr>
          <w:sz w:val="28"/>
          <w:szCs w:val="28"/>
          <w:lang w:val="en-US"/>
        </w:rPr>
        <w:t>.</w:t>
      </w:r>
      <w:r w:rsidR="00E378B4" w:rsidRPr="00D549EE">
        <w:rPr>
          <w:sz w:val="28"/>
          <w:szCs w:val="28"/>
          <w:lang w:val="en-US"/>
        </w:rPr>
        <w:t xml:space="preserve"> </w:t>
      </w:r>
      <w:r w:rsidR="00785182" w:rsidRPr="00D549EE">
        <w:rPr>
          <w:sz w:val="28"/>
          <w:szCs w:val="28"/>
          <w:lang w:val="en-US"/>
        </w:rPr>
        <w:t>T</w:t>
      </w:r>
      <w:r w:rsidR="00F70C9E" w:rsidRPr="00D549EE">
        <w:rPr>
          <w:sz w:val="28"/>
          <w:szCs w:val="28"/>
          <w:lang w:val="en-US"/>
        </w:rPr>
        <w:t xml:space="preserve">he source of the Islamic legal system is not limited only by </w:t>
      </w:r>
      <w:r w:rsidR="0034587B" w:rsidRPr="00D549EE">
        <w:rPr>
          <w:sz w:val="28"/>
          <w:szCs w:val="28"/>
          <w:lang w:val="en-US"/>
        </w:rPr>
        <w:t xml:space="preserve">the </w:t>
      </w:r>
      <w:r w:rsidR="00F70C9E" w:rsidRPr="00D549EE">
        <w:rPr>
          <w:sz w:val="28"/>
          <w:szCs w:val="28"/>
          <w:lang w:val="en-US"/>
        </w:rPr>
        <w:t xml:space="preserve">Quran (Holy book of Islam), also </w:t>
      </w:r>
      <w:r w:rsidR="00F70C9E" w:rsidRPr="00D549EE">
        <w:rPr>
          <w:sz w:val="28"/>
          <w:szCs w:val="28"/>
          <w:lang w:val="en-US"/>
        </w:rPr>
        <w:lastRenderedPageBreak/>
        <w:t xml:space="preserve">consists </w:t>
      </w:r>
      <w:r w:rsidR="00205091" w:rsidRPr="00D549EE">
        <w:rPr>
          <w:sz w:val="28"/>
          <w:szCs w:val="28"/>
          <w:lang w:val="en-US"/>
        </w:rPr>
        <w:t>of</w:t>
      </w:r>
      <w:r w:rsidR="00F70C9E" w:rsidRPr="00D549EE">
        <w:rPr>
          <w:sz w:val="28"/>
          <w:szCs w:val="28"/>
          <w:lang w:val="en-US"/>
        </w:rPr>
        <w:t xml:space="preserve"> Sunnah (the pronouncements and practices of the Prophet Muhammad) which are primar</w:t>
      </w:r>
      <w:r w:rsidR="00205091" w:rsidRPr="00D549EE">
        <w:rPr>
          <w:sz w:val="28"/>
          <w:szCs w:val="28"/>
          <w:lang w:val="en-US"/>
        </w:rPr>
        <w:t>il</w:t>
      </w:r>
      <w:r w:rsidR="00F70C9E" w:rsidRPr="00D549EE">
        <w:rPr>
          <w:sz w:val="28"/>
          <w:szCs w:val="28"/>
          <w:lang w:val="en-US"/>
        </w:rPr>
        <w:t>y independent sources. There are three other secondary sources – Ijma (</w:t>
      </w:r>
      <w:r w:rsidR="00C95856" w:rsidRPr="00D549EE">
        <w:rPr>
          <w:sz w:val="28"/>
          <w:szCs w:val="28"/>
          <w:lang w:val="en-US"/>
        </w:rPr>
        <w:t>conse</w:t>
      </w:r>
      <w:r w:rsidR="006C69CE" w:rsidRPr="00D549EE">
        <w:rPr>
          <w:sz w:val="28"/>
          <w:szCs w:val="28"/>
          <w:lang w:val="en-US"/>
        </w:rPr>
        <w:t>nsus), Qiyas (analogy) and Ijtihad (</w:t>
      </w:r>
      <w:r w:rsidR="00075250" w:rsidRPr="00D549EE">
        <w:rPr>
          <w:sz w:val="28"/>
          <w:szCs w:val="28"/>
          <w:lang w:val="en-US"/>
        </w:rPr>
        <w:t xml:space="preserve">interpretation) </w:t>
      </w:r>
      <w:r w:rsidR="00394C63" w:rsidRPr="00D549EE">
        <w:rPr>
          <w:b/>
          <w:sz w:val="28"/>
          <w:szCs w:val="28"/>
          <w:lang w:val="en-US"/>
        </w:rPr>
        <w:fldChar w:fldCharType="begin" w:fldLock="1"/>
      </w:r>
      <w:r w:rsidR="00785182" w:rsidRPr="00D549EE">
        <w:rPr>
          <w:sz w:val="28"/>
          <w:szCs w:val="28"/>
          <w:lang w:val="en-US"/>
        </w:rPr>
        <w:instrText>ADDIN CSL_CITATION {"citationItems":[{"id":"ITEM-1","itemData":{"ISBN":"9783030176235","author":[{"dropping-particle":"","family":"Billah","given":"Mohd Ma’Sum","non-dropping-particle":"","parse-names":false,"suffix":""}],"id":"ITEM-1","issued":{"date-parts":[["2019"]]},"number-of-pages":"443","publisher":"Pulgrave macmillan","publisher-place":"Jeddah, Saudi Arabia ISB","title":"Islamic Financial Products Principles , Instruments","type":"book"},"uris":["http://www.mendeley.com/documents/?uuid=304f5e72-0afc-4c93-be90-c84d72882612"]}],"mendeley":{"formattedCitation":"[11]","plainTextFormattedCitation":"[11]","previouslyFormattedCitation":"[11]"},"properties":{"noteIndex":0},"schema":"https://github.com/citation-style-language/schema/raw/master/csl-citation.json"}</w:instrText>
      </w:r>
      <w:r w:rsidR="00394C63" w:rsidRPr="00D549EE">
        <w:rPr>
          <w:b/>
          <w:sz w:val="28"/>
          <w:szCs w:val="28"/>
          <w:lang w:val="en-US"/>
        </w:rPr>
        <w:fldChar w:fldCharType="separate"/>
      </w:r>
      <w:r w:rsidR="00785182" w:rsidRPr="00D549EE">
        <w:rPr>
          <w:noProof/>
          <w:sz w:val="28"/>
          <w:szCs w:val="28"/>
          <w:lang w:val="en-US"/>
        </w:rPr>
        <w:t>[11]</w:t>
      </w:r>
      <w:r w:rsidR="00394C63" w:rsidRPr="00D549EE">
        <w:rPr>
          <w:b/>
          <w:sz w:val="28"/>
          <w:szCs w:val="28"/>
          <w:lang w:val="en-US"/>
        </w:rPr>
        <w:fldChar w:fldCharType="end"/>
      </w:r>
      <w:r w:rsidR="00785182" w:rsidRPr="00D549EE">
        <w:rPr>
          <w:sz w:val="28"/>
          <w:szCs w:val="28"/>
          <w:lang w:val="en-US"/>
        </w:rPr>
        <w:t>.</w:t>
      </w:r>
      <w:r w:rsidR="00D71A3C" w:rsidRPr="00D549EE">
        <w:rPr>
          <w:b/>
          <w:sz w:val="28"/>
          <w:szCs w:val="28"/>
          <w:lang w:val="en-US"/>
        </w:rPr>
        <w:t xml:space="preserve"> </w:t>
      </w:r>
      <w:r w:rsidR="00395E03" w:rsidRPr="00D549EE">
        <w:rPr>
          <w:rFonts w:ascii="Courier New" w:hAnsi="Courier New" w:cs="Courier New"/>
          <w:sz w:val="28"/>
          <w:szCs w:val="28"/>
          <w:lang w:val="en-US"/>
        </w:rPr>
        <w:t>﻿</w:t>
      </w:r>
      <w:r w:rsidR="00395E03" w:rsidRPr="00D549EE">
        <w:rPr>
          <w:sz w:val="28"/>
          <w:szCs w:val="28"/>
          <w:lang w:val="en-US"/>
        </w:rPr>
        <w:t>From many sources</w:t>
      </w:r>
      <w:r w:rsidR="00205091" w:rsidRPr="00D549EE">
        <w:rPr>
          <w:sz w:val="28"/>
          <w:szCs w:val="28"/>
          <w:lang w:val="en-US"/>
        </w:rPr>
        <w:t>,</w:t>
      </w:r>
      <w:r w:rsidR="00395E03" w:rsidRPr="00D549EE">
        <w:rPr>
          <w:sz w:val="28"/>
          <w:szCs w:val="28"/>
          <w:lang w:val="en-US"/>
        </w:rPr>
        <w:t xml:space="preserve"> </w:t>
      </w:r>
      <w:r w:rsidR="0034587B" w:rsidRPr="00D549EE">
        <w:rPr>
          <w:sz w:val="28"/>
          <w:szCs w:val="28"/>
          <w:lang w:val="en-US"/>
        </w:rPr>
        <w:t>five main prohibitions must be observed</w:t>
      </w:r>
      <w:r w:rsidR="00395E03" w:rsidRPr="00D549EE">
        <w:rPr>
          <w:sz w:val="28"/>
          <w:szCs w:val="28"/>
          <w:lang w:val="en-US"/>
        </w:rPr>
        <w:t xml:space="preserve"> for the development Islamic financial model: Riba, Garar, Maysir, Profit without Liability, Unethical investment </w:t>
      </w:r>
      <w:r w:rsidR="00395E03" w:rsidRPr="00D549EE">
        <w:rPr>
          <w:sz w:val="28"/>
          <w:szCs w:val="28"/>
          <w:lang w:val="en-US"/>
        </w:rPr>
        <w:fldChar w:fldCharType="begin" w:fldLock="1"/>
      </w:r>
      <w:r w:rsidR="00785182" w:rsidRPr="00D549EE">
        <w:rPr>
          <w:sz w:val="28"/>
          <w:szCs w:val="28"/>
          <w:lang w:val="en-US"/>
        </w:rPr>
        <w:instrText>ADDIN CSL_CITATION {"citationItems":[{"id":"ITEM-1","itemData":{"ISBN":"9781849300179","author":[{"dropping-particle":"","family":"Ali","given":"Amjid","non-dropping-particle":"","parse-names":false,"suffix":""},{"dropping-particle":"","family":"Asutay","given":"Mehmet","non-dropping-particle":"","parse-names":false,"suffix":""},{"dropping-particle":"","family":"Bälz","given":"Kilian","non-dropping-particle":"","parse-names":false,"suffix":""},{"dropping-particle":"Ben","family":"Naceur","given":"Samy","non-dropping-particle":"","parse-names":false,"suffix":""},{"dropping-particle":"","family":"Cosgrave","given":"Barry","non-dropping-particle":"","parse-names":false,"suffix":""},{"dropping-particle":"","family":"Crawford","given":"Susi","non-dropping-particle":"","parse-names":false,"suffix":""},{"dropping-particle":"","family":"Is","given":"Omar Fisher","non-dropping-particle":"","parse-names":false,"suffix":""}],"id":"ITEM-1","issued":{"date-parts":[["2010"]]},"number-of-pages":"238","publisher-place":"London","title":"Islamic Finance: Instruments and Markets","type":"book"},"uris":["http://www.mendeley.com/documents/?uuid=fa38f272-8c81-4ed8-b2d8-f06929e3cca7"]}],"mendeley":{"formattedCitation":"[12]","plainTextFormattedCitation":"[12]","previouslyFormattedCitation":"[12]"},"properties":{"noteIndex":0},"schema":"https://github.com/citation-style-language/schema/raw/master/csl-citation.json"}</w:instrText>
      </w:r>
      <w:r w:rsidR="00395E03" w:rsidRPr="00D549EE">
        <w:rPr>
          <w:sz w:val="28"/>
          <w:szCs w:val="28"/>
          <w:lang w:val="en-US"/>
        </w:rPr>
        <w:fldChar w:fldCharType="separate"/>
      </w:r>
      <w:r w:rsidR="00785182" w:rsidRPr="00D549EE">
        <w:rPr>
          <w:noProof/>
          <w:sz w:val="28"/>
          <w:szCs w:val="28"/>
          <w:lang w:val="en-US"/>
        </w:rPr>
        <w:t>[12]</w:t>
      </w:r>
      <w:r w:rsidR="00395E03" w:rsidRPr="00D549EE">
        <w:rPr>
          <w:sz w:val="28"/>
          <w:szCs w:val="28"/>
          <w:lang w:val="en-US"/>
        </w:rPr>
        <w:fldChar w:fldCharType="end"/>
      </w:r>
      <w:r w:rsidR="00785182" w:rsidRPr="00D549EE">
        <w:rPr>
          <w:sz w:val="28"/>
          <w:szCs w:val="28"/>
          <w:lang w:val="en-US"/>
        </w:rPr>
        <w:t>.</w:t>
      </w:r>
    </w:p>
    <w:p w14:paraId="6C92D724" w14:textId="42E04FCE" w:rsidR="00205091" w:rsidRPr="00D549EE" w:rsidRDefault="00537CD2" w:rsidP="00C9582F">
      <w:pPr>
        <w:snapToGrid w:val="0"/>
        <w:contextualSpacing/>
        <w:jc w:val="both"/>
        <w:rPr>
          <w:sz w:val="28"/>
          <w:szCs w:val="28"/>
          <w:lang w:val="en-US"/>
        </w:rPr>
      </w:pPr>
      <w:r w:rsidRPr="00D549EE">
        <w:rPr>
          <w:sz w:val="28"/>
          <w:szCs w:val="28"/>
          <w:lang w:val="en-US"/>
        </w:rPr>
        <w:tab/>
        <w:t>It must be stated that in Islamic economics certain types of activities have been formed which are forbidden (haram) to engage in. These include production and marketing of narcotic drugs; gambling activities; production and sale of alcohol, tobacco products, pork; all kinds of corruption; adult entertainment, including escort services</w:t>
      </w:r>
      <w:r w:rsidR="00686C14" w:rsidRPr="00D549EE">
        <w:rPr>
          <w:sz w:val="28"/>
          <w:szCs w:val="28"/>
          <w:lang w:val="en-US"/>
        </w:rPr>
        <w:t xml:space="preserve"> and also weapons, arms and </w:t>
      </w:r>
      <w:r w:rsidR="00205091" w:rsidRPr="00D549EE">
        <w:rPr>
          <w:sz w:val="28"/>
          <w:szCs w:val="28"/>
          <w:lang w:val="en-US"/>
        </w:rPr>
        <w:t>defense</w:t>
      </w:r>
      <w:r w:rsidR="00686C14" w:rsidRPr="00D549EE">
        <w:rPr>
          <w:sz w:val="28"/>
          <w:szCs w:val="28"/>
          <w:lang w:val="en-US"/>
        </w:rPr>
        <w:t xml:space="preserve"> manufacturing</w:t>
      </w:r>
      <w:r w:rsidRPr="00D549EE">
        <w:rPr>
          <w:sz w:val="28"/>
          <w:szCs w:val="28"/>
          <w:lang w:val="en-US"/>
        </w:rPr>
        <w:t xml:space="preserve">. </w:t>
      </w:r>
      <w:r w:rsidR="00D26E4B" w:rsidRPr="00D549EE">
        <w:rPr>
          <w:sz w:val="28"/>
          <w:szCs w:val="28"/>
          <w:lang w:val="en-US"/>
        </w:rPr>
        <w:t>C</w:t>
      </w:r>
      <w:r w:rsidRPr="00D549EE">
        <w:rPr>
          <w:sz w:val="28"/>
          <w:szCs w:val="28"/>
          <w:lang w:val="en-US"/>
        </w:rPr>
        <w:t xml:space="preserve">onventional banking and insurance services which are associated with interest </w:t>
      </w:r>
      <w:r w:rsidR="00383269" w:rsidRPr="00D549EE">
        <w:rPr>
          <w:sz w:val="28"/>
          <w:szCs w:val="28"/>
          <w:lang w:val="en-US"/>
        </w:rPr>
        <w:t xml:space="preserve">are </w:t>
      </w:r>
      <w:r w:rsidRPr="00D549EE">
        <w:rPr>
          <w:sz w:val="28"/>
          <w:szCs w:val="28"/>
          <w:lang w:val="en-US"/>
        </w:rPr>
        <w:t>also forbidden types of activity</w:t>
      </w:r>
      <w:r w:rsidR="008A26DC" w:rsidRPr="00D549EE">
        <w:rPr>
          <w:sz w:val="28"/>
          <w:szCs w:val="28"/>
          <w:lang w:val="en-US"/>
        </w:rPr>
        <w:t>.</w:t>
      </w:r>
      <w:r w:rsidRPr="00D549EE">
        <w:rPr>
          <w:sz w:val="28"/>
          <w:szCs w:val="28"/>
          <w:lang w:val="en-US"/>
        </w:rPr>
        <w:t xml:space="preserve"> These industries or sectors should not be included in the portfolio of Islamic </w:t>
      </w:r>
      <w:r w:rsidR="00686C14" w:rsidRPr="00D549EE">
        <w:rPr>
          <w:sz w:val="28"/>
          <w:szCs w:val="28"/>
          <w:lang w:val="en-US"/>
        </w:rPr>
        <w:t>funds supplier</w:t>
      </w:r>
      <w:r w:rsidR="003C22E6" w:rsidRPr="00D549EE">
        <w:rPr>
          <w:sz w:val="28"/>
          <w:szCs w:val="28"/>
          <w:lang w:val="en-US"/>
        </w:rPr>
        <w:t>s</w:t>
      </w:r>
      <w:r w:rsidR="00686C14" w:rsidRPr="00D549EE">
        <w:rPr>
          <w:sz w:val="28"/>
          <w:szCs w:val="28"/>
          <w:lang w:val="en-US"/>
        </w:rPr>
        <w:t xml:space="preserve"> or </w:t>
      </w:r>
      <w:r w:rsidRPr="00D549EE">
        <w:rPr>
          <w:sz w:val="28"/>
          <w:szCs w:val="28"/>
          <w:lang w:val="en-US"/>
        </w:rPr>
        <w:t>investor</w:t>
      </w:r>
      <w:r w:rsidR="003C22E6" w:rsidRPr="00D549EE">
        <w:rPr>
          <w:sz w:val="28"/>
          <w:szCs w:val="28"/>
          <w:lang w:val="en-US"/>
        </w:rPr>
        <w:t>s</w:t>
      </w:r>
      <w:r w:rsidR="00686C14" w:rsidRPr="00D549EE">
        <w:rPr>
          <w:sz w:val="28"/>
          <w:szCs w:val="28"/>
          <w:lang w:val="en-US"/>
        </w:rPr>
        <w:t>, for avoiding investing haram business activities</w:t>
      </w:r>
      <w:r w:rsidR="00205091" w:rsidRPr="00D549EE">
        <w:rPr>
          <w:sz w:val="28"/>
          <w:szCs w:val="28"/>
          <w:lang w:val="en-US"/>
        </w:rPr>
        <w:t>.</w:t>
      </w:r>
    </w:p>
    <w:p w14:paraId="395D636C" w14:textId="7C377CEC" w:rsidR="00395E03" w:rsidRPr="00D549EE" w:rsidRDefault="00395E03" w:rsidP="00C9582F">
      <w:pPr>
        <w:snapToGrid w:val="0"/>
        <w:contextualSpacing/>
        <w:jc w:val="both"/>
        <w:rPr>
          <w:b/>
          <w:sz w:val="28"/>
          <w:szCs w:val="28"/>
          <w:lang w:val="en-US"/>
        </w:rPr>
      </w:pPr>
      <w:r w:rsidRPr="00D549EE">
        <w:rPr>
          <w:sz w:val="28"/>
          <w:szCs w:val="28"/>
          <w:lang w:val="en-US"/>
        </w:rPr>
        <w:tab/>
        <w:t xml:space="preserve">The prohibition of </w:t>
      </w:r>
      <w:r w:rsidR="00FB63D0" w:rsidRPr="00D549EE">
        <w:rPr>
          <w:sz w:val="28"/>
          <w:szCs w:val="28"/>
          <w:lang w:val="en-US"/>
        </w:rPr>
        <w:t>r</w:t>
      </w:r>
      <w:r w:rsidRPr="00D549EE">
        <w:rPr>
          <w:sz w:val="28"/>
          <w:szCs w:val="28"/>
          <w:lang w:val="en-US"/>
        </w:rPr>
        <w:t>iba (</w:t>
      </w:r>
      <w:r w:rsidR="00652EB8" w:rsidRPr="00D549EE">
        <w:rPr>
          <w:sz w:val="28"/>
          <w:szCs w:val="28"/>
          <w:lang w:val="en-US"/>
        </w:rPr>
        <w:t>interest</w:t>
      </w:r>
      <w:r w:rsidRPr="00D549EE">
        <w:rPr>
          <w:sz w:val="28"/>
          <w:szCs w:val="28"/>
          <w:lang w:val="en-US"/>
        </w:rPr>
        <w:t>), the exclusion of contractual ambiguity (</w:t>
      </w:r>
      <w:r w:rsidR="00FB63D0" w:rsidRPr="00D549EE">
        <w:rPr>
          <w:sz w:val="28"/>
          <w:szCs w:val="28"/>
          <w:lang w:val="en-US"/>
        </w:rPr>
        <w:t>g</w:t>
      </w:r>
      <w:r w:rsidRPr="00D549EE">
        <w:rPr>
          <w:sz w:val="28"/>
          <w:szCs w:val="28"/>
          <w:lang w:val="en-US"/>
        </w:rPr>
        <w:t>arar)</w:t>
      </w:r>
      <w:r w:rsidR="00222398" w:rsidRPr="00D549EE">
        <w:rPr>
          <w:sz w:val="28"/>
          <w:szCs w:val="28"/>
          <w:lang w:val="en-US"/>
        </w:rPr>
        <w:t xml:space="preserve">, </w:t>
      </w:r>
      <w:r w:rsidRPr="00D549EE">
        <w:rPr>
          <w:sz w:val="28"/>
          <w:szCs w:val="28"/>
          <w:lang w:val="en-US"/>
        </w:rPr>
        <w:t>and other forms of exploitation are consequences of the basic principles of Islamic finance.</w:t>
      </w:r>
      <w:r w:rsidR="00785182" w:rsidRPr="00D549EE">
        <w:rPr>
          <w:sz w:val="28"/>
          <w:szCs w:val="28"/>
          <w:lang w:val="en-US"/>
        </w:rPr>
        <w:t xml:space="preserve"> </w:t>
      </w:r>
      <w:r w:rsidRPr="00D549EE">
        <w:rPr>
          <w:sz w:val="28"/>
          <w:szCs w:val="28"/>
          <w:lang w:val="en-US"/>
        </w:rPr>
        <w:t xml:space="preserve">Quran gives </w:t>
      </w:r>
      <w:r w:rsidR="00F6421F" w:rsidRPr="00D549EE">
        <w:rPr>
          <w:sz w:val="28"/>
          <w:szCs w:val="28"/>
          <w:lang w:val="en-US"/>
        </w:rPr>
        <w:t>six</w:t>
      </w:r>
      <w:r w:rsidRPr="00D549EE">
        <w:rPr>
          <w:sz w:val="28"/>
          <w:szCs w:val="28"/>
          <w:lang w:val="en-US"/>
        </w:rPr>
        <w:t xml:space="preserve"> basic concepts of </w:t>
      </w:r>
      <w:r w:rsidR="00FB63D0" w:rsidRPr="00D549EE">
        <w:rPr>
          <w:sz w:val="28"/>
          <w:szCs w:val="28"/>
          <w:lang w:val="en-US"/>
        </w:rPr>
        <w:t>r</w:t>
      </w:r>
      <w:r w:rsidRPr="00D549EE">
        <w:rPr>
          <w:sz w:val="28"/>
          <w:szCs w:val="28"/>
          <w:lang w:val="en-US"/>
        </w:rPr>
        <w:t>iba, each of the verses of the Quran gives an accurate definition of the absolute nature of the prohibition, without determining the nature of the offensive behavior:</w:t>
      </w:r>
    </w:p>
    <w:p w14:paraId="4EBC047E" w14:textId="67074E65" w:rsidR="00395E03" w:rsidRPr="00D549EE" w:rsidRDefault="00395E03" w:rsidP="00E12E19">
      <w:pPr>
        <w:pStyle w:val="a3"/>
        <w:numPr>
          <w:ilvl w:val="0"/>
          <w:numId w:val="1"/>
        </w:numPr>
        <w:snapToGrid w:val="0"/>
        <w:spacing w:before="75" w:after="375" w:line="240" w:lineRule="auto"/>
        <w:jc w:val="both"/>
        <w:outlineLvl w:val="1"/>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 xml:space="preserve">And whatever you give for interest to increase within the wealth of people will not increase with Allah (30:39) </w:t>
      </w:r>
      <w:r w:rsidRPr="00D549EE">
        <w:rPr>
          <w:rFonts w:ascii="Times New Roman" w:hAnsi="Times New Roman"/>
          <w:color w:val="000000" w:themeColor="text1"/>
          <w:sz w:val="28"/>
          <w:szCs w:val="28"/>
          <w:lang w:val="en-US"/>
        </w:rPr>
        <w:fldChar w:fldCharType="begin" w:fldLock="1"/>
      </w:r>
      <w:r w:rsidR="009E659C" w:rsidRPr="00D549EE">
        <w:rPr>
          <w:rFonts w:ascii="Times New Roman" w:hAnsi="Times New Roman"/>
          <w:color w:val="000000" w:themeColor="text1"/>
          <w:sz w:val="28"/>
          <w:szCs w:val="28"/>
          <w:lang w:val="en-US"/>
        </w:rPr>
        <w:instrText>ADDIN CSL_CITATION {"citationItems":[{"id":"ITEM-1","itemData":{"author":[{"dropping-particle":"","family":"Ali","given":"Maualwi Sher","non-dropping-particle":"","parse-names":false,"suffix":""}],"id":"ITEM-1","issued":{"date-parts":[["2015"]]},"number-of-pages":"836","publisher":"Islam International publications Limited","title":"The Holy-Quran, Arabic text and English Translation","type":"book"},"uris":["http://www.mendeley.com/documents/?uuid=f9fa377e-58aa-401f-80ab-8caf62735865"]}],"mendeley":{"formattedCitation":"[7]","manualFormatting":"[7, p. 473]","plainTextFormattedCitation":"[7]","previouslyFormattedCitation":"[7]"},"properties":{"noteIndex":0},"schema":"https://github.com/citation-style-language/schema/raw/master/csl-citation.json"}</w:instrText>
      </w:r>
      <w:r w:rsidRPr="00D549EE">
        <w:rPr>
          <w:rFonts w:ascii="Times New Roman" w:hAnsi="Times New Roman"/>
          <w:color w:val="000000" w:themeColor="text1"/>
          <w:sz w:val="28"/>
          <w:szCs w:val="28"/>
          <w:lang w:val="en-US"/>
        </w:rPr>
        <w:fldChar w:fldCharType="separate"/>
      </w:r>
      <w:r w:rsidR="00785182" w:rsidRPr="00D549EE">
        <w:rPr>
          <w:rFonts w:ascii="Times New Roman" w:hAnsi="Times New Roman"/>
          <w:noProof/>
          <w:color w:val="000000" w:themeColor="text1"/>
          <w:sz w:val="28"/>
          <w:szCs w:val="28"/>
          <w:lang w:val="en-US"/>
        </w:rPr>
        <w:t>[7</w:t>
      </w:r>
      <w:r w:rsidR="009E659C" w:rsidRPr="00D549EE">
        <w:rPr>
          <w:rFonts w:ascii="Times New Roman" w:hAnsi="Times New Roman"/>
          <w:noProof/>
          <w:color w:val="000000" w:themeColor="text1"/>
          <w:sz w:val="28"/>
          <w:szCs w:val="28"/>
          <w:lang w:val="en-US"/>
        </w:rPr>
        <w:t>, p. 473</w:t>
      </w:r>
      <w:r w:rsidR="00785182" w:rsidRPr="00D549EE">
        <w:rPr>
          <w:rFonts w:ascii="Times New Roman" w:hAnsi="Times New Roman"/>
          <w:noProof/>
          <w:color w:val="000000" w:themeColor="text1"/>
          <w:sz w:val="28"/>
          <w:szCs w:val="28"/>
          <w:lang w:val="en-US"/>
        </w:rPr>
        <w:t>]</w:t>
      </w:r>
      <w:r w:rsidRPr="00D549EE">
        <w:rPr>
          <w:rFonts w:ascii="Times New Roman" w:hAnsi="Times New Roman"/>
          <w:color w:val="000000" w:themeColor="text1"/>
          <w:sz w:val="28"/>
          <w:szCs w:val="28"/>
          <w:lang w:val="en-US"/>
        </w:rPr>
        <w:fldChar w:fldCharType="end"/>
      </w:r>
      <w:r w:rsidR="00785182" w:rsidRPr="00D549EE">
        <w:rPr>
          <w:rFonts w:ascii="Times New Roman" w:hAnsi="Times New Roman"/>
          <w:color w:val="000000" w:themeColor="text1"/>
          <w:sz w:val="28"/>
          <w:szCs w:val="28"/>
          <w:lang w:val="en-US"/>
        </w:rPr>
        <w:t>.</w:t>
      </w:r>
    </w:p>
    <w:p w14:paraId="1E0542F2" w14:textId="54638619" w:rsidR="00395E03" w:rsidRPr="00D549EE" w:rsidRDefault="00395E03" w:rsidP="00E12E19">
      <w:pPr>
        <w:pStyle w:val="a3"/>
        <w:numPr>
          <w:ilvl w:val="0"/>
          <w:numId w:val="1"/>
        </w:numPr>
        <w:snapToGrid w:val="0"/>
        <w:spacing w:before="75" w:after="375" w:line="240" w:lineRule="auto"/>
        <w:jc w:val="both"/>
        <w:outlineLvl w:val="1"/>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 xml:space="preserve">And [for] their taking of usury while they had been forbidden from it, and their consuming of the people's wealth unjustly. And we have prepared for the disbelievers among them a painful punishment (4:161) </w:t>
      </w:r>
      <w:r w:rsidRPr="00D549EE">
        <w:rPr>
          <w:rFonts w:ascii="Times New Roman" w:hAnsi="Times New Roman"/>
          <w:color w:val="000000" w:themeColor="text1"/>
          <w:sz w:val="28"/>
          <w:szCs w:val="28"/>
          <w:lang w:val="en-US"/>
        </w:rPr>
        <w:fldChar w:fldCharType="begin" w:fldLock="1"/>
      </w:r>
      <w:r w:rsidR="00B204E4" w:rsidRPr="00D549EE">
        <w:rPr>
          <w:rFonts w:ascii="Times New Roman" w:hAnsi="Times New Roman"/>
          <w:color w:val="000000" w:themeColor="text1"/>
          <w:sz w:val="28"/>
          <w:szCs w:val="28"/>
          <w:lang w:val="en-US"/>
        </w:rPr>
        <w:instrText>ADDIN CSL_CITATION {"citationItems":[{"id":"ITEM-1","itemData":{"author":[{"dropping-particle":"","family":"Ali","given":"Maualwi Sher","non-dropping-particle":"","parse-names":false,"suffix":""}],"id":"ITEM-1","issued":{"date-parts":[["2015"]]},"number-of-pages":"836","publisher":"Islam International publications Limited","title":"The Holy-Quran, Arabic text and English Translation","type":"book"},"uris":["http://www.mendeley.com/documents/?uuid=f9fa377e-58aa-401f-80ab-8caf62735865"]}],"mendeley":{"formattedCitation":"[7]","manualFormatting":"[7, p. 61]","plainTextFormattedCitation":"[7]","previouslyFormattedCitation":"[7]"},"properties":{"noteIndex":0},"schema":"https://github.com/citation-style-language/schema/raw/master/csl-citation.json"}</w:instrText>
      </w:r>
      <w:r w:rsidRPr="00D549EE">
        <w:rPr>
          <w:rFonts w:ascii="Times New Roman" w:hAnsi="Times New Roman"/>
          <w:color w:val="000000" w:themeColor="text1"/>
          <w:sz w:val="28"/>
          <w:szCs w:val="28"/>
          <w:lang w:val="en-US"/>
        </w:rPr>
        <w:fldChar w:fldCharType="separate"/>
      </w:r>
      <w:r w:rsidR="00785182" w:rsidRPr="00D549EE">
        <w:rPr>
          <w:rFonts w:ascii="Times New Roman" w:hAnsi="Times New Roman"/>
          <w:noProof/>
          <w:color w:val="000000" w:themeColor="text1"/>
          <w:sz w:val="28"/>
          <w:szCs w:val="28"/>
          <w:lang w:val="en-US"/>
        </w:rPr>
        <w:t>[7</w:t>
      </w:r>
      <w:r w:rsidR="00B204E4" w:rsidRPr="00D549EE">
        <w:rPr>
          <w:rFonts w:ascii="Times New Roman" w:hAnsi="Times New Roman"/>
          <w:noProof/>
          <w:color w:val="000000" w:themeColor="text1"/>
          <w:sz w:val="28"/>
          <w:szCs w:val="28"/>
          <w:lang w:val="en-US"/>
        </w:rPr>
        <w:t>, p. 61</w:t>
      </w:r>
      <w:r w:rsidR="00785182" w:rsidRPr="00D549EE">
        <w:rPr>
          <w:rFonts w:ascii="Times New Roman" w:hAnsi="Times New Roman"/>
          <w:noProof/>
          <w:color w:val="000000" w:themeColor="text1"/>
          <w:sz w:val="28"/>
          <w:szCs w:val="28"/>
          <w:lang w:val="en-US"/>
        </w:rPr>
        <w:t>]</w:t>
      </w:r>
      <w:r w:rsidRPr="00D549EE">
        <w:rPr>
          <w:rFonts w:ascii="Times New Roman" w:hAnsi="Times New Roman"/>
          <w:color w:val="000000" w:themeColor="text1"/>
          <w:sz w:val="28"/>
          <w:szCs w:val="28"/>
          <w:lang w:val="en-US"/>
        </w:rPr>
        <w:fldChar w:fldCharType="end"/>
      </w:r>
      <w:r w:rsidR="00785182" w:rsidRPr="00D549EE">
        <w:rPr>
          <w:rFonts w:ascii="Times New Roman" w:hAnsi="Times New Roman"/>
          <w:color w:val="000000" w:themeColor="text1"/>
          <w:sz w:val="28"/>
          <w:szCs w:val="28"/>
          <w:lang w:val="en-US"/>
        </w:rPr>
        <w:t>.</w:t>
      </w:r>
    </w:p>
    <w:p w14:paraId="4AE60A57" w14:textId="17FAC8AF" w:rsidR="00395E03" w:rsidRPr="00D549EE" w:rsidRDefault="00395E03" w:rsidP="00E12E19">
      <w:pPr>
        <w:pStyle w:val="a3"/>
        <w:numPr>
          <w:ilvl w:val="0"/>
          <w:numId w:val="1"/>
        </w:numPr>
        <w:snapToGrid w:val="0"/>
        <w:spacing w:before="75" w:after="375" w:line="240" w:lineRule="auto"/>
        <w:jc w:val="both"/>
        <w:outlineLvl w:val="1"/>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 xml:space="preserve">Do not consume usury, doubled and multiplied, but fear Allah that you may be successful (3:130) </w:t>
      </w:r>
      <w:r w:rsidRPr="00D549EE">
        <w:rPr>
          <w:rFonts w:ascii="Times New Roman" w:hAnsi="Times New Roman"/>
          <w:color w:val="000000" w:themeColor="text1"/>
          <w:sz w:val="28"/>
          <w:szCs w:val="28"/>
          <w:lang w:val="en-US"/>
        </w:rPr>
        <w:fldChar w:fldCharType="begin" w:fldLock="1"/>
      </w:r>
      <w:r w:rsidR="00B204E4" w:rsidRPr="00D549EE">
        <w:rPr>
          <w:rFonts w:ascii="Times New Roman" w:hAnsi="Times New Roman"/>
          <w:color w:val="000000" w:themeColor="text1"/>
          <w:sz w:val="28"/>
          <w:szCs w:val="28"/>
          <w:lang w:val="en-US"/>
        </w:rPr>
        <w:instrText>ADDIN CSL_CITATION {"citationItems":[{"id":"ITEM-1","itemData":{"author":[{"dropping-particle":"","family":"Ali","given":"Maualwi Sher","non-dropping-particle":"","parse-names":false,"suffix":""}],"id":"ITEM-1","issued":{"date-parts":[["2015"]]},"number-of-pages":"836","publisher":"Islam International publications Limited","title":"The Holy-Quran, Arabic text and English Translation","type":"book"},"uris":["http://www.mendeley.com/documents/?uuid=f9fa377e-58aa-401f-80ab-8caf62735865"]}],"mendeley":{"formattedCitation":"[7]","manualFormatting":"[7, p. 52]","plainTextFormattedCitation":"[7]","previouslyFormattedCitation":"[7]"},"properties":{"noteIndex":0},"schema":"https://github.com/citation-style-language/schema/raw/master/csl-citation.json"}</w:instrText>
      </w:r>
      <w:r w:rsidRPr="00D549EE">
        <w:rPr>
          <w:rFonts w:ascii="Times New Roman" w:hAnsi="Times New Roman"/>
          <w:color w:val="000000" w:themeColor="text1"/>
          <w:sz w:val="28"/>
          <w:szCs w:val="28"/>
          <w:lang w:val="en-US"/>
        </w:rPr>
        <w:fldChar w:fldCharType="separate"/>
      </w:r>
      <w:r w:rsidR="00785182" w:rsidRPr="00D549EE">
        <w:rPr>
          <w:rFonts w:ascii="Times New Roman" w:hAnsi="Times New Roman"/>
          <w:noProof/>
          <w:color w:val="000000" w:themeColor="text1"/>
          <w:sz w:val="28"/>
          <w:szCs w:val="28"/>
          <w:lang w:val="en-US"/>
        </w:rPr>
        <w:t>[7</w:t>
      </w:r>
      <w:r w:rsidR="00B204E4" w:rsidRPr="00D549EE">
        <w:rPr>
          <w:rFonts w:ascii="Times New Roman" w:hAnsi="Times New Roman"/>
          <w:noProof/>
          <w:color w:val="000000" w:themeColor="text1"/>
          <w:sz w:val="28"/>
          <w:szCs w:val="28"/>
          <w:lang w:val="en-US"/>
        </w:rPr>
        <w:t>, p. 52</w:t>
      </w:r>
      <w:r w:rsidR="00785182" w:rsidRPr="00D549EE">
        <w:rPr>
          <w:rFonts w:ascii="Times New Roman" w:hAnsi="Times New Roman"/>
          <w:noProof/>
          <w:color w:val="000000" w:themeColor="text1"/>
          <w:sz w:val="28"/>
          <w:szCs w:val="28"/>
          <w:lang w:val="en-US"/>
        </w:rPr>
        <w:t>]</w:t>
      </w:r>
      <w:r w:rsidRPr="00D549EE">
        <w:rPr>
          <w:rFonts w:ascii="Times New Roman" w:hAnsi="Times New Roman"/>
          <w:color w:val="000000" w:themeColor="text1"/>
          <w:sz w:val="28"/>
          <w:szCs w:val="28"/>
          <w:lang w:val="en-US"/>
        </w:rPr>
        <w:fldChar w:fldCharType="end"/>
      </w:r>
      <w:r w:rsidR="00785182" w:rsidRPr="00D549EE">
        <w:rPr>
          <w:rFonts w:ascii="Times New Roman" w:hAnsi="Times New Roman"/>
          <w:color w:val="000000" w:themeColor="text1"/>
          <w:sz w:val="28"/>
          <w:szCs w:val="28"/>
          <w:lang w:val="en-US"/>
        </w:rPr>
        <w:t>.</w:t>
      </w:r>
    </w:p>
    <w:p w14:paraId="76278FEE" w14:textId="3CCD0FD5" w:rsidR="00395E03" w:rsidRPr="00D549EE" w:rsidRDefault="00F6421F" w:rsidP="00E12E19">
      <w:pPr>
        <w:pStyle w:val="a3"/>
        <w:numPr>
          <w:ilvl w:val="0"/>
          <w:numId w:val="1"/>
        </w:numPr>
        <w:spacing w:before="100" w:beforeAutospacing="1" w:after="100" w:afterAutospacing="1" w:line="240" w:lineRule="auto"/>
        <w:jc w:val="both"/>
        <w:rPr>
          <w:rFonts w:ascii="Times New Roman" w:hAnsi="Times New Roman"/>
          <w:sz w:val="28"/>
          <w:szCs w:val="28"/>
          <w:lang w:val="en-US"/>
        </w:rPr>
      </w:pPr>
      <w:r w:rsidRPr="00D549EE">
        <w:rPr>
          <w:rFonts w:ascii="Times New Roman" w:hAnsi="Times New Roman"/>
          <w:iCs/>
          <w:sz w:val="28"/>
          <w:szCs w:val="28"/>
          <w:lang w:val="en-US"/>
        </w:rPr>
        <w:t>Those who swallow usury (</w:t>
      </w:r>
      <w:r w:rsidR="00FB63D0" w:rsidRPr="00D549EE">
        <w:rPr>
          <w:rFonts w:ascii="Times New Roman" w:hAnsi="Times New Roman"/>
          <w:iCs/>
          <w:sz w:val="28"/>
          <w:szCs w:val="28"/>
          <w:lang w:val="en-US"/>
        </w:rPr>
        <w:t>r</w:t>
      </w:r>
      <w:r w:rsidRPr="00D549EE">
        <w:rPr>
          <w:rFonts w:ascii="Times New Roman" w:hAnsi="Times New Roman"/>
          <w:iCs/>
          <w:sz w:val="28"/>
          <w:szCs w:val="28"/>
          <w:lang w:val="en-US"/>
        </w:rPr>
        <w:t>iba) will not rise, except as someone driven mad by Satan's touch. That is because they say, “Commerce is like usury (</w:t>
      </w:r>
      <w:r w:rsidR="00FB63D0" w:rsidRPr="00D549EE">
        <w:rPr>
          <w:rFonts w:ascii="Times New Roman" w:hAnsi="Times New Roman"/>
          <w:iCs/>
          <w:sz w:val="28"/>
          <w:szCs w:val="28"/>
          <w:lang w:val="en-US"/>
        </w:rPr>
        <w:t>r</w:t>
      </w:r>
      <w:r w:rsidRPr="00D549EE">
        <w:rPr>
          <w:rFonts w:ascii="Times New Roman" w:hAnsi="Times New Roman"/>
          <w:iCs/>
          <w:sz w:val="28"/>
          <w:szCs w:val="28"/>
          <w:lang w:val="en-US"/>
        </w:rPr>
        <w:t>iba).” But Allah has permitted commerce, and has forbidden usury (</w:t>
      </w:r>
      <w:r w:rsidR="00FB63D0" w:rsidRPr="00D549EE">
        <w:rPr>
          <w:rFonts w:ascii="Times New Roman" w:hAnsi="Times New Roman"/>
          <w:iCs/>
          <w:sz w:val="28"/>
          <w:szCs w:val="28"/>
          <w:lang w:val="en-US"/>
        </w:rPr>
        <w:t>r</w:t>
      </w:r>
      <w:r w:rsidRPr="00D549EE">
        <w:rPr>
          <w:rFonts w:ascii="Times New Roman" w:hAnsi="Times New Roman"/>
          <w:iCs/>
          <w:sz w:val="28"/>
          <w:szCs w:val="28"/>
          <w:lang w:val="en-US"/>
        </w:rPr>
        <w:t>iba). Whoever, on receiving advice from his Lord, refrains, may keep his past earnings, and his case rests with Allah. But whoever resumes — these are the dwellers of the Fire, wherein they will abide forever</w:t>
      </w:r>
      <w:r w:rsidR="00395E03" w:rsidRPr="00D549EE">
        <w:rPr>
          <w:rFonts w:ascii="Times New Roman" w:hAnsi="Times New Roman"/>
          <w:color w:val="000000" w:themeColor="text1"/>
          <w:sz w:val="28"/>
          <w:szCs w:val="28"/>
          <w:lang w:val="en-US"/>
        </w:rPr>
        <w:t xml:space="preserve"> (2:275) </w:t>
      </w:r>
      <w:r w:rsidR="00395E03" w:rsidRPr="00D549EE">
        <w:rPr>
          <w:rFonts w:ascii="Times New Roman" w:hAnsi="Times New Roman"/>
          <w:color w:val="000000" w:themeColor="text1"/>
          <w:sz w:val="28"/>
          <w:szCs w:val="28"/>
          <w:lang w:val="en-US"/>
        </w:rPr>
        <w:fldChar w:fldCharType="begin" w:fldLock="1"/>
      </w:r>
      <w:r w:rsidR="00B204E4" w:rsidRPr="00D549EE">
        <w:rPr>
          <w:rFonts w:ascii="Times New Roman" w:hAnsi="Times New Roman"/>
          <w:color w:val="000000" w:themeColor="text1"/>
          <w:sz w:val="28"/>
          <w:szCs w:val="28"/>
          <w:lang w:val="en-US"/>
        </w:rPr>
        <w:instrText>ADDIN CSL_CITATION {"citationItems":[{"id":"ITEM-1","itemData":{"author":[{"dropping-particle":"","family":"Ali","given":"Maualwi Sher","non-dropping-particle":"","parse-names":false,"suffix":""}],"id":"ITEM-1","issued":{"date-parts":[["2015"]]},"number-of-pages":"836","publisher":"Islam International publications Limited","title":"The Holy-Quran, Arabic text and English Translation","type":"book"},"uris":["http://www.mendeley.com/documents/?uuid=f9fa377e-58aa-401f-80ab-8caf62735865"]}],"mendeley":{"formattedCitation":"[7]","manualFormatting":"[7, p. 43]","plainTextFormattedCitation":"[7]","previouslyFormattedCitation":"[7]"},"properties":{"noteIndex":0},"schema":"https://github.com/citation-style-language/schema/raw/master/csl-citation.json"}</w:instrText>
      </w:r>
      <w:r w:rsidR="00395E03" w:rsidRPr="00D549EE">
        <w:rPr>
          <w:rFonts w:ascii="Times New Roman" w:hAnsi="Times New Roman"/>
          <w:color w:val="000000" w:themeColor="text1"/>
          <w:sz w:val="28"/>
          <w:szCs w:val="28"/>
          <w:lang w:val="en-US"/>
        </w:rPr>
        <w:fldChar w:fldCharType="separate"/>
      </w:r>
      <w:r w:rsidR="00785182" w:rsidRPr="00D549EE">
        <w:rPr>
          <w:rFonts w:ascii="Times New Roman" w:hAnsi="Times New Roman"/>
          <w:noProof/>
          <w:color w:val="000000" w:themeColor="text1"/>
          <w:sz w:val="28"/>
          <w:szCs w:val="28"/>
          <w:lang w:val="en-US"/>
        </w:rPr>
        <w:t>[7</w:t>
      </w:r>
      <w:r w:rsidR="00B204E4" w:rsidRPr="00D549EE">
        <w:rPr>
          <w:rFonts w:ascii="Times New Roman" w:hAnsi="Times New Roman"/>
          <w:noProof/>
          <w:color w:val="000000" w:themeColor="text1"/>
          <w:sz w:val="28"/>
          <w:szCs w:val="28"/>
          <w:lang w:val="en-US"/>
        </w:rPr>
        <w:t>, p. 43</w:t>
      </w:r>
      <w:r w:rsidR="00785182" w:rsidRPr="00D549EE">
        <w:rPr>
          <w:rFonts w:ascii="Times New Roman" w:hAnsi="Times New Roman"/>
          <w:noProof/>
          <w:color w:val="000000" w:themeColor="text1"/>
          <w:sz w:val="28"/>
          <w:szCs w:val="28"/>
          <w:lang w:val="en-US"/>
        </w:rPr>
        <w:t>]</w:t>
      </w:r>
      <w:r w:rsidR="00395E03" w:rsidRPr="00D549EE">
        <w:rPr>
          <w:rFonts w:ascii="Times New Roman" w:hAnsi="Times New Roman"/>
          <w:color w:val="000000" w:themeColor="text1"/>
          <w:sz w:val="28"/>
          <w:szCs w:val="28"/>
          <w:lang w:val="en-US"/>
        </w:rPr>
        <w:fldChar w:fldCharType="end"/>
      </w:r>
      <w:r w:rsidR="00785182" w:rsidRPr="00D549EE">
        <w:rPr>
          <w:rFonts w:ascii="Times New Roman" w:hAnsi="Times New Roman"/>
          <w:color w:val="000000" w:themeColor="text1"/>
          <w:sz w:val="28"/>
          <w:szCs w:val="28"/>
          <w:lang w:val="en-US"/>
        </w:rPr>
        <w:t>.</w:t>
      </w:r>
    </w:p>
    <w:p w14:paraId="66C9A5FA" w14:textId="7C50266A" w:rsidR="007C0546" w:rsidRPr="00D549EE" w:rsidRDefault="007C0546" w:rsidP="00E12E19">
      <w:pPr>
        <w:pStyle w:val="a3"/>
        <w:numPr>
          <w:ilvl w:val="0"/>
          <w:numId w:val="1"/>
        </w:numPr>
        <w:spacing w:before="100" w:beforeAutospacing="1" w:after="100" w:afterAutospacing="1" w:line="240" w:lineRule="auto"/>
        <w:jc w:val="both"/>
        <w:rPr>
          <w:rFonts w:ascii="Times New Roman" w:hAnsi="Times New Roman"/>
          <w:sz w:val="28"/>
          <w:szCs w:val="28"/>
          <w:lang w:val="en-US"/>
        </w:rPr>
      </w:pPr>
      <w:r w:rsidRPr="00D549EE">
        <w:rPr>
          <w:rFonts w:ascii="Times New Roman" w:hAnsi="Times New Roman"/>
          <w:iCs/>
          <w:sz w:val="28"/>
          <w:szCs w:val="28"/>
          <w:lang w:val="en-US"/>
        </w:rPr>
        <w:t>Allah condemns usury (</w:t>
      </w:r>
      <w:r w:rsidR="00FB63D0" w:rsidRPr="00D549EE">
        <w:rPr>
          <w:rFonts w:ascii="Times New Roman" w:hAnsi="Times New Roman"/>
          <w:iCs/>
          <w:sz w:val="28"/>
          <w:szCs w:val="28"/>
          <w:lang w:val="en-US"/>
        </w:rPr>
        <w:t>r</w:t>
      </w:r>
      <w:r w:rsidRPr="00D549EE">
        <w:rPr>
          <w:rFonts w:ascii="Times New Roman" w:hAnsi="Times New Roman"/>
          <w:iCs/>
          <w:sz w:val="28"/>
          <w:szCs w:val="28"/>
          <w:lang w:val="en-US"/>
        </w:rPr>
        <w:t>iba), and He</w:t>
      </w:r>
      <w:r w:rsidR="0082438B" w:rsidRPr="00D549EE">
        <w:rPr>
          <w:rFonts w:ascii="Times New Roman" w:hAnsi="Times New Roman"/>
          <w:iCs/>
          <w:sz w:val="28"/>
          <w:szCs w:val="28"/>
          <w:lang w:val="en-US"/>
        </w:rPr>
        <w:t xml:space="preserve"> </w:t>
      </w:r>
      <w:r w:rsidRPr="00D549EE">
        <w:rPr>
          <w:rFonts w:ascii="Times New Roman" w:hAnsi="Times New Roman"/>
          <w:iCs/>
          <w:sz w:val="28"/>
          <w:szCs w:val="28"/>
          <w:lang w:val="en-US"/>
        </w:rPr>
        <w:t>blesses charities. Allah does not love any sinful ingrate (</w:t>
      </w:r>
      <w:r w:rsidR="00F6421F" w:rsidRPr="00D549EE">
        <w:rPr>
          <w:rFonts w:ascii="Times New Roman" w:hAnsi="Times New Roman"/>
          <w:iCs/>
          <w:sz w:val="28"/>
          <w:szCs w:val="28"/>
          <w:lang w:val="en-US"/>
        </w:rPr>
        <w:t>2:276)</w:t>
      </w:r>
      <w:r w:rsidRPr="00D549EE">
        <w:rPr>
          <w:rFonts w:ascii="Times New Roman" w:hAnsi="Times New Roman"/>
          <w:iCs/>
          <w:sz w:val="28"/>
          <w:szCs w:val="28"/>
          <w:lang w:val="en-US"/>
        </w:rPr>
        <w:t xml:space="preserve"> </w:t>
      </w:r>
      <w:r w:rsidR="00F6421F" w:rsidRPr="00D549EE">
        <w:rPr>
          <w:rFonts w:ascii="Times New Roman" w:hAnsi="Times New Roman"/>
          <w:color w:val="000000" w:themeColor="text1"/>
          <w:sz w:val="28"/>
          <w:szCs w:val="28"/>
          <w:lang w:val="en-US"/>
        </w:rPr>
        <w:fldChar w:fldCharType="begin" w:fldLock="1"/>
      </w:r>
      <w:r w:rsidR="00785182" w:rsidRPr="00D549EE">
        <w:rPr>
          <w:rFonts w:ascii="Times New Roman" w:hAnsi="Times New Roman"/>
          <w:color w:val="000000" w:themeColor="text1"/>
          <w:sz w:val="28"/>
          <w:szCs w:val="28"/>
          <w:lang w:val="en-US"/>
        </w:rPr>
        <w:instrText>ADDIN CSL_CITATION {"citationItems":[{"id":"ITEM-1","itemData":{"author":[{"dropping-particle":"","family":"Ali","given":"Maualwi Sher","non-dropping-particle":"","parse-names":false,"suffix":""}],"id":"ITEM-1","issued":{"date-parts":[["2015"]]},"number-of-pages":"836","publisher":"Islam International publications Limited","title":"The Holy-Quran, Arabic text and English Translation","type":"book"},"uris":["http://www.mendeley.com/documents/?uuid=f9fa377e-58aa-401f-80ab-8caf62735865"]}],"mendeley":{"formattedCitation":"[7]","plainTextFormattedCitation":"[7]","previouslyFormattedCitation":"[7]"},"properties":{"noteIndex":0},"schema":"https://github.com/citation-style-language/schema/raw/master/csl-citation.json"}</w:instrText>
      </w:r>
      <w:r w:rsidR="00F6421F" w:rsidRPr="00D549EE">
        <w:rPr>
          <w:rFonts w:ascii="Times New Roman" w:hAnsi="Times New Roman"/>
          <w:color w:val="000000" w:themeColor="text1"/>
          <w:sz w:val="28"/>
          <w:szCs w:val="28"/>
          <w:lang w:val="en-US"/>
        </w:rPr>
        <w:fldChar w:fldCharType="separate"/>
      </w:r>
      <w:r w:rsidR="00785182" w:rsidRPr="00D549EE">
        <w:rPr>
          <w:rFonts w:ascii="Times New Roman" w:hAnsi="Times New Roman"/>
          <w:noProof/>
          <w:color w:val="000000" w:themeColor="text1"/>
          <w:sz w:val="28"/>
          <w:szCs w:val="28"/>
          <w:lang w:val="en-US"/>
        </w:rPr>
        <w:t>[7</w:t>
      </w:r>
      <w:r w:rsidR="00B204E4" w:rsidRPr="00D549EE">
        <w:rPr>
          <w:rFonts w:ascii="Times New Roman" w:hAnsi="Times New Roman"/>
          <w:noProof/>
          <w:color w:val="000000" w:themeColor="text1"/>
          <w:sz w:val="28"/>
          <w:szCs w:val="28"/>
          <w:lang w:val="en-US"/>
        </w:rPr>
        <w:t>, p. 43</w:t>
      </w:r>
      <w:r w:rsidR="00785182" w:rsidRPr="00D549EE">
        <w:rPr>
          <w:rFonts w:ascii="Times New Roman" w:hAnsi="Times New Roman"/>
          <w:noProof/>
          <w:color w:val="000000" w:themeColor="text1"/>
          <w:sz w:val="28"/>
          <w:szCs w:val="28"/>
          <w:lang w:val="en-US"/>
        </w:rPr>
        <w:t>]</w:t>
      </w:r>
      <w:r w:rsidR="00F6421F" w:rsidRPr="00D549EE">
        <w:rPr>
          <w:rFonts w:ascii="Times New Roman" w:hAnsi="Times New Roman"/>
          <w:color w:val="000000" w:themeColor="text1"/>
          <w:sz w:val="28"/>
          <w:szCs w:val="28"/>
          <w:lang w:val="en-US"/>
        </w:rPr>
        <w:fldChar w:fldCharType="end"/>
      </w:r>
      <w:r w:rsidR="00785182" w:rsidRPr="00D549EE">
        <w:rPr>
          <w:rFonts w:ascii="Times New Roman" w:hAnsi="Times New Roman"/>
          <w:color w:val="000000" w:themeColor="text1"/>
          <w:sz w:val="28"/>
          <w:szCs w:val="28"/>
          <w:lang w:val="en-US"/>
        </w:rPr>
        <w:t>.</w:t>
      </w:r>
    </w:p>
    <w:p w14:paraId="60F16639" w14:textId="3ABD21DA" w:rsidR="007C0546" w:rsidRPr="00D549EE" w:rsidRDefault="00F6421F" w:rsidP="00E12E19">
      <w:pPr>
        <w:pStyle w:val="a3"/>
        <w:numPr>
          <w:ilvl w:val="0"/>
          <w:numId w:val="1"/>
        </w:numPr>
        <w:spacing w:before="100" w:beforeAutospacing="1" w:after="100" w:afterAutospacing="1" w:line="240" w:lineRule="auto"/>
        <w:jc w:val="both"/>
        <w:rPr>
          <w:rFonts w:ascii="Times New Roman" w:hAnsi="Times New Roman"/>
          <w:sz w:val="28"/>
          <w:szCs w:val="28"/>
          <w:lang w:val="en-US"/>
        </w:rPr>
      </w:pPr>
      <w:r w:rsidRPr="00D549EE">
        <w:rPr>
          <w:rFonts w:ascii="Times New Roman" w:hAnsi="Times New Roman"/>
          <w:iCs/>
          <w:sz w:val="28"/>
          <w:szCs w:val="28"/>
          <w:lang w:val="en-US"/>
        </w:rPr>
        <w:t>Fear Allah, and forgo</w:t>
      </w:r>
      <w:r w:rsidR="00754E97" w:rsidRPr="00D549EE">
        <w:rPr>
          <w:rFonts w:ascii="Times New Roman" w:hAnsi="Times New Roman"/>
          <w:iCs/>
          <w:sz w:val="28"/>
          <w:szCs w:val="28"/>
          <w:lang w:val="en-US"/>
        </w:rPr>
        <w:t>t</w:t>
      </w:r>
      <w:r w:rsidRPr="00D549EE">
        <w:rPr>
          <w:rFonts w:ascii="Times New Roman" w:hAnsi="Times New Roman"/>
          <w:iCs/>
          <w:sz w:val="28"/>
          <w:szCs w:val="28"/>
          <w:lang w:val="en-US"/>
        </w:rPr>
        <w:t xml:space="preserve"> what remains of usury (</w:t>
      </w:r>
      <w:r w:rsidR="00FB63D0" w:rsidRPr="00D549EE">
        <w:rPr>
          <w:rFonts w:ascii="Times New Roman" w:hAnsi="Times New Roman"/>
          <w:iCs/>
          <w:sz w:val="28"/>
          <w:szCs w:val="28"/>
          <w:lang w:val="en-US"/>
        </w:rPr>
        <w:t>r</w:t>
      </w:r>
      <w:r w:rsidRPr="00D549EE">
        <w:rPr>
          <w:rFonts w:ascii="Times New Roman" w:hAnsi="Times New Roman"/>
          <w:iCs/>
          <w:sz w:val="28"/>
          <w:szCs w:val="28"/>
          <w:lang w:val="en-US"/>
        </w:rPr>
        <w:t>iba), if you are believers (2:278)</w:t>
      </w:r>
      <w:r w:rsidRPr="00D549EE">
        <w:rPr>
          <w:rFonts w:ascii="Times New Roman" w:hAnsi="Times New Roman"/>
          <w:color w:val="000000" w:themeColor="text1"/>
          <w:sz w:val="28"/>
          <w:szCs w:val="28"/>
          <w:lang w:val="en-US"/>
        </w:rPr>
        <w:t xml:space="preserve"> </w:t>
      </w:r>
      <w:r w:rsidRPr="00D549EE">
        <w:rPr>
          <w:rFonts w:ascii="Times New Roman" w:hAnsi="Times New Roman"/>
          <w:color w:val="000000" w:themeColor="text1"/>
          <w:sz w:val="28"/>
          <w:szCs w:val="28"/>
          <w:lang w:val="en-US"/>
        </w:rPr>
        <w:fldChar w:fldCharType="begin" w:fldLock="1"/>
      </w:r>
      <w:r w:rsidR="00785182" w:rsidRPr="00D549EE">
        <w:rPr>
          <w:rFonts w:ascii="Times New Roman" w:hAnsi="Times New Roman"/>
          <w:color w:val="000000" w:themeColor="text1"/>
          <w:sz w:val="28"/>
          <w:szCs w:val="28"/>
          <w:lang w:val="en-US"/>
        </w:rPr>
        <w:instrText>ADDIN CSL_CITATION {"citationItems":[{"id":"ITEM-1","itemData":{"author":[{"dropping-particle":"","family":"Ali","given":"Maualwi Sher","non-dropping-particle":"","parse-names":false,"suffix":""}],"id":"ITEM-1","issued":{"date-parts":[["2015"]]},"number-of-pages":"836","publisher":"Islam International publications Limited","title":"The Holy-Quran, Arabic text and English Translation","type":"book"},"uris":["http://www.mendeley.com/documents/?uuid=f9fa377e-58aa-401f-80ab-8caf62735865"]}],"mendeley":{"formattedCitation":"[7]","plainTextFormattedCitation":"[7]","previouslyFormattedCitation":"[7]"},"properties":{"noteIndex":0},"schema":"https://github.com/citation-style-language/schema/raw/master/csl-citation.json"}</w:instrText>
      </w:r>
      <w:r w:rsidRPr="00D549EE">
        <w:rPr>
          <w:rFonts w:ascii="Times New Roman" w:hAnsi="Times New Roman"/>
          <w:color w:val="000000" w:themeColor="text1"/>
          <w:sz w:val="28"/>
          <w:szCs w:val="28"/>
          <w:lang w:val="en-US"/>
        </w:rPr>
        <w:fldChar w:fldCharType="separate"/>
      </w:r>
      <w:r w:rsidR="00785182" w:rsidRPr="00D549EE">
        <w:rPr>
          <w:rFonts w:ascii="Times New Roman" w:hAnsi="Times New Roman"/>
          <w:noProof/>
          <w:color w:val="000000" w:themeColor="text1"/>
          <w:sz w:val="28"/>
          <w:szCs w:val="28"/>
          <w:lang w:val="en-US"/>
        </w:rPr>
        <w:t>[7</w:t>
      </w:r>
      <w:r w:rsidR="00B204E4" w:rsidRPr="00D549EE">
        <w:rPr>
          <w:rFonts w:ascii="Times New Roman" w:hAnsi="Times New Roman"/>
          <w:noProof/>
          <w:color w:val="000000" w:themeColor="text1"/>
          <w:sz w:val="28"/>
          <w:szCs w:val="28"/>
          <w:lang w:val="en-US"/>
        </w:rPr>
        <w:t>, p. 44</w:t>
      </w:r>
      <w:r w:rsidR="00785182" w:rsidRPr="00D549EE">
        <w:rPr>
          <w:rFonts w:ascii="Times New Roman" w:hAnsi="Times New Roman"/>
          <w:noProof/>
          <w:color w:val="000000" w:themeColor="text1"/>
          <w:sz w:val="28"/>
          <w:szCs w:val="28"/>
          <w:lang w:val="en-US"/>
        </w:rPr>
        <w:t>]</w:t>
      </w:r>
      <w:r w:rsidRPr="00D549EE">
        <w:rPr>
          <w:rFonts w:ascii="Times New Roman" w:hAnsi="Times New Roman"/>
          <w:color w:val="000000" w:themeColor="text1"/>
          <w:sz w:val="28"/>
          <w:szCs w:val="28"/>
          <w:lang w:val="en-US"/>
        </w:rPr>
        <w:fldChar w:fldCharType="end"/>
      </w:r>
      <w:r w:rsidR="00785182" w:rsidRPr="00D549EE">
        <w:rPr>
          <w:rFonts w:ascii="Times New Roman" w:hAnsi="Times New Roman"/>
          <w:color w:val="000000" w:themeColor="text1"/>
          <w:sz w:val="28"/>
          <w:szCs w:val="28"/>
          <w:lang w:val="en-US"/>
        </w:rPr>
        <w:t>.</w:t>
      </w:r>
    </w:p>
    <w:p w14:paraId="110BBA36" w14:textId="58352209" w:rsidR="00395E03" w:rsidRPr="00D549EE" w:rsidRDefault="005A1EE9" w:rsidP="00C9582F">
      <w:pPr>
        <w:spacing w:before="75" w:after="375"/>
        <w:contextualSpacing/>
        <w:jc w:val="both"/>
        <w:outlineLvl w:val="1"/>
        <w:rPr>
          <w:color w:val="000000" w:themeColor="text1"/>
          <w:sz w:val="28"/>
          <w:szCs w:val="28"/>
          <w:lang w:val="en-US"/>
        </w:rPr>
      </w:pPr>
      <w:r w:rsidRPr="00D549EE">
        <w:rPr>
          <w:color w:val="000000" w:themeColor="text1"/>
          <w:sz w:val="28"/>
          <w:szCs w:val="28"/>
          <w:lang w:val="en-US"/>
        </w:rPr>
        <w:tab/>
      </w:r>
      <w:r w:rsidR="00395E03" w:rsidRPr="00D549EE">
        <w:rPr>
          <w:color w:val="000000" w:themeColor="text1"/>
          <w:sz w:val="28"/>
          <w:szCs w:val="28"/>
          <w:lang w:val="en-US"/>
        </w:rPr>
        <w:t>The prohibition on the collection of interest is not defined only by Islam, it has a long</w:t>
      </w:r>
      <w:r w:rsidR="00222398" w:rsidRPr="00D549EE">
        <w:rPr>
          <w:color w:val="000000" w:themeColor="text1"/>
          <w:sz w:val="28"/>
          <w:szCs w:val="28"/>
          <w:lang w:val="en-US"/>
        </w:rPr>
        <w:t xml:space="preserve"> </w:t>
      </w:r>
      <w:r w:rsidR="00395E03" w:rsidRPr="00D549EE">
        <w:rPr>
          <w:color w:val="000000" w:themeColor="text1"/>
          <w:sz w:val="28"/>
          <w:szCs w:val="28"/>
          <w:lang w:val="en-US"/>
        </w:rPr>
        <w:t xml:space="preserve">history of spreading in different traditions and civilizations. In Judaism, the Old Testament strictly prohibited transactions using or based on interest, which </w:t>
      </w:r>
      <w:r w:rsidR="00222398" w:rsidRPr="00D549EE">
        <w:rPr>
          <w:color w:val="000000" w:themeColor="text1"/>
          <w:sz w:val="28"/>
          <w:szCs w:val="28"/>
          <w:lang w:val="en-US"/>
        </w:rPr>
        <w:t>was</w:t>
      </w:r>
      <w:r w:rsidR="00395E03" w:rsidRPr="00D549EE">
        <w:rPr>
          <w:color w:val="000000" w:themeColor="text1"/>
          <w:sz w:val="28"/>
          <w:szCs w:val="28"/>
          <w:lang w:val="en-US"/>
        </w:rPr>
        <w:t xml:space="preserve"> understood by the words “neshekh” (literally means “bite”) and “turbite”. Like the term </w:t>
      </w:r>
      <w:r w:rsidR="00FB63D0" w:rsidRPr="00D549EE">
        <w:rPr>
          <w:color w:val="000000" w:themeColor="text1"/>
          <w:sz w:val="28"/>
          <w:szCs w:val="28"/>
          <w:lang w:val="en-US"/>
        </w:rPr>
        <w:t>r</w:t>
      </w:r>
      <w:r w:rsidR="00395E03" w:rsidRPr="00D549EE">
        <w:rPr>
          <w:color w:val="000000" w:themeColor="text1"/>
          <w:sz w:val="28"/>
          <w:szCs w:val="28"/>
          <w:lang w:val="en-US"/>
        </w:rPr>
        <w:t>iba, "neshekh" mean</w:t>
      </w:r>
      <w:r w:rsidR="00416353" w:rsidRPr="00D549EE">
        <w:rPr>
          <w:color w:val="000000" w:themeColor="text1"/>
          <w:sz w:val="28"/>
          <w:szCs w:val="28"/>
          <w:lang w:val="en-US"/>
        </w:rPr>
        <w:t>ing</w:t>
      </w:r>
      <w:r w:rsidR="004120DB" w:rsidRPr="00D549EE">
        <w:rPr>
          <w:color w:val="000000" w:themeColor="text1"/>
          <w:sz w:val="28"/>
          <w:szCs w:val="28"/>
          <w:lang w:val="en-US"/>
        </w:rPr>
        <w:t xml:space="preserve"> is</w:t>
      </w:r>
      <w:r w:rsidR="00395E03" w:rsidRPr="00D549EE">
        <w:rPr>
          <w:color w:val="000000" w:themeColor="text1"/>
          <w:sz w:val="28"/>
          <w:szCs w:val="28"/>
          <w:lang w:val="en-US"/>
        </w:rPr>
        <w:t xml:space="preserve"> any profit from borrowing money, goods</w:t>
      </w:r>
      <w:r w:rsidR="00222398" w:rsidRPr="00D549EE">
        <w:rPr>
          <w:color w:val="000000" w:themeColor="text1"/>
          <w:sz w:val="28"/>
          <w:szCs w:val="28"/>
          <w:lang w:val="en-US"/>
        </w:rPr>
        <w:t>,</w:t>
      </w:r>
      <w:r w:rsidR="00395E03" w:rsidRPr="00D549EE">
        <w:rPr>
          <w:color w:val="000000" w:themeColor="text1"/>
          <w:sz w:val="28"/>
          <w:szCs w:val="28"/>
          <w:lang w:val="en-US"/>
        </w:rPr>
        <w:t xml:space="preserve"> or any property. This word had no precise definition, but in general</w:t>
      </w:r>
      <w:r w:rsidR="00222398" w:rsidRPr="00D549EE">
        <w:rPr>
          <w:color w:val="000000" w:themeColor="text1"/>
          <w:sz w:val="28"/>
          <w:szCs w:val="28"/>
          <w:lang w:val="en-US"/>
        </w:rPr>
        <w:t>,</w:t>
      </w:r>
      <w:r w:rsidR="00395E03" w:rsidRPr="00D549EE">
        <w:rPr>
          <w:color w:val="000000" w:themeColor="text1"/>
          <w:sz w:val="28"/>
          <w:szCs w:val="28"/>
          <w:lang w:val="en-US"/>
        </w:rPr>
        <w:t xml:space="preserve"> meant the collection of interest from the debtor by the moneylender. In important texts of the Exodus and Leviticus, the word is used to mean lending to the poor and helpless, while in Deuteronomy the </w:t>
      </w:r>
      <w:r w:rsidR="00395E03" w:rsidRPr="00D549EE">
        <w:rPr>
          <w:color w:val="000000" w:themeColor="text1"/>
          <w:sz w:val="28"/>
          <w:szCs w:val="28"/>
          <w:lang w:val="en-US"/>
        </w:rPr>
        <w:lastRenderedPageBreak/>
        <w:t xml:space="preserve">prohibition applies to all borrowed money, except for business transactions with foreigners </w:t>
      </w:r>
      <w:r w:rsidR="00395E03" w:rsidRPr="00D549EE">
        <w:rPr>
          <w:b/>
          <w:color w:val="000000" w:themeColor="text1"/>
          <w:sz w:val="28"/>
          <w:szCs w:val="28"/>
          <w:lang w:val="en-US"/>
        </w:rPr>
        <w:fldChar w:fldCharType="begin" w:fldLock="1"/>
      </w:r>
      <w:r w:rsidR="00785182" w:rsidRPr="00D549EE">
        <w:rPr>
          <w:color w:val="000000" w:themeColor="text1"/>
          <w:sz w:val="28"/>
          <w:szCs w:val="28"/>
          <w:lang w:val="en-US"/>
        </w:rPr>
        <w:instrText>ADDIN CSL_CITATION {"citationItems":[{"id":"ITEM-1","itemData":{"id":"ITEM-1","issued":{"date-parts":[["0"]]},"title":"Bible. Leviticus. Old Testament","type":"book"},"uris":["http://www.mendeley.com/documents/?uuid=86a84e2f-180f-4788-896c-86c5123abbe7"]}],"mendeley":{"formattedCitation":"[13]","plainTextFormattedCitation":"[13]","previouslyFormattedCitation":"[13]"},"properties":{"noteIndex":0},"schema":"https://github.com/citation-style-language/schema/raw/master/csl-citation.json"}</w:instrText>
      </w:r>
      <w:r w:rsidR="00395E03" w:rsidRPr="00D549EE">
        <w:rPr>
          <w:b/>
          <w:color w:val="000000" w:themeColor="text1"/>
          <w:sz w:val="28"/>
          <w:szCs w:val="28"/>
          <w:lang w:val="en-US"/>
        </w:rPr>
        <w:fldChar w:fldCharType="separate"/>
      </w:r>
      <w:r w:rsidR="00785182" w:rsidRPr="00D549EE">
        <w:rPr>
          <w:noProof/>
          <w:color w:val="000000" w:themeColor="text1"/>
          <w:sz w:val="28"/>
          <w:szCs w:val="28"/>
          <w:lang w:val="en-US"/>
        </w:rPr>
        <w:t>[13]</w:t>
      </w:r>
      <w:r w:rsidR="00395E03" w:rsidRPr="00D549EE">
        <w:rPr>
          <w:b/>
          <w:color w:val="000000" w:themeColor="text1"/>
          <w:sz w:val="28"/>
          <w:szCs w:val="28"/>
          <w:lang w:val="en-US"/>
        </w:rPr>
        <w:fldChar w:fldCharType="end"/>
      </w:r>
      <w:r w:rsidR="00785182" w:rsidRPr="00D549EE">
        <w:rPr>
          <w:color w:val="000000" w:themeColor="text1"/>
          <w:sz w:val="28"/>
          <w:szCs w:val="28"/>
          <w:lang w:val="en-US"/>
        </w:rPr>
        <w:t>.</w:t>
      </w:r>
    </w:p>
    <w:p w14:paraId="09F36EDB" w14:textId="5829A2E7" w:rsidR="00395E03" w:rsidRPr="00D549EE" w:rsidRDefault="00395E03" w:rsidP="00C9582F">
      <w:pPr>
        <w:snapToGrid w:val="0"/>
        <w:spacing w:before="75" w:after="375"/>
        <w:contextualSpacing/>
        <w:jc w:val="both"/>
        <w:outlineLvl w:val="1"/>
        <w:rPr>
          <w:color w:val="000000" w:themeColor="text1"/>
          <w:sz w:val="28"/>
          <w:szCs w:val="28"/>
          <w:lang w:val="en-US"/>
        </w:rPr>
      </w:pPr>
      <w:r w:rsidRPr="00D549EE">
        <w:rPr>
          <w:color w:val="000000" w:themeColor="text1"/>
          <w:sz w:val="28"/>
          <w:szCs w:val="28"/>
          <w:lang w:val="en-US"/>
        </w:rPr>
        <w:tab/>
        <w:t xml:space="preserve">Later, in Bible times, all payments for the use of money were also prohibited. There are several references to the prohibition of profits on the borrowed amount. That is, interest payments were condemned throughout the early history of Christianity. </w:t>
      </w:r>
      <w:r w:rsidR="00D71A3C" w:rsidRPr="00D549EE">
        <w:rPr>
          <w:color w:val="000000" w:themeColor="text1"/>
          <w:sz w:val="28"/>
          <w:szCs w:val="28"/>
          <w:lang w:val="en-US"/>
        </w:rPr>
        <w:t>T</w:t>
      </w:r>
      <w:r w:rsidRPr="00D549EE">
        <w:rPr>
          <w:color w:val="000000" w:themeColor="text1"/>
          <w:sz w:val="28"/>
          <w:szCs w:val="28"/>
          <w:lang w:val="en-US"/>
        </w:rPr>
        <w:t>he Roman Catholic Church supported the prohibition of interest by the clergy</w:t>
      </w:r>
      <w:r w:rsidR="00222398" w:rsidRPr="00D549EE">
        <w:rPr>
          <w:color w:val="000000" w:themeColor="text1"/>
          <w:sz w:val="28"/>
          <w:szCs w:val="28"/>
          <w:lang w:val="en-US"/>
        </w:rPr>
        <w:t>,</w:t>
      </w:r>
      <w:r w:rsidRPr="00D549EE">
        <w:rPr>
          <w:color w:val="000000" w:themeColor="text1"/>
          <w:sz w:val="28"/>
          <w:szCs w:val="28"/>
          <w:lang w:val="en-US"/>
        </w:rPr>
        <w:t xml:space="preserve"> and this rule extended to the laity in the fifteenth century </w:t>
      </w:r>
      <w:r w:rsidRPr="00D549EE">
        <w:rPr>
          <w:b/>
          <w:color w:val="000000" w:themeColor="text1"/>
          <w:sz w:val="28"/>
          <w:szCs w:val="28"/>
          <w:lang w:val="en-US"/>
        </w:rPr>
        <w:fldChar w:fldCharType="begin" w:fldLock="1"/>
      </w:r>
      <w:r w:rsidR="00785182" w:rsidRPr="00D549EE">
        <w:rPr>
          <w:color w:val="000000" w:themeColor="text1"/>
          <w:sz w:val="28"/>
          <w:szCs w:val="28"/>
          <w:lang w:val="en-US"/>
        </w:rPr>
        <w:instrText>ADDIN CSL_CITATION {"citationItems":[{"id":"ITEM-1","itemData":{"author":[{"dropping-particle":"","family":"Visser","given":"Wayne","non-dropping-particle":"","parse-names":false,"suffix":""},{"dropping-particle":"","family":"Melntosh","given":"Alastair","non-dropping-particle":"","parse-names":false,"suffix":""}],"container-title":"Accounting, Business and Financial Hist","id":"ITEM-1","issue":"2","issued":{"date-parts":[["1998"]]},"page":"175-190","title":"A short review of the historical critique of usury","type":"article-journal","volume":"8"},"uris":["http://www.mendeley.com/documents/?uuid=82be2635-d368-4282-b2cf-ce39069283fc"]}],"mendeley":{"formattedCitation":"[14]","plainTextFormattedCitation":"[14]","previouslyFormattedCitation":"[14]"},"properties":{"noteIndex":0},"schema":"https://github.com/citation-style-language/schema/raw/master/csl-citation.json"}</w:instrText>
      </w:r>
      <w:r w:rsidRPr="00D549EE">
        <w:rPr>
          <w:b/>
          <w:color w:val="000000" w:themeColor="text1"/>
          <w:sz w:val="28"/>
          <w:szCs w:val="28"/>
          <w:lang w:val="en-US"/>
        </w:rPr>
        <w:fldChar w:fldCharType="separate"/>
      </w:r>
      <w:r w:rsidR="00785182" w:rsidRPr="00D549EE">
        <w:rPr>
          <w:noProof/>
          <w:color w:val="000000" w:themeColor="text1"/>
          <w:sz w:val="28"/>
          <w:szCs w:val="28"/>
          <w:lang w:val="en-US"/>
        </w:rPr>
        <w:t>[14]</w:t>
      </w:r>
      <w:r w:rsidRPr="00D549EE">
        <w:rPr>
          <w:b/>
          <w:color w:val="000000" w:themeColor="text1"/>
          <w:sz w:val="28"/>
          <w:szCs w:val="28"/>
          <w:lang w:val="en-US"/>
        </w:rPr>
        <w:fldChar w:fldCharType="end"/>
      </w:r>
      <w:r w:rsidR="00785182" w:rsidRPr="00D549EE">
        <w:rPr>
          <w:color w:val="000000" w:themeColor="text1"/>
          <w:sz w:val="28"/>
          <w:szCs w:val="28"/>
          <w:lang w:val="en-US"/>
        </w:rPr>
        <w:t>.</w:t>
      </w:r>
    </w:p>
    <w:p w14:paraId="5AF074BD" w14:textId="412DE1C6" w:rsidR="00395E03" w:rsidRPr="00D549EE" w:rsidRDefault="00395E03" w:rsidP="00C9582F">
      <w:pPr>
        <w:snapToGrid w:val="0"/>
        <w:contextualSpacing/>
        <w:jc w:val="both"/>
        <w:rPr>
          <w:b/>
          <w:color w:val="000000" w:themeColor="text1"/>
          <w:sz w:val="28"/>
          <w:szCs w:val="28"/>
          <w:lang w:val="en-US"/>
        </w:rPr>
      </w:pPr>
      <w:r w:rsidRPr="00D549EE">
        <w:rPr>
          <w:color w:val="000000" w:themeColor="text1"/>
          <w:sz w:val="28"/>
          <w:szCs w:val="28"/>
          <w:lang w:val="en-US"/>
        </w:rPr>
        <w:tab/>
        <w:t xml:space="preserve">Contemporary scholars, supporters of Islamic economics and finance give the following definitions of </w:t>
      </w:r>
      <w:r w:rsidR="00FB63D0" w:rsidRPr="00D549EE">
        <w:rPr>
          <w:color w:val="000000" w:themeColor="text1"/>
          <w:sz w:val="28"/>
          <w:szCs w:val="28"/>
          <w:lang w:val="en-US"/>
        </w:rPr>
        <w:t>r</w:t>
      </w:r>
      <w:r w:rsidRPr="00D549EE">
        <w:rPr>
          <w:color w:val="000000" w:themeColor="text1"/>
          <w:sz w:val="28"/>
          <w:szCs w:val="28"/>
          <w:lang w:val="en-US"/>
        </w:rPr>
        <w:t>iba:</w:t>
      </w:r>
    </w:p>
    <w:p w14:paraId="55BB64CE" w14:textId="2993C298" w:rsidR="00395E03" w:rsidRPr="00D549EE" w:rsidRDefault="00395E03" w:rsidP="00C9582F">
      <w:pPr>
        <w:snapToGrid w:val="0"/>
        <w:contextualSpacing/>
        <w:jc w:val="both"/>
        <w:rPr>
          <w:color w:val="000000" w:themeColor="text1"/>
          <w:sz w:val="28"/>
          <w:szCs w:val="28"/>
          <w:lang w:val="en-US"/>
        </w:rPr>
      </w:pPr>
      <w:r w:rsidRPr="00D549EE">
        <w:rPr>
          <w:color w:val="000000" w:themeColor="text1"/>
          <w:sz w:val="28"/>
          <w:szCs w:val="28"/>
          <w:lang w:val="en-US"/>
        </w:rPr>
        <w:tab/>
      </w:r>
      <w:r w:rsidRPr="00D549EE">
        <w:rPr>
          <w:rFonts w:ascii="Courier New" w:hAnsi="Courier New" w:cs="Courier New"/>
          <w:color w:val="000000" w:themeColor="text1"/>
          <w:sz w:val="28"/>
          <w:szCs w:val="28"/>
          <w:lang w:val="en-US"/>
        </w:rPr>
        <w:t>﻿</w:t>
      </w:r>
      <w:r w:rsidRPr="00D549EE">
        <w:rPr>
          <w:color w:val="000000" w:themeColor="text1"/>
          <w:sz w:val="28"/>
          <w:szCs w:val="28"/>
          <w:lang w:val="en-US"/>
        </w:rPr>
        <w:t>Sayyid Mawdudi</w:t>
      </w:r>
      <w:r w:rsidR="005A1EE9" w:rsidRPr="00D549EE">
        <w:rPr>
          <w:color w:val="000000" w:themeColor="text1"/>
          <w:sz w:val="28"/>
          <w:szCs w:val="28"/>
          <w:lang w:val="en-US"/>
        </w:rPr>
        <w:t>’s</w:t>
      </w:r>
      <w:r w:rsidRPr="00D549EE">
        <w:rPr>
          <w:color w:val="000000" w:themeColor="text1"/>
          <w:sz w:val="28"/>
          <w:szCs w:val="28"/>
          <w:lang w:val="en-US"/>
        </w:rPr>
        <w:t xml:space="preserve"> study defines a riba as a predetermined surplus or surplus </w:t>
      </w:r>
      <w:r w:rsidR="00222398" w:rsidRPr="00D549EE">
        <w:rPr>
          <w:color w:val="000000" w:themeColor="text1"/>
          <w:sz w:val="28"/>
          <w:szCs w:val="28"/>
          <w:lang w:val="en-US"/>
        </w:rPr>
        <w:t xml:space="preserve">over </w:t>
      </w:r>
      <w:r w:rsidRPr="00D549EE">
        <w:rPr>
          <w:color w:val="000000" w:themeColor="text1"/>
          <w:sz w:val="28"/>
          <w:szCs w:val="28"/>
          <w:lang w:val="en-US"/>
        </w:rPr>
        <w:t>of</w:t>
      </w:r>
      <w:r w:rsidR="00222398" w:rsidRPr="00D549EE">
        <w:rPr>
          <w:color w:val="000000" w:themeColor="text1"/>
          <w:sz w:val="28"/>
          <w:szCs w:val="28"/>
          <w:lang w:val="en-US"/>
        </w:rPr>
        <w:t xml:space="preserve"> the</w:t>
      </w:r>
      <w:r w:rsidRPr="00D549EE">
        <w:rPr>
          <w:color w:val="000000" w:themeColor="text1"/>
          <w:sz w:val="28"/>
          <w:szCs w:val="28"/>
          <w:lang w:val="en-US"/>
        </w:rPr>
        <w:t xml:space="preserve"> loan received by a lender conditionally relative to a specified period. This definition entails the following three elements: (a) excess over the capital of the loan; (b) determining the excess </w:t>
      </w:r>
      <w:r w:rsidR="00222398" w:rsidRPr="00D549EE">
        <w:rPr>
          <w:color w:val="000000" w:themeColor="text1"/>
          <w:sz w:val="28"/>
          <w:szCs w:val="28"/>
          <w:lang w:val="en-US"/>
        </w:rPr>
        <w:t>concerning</w:t>
      </w:r>
      <w:r w:rsidRPr="00D549EE">
        <w:rPr>
          <w:color w:val="000000" w:themeColor="text1"/>
          <w:sz w:val="28"/>
          <w:szCs w:val="28"/>
          <w:lang w:val="en-US"/>
        </w:rPr>
        <w:t xml:space="preserve"> time; and (c) agreement on this surplus in the loan agreement </w:t>
      </w:r>
      <w:r w:rsidRPr="00D549EE">
        <w:rPr>
          <w:b/>
          <w:color w:val="000000" w:themeColor="text1"/>
          <w:sz w:val="28"/>
          <w:szCs w:val="28"/>
          <w:lang w:val="en-US"/>
        </w:rPr>
        <w:fldChar w:fldCharType="begin" w:fldLock="1"/>
      </w:r>
      <w:r w:rsidR="00785182" w:rsidRPr="00D549EE">
        <w:rPr>
          <w:color w:val="000000" w:themeColor="text1"/>
          <w:sz w:val="28"/>
          <w:szCs w:val="28"/>
          <w:lang w:val="en-US"/>
        </w:rPr>
        <w:instrText>ADDIN CSL_CITATION {"citationItems":[{"id":"ITEM-1","itemData":{"author":[{"dropping-particle":"","family":"Ushama","given":"Thameem","non-dropping-particle":"","parse-names":false,"suffix":""},{"dropping-particle":"","family":"Osmani","given":"Noor Mohammad","non-dropping-particle":"","parse-names":false,"suffix":""}],"id":"ITEM-1","issue":"December","issued":{"date-parts":[["2006"]]},"page":"93-104","title":"Sayyid Mawdudi ' s Contribution towards Islamic Revivalism","type":"article-journal","volume":"3"},"uris":["http://www.mendeley.com/documents/?uuid=60cb8a5c-4fbb-4ff2-b36a-b5fb92ff8079"]}],"mendeley":{"formattedCitation":"[15]","plainTextFormattedCitation":"[15]","previouslyFormattedCitation":"[15]"},"properties":{"noteIndex":0},"schema":"https://github.com/citation-style-language/schema/raw/master/csl-citation.json"}</w:instrText>
      </w:r>
      <w:r w:rsidRPr="00D549EE">
        <w:rPr>
          <w:b/>
          <w:color w:val="000000" w:themeColor="text1"/>
          <w:sz w:val="28"/>
          <w:szCs w:val="28"/>
          <w:lang w:val="en-US"/>
        </w:rPr>
        <w:fldChar w:fldCharType="separate"/>
      </w:r>
      <w:r w:rsidR="00785182" w:rsidRPr="00D549EE">
        <w:rPr>
          <w:noProof/>
          <w:color w:val="000000" w:themeColor="text1"/>
          <w:sz w:val="28"/>
          <w:szCs w:val="28"/>
          <w:lang w:val="en-US"/>
        </w:rPr>
        <w:t>[15]</w:t>
      </w:r>
      <w:r w:rsidRPr="00D549EE">
        <w:rPr>
          <w:b/>
          <w:color w:val="000000" w:themeColor="text1"/>
          <w:sz w:val="28"/>
          <w:szCs w:val="28"/>
          <w:lang w:val="en-US"/>
        </w:rPr>
        <w:fldChar w:fldCharType="end"/>
      </w:r>
      <w:r w:rsidR="00785182" w:rsidRPr="00D549EE">
        <w:rPr>
          <w:color w:val="000000" w:themeColor="text1"/>
          <w:sz w:val="28"/>
          <w:szCs w:val="28"/>
          <w:lang w:val="en-US"/>
        </w:rPr>
        <w:t>.</w:t>
      </w:r>
    </w:p>
    <w:p w14:paraId="11170D21" w14:textId="3E8E3A15" w:rsidR="00395E03" w:rsidRPr="00D549EE" w:rsidRDefault="00395E03" w:rsidP="00C9582F">
      <w:pPr>
        <w:snapToGrid w:val="0"/>
        <w:contextualSpacing/>
        <w:jc w:val="both"/>
        <w:rPr>
          <w:b/>
          <w:color w:val="000000" w:themeColor="text1"/>
          <w:sz w:val="28"/>
          <w:szCs w:val="28"/>
          <w:lang w:val="en-US"/>
        </w:rPr>
      </w:pPr>
      <w:r w:rsidRPr="00D549EE">
        <w:rPr>
          <w:color w:val="000000" w:themeColor="text1"/>
          <w:sz w:val="28"/>
          <w:szCs w:val="28"/>
          <w:lang w:val="en-US"/>
        </w:rPr>
        <w:tab/>
        <w:t xml:space="preserve">Muhammad Taqi Usmani, author of the Introduction to Islamic Finance and Shariah expert of Islamic financial institutions, as well as one of the key authors of the book “Text of historical judgment on interest”, determines that the riba covers any provided additional surplus in a loan or debt transaction </w:t>
      </w:r>
      <w:r w:rsidRPr="00D549EE">
        <w:rPr>
          <w:b/>
          <w:color w:val="000000" w:themeColor="text1"/>
          <w:sz w:val="28"/>
          <w:szCs w:val="28"/>
          <w:lang w:val="en-US"/>
        </w:rPr>
        <w:fldChar w:fldCharType="begin" w:fldLock="1"/>
      </w:r>
      <w:r w:rsidR="00785182" w:rsidRPr="00D549EE">
        <w:rPr>
          <w:color w:val="000000" w:themeColor="text1"/>
          <w:sz w:val="28"/>
          <w:szCs w:val="28"/>
          <w:lang w:val="en-US"/>
        </w:rPr>
        <w:instrText>ADDIN CSL_CITATION {"citationItems":[{"id":"ITEM-1","itemData":{"author":[{"dropping-particle":"","family":"Usmani","given":"Muhammad Taqi","non-dropping-particle":"","parse-names":false,"suffix":""}],"id":"ITEM-1","issued":{"date-parts":[["2002"]]},"title":"An introduction to Islamic finance","type":"book","volume":"169"},"uris":["http://www.mendeley.com/documents/?uuid=5aad5778-3a2c-46ba-be81-9c9ba5e3049a"]}],"mendeley":{"formattedCitation":"[16]","plainTextFormattedCitation":"[16]","previouslyFormattedCitation":"[16]"},"properties":{"noteIndex":0},"schema":"https://github.com/citation-style-language/schema/raw/master/csl-citation.json"}</w:instrText>
      </w:r>
      <w:r w:rsidRPr="00D549EE">
        <w:rPr>
          <w:b/>
          <w:color w:val="000000" w:themeColor="text1"/>
          <w:sz w:val="28"/>
          <w:szCs w:val="28"/>
          <w:lang w:val="en-US"/>
        </w:rPr>
        <w:fldChar w:fldCharType="separate"/>
      </w:r>
      <w:r w:rsidR="00785182" w:rsidRPr="00D549EE">
        <w:rPr>
          <w:noProof/>
          <w:color w:val="000000" w:themeColor="text1"/>
          <w:sz w:val="28"/>
          <w:szCs w:val="28"/>
          <w:lang w:val="en-US"/>
        </w:rPr>
        <w:t>[16]</w:t>
      </w:r>
      <w:r w:rsidRPr="00D549EE">
        <w:rPr>
          <w:b/>
          <w:color w:val="000000" w:themeColor="text1"/>
          <w:sz w:val="28"/>
          <w:szCs w:val="28"/>
          <w:lang w:val="en-US"/>
        </w:rPr>
        <w:fldChar w:fldCharType="end"/>
      </w:r>
      <w:r w:rsidR="00785182" w:rsidRPr="00D549EE">
        <w:rPr>
          <w:color w:val="000000" w:themeColor="text1"/>
          <w:sz w:val="28"/>
          <w:szCs w:val="28"/>
          <w:lang w:val="en-US"/>
        </w:rPr>
        <w:t>.</w:t>
      </w:r>
    </w:p>
    <w:p w14:paraId="3C5F59BE" w14:textId="37FDAD99" w:rsidR="00302084" w:rsidRPr="00D549EE" w:rsidRDefault="00395E03" w:rsidP="00C9582F">
      <w:pPr>
        <w:snapToGrid w:val="0"/>
        <w:contextualSpacing/>
        <w:jc w:val="both"/>
        <w:rPr>
          <w:color w:val="000000" w:themeColor="text1"/>
          <w:sz w:val="28"/>
          <w:szCs w:val="28"/>
          <w:lang w:val="en-US"/>
        </w:rPr>
      </w:pPr>
      <w:r w:rsidRPr="00D549EE">
        <w:rPr>
          <w:color w:val="000000" w:themeColor="text1"/>
          <w:sz w:val="28"/>
          <w:szCs w:val="28"/>
          <w:lang w:val="en-US"/>
        </w:rPr>
        <w:tab/>
        <w:t xml:space="preserve">The definition of the concept of riba, which most fully reflects its essence, is given by Mirakhor and Iqbal, </w:t>
      </w:r>
      <w:r w:rsidR="00222398" w:rsidRPr="00D549EE">
        <w:rPr>
          <w:color w:val="000000" w:themeColor="text1"/>
          <w:sz w:val="28"/>
          <w:szCs w:val="28"/>
          <w:lang w:val="en-US"/>
        </w:rPr>
        <w:t xml:space="preserve">a </w:t>
      </w:r>
      <w:r w:rsidRPr="00D549EE">
        <w:rPr>
          <w:color w:val="000000" w:themeColor="text1"/>
          <w:sz w:val="28"/>
          <w:szCs w:val="28"/>
          <w:lang w:val="en-US"/>
        </w:rPr>
        <w:t>term literally meaning excess and interpreted as "any unjustified increase in capital through loans or trade" - the central tenet of the system. More precisely, any positive, fixed, predetermined rate, tied to the maturity and principal amount</w:t>
      </w:r>
      <w:r w:rsidR="00B96D8C" w:rsidRPr="00D549EE">
        <w:rPr>
          <w:color w:val="000000" w:themeColor="text1"/>
          <w:sz w:val="28"/>
          <w:szCs w:val="28"/>
          <w:lang w:val="en-US"/>
        </w:rPr>
        <w:t xml:space="preserve">, </w:t>
      </w:r>
      <w:r w:rsidRPr="00D549EE">
        <w:rPr>
          <w:color w:val="000000" w:themeColor="text1"/>
          <w:sz w:val="28"/>
          <w:szCs w:val="28"/>
          <w:lang w:val="en-US"/>
        </w:rPr>
        <w:t>that is, guaranteed regardless of the effectiveness of the investment - is considered a</w:t>
      </w:r>
      <w:r w:rsidR="00CE2DA7" w:rsidRPr="00D549EE">
        <w:rPr>
          <w:color w:val="000000" w:themeColor="text1"/>
          <w:sz w:val="28"/>
          <w:szCs w:val="28"/>
          <w:lang w:val="en-US"/>
        </w:rPr>
        <w:t>s</w:t>
      </w:r>
      <w:r w:rsidRPr="00D549EE">
        <w:rPr>
          <w:color w:val="000000" w:themeColor="text1"/>
          <w:sz w:val="28"/>
          <w:szCs w:val="28"/>
          <w:lang w:val="en-US"/>
        </w:rPr>
        <w:t xml:space="preserve"> riba and prohibited </w:t>
      </w:r>
      <w:r w:rsidRPr="00D549EE">
        <w:rPr>
          <w:b/>
          <w:color w:val="000000" w:themeColor="text1"/>
          <w:sz w:val="28"/>
          <w:szCs w:val="28"/>
          <w:lang w:val="en-US"/>
        </w:rPr>
        <w:fldChar w:fldCharType="begin" w:fldLock="1"/>
      </w:r>
      <w:r w:rsidR="00785182" w:rsidRPr="00D549EE">
        <w:rPr>
          <w:color w:val="000000" w:themeColor="text1"/>
          <w:sz w:val="28"/>
          <w:szCs w:val="28"/>
          <w:lang w:val="en-US"/>
        </w:rPr>
        <w:instrText>ADDIN CSL_CITATION {"citationItems":[{"id":"ITEM-1","itemData":{"author":[{"dropping-particle":"","family":"Mirakhor","given":"Abbas","non-dropping-particle":"","parse-names":false,"suffix":""},{"dropping-particle":"","family":"Iqbal","given":"Zamir","non-dropping-particle":"","parse-names":false,"suffix":""}],"edition":"2","id":"ITEM-1","issued":{"date-parts":[["2011"]]},"number-of-pages":"410","publisher":"John Wiley &amp; Sons (Asia) Pte. Ltd.","publisher-place":"Singapore","title":"An Introduction to Islamic Finance: theory and practice","type":"book"},"uris":["http://www.mendeley.com/documents/?uuid=37e85bcb-57ee-4923-b9dc-a9beb02cb31f"]}],"mendeley":{"formattedCitation":"[17]","plainTextFormattedCitation":"[17]","previouslyFormattedCitation":"[17]"},"properties":{"noteIndex":0},"schema":"https://github.com/citation-style-language/schema/raw/master/csl-citation.json"}</w:instrText>
      </w:r>
      <w:r w:rsidRPr="00D549EE">
        <w:rPr>
          <w:b/>
          <w:color w:val="000000" w:themeColor="text1"/>
          <w:sz w:val="28"/>
          <w:szCs w:val="28"/>
          <w:lang w:val="en-US"/>
        </w:rPr>
        <w:fldChar w:fldCharType="separate"/>
      </w:r>
      <w:r w:rsidR="00785182" w:rsidRPr="00D549EE">
        <w:rPr>
          <w:noProof/>
          <w:color w:val="000000" w:themeColor="text1"/>
          <w:sz w:val="28"/>
          <w:szCs w:val="28"/>
          <w:lang w:val="en-US"/>
        </w:rPr>
        <w:t>[17]</w:t>
      </w:r>
      <w:r w:rsidRPr="00D549EE">
        <w:rPr>
          <w:b/>
          <w:color w:val="000000" w:themeColor="text1"/>
          <w:sz w:val="28"/>
          <w:szCs w:val="28"/>
          <w:lang w:val="en-US"/>
        </w:rPr>
        <w:fldChar w:fldCharType="end"/>
      </w:r>
      <w:r w:rsidR="00785182" w:rsidRPr="00D549EE">
        <w:rPr>
          <w:color w:val="000000" w:themeColor="text1"/>
          <w:sz w:val="28"/>
          <w:szCs w:val="28"/>
          <w:lang w:val="en-US"/>
        </w:rPr>
        <w:t>.</w:t>
      </w:r>
    </w:p>
    <w:p w14:paraId="0D8E1804" w14:textId="0673C85C" w:rsidR="00286899" w:rsidRPr="00D549EE" w:rsidRDefault="00FF06CF" w:rsidP="00C9582F">
      <w:pPr>
        <w:snapToGrid w:val="0"/>
        <w:contextualSpacing/>
        <w:jc w:val="both"/>
        <w:rPr>
          <w:b/>
          <w:color w:val="000000" w:themeColor="text1"/>
          <w:sz w:val="28"/>
          <w:szCs w:val="28"/>
          <w:lang w:val="en-US"/>
        </w:rPr>
      </w:pPr>
      <w:r w:rsidRPr="00D549EE">
        <w:rPr>
          <w:color w:val="000000" w:themeColor="text1"/>
          <w:sz w:val="28"/>
          <w:szCs w:val="28"/>
          <w:lang w:val="en-US"/>
        </w:rPr>
        <w:tab/>
        <w:t xml:space="preserve">There are several reasons for prohibition of the interest in Islamic economics, firstly, it is </w:t>
      </w:r>
      <w:r w:rsidR="005E4DEC" w:rsidRPr="00D549EE">
        <w:rPr>
          <w:color w:val="000000" w:themeColor="text1"/>
          <w:sz w:val="28"/>
          <w:szCs w:val="28"/>
          <w:lang w:val="en-US"/>
        </w:rPr>
        <w:t xml:space="preserve">the </w:t>
      </w:r>
      <w:r w:rsidRPr="00D549EE">
        <w:rPr>
          <w:color w:val="000000" w:themeColor="text1"/>
          <w:sz w:val="28"/>
          <w:szCs w:val="28"/>
          <w:lang w:val="en-US"/>
        </w:rPr>
        <w:t xml:space="preserve">disconnection of finance from the real economy and dissociation of debt creation from wealth creation. Secondly, it is deflection money from its basic function. It is important to notice there that money in Islamic economics is treated as potential capital, which means it becomes an actual capital only when it combines with other resources to undertake a productive activity </w:t>
      </w:r>
      <w:r w:rsidRPr="00D549EE">
        <w:rPr>
          <w:color w:val="000000" w:themeColor="text1"/>
          <w:sz w:val="28"/>
          <w:szCs w:val="28"/>
          <w:lang w:val="en-US"/>
        </w:rPr>
        <w:fldChar w:fldCharType="begin" w:fldLock="1"/>
      </w:r>
      <w:r w:rsidR="00785182" w:rsidRPr="00D549EE">
        <w:rPr>
          <w:color w:val="000000" w:themeColor="text1"/>
          <w:sz w:val="28"/>
          <w:szCs w:val="28"/>
          <w:lang w:val="en-US"/>
        </w:rPr>
        <w:instrText>ADDIN CSL_CITATION {"citationItems":[{"id":"ITEM-1","itemData":{"ISBN":"9780821371411","author":[{"dropping-particle":"","family":"Greuning","given":"Hennie","non-dropping-particle":"van","parse-names":false,"suffix":""},{"dropping-particle":"","family":"Iqbal","given":"Zamir","non-dropping-particle":"","parse-names":false,"suffix":""}],"id":"ITEM-1","issued":{"date-parts":[["2008"]]},"number-of-pages":"336","publisher-place":"Washington","title":"Risk Analysis for Islamic Banks","type":"book"},"uris":["http://www.mendeley.com/documents/?uuid=b96246e4-508b-4d91-b1eb-8e11d67a14a1"]}],"mendeley":{"formattedCitation":"[18]","plainTextFormattedCitation":"[18]","previouslyFormattedCitation":"[18]"},"properties":{"noteIndex":0},"schema":"https://github.com/citation-style-language/schema/raw/master/csl-citation.json"}</w:instrText>
      </w:r>
      <w:r w:rsidRPr="00D549EE">
        <w:rPr>
          <w:color w:val="000000" w:themeColor="text1"/>
          <w:sz w:val="28"/>
          <w:szCs w:val="28"/>
          <w:lang w:val="en-US"/>
        </w:rPr>
        <w:fldChar w:fldCharType="separate"/>
      </w:r>
      <w:r w:rsidR="00785182" w:rsidRPr="00D549EE">
        <w:rPr>
          <w:noProof/>
          <w:color w:val="000000" w:themeColor="text1"/>
          <w:sz w:val="28"/>
          <w:szCs w:val="28"/>
          <w:lang w:val="en-US"/>
        </w:rPr>
        <w:t>[18]</w:t>
      </w:r>
      <w:r w:rsidRPr="00D549EE">
        <w:rPr>
          <w:color w:val="000000" w:themeColor="text1"/>
          <w:sz w:val="28"/>
          <w:szCs w:val="28"/>
          <w:lang w:val="en-US"/>
        </w:rPr>
        <w:fldChar w:fldCharType="end"/>
      </w:r>
      <w:r w:rsidR="00785182" w:rsidRPr="00D549EE">
        <w:rPr>
          <w:color w:val="000000" w:themeColor="text1"/>
          <w:sz w:val="28"/>
          <w:szCs w:val="28"/>
          <w:lang w:val="en-US"/>
        </w:rPr>
        <w:t xml:space="preserve">. </w:t>
      </w:r>
      <w:r w:rsidRPr="00D549EE">
        <w:rPr>
          <w:color w:val="000000" w:themeColor="text1"/>
          <w:sz w:val="28"/>
          <w:szCs w:val="28"/>
          <w:lang w:val="en-US"/>
        </w:rPr>
        <w:t xml:space="preserve">Thirdly, the system which is based on riba can lead to exploitation. And lastly, the predefined rate of return on investment is not reasonable and justified </w:t>
      </w:r>
      <w:r w:rsidRPr="00D549EE">
        <w:rPr>
          <w:color w:val="000000" w:themeColor="text1"/>
          <w:sz w:val="28"/>
          <w:szCs w:val="28"/>
          <w:lang w:val="en-US"/>
        </w:rPr>
        <w:fldChar w:fldCharType="begin" w:fldLock="1"/>
      </w:r>
      <w:r w:rsidR="00785182" w:rsidRPr="00D549EE">
        <w:rPr>
          <w:color w:val="000000" w:themeColor="text1"/>
          <w:sz w:val="28"/>
          <w:szCs w:val="28"/>
          <w:lang w:val="en-US"/>
        </w:rPr>
        <w:instrText>ADDIN CSL_CITATION {"citationItems":[{"id":"ITEM-1","itemData":{"author":[{"dropping-particle":"","family":"Hassan","given":"Mehboob ul","non-dropping-particle":"","parse-names":false,"suffix":""}],"container-title":"Oikonomica (</w:instrText>
      </w:r>
      <w:r w:rsidR="00785182" w:rsidRPr="00D549EE">
        <w:rPr>
          <w:rFonts w:eastAsia="MS Mincho"/>
          <w:color w:val="000000" w:themeColor="text1"/>
          <w:sz w:val="28"/>
          <w:szCs w:val="28"/>
          <w:lang w:val="en-US"/>
        </w:rPr>
        <w:instrText>オイコノミカ</w:instrText>
      </w:r>
      <w:r w:rsidR="00785182" w:rsidRPr="00D549EE">
        <w:rPr>
          <w:color w:val="000000" w:themeColor="text1"/>
          <w:sz w:val="28"/>
          <w:szCs w:val="28"/>
          <w:lang w:val="en-US"/>
        </w:rPr>
        <w:instrText>)","id":"ITEM-1","issue":"42","issued":{"date-parts":[["2005"]]},"page":"73-87","title":"An Explanation of Rationale behind the Prohibition of Riba in the Doctrines of three major Religions : with special reference to Islam","type":"article-journal","volume":"2"},"uris":["http://www.mendeley.com/documents/?uuid=bb6f6d79-f466-4d3b-bd22-e329b90191bf"]}],"mendeley":{"formattedCitation":"[19]","plainTextFormattedCitation":"[19]","previouslyFormattedCitation":"[19]"},"properties":{"noteIndex":0},"schema":"https://github.com/citation-style-language/schema/raw/master/csl-citation.json"}</w:instrText>
      </w:r>
      <w:r w:rsidRPr="00D549EE">
        <w:rPr>
          <w:color w:val="000000" w:themeColor="text1"/>
          <w:sz w:val="28"/>
          <w:szCs w:val="28"/>
          <w:lang w:val="en-US"/>
        </w:rPr>
        <w:fldChar w:fldCharType="separate"/>
      </w:r>
      <w:r w:rsidR="00785182" w:rsidRPr="00D549EE">
        <w:rPr>
          <w:noProof/>
          <w:color w:val="000000" w:themeColor="text1"/>
          <w:sz w:val="28"/>
          <w:szCs w:val="28"/>
          <w:lang w:val="en-US"/>
        </w:rPr>
        <w:t>[19]</w:t>
      </w:r>
      <w:r w:rsidRPr="00D549EE">
        <w:rPr>
          <w:color w:val="000000" w:themeColor="text1"/>
          <w:sz w:val="28"/>
          <w:szCs w:val="28"/>
          <w:lang w:val="en-US"/>
        </w:rPr>
        <w:fldChar w:fldCharType="end"/>
      </w:r>
      <w:r w:rsidR="00785182" w:rsidRPr="00D549EE">
        <w:rPr>
          <w:color w:val="000000" w:themeColor="text1"/>
          <w:sz w:val="28"/>
          <w:szCs w:val="28"/>
          <w:lang w:val="en-US"/>
        </w:rPr>
        <w:t>.</w:t>
      </w:r>
      <w:r w:rsidR="00286899" w:rsidRPr="00D549EE">
        <w:rPr>
          <w:sz w:val="28"/>
          <w:szCs w:val="28"/>
          <w:lang w:val="en-US"/>
        </w:rPr>
        <w:t xml:space="preserve"> </w:t>
      </w:r>
    </w:p>
    <w:p w14:paraId="5D0BCAD4" w14:textId="48FDBE0C" w:rsidR="00732EA0" w:rsidRPr="00D549EE" w:rsidRDefault="00395E03" w:rsidP="00C9582F">
      <w:pPr>
        <w:snapToGrid w:val="0"/>
        <w:contextualSpacing/>
        <w:jc w:val="both"/>
        <w:rPr>
          <w:color w:val="000000" w:themeColor="text1"/>
          <w:sz w:val="28"/>
          <w:szCs w:val="28"/>
          <w:lang w:val="en-US"/>
        </w:rPr>
      </w:pPr>
      <w:r w:rsidRPr="00D549EE">
        <w:rPr>
          <w:color w:val="000000" w:themeColor="text1"/>
          <w:sz w:val="28"/>
          <w:szCs w:val="28"/>
          <w:lang w:val="en-US"/>
        </w:rPr>
        <w:tab/>
        <w:t xml:space="preserve">All Islamic scholars agree that the concept of riba includes not only usury, but also the collection of interest, which is widely practiced in the modern financial and economic world. The prohibition of riba is based on the arguments of social equity, balance and property rights </w:t>
      </w:r>
      <w:r w:rsidRPr="00D549EE">
        <w:rPr>
          <w:b/>
          <w:color w:val="000000" w:themeColor="text1"/>
          <w:sz w:val="28"/>
          <w:szCs w:val="28"/>
          <w:lang w:val="en-US"/>
        </w:rPr>
        <w:fldChar w:fldCharType="begin" w:fldLock="1"/>
      </w:r>
      <w:r w:rsidR="00785182" w:rsidRPr="00D549EE">
        <w:rPr>
          <w:color w:val="000000" w:themeColor="text1"/>
          <w:sz w:val="28"/>
          <w:szCs w:val="28"/>
          <w:lang w:val="en-US"/>
        </w:rPr>
        <w:instrText>ADDIN CSL_CITATION {"citationItems":[{"id":"ITEM-1","itemData":{"ISBN":"9786017539092","author":[{"dropping-particle":"","family":"Baidaulet","given":"Yerlan","non-dropping-particle":"","parse-names":false,"suffix":""}],"id":"ITEM-1","issued":{"date-parts":[["2014"]]},"number-of-pages":"326","publisher-place":"Pavlodar","title":"Basics of Ethical finance","type":"book"},"uris":["http://www.mendeley.com/documents/?uuid=013f38b2-e65d-4634-af1f-88af65b3e07d"]}],"mendeley":{"formattedCitation":"[20]","plainTextFormattedCitation":"[20]","previouslyFormattedCitation":"[20]"},"properties":{"noteIndex":0},"schema":"https://github.com/citation-style-language/schema/raw/master/csl-citation.json"}</w:instrText>
      </w:r>
      <w:r w:rsidRPr="00D549EE">
        <w:rPr>
          <w:b/>
          <w:color w:val="000000" w:themeColor="text1"/>
          <w:sz w:val="28"/>
          <w:szCs w:val="28"/>
          <w:lang w:val="en-US"/>
        </w:rPr>
        <w:fldChar w:fldCharType="separate"/>
      </w:r>
      <w:r w:rsidR="00785182" w:rsidRPr="00D549EE">
        <w:rPr>
          <w:noProof/>
          <w:color w:val="000000" w:themeColor="text1"/>
          <w:sz w:val="28"/>
          <w:szCs w:val="28"/>
          <w:lang w:val="en-US"/>
        </w:rPr>
        <w:t>[20]</w:t>
      </w:r>
      <w:r w:rsidRPr="00D549EE">
        <w:rPr>
          <w:b/>
          <w:color w:val="000000" w:themeColor="text1"/>
          <w:sz w:val="28"/>
          <w:szCs w:val="28"/>
          <w:lang w:val="en-US"/>
        </w:rPr>
        <w:fldChar w:fldCharType="end"/>
      </w:r>
      <w:r w:rsidR="00785182" w:rsidRPr="00D549EE">
        <w:rPr>
          <w:color w:val="000000" w:themeColor="text1"/>
          <w:sz w:val="28"/>
          <w:szCs w:val="28"/>
          <w:lang w:val="en-US"/>
        </w:rPr>
        <w:t>.</w:t>
      </w:r>
    </w:p>
    <w:p w14:paraId="15961C91" w14:textId="022514D0" w:rsidR="00395E03" w:rsidRPr="00D549EE" w:rsidRDefault="00732EA0" w:rsidP="00C9582F">
      <w:pPr>
        <w:snapToGrid w:val="0"/>
        <w:contextualSpacing/>
        <w:jc w:val="both"/>
        <w:rPr>
          <w:sz w:val="28"/>
          <w:szCs w:val="28"/>
          <w:lang w:val="en-US"/>
        </w:rPr>
      </w:pPr>
      <w:r w:rsidRPr="00D549EE">
        <w:rPr>
          <w:color w:val="000000" w:themeColor="text1"/>
          <w:sz w:val="28"/>
          <w:szCs w:val="28"/>
          <w:shd w:val="clear" w:color="auto" w:fill="FFFFFF"/>
          <w:lang w:val="en-US"/>
        </w:rPr>
        <w:tab/>
      </w:r>
      <w:r w:rsidR="00D14AF6" w:rsidRPr="00D549EE">
        <w:rPr>
          <w:color w:val="000000" w:themeColor="text1"/>
          <w:sz w:val="28"/>
          <w:szCs w:val="28"/>
          <w:shd w:val="clear" w:color="auto" w:fill="FFFFFF"/>
          <w:lang w:val="en-US"/>
        </w:rPr>
        <w:t>Islamic finance, being free from rib</w:t>
      </w:r>
      <w:r w:rsidR="00D756C1" w:rsidRPr="00D549EE">
        <w:rPr>
          <w:color w:val="000000" w:themeColor="text1"/>
          <w:sz w:val="28"/>
          <w:szCs w:val="28"/>
          <w:shd w:val="clear" w:color="auto" w:fill="FFFFFF"/>
          <w:lang w:val="en-US"/>
        </w:rPr>
        <w:t>a</w:t>
      </w:r>
      <w:r w:rsidR="00D14AF6" w:rsidRPr="00D549EE">
        <w:rPr>
          <w:color w:val="000000" w:themeColor="text1"/>
          <w:sz w:val="28"/>
          <w:szCs w:val="28"/>
          <w:shd w:val="clear" w:color="auto" w:fill="FFFFFF"/>
          <w:lang w:val="en-US"/>
        </w:rPr>
        <w:t> as the first </w:t>
      </w:r>
      <w:r w:rsidR="00D756C1" w:rsidRPr="00D549EE">
        <w:rPr>
          <w:color w:val="000000" w:themeColor="text1"/>
          <w:sz w:val="28"/>
          <w:szCs w:val="28"/>
          <w:shd w:val="clear" w:color="auto" w:fill="FFFFFF"/>
          <w:lang w:val="en-US"/>
        </w:rPr>
        <w:t>obstacle</w:t>
      </w:r>
      <w:r w:rsidR="00D14AF6" w:rsidRPr="00D549EE">
        <w:rPr>
          <w:color w:val="000000" w:themeColor="text1"/>
          <w:sz w:val="28"/>
          <w:szCs w:val="28"/>
          <w:shd w:val="clear" w:color="auto" w:fill="FFFFFF"/>
          <w:lang w:val="en-US"/>
        </w:rPr>
        <w:t>, must ensure it is </w:t>
      </w:r>
      <w:r w:rsidR="00D756C1" w:rsidRPr="00D549EE">
        <w:rPr>
          <w:color w:val="000000" w:themeColor="text1"/>
          <w:sz w:val="28"/>
          <w:szCs w:val="28"/>
          <w:shd w:val="clear" w:color="auto" w:fill="FFFFFF"/>
          <w:lang w:val="en-US"/>
        </w:rPr>
        <w:t xml:space="preserve">also </w:t>
      </w:r>
      <w:r w:rsidR="00D14AF6" w:rsidRPr="00D549EE">
        <w:rPr>
          <w:color w:val="000000" w:themeColor="text1"/>
          <w:sz w:val="28"/>
          <w:szCs w:val="28"/>
          <w:shd w:val="clear" w:color="auto" w:fill="FFFFFF"/>
          <w:lang w:val="en-US"/>
        </w:rPr>
        <w:t>free from any elements of garar</w:t>
      </w:r>
      <w:r w:rsidR="00B96D8C" w:rsidRPr="00D549EE">
        <w:rPr>
          <w:color w:val="000000" w:themeColor="text1"/>
          <w:sz w:val="28"/>
          <w:szCs w:val="28"/>
          <w:shd w:val="clear" w:color="auto" w:fill="FFFFFF"/>
          <w:lang w:val="en-US"/>
        </w:rPr>
        <w:t xml:space="preserve"> </w:t>
      </w:r>
      <w:r w:rsidR="00D756C1" w:rsidRPr="00D549EE">
        <w:rPr>
          <w:color w:val="000000" w:themeColor="text1"/>
          <w:sz w:val="28"/>
          <w:szCs w:val="28"/>
          <w:shd w:val="clear" w:color="auto" w:fill="FFFFFF"/>
          <w:lang w:val="en-US"/>
        </w:rPr>
        <w:t>(uncertainty)</w:t>
      </w:r>
      <w:r w:rsidR="00D14AF6" w:rsidRPr="00D549EE">
        <w:rPr>
          <w:color w:val="000000" w:themeColor="text1"/>
          <w:sz w:val="28"/>
          <w:szCs w:val="28"/>
          <w:shd w:val="clear" w:color="auto" w:fill="FFFFFF"/>
          <w:lang w:val="en-US"/>
        </w:rPr>
        <w:t>, maysir</w:t>
      </w:r>
      <w:r w:rsidR="00D756C1" w:rsidRPr="00D549EE">
        <w:rPr>
          <w:color w:val="000000" w:themeColor="text1"/>
          <w:sz w:val="28"/>
          <w:szCs w:val="28"/>
          <w:shd w:val="clear" w:color="auto" w:fill="FFFFFF"/>
          <w:lang w:val="en-US"/>
        </w:rPr>
        <w:t xml:space="preserve"> (gambling)</w:t>
      </w:r>
      <w:r w:rsidR="00D14AF6" w:rsidRPr="00D549EE">
        <w:rPr>
          <w:color w:val="000000" w:themeColor="text1"/>
          <w:sz w:val="28"/>
          <w:szCs w:val="28"/>
          <w:shd w:val="clear" w:color="auto" w:fill="FFFFFF"/>
          <w:lang w:val="en-US"/>
        </w:rPr>
        <w:t> and any transactions which involve non-halal goods and services</w:t>
      </w:r>
      <w:r w:rsidR="00B96D8C" w:rsidRPr="00D549EE">
        <w:rPr>
          <w:color w:val="000000" w:themeColor="text1"/>
          <w:sz w:val="28"/>
          <w:szCs w:val="28"/>
          <w:lang w:val="en-US"/>
        </w:rPr>
        <w:t xml:space="preserve"> </w:t>
      </w:r>
      <w:r w:rsidR="0084205D" w:rsidRPr="00D549EE">
        <w:rPr>
          <w:color w:val="000000" w:themeColor="text1"/>
          <w:sz w:val="28"/>
          <w:szCs w:val="28"/>
          <w:lang w:val="en-US"/>
        </w:rPr>
        <w:t>and garar is the most important element in the contracts after riba.</w:t>
      </w:r>
      <w:r w:rsidR="00441148" w:rsidRPr="00D549EE">
        <w:rPr>
          <w:sz w:val="28"/>
          <w:szCs w:val="28"/>
          <w:lang w:val="en-US"/>
        </w:rPr>
        <w:t xml:space="preserve"> </w:t>
      </w:r>
      <w:r w:rsidR="00395E03" w:rsidRPr="00D549EE">
        <w:rPr>
          <w:sz w:val="28"/>
          <w:szCs w:val="28"/>
          <w:lang w:val="en-US"/>
        </w:rPr>
        <w:t>Garar is the result of awareness problems and refers to any uncertainty created due to the lack of information or control in the contract. It can be considered as ignorance regarding information about some element of the subject of the contract, which is hidden from the other side, and the subject of the contract is something over which neither side has control.</w:t>
      </w:r>
    </w:p>
    <w:p w14:paraId="452C66FD" w14:textId="77777777" w:rsidR="001B2D03" w:rsidRPr="001B2D03" w:rsidRDefault="0058755F" w:rsidP="001B2D03">
      <w:pPr>
        <w:snapToGrid w:val="0"/>
        <w:contextualSpacing/>
        <w:jc w:val="both"/>
        <w:rPr>
          <w:color w:val="000000" w:themeColor="text1"/>
          <w:sz w:val="28"/>
          <w:szCs w:val="28"/>
          <w:lang w:val="en-US"/>
        </w:rPr>
      </w:pPr>
      <w:r w:rsidRPr="00D549EE">
        <w:rPr>
          <w:color w:val="FF0000"/>
          <w:sz w:val="28"/>
          <w:szCs w:val="28"/>
          <w:lang w:val="en-US"/>
        </w:rPr>
        <w:lastRenderedPageBreak/>
        <w:tab/>
      </w:r>
      <w:r w:rsidR="001B2D03" w:rsidRPr="001B2D03">
        <w:rPr>
          <w:color w:val="000000" w:themeColor="text1"/>
          <w:sz w:val="28"/>
          <w:szCs w:val="28"/>
          <w:lang w:val="en-US"/>
        </w:rPr>
        <w:t xml:space="preserve">According to the 31 shariah standard of Accounting and Auditing Organization for Islamic Financial Institutions (AAOIFI), garar is a state of uncertainty that exists when the process of concluding a transaction involves an unknown aspect. In other words, garar refers to the status of results that may or may not materialize. Whatever the definition of garar, it is essential that it should be considered as a contractual risk, which may result in loss of property.  </w:t>
      </w:r>
    </w:p>
    <w:p w14:paraId="5377C3A9"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ab/>
        <w:t>The development of Islamic finance can be divided into two, actually separate stages. There is considered the evolution of Islamic economics and financing from the early period till the modern financial system. The Islamic financial system is not young it has been traced for more than 1400 years in philosophical and legislative reflections. And this can be called the first known stage in the development of the system. During its classical period, Islam made a considerable contribution to science and production, including the concept of "zero" and the concept of "algorithm" [21]. Islamic economics and finance have been developed as an interdisciplinary subject, a large number of scholars, including Abu Yusuf (798), al-Mawardi (1058), Ibn Hazm (1064), al-Tusi (1093), and others, made valuable contributions not only in economic theory, also in jurisprudence, social, moral and ethical science, as human well-being is not isolated economic phenomenon [22].</w:t>
      </w:r>
    </w:p>
    <w:p w14:paraId="349A1CBC" w14:textId="55DAE64E" w:rsidR="001B2D03" w:rsidRPr="001B2D03" w:rsidRDefault="005861AE" w:rsidP="001B2D03">
      <w:pPr>
        <w:snapToGrid w:val="0"/>
        <w:contextualSpacing/>
        <w:jc w:val="both"/>
        <w:rPr>
          <w:color w:val="000000" w:themeColor="text1"/>
          <w:sz w:val="28"/>
          <w:szCs w:val="28"/>
          <w:lang w:val="en-US"/>
        </w:rPr>
      </w:pPr>
      <w:r>
        <w:rPr>
          <w:color w:val="000000" w:themeColor="text1"/>
          <w:sz w:val="28"/>
          <w:szCs w:val="28"/>
          <w:lang w:val="en-US"/>
        </w:rPr>
        <w:tab/>
      </w:r>
      <w:r w:rsidR="001B2D03" w:rsidRPr="001B2D03">
        <w:rPr>
          <w:color w:val="000000" w:themeColor="text1"/>
          <w:sz w:val="28"/>
          <w:szCs w:val="28"/>
          <w:lang w:val="en-US"/>
        </w:rPr>
        <w:t>The role of the second stage of Islamic finance development could not be overvalued, as in this period there was a revival of the institutional approach to Islamic economics and finance. The first International Conference in Islamic Economics (1976), as well as the establishment of Islamic institutions - the Association of Muslim Social Scientists (USA); the Islamic Foundation (UK); Islamic Economics Research Bureau (Bangladesh); the Centre for Research in Islamic Economics (Saudi Arabia); the International Institute of Islamic Thought (USA); the Islamic Research and Training Institute (IRTI) of the Islamic Development Bank (IDB) and others, served as a foundation and led to an exponential growth of Islamic economics studies.</w:t>
      </w:r>
    </w:p>
    <w:p w14:paraId="174D392F"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ab/>
        <w:t>There have been a lot of discussions among researchers at a conceptual and theoretical level who criticized the interest-free economic system. Nevertheless, in proving the analytical viability of the Islamic financial system, the researchers formulated its differences from the conventional that is based on the interest rate. In the conventional system based on debt contracts, risk and reward are divided asymmetrically: the debtor takes the main part of the risks, and the government provides judicial enforcement of the agreement. By contrast, the Islamic system has a structure that entails insurance risks and asymmetric information. It also requires deep monitoring by an institution acting on behalf of depositors and investors.</w:t>
      </w:r>
    </w:p>
    <w:p w14:paraId="08976E3C"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ab/>
        <w:t xml:space="preserve">Mohsin Khan in his article, which later became a classic of Islamic economics, showed through the macroeconomic model proposed by Metzler (1951) and extended by Fernandez (1984) that standard economic concepts and methods can be employed to analyze issues in Islamic economics and considered model makes the system more stable than a traditional system [23]. </w:t>
      </w:r>
    </w:p>
    <w:p w14:paraId="346CA314"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ab/>
        <w:t xml:space="preserve">At an early stage in developing the Islamic financial market, Islamic banks experienced a lack of high-quality investment opportunities, which enabled conventional Western banks to act as intermediaries for placing funds in Islamic banks. Western banks helped Islamic banks place funds in commercial activities, find a buyer </w:t>
      </w:r>
      <w:r w:rsidRPr="001B2D03">
        <w:rPr>
          <w:color w:val="000000" w:themeColor="text1"/>
          <w:sz w:val="28"/>
          <w:szCs w:val="28"/>
          <w:lang w:val="en-US"/>
        </w:rPr>
        <w:lastRenderedPageBreak/>
        <w:t xml:space="preserve">for goods on behalf of an Islamic bank, and resell them. Gradually, Western banks realized the importance of growing Islamic financial markets and began to offer Islamic products through the so-called "Islamic windows" to attract customers directly, without the intermediary of an Islamic bank. </w:t>
      </w:r>
    </w:p>
    <w:p w14:paraId="46B90158"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ab/>
        <w:t>Islamic Windows are not independent financial institutions but specialized within the framework of conventional financial institutions, offering customers products that comply with Shariah principles. Meanwhile, guided by the growing demand for Shariah-compliant products and the fear of losing investors, non-Western conventional banks also began to offer "Islamic windows."</w:t>
      </w:r>
    </w:p>
    <w:p w14:paraId="427566F5"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ab/>
        <w:t xml:space="preserve">It is essential to notice that Islamic financial services are provided by various structures, depending on the types of offered financial assistance. Institutions that provide conventional and Islamic financial services have three fundamental organizational structures. The subsidiary is a separate legal entity owned by a conventional bank, which offers Islamic financial services; the branch is a partnership model or a joint venture between conventional and Islamic banks and the Windows model [24] [12 p. 129]. In this regard, the evolving model of the Islamic financial system from 1970 to 2000 was a Complete Islamic economic system (leaders are Pakistan, Iran, and Sudan), which continued by the dual banking system (leaders – Malaysia and GCC) in 2000. The dual banking system contributed to the Islamic windows and subsidiaries model (HSBC, Standard Chartered, Mashreq and CIMB). This financial system model led to the dangerous close resemblance of Islamic and conventional instruments. Despite the possibility of a threat of blurring borders, the Islamic windows model has been shown as the perfect way to promote Islamic financial products and the amount of demand and supply.  </w:t>
      </w:r>
    </w:p>
    <w:p w14:paraId="2CFBA49D"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ab/>
        <w:t xml:space="preserve">It is essential to realize that many principles govern contracts in Islamic finance. By some estimation, the main of them are listed more than one hundred principles related to contracts and agreements in Islamic law the main of them are considered [25]. The first concept of agreement between parties is obtaining asset ownership or the ownership of the benefits of the assets. The offer and acceptance of the contract must be in absolute, indefinite, and decisive language: in the past or present tense, not in the future or imperative tense, not conditional, and not limited to a specific period. Furthermore, the acceptance must agree with the offer, and the offer and approval must be made at the same meeting. In turn, the principle of the contract is freedom. That is, all economic activities are allowable except that prohibited by Shariah. This principle illustrates that the set of acceptable activities in daily and economic life is unlimited, although there are a limited number of prohibited activities. The focus for governing contracts follows from the main rule, causing harm to people, property, and the environment, in general, is prohibited, here also could be considered investing and production of haram. And the principle of liability justifies return and applies a particular degree of proportionality and balance between rights and obligations. In other words, risk cannot be separated from the return. </w:t>
      </w:r>
    </w:p>
    <w:p w14:paraId="4CE6EC2F"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ab/>
        <w:t xml:space="preserve">It is a well-known fact that the moral of Islam highlights an important factor that has a decisive impact on financial and economic activity. Most research related it to the justice (decency) and moral filling of the disposal of economic resources. There is describing the main of them [26] [27] [28] [29] [17, p. 216]: </w:t>
      </w:r>
    </w:p>
    <w:p w14:paraId="51FF960C"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lastRenderedPageBreak/>
        <w:t>(i)</w:t>
      </w:r>
      <w:r w:rsidRPr="001B2D03">
        <w:rPr>
          <w:color w:val="000000" w:themeColor="text1"/>
          <w:sz w:val="28"/>
          <w:szCs w:val="28"/>
          <w:lang w:val="en-US"/>
        </w:rPr>
        <w:tab/>
        <w:t>The fundamental postulates of understanding of being in the Islamic economy - Allah is the only valid owner of everything, and human is his ruler on Earth. "It is He who created for you all of that which is on the earth" (2:29) [7, p. 39].</w:t>
      </w:r>
    </w:p>
    <w:p w14:paraId="552C356E"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(ii)</w:t>
      </w:r>
      <w:r w:rsidRPr="001B2D03">
        <w:rPr>
          <w:color w:val="000000" w:themeColor="text1"/>
          <w:sz w:val="28"/>
          <w:szCs w:val="28"/>
          <w:lang w:val="en-US"/>
        </w:rPr>
        <w:tab/>
        <w:t>Providing all people with equal opportunities, justice is welcomed by Islam at all social levels and therefore is one of the important goals of the Islamic economy. Considering the goal,  all economic actions in all areas - private and pervasive, internal and external - should ensure social justice. The presence of poverty in society indicates the presence of injustice. Secondly, preventing the excessive accumulation of wealth in the hands of a part of the population because the great wealth would lead people to forget and neglect existing values. The accumulation of wealth in the hands means that others are deprived of it. Wealth is considered life-sustaining, which must be used efficiently. "Give not unto the foolish your wealth which Allah has made a means of support for you" (4:5) [7, p. 51].</w:t>
      </w:r>
    </w:p>
    <w:p w14:paraId="1C0AAC75"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(iii)</w:t>
      </w:r>
      <w:r w:rsidRPr="001B2D03">
        <w:rPr>
          <w:color w:val="000000" w:themeColor="text1"/>
          <w:sz w:val="28"/>
          <w:szCs w:val="28"/>
          <w:lang w:val="en-US"/>
        </w:rPr>
        <w:tab/>
        <w:t>Maintaining development and economic growth, one of the goals of Islamic economics is development and progress. Furthermore, it prescribes cultivating the land and equipping cities that approach religion is a factor in production growth. It should be mentioned that according to Islamic economics, financial resources and opportunities must be invested, and savings without turnover are not acceptable. Investment in any economic sector that meets the interests of society is welcomed. "And when the prayer has been concluded, disperse within the land and seek from the bounty of Allah" (62:10) [7, p.668].</w:t>
      </w:r>
    </w:p>
    <w:p w14:paraId="6086C2C5"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(iv)</w:t>
      </w:r>
      <w:r w:rsidRPr="001B2D03">
        <w:rPr>
          <w:color w:val="000000" w:themeColor="text1"/>
          <w:sz w:val="28"/>
          <w:szCs w:val="28"/>
          <w:lang w:val="en-US"/>
        </w:rPr>
        <w:tab/>
        <w:t>Creation of proper conditions for spiritual growth and self-improvement. To achieve these purposes, Islam prescribes learning and improving knowledge without defining an age limit.</w:t>
      </w:r>
    </w:p>
    <w:p w14:paraId="2CEAD73C" w14:textId="77777777" w:rsidR="001B2D03" w:rsidRPr="001B2D03" w:rsidRDefault="001B2D03" w:rsidP="001B2D03">
      <w:pPr>
        <w:snapToGrid w:val="0"/>
        <w:contextualSpacing/>
        <w:jc w:val="both"/>
        <w:rPr>
          <w:color w:val="000000" w:themeColor="text1"/>
          <w:sz w:val="28"/>
          <w:szCs w:val="28"/>
          <w:lang w:val="en-US"/>
        </w:rPr>
      </w:pPr>
      <w:r w:rsidRPr="001B2D03">
        <w:rPr>
          <w:color w:val="000000" w:themeColor="text1"/>
          <w:sz w:val="28"/>
          <w:szCs w:val="28"/>
          <w:lang w:val="en-US"/>
        </w:rPr>
        <w:t>(v)</w:t>
      </w:r>
      <w:r w:rsidRPr="001B2D03">
        <w:rPr>
          <w:color w:val="000000" w:themeColor="text1"/>
          <w:sz w:val="28"/>
          <w:szCs w:val="28"/>
          <w:lang w:val="en-US"/>
        </w:rPr>
        <w:tab/>
        <w:t>Ensuring an equitable distribution of material resources in society. In Islamic society, there is giving people all the necessary rights, ensuring the safety of life and property, and preventing the violation of these rights, creating a powerful, independent, and fair judicial system. Islam also calls for adhering to an average standard of living, a level where all personal and family needs can be met without difficulties. If the standard of living is lower than this, a person will be constrained and can be conceited if higher. "And when We bestow favor upon the disbeliever, he turns away and distances himself; and when evil touches him, he is ever despairing" (17:83) [7, p. 326].</w:t>
      </w:r>
    </w:p>
    <w:p w14:paraId="5D8EF51F" w14:textId="77777777" w:rsidR="005861AE" w:rsidRDefault="001B2D03" w:rsidP="001B2D03">
      <w:pPr>
        <w:snapToGrid w:val="0"/>
        <w:contextualSpacing/>
        <w:jc w:val="both"/>
        <w:rPr>
          <w:sz w:val="28"/>
          <w:szCs w:val="28"/>
          <w:lang w:val="en-US"/>
        </w:rPr>
      </w:pPr>
      <w:r w:rsidRPr="001B2D03">
        <w:rPr>
          <w:color w:val="000000" w:themeColor="text1"/>
          <w:sz w:val="28"/>
          <w:szCs w:val="28"/>
          <w:lang w:val="en-US"/>
        </w:rPr>
        <w:t>(vi)</w:t>
      </w:r>
      <w:r w:rsidRPr="001B2D03">
        <w:rPr>
          <w:color w:val="000000" w:themeColor="text1"/>
          <w:sz w:val="28"/>
          <w:szCs w:val="28"/>
          <w:lang w:val="en-US"/>
        </w:rPr>
        <w:tab/>
        <w:t>Individual as the viceroy on Earth of God (Khalifah), as mentioned before, (i) must be responsible and perform all activities social, economic, financial, and others within the moral sphere and filter.</w:t>
      </w:r>
      <w:r w:rsidR="00A26813" w:rsidRPr="00D549EE">
        <w:rPr>
          <w:sz w:val="28"/>
          <w:szCs w:val="28"/>
          <w:lang w:val="en-US"/>
        </w:rPr>
        <w:tab/>
      </w:r>
      <w:r w:rsidR="00E52AA6" w:rsidRPr="00D549EE">
        <w:rPr>
          <w:sz w:val="28"/>
          <w:szCs w:val="28"/>
          <w:lang w:val="en-US"/>
        </w:rPr>
        <w:t>As part of this ethical economic paradigm,</w:t>
      </w:r>
      <w:r w:rsidR="00E52AA6" w:rsidRPr="00D549EE">
        <w:rPr>
          <w:color w:val="000000" w:themeColor="text1"/>
          <w:sz w:val="28"/>
          <w:szCs w:val="28"/>
          <w:lang w:val="en-US"/>
        </w:rPr>
        <w:t xml:space="preserve"> Islamic financial tools</w:t>
      </w:r>
      <w:r w:rsidR="00E52AA6" w:rsidRPr="00D549EE">
        <w:rPr>
          <w:sz w:val="28"/>
          <w:szCs w:val="28"/>
          <w:lang w:val="en-US"/>
        </w:rPr>
        <w:t xml:space="preserve"> are based on responsibility and have a social and ethical impact on the economics of the society. And it must be organized within the framework of establishment the optimality between financial operations, that is profit and social objectives, as morality, ethics, and social responsibility. </w:t>
      </w:r>
    </w:p>
    <w:p w14:paraId="561273B3" w14:textId="77777777" w:rsidR="0012630B" w:rsidRPr="0012630B" w:rsidRDefault="005861AE" w:rsidP="0012630B">
      <w:pPr>
        <w:snapToGrid w:val="0"/>
        <w:contextualSpacing/>
        <w:jc w:val="both"/>
        <w:rPr>
          <w:sz w:val="28"/>
          <w:szCs w:val="28"/>
          <w:lang w:val="en-US"/>
        </w:rPr>
      </w:pPr>
      <w:r>
        <w:rPr>
          <w:sz w:val="28"/>
          <w:szCs w:val="28"/>
          <w:lang w:val="en-US"/>
        </w:rPr>
        <w:tab/>
      </w:r>
      <w:r w:rsidR="0012630B" w:rsidRPr="0012630B">
        <w:rPr>
          <w:sz w:val="28"/>
          <w:szCs w:val="28"/>
          <w:lang w:val="en-US"/>
        </w:rPr>
        <w:t>There can be summarized the studies of researches as follows  [29][30]:</w:t>
      </w:r>
    </w:p>
    <w:p w14:paraId="1CED8E78" w14:textId="77777777" w:rsidR="0012630B" w:rsidRPr="0012630B" w:rsidRDefault="0012630B" w:rsidP="0012630B">
      <w:pPr>
        <w:snapToGrid w:val="0"/>
        <w:contextualSpacing/>
        <w:jc w:val="both"/>
        <w:rPr>
          <w:sz w:val="28"/>
          <w:szCs w:val="28"/>
          <w:lang w:val="en-US"/>
        </w:rPr>
      </w:pPr>
      <w:r w:rsidRPr="0012630B">
        <w:rPr>
          <w:sz w:val="28"/>
          <w:szCs w:val="28"/>
          <w:lang w:val="en-US"/>
        </w:rPr>
        <w:tab/>
        <w:t xml:space="preserve">- Prohibition of interest was considered earlier for procuring stable and socially efficient economics. </w:t>
      </w:r>
    </w:p>
    <w:p w14:paraId="607F4F68" w14:textId="77777777" w:rsidR="0012630B" w:rsidRPr="0012630B" w:rsidRDefault="0012630B" w:rsidP="0012630B">
      <w:pPr>
        <w:snapToGrid w:val="0"/>
        <w:contextualSpacing/>
        <w:jc w:val="both"/>
        <w:rPr>
          <w:sz w:val="28"/>
          <w:szCs w:val="28"/>
          <w:lang w:val="en-US"/>
        </w:rPr>
      </w:pPr>
      <w:r w:rsidRPr="0012630B">
        <w:rPr>
          <w:sz w:val="28"/>
          <w:szCs w:val="28"/>
          <w:lang w:val="en-US"/>
        </w:rPr>
        <w:tab/>
        <w:t xml:space="preserve">- Prohibition of a return on nominal transactions to create productive economic activity or asset-financing. </w:t>
      </w:r>
    </w:p>
    <w:p w14:paraId="0F16435E" w14:textId="77777777" w:rsidR="0012630B" w:rsidRPr="0012630B" w:rsidRDefault="0012630B" w:rsidP="0012630B">
      <w:pPr>
        <w:snapToGrid w:val="0"/>
        <w:contextualSpacing/>
        <w:jc w:val="both"/>
        <w:rPr>
          <w:sz w:val="28"/>
          <w:szCs w:val="28"/>
          <w:lang w:val="en-US"/>
        </w:rPr>
      </w:pPr>
      <w:r w:rsidRPr="0012630B">
        <w:rPr>
          <w:sz w:val="28"/>
          <w:szCs w:val="28"/>
          <w:lang w:val="en-US"/>
        </w:rPr>
        <w:lastRenderedPageBreak/>
        <w:tab/>
        <w:t>- Prohibition uncertainty, speculation, and gambling to establish productive economic activity, which is the rationale and real asset-based. In Islamic finance, partners are obligated to fulfill contracts and keep their promises. “O, you who believe! fulfill your undertakings” (5:1); “And be true to every promise, for, verily, (on judgment day) you will be called to account for every promise you made” (17:34) [7, p. 320].</w:t>
      </w:r>
    </w:p>
    <w:p w14:paraId="642326EB" w14:textId="77777777" w:rsidR="0012630B" w:rsidRPr="0012630B" w:rsidRDefault="0012630B" w:rsidP="0012630B">
      <w:pPr>
        <w:snapToGrid w:val="0"/>
        <w:contextualSpacing/>
        <w:jc w:val="both"/>
        <w:rPr>
          <w:sz w:val="28"/>
          <w:szCs w:val="28"/>
          <w:lang w:val="en-US"/>
        </w:rPr>
      </w:pPr>
      <w:r w:rsidRPr="0012630B">
        <w:rPr>
          <w:sz w:val="28"/>
          <w:szCs w:val="28"/>
          <w:lang w:val="en-US"/>
        </w:rPr>
        <w:tab/>
        <w:t>- Prohibition of economic activities or business involving forbidden that is haram items.</w:t>
      </w:r>
    </w:p>
    <w:p w14:paraId="3398E0EF" w14:textId="77777777" w:rsidR="0012630B" w:rsidRPr="0012630B" w:rsidRDefault="0012630B" w:rsidP="0012630B">
      <w:pPr>
        <w:snapToGrid w:val="0"/>
        <w:contextualSpacing/>
        <w:jc w:val="both"/>
        <w:rPr>
          <w:sz w:val="28"/>
          <w:szCs w:val="28"/>
          <w:lang w:val="en-US"/>
        </w:rPr>
      </w:pPr>
      <w:r w:rsidRPr="0012630B">
        <w:rPr>
          <w:sz w:val="28"/>
          <w:szCs w:val="28"/>
          <w:lang w:val="en-US"/>
        </w:rPr>
        <w:tab/>
        <w:t>- Prohibition of profit without liability, responsibility for risks of assets or services.</w:t>
      </w:r>
    </w:p>
    <w:p w14:paraId="0AFA0951" w14:textId="77777777" w:rsidR="0012630B" w:rsidRPr="0012630B" w:rsidRDefault="0012630B" w:rsidP="0012630B">
      <w:pPr>
        <w:snapToGrid w:val="0"/>
        <w:contextualSpacing/>
        <w:jc w:val="both"/>
        <w:rPr>
          <w:sz w:val="28"/>
          <w:szCs w:val="28"/>
          <w:lang w:val="en-US"/>
        </w:rPr>
      </w:pPr>
      <w:r w:rsidRPr="0012630B">
        <w:rPr>
          <w:sz w:val="28"/>
          <w:szCs w:val="28"/>
          <w:lang w:val="en-US"/>
        </w:rPr>
        <w:tab/>
        <w:t xml:space="preserve">- Money itself plays the role of a technical tool that essentially allows to carry out sales transactions and has no value.  </w:t>
      </w:r>
    </w:p>
    <w:p w14:paraId="6C249D45" w14:textId="1698D25E" w:rsidR="0012630B" w:rsidRPr="0012630B" w:rsidRDefault="0012630B" w:rsidP="0012630B">
      <w:pPr>
        <w:snapToGrid w:val="0"/>
        <w:contextualSpacing/>
        <w:jc w:val="both"/>
        <w:rPr>
          <w:sz w:val="28"/>
          <w:szCs w:val="28"/>
          <w:lang w:val="en-US"/>
        </w:rPr>
      </w:pPr>
      <w:r w:rsidRPr="0012630B">
        <w:rPr>
          <w:sz w:val="28"/>
          <w:szCs w:val="28"/>
          <w:lang w:val="en-US"/>
        </w:rPr>
        <w:tab/>
        <w:t>- Profit and loss sharing principles are the main principles on which the pure Islamic financial instruments (Musharaka and Mudaraba) are based. A significant meaning of the profit and</w:t>
      </w:r>
      <w:r>
        <w:rPr>
          <w:sz w:val="28"/>
          <w:szCs w:val="28"/>
          <w:lang w:val="en-US"/>
        </w:rPr>
        <w:t xml:space="preserve"> </w:t>
      </w:r>
      <w:r w:rsidRPr="0012630B">
        <w:rPr>
          <w:sz w:val="28"/>
          <w:szCs w:val="28"/>
          <w:lang w:val="en-US"/>
        </w:rPr>
        <w:t>loss sharing is the joint nature of the business activity,</w:t>
      </w:r>
      <w:r>
        <w:rPr>
          <w:sz w:val="28"/>
          <w:szCs w:val="28"/>
          <w:lang w:val="en-US"/>
        </w:rPr>
        <w:t xml:space="preserve"> </w:t>
      </w:r>
      <w:r w:rsidRPr="0012630B">
        <w:rPr>
          <w:sz w:val="28"/>
          <w:szCs w:val="28"/>
          <w:lang w:val="en-US"/>
        </w:rPr>
        <w:t xml:space="preserve">capital establishes partnerships. Islamic financial institutions accept clients as partners and share with them not only profits and the losses and risks at the same level. Islamic financial institutions do not hedge risks of the losses by shifting to clients; they share risks and profit. The principle of Islamic contracting - “liability justifies return” takes in profit and loss sharing mechanism, according to which liability should not be separated from benefits or profit from risks. This obligates some degree of symmetry between the rights and obligations of both parties.   </w:t>
      </w:r>
    </w:p>
    <w:p w14:paraId="53B244D8" w14:textId="77777777" w:rsidR="0012630B" w:rsidRPr="0012630B" w:rsidRDefault="0012630B" w:rsidP="0012630B">
      <w:pPr>
        <w:snapToGrid w:val="0"/>
        <w:contextualSpacing/>
        <w:jc w:val="both"/>
        <w:rPr>
          <w:sz w:val="28"/>
          <w:szCs w:val="28"/>
          <w:lang w:val="en-US"/>
        </w:rPr>
      </w:pPr>
      <w:r w:rsidRPr="0012630B">
        <w:rPr>
          <w:sz w:val="28"/>
          <w:szCs w:val="28"/>
          <w:lang w:val="en-US"/>
        </w:rPr>
        <w:tab/>
        <w:t>- Alternative financing paradigm of Islamic financial instruments directly supports real economic activity based on asset-based and asset-backed transactions by investment in real assets.</w:t>
      </w:r>
    </w:p>
    <w:p w14:paraId="7907F825" w14:textId="170B095D" w:rsidR="0012630B" w:rsidRPr="0012630B" w:rsidRDefault="0012630B" w:rsidP="0012630B">
      <w:pPr>
        <w:snapToGrid w:val="0"/>
        <w:contextualSpacing/>
        <w:jc w:val="both"/>
        <w:rPr>
          <w:sz w:val="28"/>
          <w:szCs w:val="28"/>
          <w:lang w:val="en-US"/>
        </w:rPr>
      </w:pPr>
      <w:r>
        <w:rPr>
          <w:sz w:val="28"/>
          <w:szCs w:val="28"/>
          <w:lang w:val="en-US"/>
        </w:rPr>
        <w:tab/>
      </w:r>
      <w:r w:rsidRPr="0012630B">
        <w:rPr>
          <w:sz w:val="28"/>
          <w:szCs w:val="28"/>
          <w:lang w:val="en-US"/>
        </w:rPr>
        <w:t xml:space="preserve">- The social components of Islamic finance encourage society-oriented financing for the community. Islamic financial tools aim to solve social problems such as social equality and poverty alleviation through zakat and qard hasan. </w:t>
      </w:r>
    </w:p>
    <w:p w14:paraId="41C78FF0" w14:textId="77777777" w:rsidR="0012630B" w:rsidRPr="0012630B" w:rsidRDefault="0012630B" w:rsidP="0012630B">
      <w:pPr>
        <w:snapToGrid w:val="0"/>
        <w:contextualSpacing/>
        <w:jc w:val="both"/>
        <w:rPr>
          <w:sz w:val="28"/>
          <w:szCs w:val="28"/>
          <w:lang w:val="en-US"/>
        </w:rPr>
      </w:pPr>
      <w:r w:rsidRPr="0012630B">
        <w:rPr>
          <w:sz w:val="28"/>
          <w:szCs w:val="28"/>
          <w:lang w:val="en-US"/>
        </w:rPr>
        <w:tab/>
        <w:t>All of the listed features of Islamic finance and the specifics of their relationship with the real sector of the economy, in our opinion, not only radically distinguish them from conventional financial instruments but also become their competitive advantage in conditions of economic crises.</w:t>
      </w:r>
    </w:p>
    <w:p w14:paraId="61A07FCA" w14:textId="1FE9C4A1" w:rsidR="00E52AA6" w:rsidRPr="00D549EE" w:rsidRDefault="0012630B" w:rsidP="0012630B">
      <w:pPr>
        <w:snapToGrid w:val="0"/>
        <w:contextualSpacing/>
        <w:jc w:val="both"/>
        <w:rPr>
          <w:color w:val="000000" w:themeColor="text1"/>
          <w:sz w:val="28"/>
          <w:szCs w:val="28"/>
          <w:lang w:val="en-US"/>
        </w:rPr>
      </w:pPr>
      <w:r w:rsidRPr="0012630B">
        <w:rPr>
          <w:sz w:val="28"/>
          <w:szCs w:val="28"/>
          <w:lang w:val="en-US"/>
        </w:rPr>
        <w:tab/>
        <w:t xml:space="preserve">All demonstrated social and ethical benefits for individuals and economics we decided to display in the table for illustrating the impact and requirements of the Islamic financial system with based sources. </w:t>
      </w:r>
      <w:r w:rsidR="00E52AA6" w:rsidRPr="00D549EE">
        <w:rPr>
          <w:color w:val="000000" w:themeColor="text1"/>
          <w:sz w:val="28"/>
          <w:szCs w:val="28"/>
          <w:lang w:val="en-US"/>
        </w:rPr>
        <w:t xml:space="preserve"> </w:t>
      </w:r>
    </w:p>
    <w:p w14:paraId="655341B2" w14:textId="1446650F" w:rsidR="00E52AA6" w:rsidRPr="00D549EE" w:rsidRDefault="00E52AA6" w:rsidP="00C9582F">
      <w:pPr>
        <w:pStyle w:val="af"/>
        <w:snapToGrid w:val="0"/>
        <w:spacing w:before="0" w:beforeAutospacing="0" w:after="0" w:afterAutospacing="0"/>
        <w:contextualSpacing/>
        <w:jc w:val="both"/>
        <w:rPr>
          <w:color w:val="000000" w:themeColor="text1"/>
          <w:sz w:val="28"/>
          <w:szCs w:val="28"/>
          <w:lang w:val="en-US"/>
        </w:rPr>
      </w:pPr>
    </w:p>
    <w:p w14:paraId="6B9F9E9A" w14:textId="659475F3" w:rsidR="00913981" w:rsidRPr="00D549EE" w:rsidRDefault="00913981" w:rsidP="00C9582F">
      <w:pPr>
        <w:pStyle w:val="af"/>
        <w:snapToGrid w:val="0"/>
        <w:spacing w:before="0" w:beforeAutospacing="0" w:after="0" w:afterAutospacing="0"/>
        <w:contextualSpacing/>
        <w:jc w:val="both"/>
        <w:rPr>
          <w:color w:val="000000" w:themeColor="text1"/>
          <w:sz w:val="28"/>
          <w:szCs w:val="28"/>
          <w:lang w:val="en-US"/>
        </w:rPr>
      </w:pPr>
    </w:p>
    <w:p w14:paraId="0B7DDCCC" w14:textId="768C38B3" w:rsidR="00913981" w:rsidRPr="00D549EE" w:rsidRDefault="00913981" w:rsidP="00C9582F">
      <w:pPr>
        <w:pStyle w:val="af"/>
        <w:snapToGrid w:val="0"/>
        <w:spacing w:before="0" w:beforeAutospacing="0" w:after="0" w:afterAutospacing="0"/>
        <w:contextualSpacing/>
        <w:jc w:val="both"/>
        <w:rPr>
          <w:color w:val="000000" w:themeColor="text1"/>
          <w:sz w:val="28"/>
          <w:szCs w:val="28"/>
          <w:lang w:val="en-US"/>
        </w:rPr>
      </w:pPr>
    </w:p>
    <w:p w14:paraId="7C682CE0" w14:textId="6629112E" w:rsidR="00913981" w:rsidRDefault="00913981" w:rsidP="00C9582F">
      <w:pPr>
        <w:pStyle w:val="af"/>
        <w:snapToGrid w:val="0"/>
        <w:spacing w:before="0" w:beforeAutospacing="0" w:after="0" w:afterAutospacing="0"/>
        <w:contextualSpacing/>
        <w:jc w:val="both"/>
        <w:rPr>
          <w:color w:val="000000" w:themeColor="text1"/>
          <w:sz w:val="28"/>
          <w:szCs w:val="28"/>
          <w:lang w:val="en-US"/>
        </w:rPr>
      </w:pPr>
    </w:p>
    <w:p w14:paraId="5084F07F" w14:textId="77777777" w:rsidR="0012630B" w:rsidRDefault="0012630B" w:rsidP="00C9582F">
      <w:pPr>
        <w:pStyle w:val="af"/>
        <w:snapToGrid w:val="0"/>
        <w:spacing w:before="0" w:beforeAutospacing="0" w:after="0" w:afterAutospacing="0"/>
        <w:contextualSpacing/>
        <w:jc w:val="both"/>
        <w:rPr>
          <w:color w:val="000000" w:themeColor="text1"/>
          <w:sz w:val="28"/>
          <w:szCs w:val="28"/>
          <w:lang w:val="en-US"/>
        </w:rPr>
      </w:pPr>
    </w:p>
    <w:p w14:paraId="4DD489A3" w14:textId="6DB11BDC" w:rsidR="002305A5" w:rsidRDefault="002305A5" w:rsidP="00C9582F">
      <w:pPr>
        <w:pStyle w:val="af"/>
        <w:snapToGrid w:val="0"/>
        <w:spacing w:before="0" w:beforeAutospacing="0" w:after="0" w:afterAutospacing="0"/>
        <w:contextualSpacing/>
        <w:jc w:val="both"/>
        <w:rPr>
          <w:color w:val="000000" w:themeColor="text1"/>
          <w:sz w:val="28"/>
          <w:szCs w:val="28"/>
          <w:lang w:val="en-US"/>
        </w:rPr>
      </w:pPr>
    </w:p>
    <w:p w14:paraId="3E86CB78" w14:textId="5438A0DF" w:rsidR="002305A5" w:rsidRDefault="002305A5" w:rsidP="00C9582F">
      <w:pPr>
        <w:pStyle w:val="af"/>
        <w:snapToGrid w:val="0"/>
        <w:spacing w:before="0" w:beforeAutospacing="0" w:after="0" w:afterAutospacing="0"/>
        <w:contextualSpacing/>
        <w:jc w:val="both"/>
        <w:rPr>
          <w:color w:val="000000" w:themeColor="text1"/>
          <w:sz w:val="28"/>
          <w:szCs w:val="28"/>
          <w:lang w:val="en-US"/>
        </w:rPr>
      </w:pPr>
    </w:p>
    <w:p w14:paraId="1B806288" w14:textId="2750B4E1" w:rsidR="002305A5" w:rsidRDefault="002305A5" w:rsidP="00C9582F">
      <w:pPr>
        <w:pStyle w:val="af"/>
        <w:snapToGrid w:val="0"/>
        <w:spacing w:before="0" w:beforeAutospacing="0" w:after="0" w:afterAutospacing="0"/>
        <w:contextualSpacing/>
        <w:jc w:val="both"/>
        <w:rPr>
          <w:color w:val="000000" w:themeColor="text1"/>
          <w:sz w:val="28"/>
          <w:szCs w:val="28"/>
          <w:lang w:val="en-US"/>
        </w:rPr>
      </w:pPr>
    </w:p>
    <w:p w14:paraId="5E37DB6D" w14:textId="77777777" w:rsidR="002305A5" w:rsidRPr="00D549EE" w:rsidRDefault="002305A5" w:rsidP="00C9582F">
      <w:pPr>
        <w:pStyle w:val="af"/>
        <w:snapToGrid w:val="0"/>
        <w:spacing w:before="0" w:beforeAutospacing="0" w:after="0" w:afterAutospacing="0"/>
        <w:contextualSpacing/>
        <w:jc w:val="both"/>
        <w:rPr>
          <w:color w:val="000000" w:themeColor="text1"/>
          <w:sz w:val="28"/>
          <w:szCs w:val="28"/>
          <w:lang w:val="en-US"/>
        </w:rPr>
      </w:pPr>
    </w:p>
    <w:p w14:paraId="2F1297E6" w14:textId="77777777" w:rsidR="0012630B" w:rsidRDefault="0012630B" w:rsidP="00C9582F">
      <w:pPr>
        <w:pStyle w:val="af"/>
        <w:snapToGrid w:val="0"/>
        <w:spacing w:before="0" w:beforeAutospacing="0" w:after="0" w:afterAutospacing="0"/>
        <w:contextualSpacing/>
        <w:jc w:val="both"/>
        <w:rPr>
          <w:color w:val="000000" w:themeColor="text1"/>
          <w:sz w:val="28"/>
          <w:szCs w:val="28"/>
          <w:lang w:val="en-US"/>
        </w:rPr>
      </w:pPr>
    </w:p>
    <w:p w14:paraId="460C3749" w14:textId="7FCB2335" w:rsidR="00E52AA6" w:rsidRPr="00D549EE" w:rsidRDefault="00E52AA6" w:rsidP="00C9582F">
      <w:pPr>
        <w:pStyle w:val="af"/>
        <w:snapToGrid w:val="0"/>
        <w:spacing w:before="0" w:beforeAutospacing="0" w:after="0" w:afterAutospacing="0"/>
        <w:contextualSpacing/>
        <w:jc w:val="both"/>
        <w:rPr>
          <w:b/>
          <w:color w:val="000000" w:themeColor="text1"/>
          <w:sz w:val="28"/>
          <w:szCs w:val="28"/>
          <w:lang w:val="en-US"/>
        </w:rPr>
      </w:pPr>
      <w:r w:rsidRPr="00D549EE">
        <w:rPr>
          <w:color w:val="000000" w:themeColor="text1"/>
          <w:sz w:val="28"/>
          <w:szCs w:val="28"/>
          <w:lang w:val="en-US"/>
        </w:rPr>
        <w:lastRenderedPageBreak/>
        <w:t xml:space="preserve">Table 1 </w:t>
      </w:r>
      <w:r w:rsidRPr="00D549EE">
        <w:rPr>
          <w:color w:val="000000" w:themeColor="text1"/>
          <w:lang w:val="en-US"/>
        </w:rPr>
        <w:t>–</w:t>
      </w:r>
      <w:r w:rsidRPr="00D549EE">
        <w:rPr>
          <w:color w:val="000000" w:themeColor="text1"/>
          <w:sz w:val="28"/>
          <w:szCs w:val="28"/>
          <w:lang w:val="en-US"/>
        </w:rPr>
        <w:t xml:space="preserve"> The social components of Islamic finance</w:t>
      </w:r>
      <w:r w:rsidRPr="00D549EE">
        <w:rPr>
          <w:b/>
          <w:color w:val="000000" w:themeColor="text1"/>
          <w:sz w:val="28"/>
          <w:szCs w:val="28"/>
          <w:lang w:val="en-US"/>
        </w:rPr>
        <w:t xml:space="preserve"> </w:t>
      </w:r>
    </w:p>
    <w:p w14:paraId="5DB1BB64" w14:textId="77777777" w:rsidR="00E52AA6" w:rsidRPr="00D549EE" w:rsidRDefault="00E52AA6" w:rsidP="00C9582F">
      <w:pPr>
        <w:pStyle w:val="af"/>
        <w:snapToGrid w:val="0"/>
        <w:spacing w:before="0" w:beforeAutospacing="0" w:after="0" w:afterAutospacing="0"/>
        <w:contextualSpacing/>
        <w:jc w:val="both"/>
        <w:rPr>
          <w:b/>
          <w:color w:val="000000" w:themeColor="text1"/>
          <w:sz w:val="28"/>
          <w:szCs w:val="28"/>
          <w:lang w:val="en-US"/>
        </w:rPr>
      </w:pPr>
    </w:p>
    <w:tbl>
      <w:tblPr>
        <w:tblStyle w:val="a9"/>
        <w:tblW w:w="0" w:type="auto"/>
        <w:tblLook w:val="04A0" w:firstRow="1" w:lastRow="0" w:firstColumn="1" w:lastColumn="0" w:noHBand="0" w:noVBand="1"/>
      </w:tblPr>
      <w:tblGrid>
        <w:gridCol w:w="456"/>
        <w:gridCol w:w="2212"/>
        <w:gridCol w:w="4646"/>
        <w:gridCol w:w="2309"/>
      </w:tblGrid>
      <w:tr w:rsidR="00E52AA6" w:rsidRPr="00D549EE" w14:paraId="0B4678A0" w14:textId="77777777" w:rsidTr="007A7341">
        <w:tc>
          <w:tcPr>
            <w:tcW w:w="0" w:type="auto"/>
          </w:tcPr>
          <w:p w14:paraId="066EDD4C"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szCs w:val="28"/>
              </w:rPr>
              <w:t>№</w:t>
            </w:r>
          </w:p>
        </w:tc>
        <w:tc>
          <w:tcPr>
            <w:tcW w:w="0" w:type="auto"/>
          </w:tcPr>
          <w:p w14:paraId="662C6AA6"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Component</w:t>
            </w:r>
          </w:p>
        </w:tc>
        <w:tc>
          <w:tcPr>
            <w:tcW w:w="0" w:type="auto"/>
          </w:tcPr>
          <w:p w14:paraId="51044B6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Benefit</w:t>
            </w:r>
          </w:p>
        </w:tc>
        <w:tc>
          <w:tcPr>
            <w:tcW w:w="0" w:type="auto"/>
          </w:tcPr>
          <w:p w14:paraId="2CCE8EBB"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 xml:space="preserve">First source </w:t>
            </w:r>
          </w:p>
        </w:tc>
      </w:tr>
      <w:tr w:rsidR="00E52AA6" w:rsidRPr="00D549EE" w14:paraId="1DD653D5" w14:textId="77777777" w:rsidTr="007A7341">
        <w:tc>
          <w:tcPr>
            <w:tcW w:w="0" w:type="auto"/>
          </w:tcPr>
          <w:p w14:paraId="298E39B0"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1</w:t>
            </w:r>
          </w:p>
        </w:tc>
        <w:tc>
          <w:tcPr>
            <w:tcW w:w="0" w:type="auto"/>
          </w:tcPr>
          <w:p w14:paraId="5047EB2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Equal opportunities</w:t>
            </w:r>
          </w:p>
        </w:tc>
        <w:tc>
          <w:tcPr>
            <w:tcW w:w="0" w:type="auto"/>
          </w:tcPr>
          <w:p w14:paraId="7216202B"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The average standard of living, achieving personal and family needs without difficulties</w:t>
            </w:r>
          </w:p>
        </w:tc>
        <w:tc>
          <w:tcPr>
            <w:tcW w:w="0" w:type="auto"/>
          </w:tcPr>
          <w:p w14:paraId="55DD175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Quran 4:5</w:t>
            </w:r>
          </w:p>
        </w:tc>
      </w:tr>
      <w:tr w:rsidR="00E52AA6" w:rsidRPr="00D549EE" w14:paraId="6FEA042F" w14:textId="77777777" w:rsidTr="007A7341">
        <w:tc>
          <w:tcPr>
            <w:tcW w:w="0" w:type="auto"/>
          </w:tcPr>
          <w:p w14:paraId="425ACE52"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2</w:t>
            </w:r>
          </w:p>
        </w:tc>
        <w:tc>
          <w:tcPr>
            <w:tcW w:w="0" w:type="auto"/>
          </w:tcPr>
          <w:p w14:paraId="30AA059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 xml:space="preserve">Equitable Distribution </w:t>
            </w:r>
          </w:p>
        </w:tc>
        <w:tc>
          <w:tcPr>
            <w:tcW w:w="0" w:type="auto"/>
          </w:tcPr>
          <w:p w14:paraId="05A65279"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Poverty alleviation and avoidance of wealth concentration in once hand</w:t>
            </w:r>
          </w:p>
        </w:tc>
        <w:tc>
          <w:tcPr>
            <w:tcW w:w="0" w:type="auto"/>
          </w:tcPr>
          <w:p w14:paraId="58B697CA"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Quran 17:83</w:t>
            </w:r>
          </w:p>
        </w:tc>
      </w:tr>
      <w:tr w:rsidR="00E52AA6" w:rsidRPr="00D549EE" w14:paraId="672BF492" w14:textId="77777777" w:rsidTr="007A7341">
        <w:tc>
          <w:tcPr>
            <w:tcW w:w="0" w:type="auto"/>
          </w:tcPr>
          <w:p w14:paraId="7FAF7D2D"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3</w:t>
            </w:r>
          </w:p>
        </w:tc>
        <w:tc>
          <w:tcPr>
            <w:tcW w:w="0" w:type="auto"/>
          </w:tcPr>
          <w:p w14:paraId="0A621C2A"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Social justice</w:t>
            </w:r>
          </w:p>
        </w:tc>
        <w:tc>
          <w:tcPr>
            <w:tcW w:w="0" w:type="auto"/>
          </w:tcPr>
          <w:p w14:paraId="70DF31A0"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The horizontal equality between individuals</w:t>
            </w:r>
          </w:p>
        </w:tc>
        <w:tc>
          <w:tcPr>
            <w:tcW w:w="0" w:type="auto"/>
          </w:tcPr>
          <w:p w14:paraId="3D7FB412"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Quran 8:29</w:t>
            </w:r>
          </w:p>
        </w:tc>
      </w:tr>
      <w:tr w:rsidR="00E52AA6" w:rsidRPr="00D549EE" w14:paraId="7EDD5D90" w14:textId="77777777" w:rsidTr="007A7341">
        <w:tc>
          <w:tcPr>
            <w:tcW w:w="0" w:type="auto"/>
          </w:tcPr>
          <w:p w14:paraId="1C5283AC"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4</w:t>
            </w:r>
          </w:p>
        </w:tc>
        <w:tc>
          <w:tcPr>
            <w:tcW w:w="0" w:type="auto"/>
          </w:tcPr>
          <w:p w14:paraId="24920FEA"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Development and economic growth</w:t>
            </w:r>
          </w:p>
        </w:tc>
        <w:tc>
          <w:tcPr>
            <w:tcW w:w="0" w:type="auto"/>
          </w:tcPr>
          <w:p w14:paraId="127940DA" w14:textId="77777777" w:rsidR="00E52AA6" w:rsidRPr="00D549EE" w:rsidRDefault="00E52AA6" w:rsidP="00C9582F">
            <w:pPr>
              <w:pStyle w:val="af"/>
              <w:snapToGrid w:val="0"/>
              <w:spacing w:before="0" w:beforeAutospacing="0" w:after="0" w:afterAutospacing="0"/>
              <w:contextualSpacing/>
              <w:rPr>
                <w:bCs/>
                <w:color w:val="000000" w:themeColor="text1"/>
                <w:lang w:val="en-US"/>
              </w:rPr>
            </w:pPr>
            <w:r w:rsidRPr="00D549EE">
              <w:rPr>
                <w:bCs/>
                <w:color w:val="000000" w:themeColor="text1"/>
                <w:lang w:val="en-US"/>
              </w:rPr>
              <w:t xml:space="preserve">Investment in any economic sector that meets the interests of society, avoidance extra saving </w:t>
            </w:r>
          </w:p>
        </w:tc>
        <w:tc>
          <w:tcPr>
            <w:tcW w:w="0" w:type="auto"/>
          </w:tcPr>
          <w:p w14:paraId="50B9B18D"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Quran 62:10</w:t>
            </w:r>
          </w:p>
        </w:tc>
      </w:tr>
      <w:tr w:rsidR="00E52AA6" w:rsidRPr="00D549EE" w14:paraId="09F4BE2C" w14:textId="77777777" w:rsidTr="007A7341">
        <w:tc>
          <w:tcPr>
            <w:tcW w:w="0" w:type="auto"/>
          </w:tcPr>
          <w:p w14:paraId="0D5B5A5F"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5</w:t>
            </w:r>
          </w:p>
        </w:tc>
        <w:tc>
          <w:tcPr>
            <w:tcW w:w="0" w:type="auto"/>
          </w:tcPr>
          <w:p w14:paraId="04A6A823"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 xml:space="preserve">Wealth creation </w:t>
            </w:r>
          </w:p>
        </w:tc>
        <w:tc>
          <w:tcPr>
            <w:tcW w:w="0" w:type="auto"/>
          </w:tcPr>
          <w:p w14:paraId="088CEDFB"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Wealth is life- sustaining, which must be used efficiently</w:t>
            </w:r>
          </w:p>
        </w:tc>
        <w:tc>
          <w:tcPr>
            <w:tcW w:w="0" w:type="auto"/>
          </w:tcPr>
          <w:p w14:paraId="2192708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Quran 2:188</w:t>
            </w:r>
          </w:p>
        </w:tc>
      </w:tr>
      <w:tr w:rsidR="00E52AA6" w:rsidRPr="00D549EE" w14:paraId="353AB7F6" w14:textId="77777777" w:rsidTr="007A7341">
        <w:tc>
          <w:tcPr>
            <w:tcW w:w="0" w:type="auto"/>
          </w:tcPr>
          <w:p w14:paraId="0D305582"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6</w:t>
            </w:r>
          </w:p>
        </w:tc>
        <w:tc>
          <w:tcPr>
            <w:tcW w:w="0" w:type="auto"/>
          </w:tcPr>
          <w:p w14:paraId="124D268F"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Real asset</w:t>
            </w:r>
            <w:r w:rsidRPr="00D549EE">
              <w:rPr>
                <w:color w:val="000000" w:themeColor="text1"/>
              </w:rPr>
              <w:t>-</w:t>
            </w:r>
            <w:r w:rsidRPr="00D549EE">
              <w:rPr>
                <w:color w:val="000000" w:themeColor="text1"/>
                <w:lang w:val="en-US"/>
              </w:rPr>
              <w:t>based financing</w:t>
            </w:r>
          </w:p>
        </w:tc>
        <w:tc>
          <w:tcPr>
            <w:tcW w:w="0" w:type="auto"/>
          </w:tcPr>
          <w:p w14:paraId="34CCF69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 xml:space="preserve">The stable economics without financial baubles, crisis-resistant   </w:t>
            </w:r>
          </w:p>
        </w:tc>
        <w:tc>
          <w:tcPr>
            <w:tcW w:w="0" w:type="auto"/>
          </w:tcPr>
          <w:p w14:paraId="361DEDDB"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rPr>
              <w:t>Quran 30:39, 4:161, 3:130, 2:275, 2:276, 2:278</w:t>
            </w:r>
          </w:p>
        </w:tc>
      </w:tr>
      <w:tr w:rsidR="00E52AA6" w:rsidRPr="00D549EE" w14:paraId="3E034CF7" w14:textId="77777777" w:rsidTr="007A7341">
        <w:tc>
          <w:tcPr>
            <w:tcW w:w="0" w:type="auto"/>
          </w:tcPr>
          <w:p w14:paraId="28B02432"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7</w:t>
            </w:r>
          </w:p>
        </w:tc>
        <w:tc>
          <w:tcPr>
            <w:tcW w:w="0" w:type="auto"/>
          </w:tcPr>
          <w:p w14:paraId="0869651D"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Prohibition of the interest (riba)</w:t>
            </w:r>
          </w:p>
        </w:tc>
        <w:tc>
          <w:tcPr>
            <w:tcW w:w="0" w:type="auto"/>
          </w:tcPr>
          <w:p w14:paraId="4E58BFEF"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The real economy development, avoidance of disconnection of debt creation from wealth creation</w:t>
            </w:r>
          </w:p>
        </w:tc>
        <w:tc>
          <w:tcPr>
            <w:tcW w:w="0" w:type="auto"/>
          </w:tcPr>
          <w:p w14:paraId="3DC808B8"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Quran 30:39, 4:161, 3:130, 2:275, 2:276, 2:278</w:t>
            </w:r>
          </w:p>
        </w:tc>
      </w:tr>
      <w:tr w:rsidR="00E52AA6" w:rsidRPr="00D549EE" w14:paraId="156EF3A8" w14:textId="77777777" w:rsidTr="007A7341">
        <w:tc>
          <w:tcPr>
            <w:tcW w:w="0" w:type="auto"/>
          </w:tcPr>
          <w:p w14:paraId="1FAC7C92"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8</w:t>
            </w:r>
          </w:p>
        </w:tc>
        <w:tc>
          <w:tcPr>
            <w:tcW w:w="0" w:type="auto"/>
          </w:tcPr>
          <w:p w14:paraId="3733A28A"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Prohibition of a return on nominal transactions</w:t>
            </w:r>
          </w:p>
        </w:tc>
        <w:tc>
          <w:tcPr>
            <w:tcW w:w="0" w:type="auto"/>
          </w:tcPr>
          <w:p w14:paraId="52EF5622" w14:textId="77777777" w:rsidR="00E52AA6" w:rsidRPr="00D549EE" w:rsidRDefault="00E52AA6" w:rsidP="00C9582F">
            <w:pPr>
              <w:pStyle w:val="a5"/>
              <w:rPr>
                <w:lang w:val="en-US"/>
              </w:rPr>
            </w:pPr>
            <w:r w:rsidRPr="00D549EE">
              <w:rPr>
                <w:lang w:val="en-US"/>
              </w:rPr>
              <w:t>Islamic finance is provided only through real transactions, the r</w:t>
            </w:r>
            <w:r w:rsidRPr="00D549EE">
              <w:rPr>
                <w:color w:val="000000" w:themeColor="text1"/>
                <w:lang w:val="en-US"/>
              </w:rPr>
              <w:t>eal transaction mechanism is transmission money supply to commodity markets directly</w:t>
            </w:r>
          </w:p>
        </w:tc>
        <w:tc>
          <w:tcPr>
            <w:tcW w:w="0" w:type="auto"/>
          </w:tcPr>
          <w:p w14:paraId="42C83390"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rPr>
              <w:t>Quran 30:39, 4:161</w:t>
            </w:r>
          </w:p>
        </w:tc>
      </w:tr>
      <w:tr w:rsidR="00E52AA6" w:rsidRPr="00D549EE" w14:paraId="10A253FC" w14:textId="77777777" w:rsidTr="007A7341">
        <w:tc>
          <w:tcPr>
            <w:tcW w:w="0" w:type="auto"/>
          </w:tcPr>
          <w:p w14:paraId="5C862D6D"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9</w:t>
            </w:r>
          </w:p>
        </w:tc>
        <w:tc>
          <w:tcPr>
            <w:tcW w:w="0" w:type="auto"/>
          </w:tcPr>
          <w:p w14:paraId="22898DAF"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lang w:val="en-US"/>
              </w:rPr>
              <w:t>Prohibition of profit without liability</w:t>
            </w:r>
          </w:p>
        </w:tc>
        <w:tc>
          <w:tcPr>
            <w:tcW w:w="0" w:type="auto"/>
          </w:tcPr>
          <w:p w14:paraId="120D394F"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 xml:space="preserve">Liability should not be separated from benefits or profit from risks. </w:t>
            </w:r>
            <w:r w:rsidRPr="00D549EE">
              <w:rPr>
                <w:color w:val="000000" w:themeColor="text1"/>
              </w:rPr>
              <w:t>The symmetry between rights and obligations of both parties.</w:t>
            </w:r>
          </w:p>
        </w:tc>
        <w:tc>
          <w:tcPr>
            <w:tcW w:w="0" w:type="auto"/>
          </w:tcPr>
          <w:p w14:paraId="205C5129"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rPr>
              <w:t>Quran 11:85</w:t>
            </w:r>
          </w:p>
        </w:tc>
      </w:tr>
      <w:tr w:rsidR="00E52AA6" w:rsidRPr="00D549EE" w14:paraId="59FEE8B5" w14:textId="77777777" w:rsidTr="007A7341">
        <w:tc>
          <w:tcPr>
            <w:tcW w:w="0" w:type="auto"/>
          </w:tcPr>
          <w:p w14:paraId="3E7CA5F7"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10</w:t>
            </w:r>
          </w:p>
        </w:tc>
        <w:tc>
          <w:tcPr>
            <w:tcW w:w="0" w:type="auto"/>
          </w:tcPr>
          <w:p w14:paraId="4EF7D024" w14:textId="77777777" w:rsidR="00E52AA6" w:rsidRPr="00D549EE" w:rsidRDefault="00E52AA6" w:rsidP="00C9582F">
            <w:pPr>
              <w:pStyle w:val="af"/>
              <w:snapToGrid w:val="0"/>
              <w:spacing w:before="0" w:beforeAutospacing="0" w:after="0" w:afterAutospacing="0"/>
              <w:contextualSpacing/>
              <w:rPr>
                <w:lang w:val="en-US"/>
              </w:rPr>
            </w:pPr>
            <w:r w:rsidRPr="00D549EE">
              <w:rPr>
                <w:lang w:val="en-US"/>
              </w:rPr>
              <w:t>Prohibition of the uncertainty and speculation (garar)</w:t>
            </w:r>
          </w:p>
        </w:tc>
        <w:tc>
          <w:tcPr>
            <w:tcW w:w="0" w:type="auto"/>
          </w:tcPr>
          <w:p w14:paraId="13F8E600"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Establishment productive economic activity, which is the rationale and real asset-based. In Islamic finance, partners are obligated to fulfill contracts and keep their promises</w:t>
            </w:r>
          </w:p>
        </w:tc>
        <w:tc>
          <w:tcPr>
            <w:tcW w:w="0" w:type="auto"/>
          </w:tcPr>
          <w:p w14:paraId="4E9C3736"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Quran 5:1, 17:34</w:t>
            </w:r>
          </w:p>
        </w:tc>
      </w:tr>
      <w:tr w:rsidR="00E52AA6" w:rsidRPr="00D549EE" w14:paraId="2C8FB813" w14:textId="77777777" w:rsidTr="007A7341">
        <w:tc>
          <w:tcPr>
            <w:tcW w:w="0" w:type="auto"/>
          </w:tcPr>
          <w:p w14:paraId="23325CA5"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11</w:t>
            </w:r>
          </w:p>
        </w:tc>
        <w:tc>
          <w:tcPr>
            <w:tcW w:w="0" w:type="auto"/>
          </w:tcPr>
          <w:p w14:paraId="5E18E734" w14:textId="77777777" w:rsidR="00E52AA6" w:rsidRPr="00D549EE" w:rsidRDefault="00E52AA6" w:rsidP="00C9582F">
            <w:pPr>
              <w:pStyle w:val="af"/>
              <w:snapToGrid w:val="0"/>
              <w:spacing w:before="0" w:beforeAutospacing="0" w:after="0" w:afterAutospacing="0"/>
              <w:contextualSpacing/>
              <w:rPr>
                <w:lang w:val="en-US"/>
              </w:rPr>
            </w:pPr>
            <w:r w:rsidRPr="00D549EE">
              <w:rPr>
                <w:color w:val="000000" w:themeColor="text1"/>
                <w:lang w:val="en-US"/>
              </w:rPr>
              <w:t>Profit and loss sharing</w:t>
            </w:r>
          </w:p>
        </w:tc>
        <w:tc>
          <w:tcPr>
            <w:tcW w:w="0" w:type="auto"/>
          </w:tcPr>
          <w:p w14:paraId="7C6A97B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The joint nature of the business activity, capital establishes partnerships</w:t>
            </w:r>
          </w:p>
        </w:tc>
        <w:tc>
          <w:tcPr>
            <w:tcW w:w="0" w:type="auto"/>
          </w:tcPr>
          <w:p w14:paraId="204C5CC5"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rPr>
              <w:t>Quran 4:29, 4:135</w:t>
            </w:r>
          </w:p>
        </w:tc>
      </w:tr>
      <w:tr w:rsidR="00E52AA6" w:rsidRPr="00D549EE" w14:paraId="697C366C" w14:textId="77777777" w:rsidTr="007A7341">
        <w:tc>
          <w:tcPr>
            <w:tcW w:w="0" w:type="auto"/>
          </w:tcPr>
          <w:p w14:paraId="209587D2"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12</w:t>
            </w:r>
          </w:p>
        </w:tc>
        <w:tc>
          <w:tcPr>
            <w:tcW w:w="0" w:type="auto"/>
          </w:tcPr>
          <w:p w14:paraId="238851B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Risk sharing and partnership</w:t>
            </w:r>
          </w:p>
        </w:tc>
        <w:tc>
          <w:tcPr>
            <w:tcW w:w="0" w:type="auto"/>
          </w:tcPr>
          <w:p w14:paraId="3FB4A051" w14:textId="77777777" w:rsidR="00E52AA6" w:rsidRPr="00D549EE" w:rsidRDefault="00E52AA6" w:rsidP="00C9582F">
            <w:pPr>
              <w:pStyle w:val="af"/>
              <w:snapToGrid w:val="0"/>
              <w:spacing w:before="0" w:beforeAutospacing="0" w:after="0" w:afterAutospacing="0"/>
              <w:contextualSpacing/>
              <w:jc w:val="left"/>
              <w:rPr>
                <w:color w:val="000000" w:themeColor="text1"/>
                <w:lang w:val="en-US"/>
              </w:rPr>
            </w:pPr>
            <w:r w:rsidRPr="00D549EE">
              <w:rPr>
                <w:color w:val="000000" w:themeColor="text1"/>
                <w:lang w:val="en-US"/>
              </w:rPr>
              <w:t>Justice in all dealings and transactions with both friends and enemies</w:t>
            </w:r>
          </w:p>
        </w:tc>
        <w:tc>
          <w:tcPr>
            <w:tcW w:w="0" w:type="auto"/>
          </w:tcPr>
          <w:p w14:paraId="0F772968"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rPr>
              <w:t>Quran 2:279, 9:24</w:t>
            </w:r>
          </w:p>
        </w:tc>
      </w:tr>
      <w:tr w:rsidR="00E52AA6" w:rsidRPr="00D549EE" w14:paraId="3DB1BCE9" w14:textId="77777777" w:rsidTr="007A7341">
        <w:tc>
          <w:tcPr>
            <w:tcW w:w="0" w:type="auto"/>
          </w:tcPr>
          <w:p w14:paraId="5D40BD8D"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13</w:t>
            </w:r>
          </w:p>
        </w:tc>
        <w:tc>
          <w:tcPr>
            <w:tcW w:w="0" w:type="auto"/>
          </w:tcPr>
          <w:p w14:paraId="17B4AEC7"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Money – technical tool</w:t>
            </w:r>
          </w:p>
        </w:tc>
        <w:tc>
          <w:tcPr>
            <w:tcW w:w="0" w:type="auto"/>
          </w:tcPr>
          <w:p w14:paraId="09A1D8FF" w14:textId="77777777" w:rsidR="00E52AA6" w:rsidRPr="00D549EE" w:rsidRDefault="00E52AA6" w:rsidP="00C9582F">
            <w:pPr>
              <w:rPr>
                <w:lang w:val="en-US"/>
              </w:rPr>
            </w:pPr>
            <w:r w:rsidRPr="00D549EE">
              <w:rPr>
                <w:lang w:val="en-US"/>
              </w:rPr>
              <w:t>Money has only a means of circulation</w:t>
            </w:r>
            <w:r w:rsidRPr="00D549EE">
              <w:rPr>
                <w:lang w:val="kk-KZ"/>
              </w:rPr>
              <w:t xml:space="preserve">, </w:t>
            </w:r>
            <w:r w:rsidRPr="00D549EE">
              <w:rPr>
                <w:lang w:val="en-US"/>
              </w:rPr>
              <w:t>all units are 100% equal, money value measures the relative different goods and services.</w:t>
            </w:r>
          </w:p>
        </w:tc>
        <w:tc>
          <w:tcPr>
            <w:tcW w:w="0" w:type="auto"/>
          </w:tcPr>
          <w:p w14:paraId="210E53C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rPr>
              <w:t>Quran</w:t>
            </w:r>
            <w:r w:rsidRPr="00D549EE">
              <w:rPr>
                <w:color w:val="000000" w:themeColor="text1"/>
                <w:lang w:val="en-US"/>
              </w:rPr>
              <w:t xml:space="preserve"> 20:6, 6:165, 24:33</w:t>
            </w:r>
          </w:p>
        </w:tc>
      </w:tr>
      <w:tr w:rsidR="00E52AA6" w:rsidRPr="00D549EE" w14:paraId="5687CFA6" w14:textId="77777777" w:rsidTr="007A7341">
        <w:tc>
          <w:tcPr>
            <w:tcW w:w="0" w:type="auto"/>
          </w:tcPr>
          <w:p w14:paraId="66A8FD86"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14</w:t>
            </w:r>
          </w:p>
        </w:tc>
        <w:tc>
          <w:tcPr>
            <w:tcW w:w="0" w:type="auto"/>
          </w:tcPr>
          <w:p w14:paraId="7C12F76F"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Prohibition of financing forbidden (haram) business</w:t>
            </w:r>
          </w:p>
        </w:tc>
        <w:tc>
          <w:tcPr>
            <w:tcW w:w="0" w:type="auto"/>
          </w:tcPr>
          <w:p w14:paraId="7EAB63E4"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Prohibition of financing haram businesses (tobacco, alcohol, drug, weapons, adult entertainment, gambling and pork) allows to create a morally and physically healthy society</w:t>
            </w:r>
          </w:p>
        </w:tc>
        <w:tc>
          <w:tcPr>
            <w:tcW w:w="0" w:type="auto"/>
          </w:tcPr>
          <w:p w14:paraId="10242ABA"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Quran</w:t>
            </w:r>
            <w:r w:rsidRPr="00D549EE">
              <w:rPr>
                <w:color w:val="000000" w:themeColor="text1"/>
              </w:rPr>
              <w:t xml:space="preserve"> 90</w:t>
            </w:r>
            <w:r w:rsidRPr="00D549EE">
              <w:rPr>
                <w:color w:val="000000" w:themeColor="text1"/>
                <w:lang w:val="en-US"/>
              </w:rPr>
              <w:t>:91, 2:168</w:t>
            </w:r>
          </w:p>
        </w:tc>
      </w:tr>
      <w:tr w:rsidR="00E52AA6" w:rsidRPr="00D549EE" w14:paraId="36F62FDA" w14:textId="77777777" w:rsidTr="007A7341">
        <w:tc>
          <w:tcPr>
            <w:tcW w:w="0" w:type="auto"/>
          </w:tcPr>
          <w:p w14:paraId="33360858" w14:textId="77777777" w:rsidR="00E52AA6" w:rsidRPr="00D549EE" w:rsidRDefault="00E52AA6" w:rsidP="00C9582F">
            <w:pPr>
              <w:pStyle w:val="af"/>
              <w:snapToGrid w:val="0"/>
              <w:spacing w:before="0" w:beforeAutospacing="0" w:after="0" w:afterAutospacing="0"/>
              <w:contextualSpacing/>
              <w:rPr>
                <w:color w:val="000000" w:themeColor="text1"/>
              </w:rPr>
            </w:pPr>
            <w:r w:rsidRPr="00D549EE">
              <w:rPr>
                <w:color w:val="000000" w:themeColor="text1"/>
                <w:lang w:val="en-US"/>
              </w:rPr>
              <w:t>1</w:t>
            </w:r>
            <w:r w:rsidRPr="00D549EE">
              <w:rPr>
                <w:color w:val="000000" w:themeColor="text1"/>
              </w:rPr>
              <w:t>5</w:t>
            </w:r>
          </w:p>
        </w:tc>
        <w:tc>
          <w:tcPr>
            <w:tcW w:w="0" w:type="auto"/>
          </w:tcPr>
          <w:p w14:paraId="3AEAE72B"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Society oriented financing</w:t>
            </w:r>
          </w:p>
        </w:tc>
        <w:tc>
          <w:tcPr>
            <w:tcW w:w="0" w:type="auto"/>
          </w:tcPr>
          <w:p w14:paraId="60B3363C"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 xml:space="preserve">The framework of developmentalist financing, tools for poverty reduction trough zakat and qard-hasan. </w:t>
            </w:r>
          </w:p>
        </w:tc>
        <w:tc>
          <w:tcPr>
            <w:tcW w:w="0" w:type="auto"/>
          </w:tcPr>
          <w:p w14:paraId="56347EED"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Quran 22:41, 9:13</w:t>
            </w:r>
          </w:p>
        </w:tc>
      </w:tr>
      <w:tr w:rsidR="00E52AA6" w:rsidRPr="00D74F7B" w14:paraId="56430851" w14:textId="77777777" w:rsidTr="007A7341">
        <w:tc>
          <w:tcPr>
            <w:tcW w:w="0" w:type="auto"/>
          </w:tcPr>
          <w:p w14:paraId="1D968B4D" w14:textId="77777777" w:rsidR="00E52AA6" w:rsidRPr="00D549EE" w:rsidRDefault="00E52AA6" w:rsidP="00C9582F">
            <w:pPr>
              <w:pStyle w:val="af"/>
              <w:snapToGrid w:val="0"/>
              <w:spacing w:before="0" w:beforeAutospacing="0" w:after="0" w:afterAutospacing="0"/>
              <w:contextualSpacing/>
              <w:rPr>
                <w:color w:val="000000" w:themeColor="text1"/>
              </w:rPr>
            </w:pPr>
            <w:r w:rsidRPr="00D549EE">
              <w:rPr>
                <w:color w:val="000000" w:themeColor="text1"/>
                <w:lang w:val="en-US"/>
              </w:rPr>
              <w:t>1</w:t>
            </w:r>
            <w:r w:rsidRPr="00D549EE">
              <w:rPr>
                <w:color w:val="000000" w:themeColor="text1"/>
              </w:rPr>
              <w:t>6</w:t>
            </w:r>
          </w:p>
        </w:tc>
        <w:tc>
          <w:tcPr>
            <w:tcW w:w="0" w:type="auto"/>
          </w:tcPr>
          <w:p w14:paraId="336AB8EE"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Special accounts for charity</w:t>
            </w:r>
          </w:p>
        </w:tc>
        <w:tc>
          <w:tcPr>
            <w:tcW w:w="0" w:type="auto"/>
          </w:tcPr>
          <w:p w14:paraId="20453F88" w14:textId="77777777" w:rsidR="00E52AA6" w:rsidRPr="00D549EE" w:rsidRDefault="00E52AA6" w:rsidP="00C9582F">
            <w:pPr>
              <w:pStyle w:val="af"/>
              <w:snapToGrid w:val="0"/>
              <w:spacing w:before="0" w:beforeAutospacing="0" w:after="0" w:afterAutospacing="0"/>
              <w:contextualSpacing/>
              <w:rPr>
                <w:color w:val="000000" w:themeColor="text1"/>
                <w:lang w:val="en-US"/>
              </w:rPr>
            </w:pPr>
            <w:r w:rsidRPr="00D549EE">
              <w:rPr>
                <w:color w:val="000000" w:themeColor="text1"/>
                <w:lang w:val="en-US"/>
              </w:rPr>
              <w:t>Regulation for clients of Islamic financial institutions, opportunity to do charity by special accounts</w:t>
            </w:r>
          </w:p>
        </w:tc>
        <w:tc>
          <w:tcPr>
            <w:tcW w:w="0" w:type="auto"/>
          </w:tcPr>
          <w:p w14:paraId="1BA2F94F" w14:textId="77777777" w:rsidR="00E52AA6" w:rsidRPr="00D549EE" w:rsidRDefault="00E52AA6" w:rsidP="00C9582F">
            <w:pPr>
              <w:pStyle w:val="a5"/>
              <w:rPr>
                <w:lang w:val="en-US"/>
              </w:rPr>
            </w:pPr>
            <w:r w:rsidRPr="00D549EE">
              <w:rPr>
                <w:color w:val="000000" w:themeColor="text1"/>
                <w:lang w:val="en-US"/>
              </w:rPr>
              <w:t>Shariah Resolutions in Islamic Finance, based on hadiths and fiqh</w:t>
            </w:r>
          </w:p>
        </w:tc>
      </w:tr>
      <w:tr w:rsidR="00E52AA6" w:rsidRPr="00D74F7B" w14:paraId="57F496DE" w14:textId="77777777" w:rsidTr="007A7341">
        <w:tc>
          <w:tcPr>
            <w:tcW w:w="0" w:type="auto"/>
            <w:gridSpan w:val="4"/>
          </w:tcPr>
          <w:p w14:paraId="64A2E33D" w14:textId="3AFA6D59" w:rsidR="00E52AA6" w:rsidRPr="00D549EE" w:rsidRDefault="00E52AA6" w:rsidP="00C9582F">
            <w:pPr>
              <w:pStyle w:val="a5"/>
              <w:ind w:firstLine="591"/>
              <w:rPr>
                <w:color w:val="000000" w:themeColor="text1"/>
                <w:lang w:val="en-US"/>
              </w:rPr>
            </w:pPr>
            <w:r w:rsidRPr="00D549EE">
              <w:rPr>
                <w:lang w:val="en-US"/>
              </w:rPr>
              <w:t>Note – Compiled by the author</w:t>
            </w:r>
            <w:r w:rsidR="00785182" w:rsidRPr="00D549EE">
              <w:rPr>
                <w:lang w:val="en-US"/>
              </w:rPr>
              <w:t xml:space="preserve"> </w:t>
            </w:r>
            <w:r w:rsidR="00785182" w:rsidRPr="00D549EE">
              <w:rPr>
                <w:lang w:val="en-US"/>
              </w:rPr>
              <w:fldChar w:fldCharType="begin" w:fldLock="1"/>
            </w:r>
            <w:r w:rsidR="00785182" w:rsidRPr="00D549EE">
              <w:rPr>
                <w:lang w:val="en-US"/>
              </w:rPr>
              <w:instrText>ADDIN CSL_CITATION {"citationItems":[{"id":"ITEM-1","itemData":{"DOI":"10.1108/JIABR-11-2020-0356","ISSN":"17590825","abstract":"Purpose: This paper aims to study the main trends of scientific research in Islamic finance’s social aspects to clarify place, role and functions, especially in the context of increasing social problems. To achieve this goal, this paper focuses on the social component of Islamic finance, analyzes publications on social Islamic finance in the Web of Science database, covering the period from 1979 to 2020, specify the geographical localization of research networks, determines the most cited authors and their scientific position. Design/methodology/approach: The authors have applied several literature review techniques, a bibliometric citation and co-citation analysis, a co-authorship analysis and a review of the most cited papers. The analyzes’ results allow us to offer five future questions in Islamic social finance, zakat and waqf, which have not been investigated before and could influence Islamic social finance and Islamic finance research. Findings: The authors also derive and summarize five leading future research questions. Research limitations/implications: This is a limitation of using only the Web of Science Core Collection database as the premier resource and the most trusted citation index for the world’s scientific and scholarly research. Further study might expand the types of analyzed units, include more keywords and include other databases, such as Scopus. Originality/value: This paper can be considered as an inspirational one to future researchers and policymakers in Islamic social finance.","author":[{"dropping-particle":"","family":"Kuanova","given":"Laura Aibolovna","non-dropping-particle":"","parse-names":false,"suffix":""},{"dropping-particle":"","family":"Sagiyeva","given":"Rimma","non-dropping-particle":"","parse-names":false,"suffix":""},{"dropping-particle":"","family":"Shirazi","given":"Nasim Shah","non-dropping-particle":"","parse-names":false,"suffix":""}],"container-title":"Journal of Islamic Accounting and Business Research","id":"ITEM-1","issue":"5","issued":{"date-parts":[["2021"]]},"page":"707-728","title":"Islamic social finance: a literature review and future research directions","type":"article-journal","volume":"12"},"uris":["http://www.mendeley.com/documents/?uuid=b7e98f21-7195-4529-ab89-09f972d1ec0a"]}],"mendeley":{"formattedCitation":"[31]","plainTextFormattedCitation":"[31]","previouslyFormattedCitation":"[31]"},"properties":{"noteIndex":0},"schema":"https://github.com/citation-style-language/schema/raw/master/csl-citation.json"}</w:instrText>
            </w:r>
            <w:r w:rsidR="00785182" w:rsidRPr="00D549EE">
              <w:rPr>
                <w:lang w:val="en-US"/>
              </w:rPr>
              <w:fldChar w:fldCharType="separate"/>
            </w:r>
            <w:r w:rsidR="00785182" w:rsidRPr="00D549EE">
              <w:rPr>
                <w:noProof/>
                <w:lang w:val="en-US"/>
              </w:rPr>
              <w:t>[31]</w:t>
            </w:r>
            <w:r w:rsidR="00785182" w:rsidRPr="00D549EE">
              <w:rPr>
                <w:lang w:val="en-US"/>
              </w:rPr>
              <w:fldChar w:fldCharType="end"/>
            </w:r>
            <w:r w:rsidR="00785182" w:rsidRPr="00D549EE">
              <w:rPr>
                <w:lang w:val="en-US"/>
              </w:rPr>
              <w:t xml:space="preserve"> </w:t>
            </w:r>
            <w:r w:rsidR="00785182" w:rsidRPr="00D549EE">
              <w:rPr>
                <w:lang w:val="en-US"/>
              </w:rPr>
              <w:fldChar w:fldCharType="begin" w:fldLock="1"/>
            </w:r>
            <w:r w:rsidR="00FA7152" w:rsidRPr="00D549EE">
              <w:rPr>
                <w:lang w:val="en-US"/>
              </w:rPr>
              <w:instrText>ADDIN CSL_CITATION {"citationItems":[{"id":"ITEM-1","itemData":{"abstract":"Islamic finance is obtaining attention from the financial industry and academia. The growing of the Islamic financial assets and number of institutions despite the crises and global decline in economics sets the interest to the Shariah-compliant institutions activity and social component impacted on welfare needs of the society. The purpose of the paper is to analyze the social responsibility of Islamic financial institutions, and their advantages by using data from in-depth interviews with managers of the institutions, financial statements, and reports of the institutions. The study’s estimations show the high social responsibility of the Islamic financial institutions of Kazakhstan and the growth of the social projects covered by the special accounts for charity and amount of the zakat collection, as a result of increasing the financial assets of that institutions. Furthermore, the social impact of these institutions creates the opportunity for assistance to the needy and socially vulnerable population of the country. Keywords:","author":[{"dropping-particle":"","family":"Kuanova","given":"Laura","non-dropping-particle":"","parse-names":false,"suffix":""}],"container-title":"2021 International Young Scholars'Conference","id":"ITEM-1","issued":{"date-parts":[["2021"]]},"page":"504-523","title":"SOCIAL RESPONSIBILITY AND EFFICIENCY OF ISLAMIC FINANCIAL INSTITUTIONS","type":"paper-conference"},"uris":["http://www.mendeley.com/documents/?uuid=9a71656e-222b-4a95-892d-5eecc8f0271b"]}],"mendeley":{"formattedCitation":"[32]","plainTextFormattedCitation":"[32]","previouslyFormattedCitation":"[32]"},"properties":{"noteIndex":0},"schema":"https://github.com/citation-style-language/schema/raw/master/csl-citation.json"}</w:instrText>
            </w:r>
            <w:r w:rsidR="00785182" w:rsidRPr="00D549EE">
              <w:rPr>
                <w:lang w:val="en-US"/>
              </w:rPr>
              <w:fldChar w:fldCharType="separate"/>
            </w:r>
            <w:r w:rsidR="00785182" w:rsidRPr="00D549EE">
              <w:rPr>
                <w:noProof/>
                <w:lang w:val="en-US"/>
              </w:rPr>
              <w:t>[32]</w:t>
            </w:r>
            <w:r w:rsidR="00785182" w:rsidRPr="00D549EE">
              <w:rPr>
                <w:lang w:val="en-US"/>
              </w:rPr>
              <w:fldChar w:fldCharType="end"/>
            </w:r>
          </w:p>
        </w:tc>
      </w:tr>
    </w:tbl>
    <w:p w14:paraId="5D4C9837" w14:textId="77777777" w:rsidR="00E52AA6" w:rsidRPr="00D549EE" w:rsidRDefault="00E52AA6" w:rsidP="00C9582F">
      <w:pPr>
        <w:snapToGrid w:val="0"/>
        <w:contextualSpacing/>
        <w:jc w:val="both"/>
        <w:rPr>
          <w:color w:val="000000" w:themeColor="text1"/>
          <w:sz w:val="28"/>
          <w:szCs w:val="28"/>
          <w:lang w:val="en-US"/>
        </w:rPr>
      </w:pPr>
    </w:p>
    <w:p w14:paraId="5E786074" w14:textId="75F221BE" w:rsidR="00E52AA6" w:rsidRPr="00D549EE" w:rsidRDefault="00E52AA6" w:rsidP="00C9582F">
      <w:pPr>
        <w:snapToGrid w:val="0"/>
        <w:contextualSpacing/>
        <w:jc w:val="both"/>
        <w:rPr>
          <w:color w:val="000000" w:themeColor="text1"/>
          <w:sz w:val="28"/>
          <w:szCs w:val="28"/>
          <w:lang w:val="kk-KZ"/>
        </w:rPr>
      </w:pPr>
    </w:p>
    <w:p w14:paraId="1143E2AC" w14:textId="77777777" w:rsidR="004602D8" w:rsidRPr="004602D8" w:rsidRDefault="00E52AA6" w:rsidP="004602D8">
      <w:pPr>
        <w:snapToGrid w:val="0"/>
        <w:contextualSpacing/>
        <w:jc w:val="both"/>
        <w:rPr>
          <w:color w:val="000000" w:themeColor="text1"/>
          <w:sz w:val="28"/>
          <w:szCs w:val="28"/>
          <w:lang w:val="en-US"/>
        </w:rPr>
      </w:pPr>
      <w:r w:rsidRPr="00D549EE">
        <w:rPr>
          <w:color w:val="000000" w:themeColor="text1"/>
          <w:sz w:val="28"/>
          <w:szCs w:val="28"/>
          <w:lang w:val="kk-KZ"/>
        </w:rPr>
        <w:lastRenderedPageBreak/>
        <w:tab/>
      </w:r>
      <w:r w:rsidR="004602D8" w:rsidRPr="004602D8">
        <w:rPr>
          <w:color w:val="000000" w:themeColor="text1"/>
          <w:sz w:val="28"/>
          <w:szCs w:val="28"/>
          <w:lang w:val="en-US"/>
        </w:rPr>
        <w:t xml:space="preserve">Another social aspect has two functions, the first one is the regulatory function, and the second is the social function in the Islamic financial system is the Late payment charge for Islamic financial institutions. As we know, despite all social components of Islamic finance, the primary purpose of Islamic financial institutions (Islamic Banks, Takaful companies, Investment funds, and others) as the commercial organization is to make a profit for owners by satisfaction the customer needs according to Shariah rules and the government requirements. In this regard, Islamic financial institutions have challenges in delaying or late payment of the clients' obligations for various reasons. If this issue is regulated by penalties for delayed payment or the termination in the form of interest in the conventional financing system, this kind of financing settlement has been unavailable for a long time in Islamic financial institutions. As a result, these financial organizations faced difficulties achieving financial and sustainable profit goals. With the development of the Islamic financial system, the late payment charges for the Islamic financial industry have been implemented. </w:t>
      </w:r>
    </w:p>
    <w:p w14:paraId="745B8FC3" w14:textId="77777777" w:rsidR="004602D8" w:rsidRPr="004602D8" w:rsidRDefault="004602D8" w:rsidP="004602D8">
      <w:pPr>
        <w:snapToGrid w:val="0"/>
        <w:contextualSpacing/>
        <w:jc w:val="both"/>
        <w:rPr>
          <w:color w:val="000000" w:themeColor="text1"/>
          <w:sz w:val="28"/>
          <w:szCs w:val="28"/>
          <w:lang w:val="en-US"/>
        </w:rPr>
      </w:pPr>
      <w:r w:rsidRPr="004602D8">
        <w:rPr>
          <w:color w:val="000000" w:themeColor="text1"/>
          <w:sz w:val="28"/>
          <w:szCs w:val="28"/>
          <w:lang w:val="en-US"/>
        </w:rPr>
        <w:tab/>
        <w:t>The financing settlement of the late payment charges for Islamic financial institutions is based on the two elements are tawidh and gharamah. According to Bank Negara Malaysia, the concept of gaharamah, which is used in the form of a penalty, and the concept tawidh for compensation of losses of the Islamic financial organization because of late payment or non-payment of the borrower, is permissible under four conditions and cases. The first condition is that tawidh can be collected for the late payment of the exchange contracts, such as a sale, lease and qard contracts. The following condition is that compensation can be charged only after the time of payment, which is agreed upon in the contract. The tawidh can be recognized as income because it is the compensation of actual losses of the financial institution. At the same time, gaharamah cannot be reorganized as income and goes to the special account of financial institutions for charity activities [33]. The issued resolution of the Malaysian Central Bank is based on the hadiths and fiqh maxims [34]. The process of obtaining the penalties of fines is strictly regulated and under consideration and the decision of the Shariah committee of Islamic financial organizations. It is important to realize that the implementation mechanism of gahramah and tawidh, used in Islamic financial institutions, is different from the penalty charges in conventional financial institutions and free from riba. The principle of the "flexibility in the case of hardship" of Islamic contracting assists in the actual case of debtor's hardship or payment difficulties request from creditor to penalty payment is prohibited before the stabilization of the situation. The special account, which accumulates payments from gaharamah, also generates non-Islamic, that is, haram income amount and excess compensation, and forms the basis of the sources of charity funds.</w:t>
      </w:r>
    </w:p>
    <w:p w14:paraId="77A71D47" w14:textId="77777777" w:rsidR="004602D8" w:rsidRPr="004602D8" w:rsidRDefault="004602D8" w:rsidP="004602D8">
      <w:pPr>
        <w:snapToGrid w:val="0"/>
        <w:contextualSpacing/>
        <w:jc w:val="both"/>
        <w:rPr>
          <w:color w:val="000000" w:themeColor="text1"/>
          <w:sz w:val="28"/>
          <w:szCs w:val="28"/>
          <w:lang w:val="en-US"/>
        </w:rPr>
      </w:pPr>
      <w:r w:rsidRPr="004602D8">
        <w:rPr>
          <w:color w:val="000000" w:themeColor="text1"/>
          <w:sz w:val="28"/>
          <w:szCs w:val="28"/>
          <w:lang w:val="en-US"/>
        </w:rPr>
        <w:tab/>
        <w:t>The are many classifications for tools of Islamic finance given by scholars, while some of them offer to categorize Transactional, Financing, Intermediation, and Social welfare contracts, others divide them into three categorizers: profit-and-loss sharing based instruments, Sale based instruments, and based on commission fees [35].</w:t>
      </w:r>
    </w:p>
    <w:p w14:paraId="0CAA434D" w14:textId="77777777" w:rsidR="005257D0" w:rsidRDefault="004602D8" w:rsidP="004602D8">
      <w:pPr>
        <w:snapToGrid w:val="0"/>
        <w:contextualSpacing/>
        <w:jc w:val="both"/>
        <w:rPr>
          <w:color w:val="000000" w:themeColor="text1"/>
          <w:sz w:val="28"/>
          <w:szCs w:val="28"/>
          <w:lang w:val="en-US"/>
        </w:rPr>
      </w:pPr>
      <w:r w:rsidRPr="004602D8">
        <w:rPr>
          <w:color w:val="000000" w:themeColor="text1"/>
          <w:sz w:val="28"/>
          <w:szCs w:val="28"/>
          <w:lang w:val="en-US"/>
        </w:rPr>
        <w:tab/>
        <w:t>The primary and most used instruments and contracts are illustrated based on Shariah's rules and values.</w:t>
      </w:r>
    </w:p>
    <w:p w14:paraId="2C510646" w14:textId="77777777" w:rsidR="005257D0" w:rsidRDefault="005257D0" w:rsidP="004602D8">
      <w:pPr>
        <w:snapToGrid w:val="0"/>
        <w:contextualSpacing/>
        <w:jc w:val="both"/>
        <w:rPr>
          <w:sz w:val="28"/>
          <w:szCs w:val="28"/>
          <w:lang w:val="en-US"/>
        </w:rPr>
      </w:pPr>
    </w:p>
    <w:p w14:paraId="7C6B6911" w14:textId="77777777" w:rsidR="005257D0" w:rsidRDefault="005257D0" w:rsidP="004602D8">
      <w:pPr>
        <w:snapToGrid w:val="0"/>
        <w:contextualSpacing/>
        <w:jc w:val="both"/>
        <w:rPr>
          <w:sz w:val="28"/>
          <w:szCs w:val="28"/>
          <w:lang w:val="en-US"/>
        </w:rPr>
      </w:pPr>
    </w:p>
    <w:p w14:paraId="74DA5D47" w14:textId="359435B6" w:rsidR="00E05F9F" w:rsidRDefault="00307E08" w:rsidP="00425527">
      <w:pPr>
        <w:snapToGrid w:val="0"/>
        <w:contextualSpacing/>
        <w:jc w:val="both"/>
        <w:rPr>
          <w:sz w:val="28"/>
          <w:szCs w:val="28"/>
          <w:lang w:val="en-US"/>
        </w:rPr>
      </w:pPr>
      <w:r w:rsidRPr="00D549EE">
        <w:rPr>
          <w:sz w:val="28"/>
          <w:szCs w:val="28"/>
          <w:lang w:val="en-US"/>
        </w:rPr>
        <w:lastRenderedPageBreak/>
        <w:t xml:space="preserve">Table </w:t>
      </w:r>
      <w:r w:rsidR="003975E9" w:rsidRPr="00D549EE">
        <w:rPr>
          <w:sz w:val="28"/>
          <w:szCs w:val="28"/>
          <w:lang w:val="en-US"/>
        </w:rPr>
        <w:t>2</w:t>
      </w:r>
      <w:r w:rsidR="00C93933" w:rsidRPr="00D549EE">
        <w:rPr>
          <w:color w:val="000000" w:themeColor="text1"/>
          <w:sz w:val="28"/>
          <w:szCs w:val="28"/>
          <w:lang w:val="en-US"/>
        </w:rPr>
        <w:t xml:space="preserve"> </w:t>
      </w:r>
      <w:r w:rsidR="00C93933" w:rsidRPr="00D549EE">
        <w:rPr>
          <w:color w:val="000000" w:themeColor="text1"/>
          <w:lang w:val="en-US"/>
        </w:rPr>
        <w:t>–</w:t>
      </w:r>
      <w:r w:rsidRPr="00D549EE">
        <w:rPr>
          <w:color w:val="000000" w:themeColor="text1"/>
          <w:sz w:val="28"/>
          <w:szCs w:val="28"/>
          <w:lang w:val="en-US"/>
        </w:rPr>
        <w:t xml:space="preserve"> </w:t>
      </w:r>
      <w:r w:rsidRPr="00D549EE">
        <w:rPr>
          <w:sz w:val="28"/>
          <w:szCs w:val="28"/>
          <w:lang w:val="en-US"/>
        </w:rPr>
        <w:t xml:space="preserve">Key Islamic Financial instruments </w:t>
      </w:r>
    </w:p>
    <w:p w14:paraId="11DD68E7" w14:textId="77777777" w:rsidR="00425527" w:rsidRPr="00425527" w:rsidRDefault="00425527" w:rsidP="00425527">
      <w:pPr>
        <w:snapToGrid w:val="0"/>
        <w:contextualSpacing/>
        <w:jc w:val="both"/>
        <w:rPr>
          <w:sz w:val="28"/>
          <w:szCs w:val="28"/>
          <w:lang w:val="en-US"/>
        </w:rPr>
      </w:pPr>
    </w:p>
    <w:tbl>
      <w:tblPr>
        <w:tblStyle w:val="a9"/>
        <w:tblW w:w="0" w:type="auto"/>
        <w:tblLook w:val="04A0" w:firstRow="1" w:lastRow="0" w:firstColumn="1" w:lastColumn="0" w:noHBand="0" w:noVBand="1"/>
      </w:tblPr>
      <w:tblGrid>
        <w:gridCol w:w="2405"/>
        <w:gridCol w:w="6934"/>
      </w:tblGrid>
      <w:tr w:rsidR="00307E08" w:rsidRPr="00D549EE" w14:paraId="07D63627" w14:textId="77777777" w:rsidTr="00BD39C9">
        <w:tc>
          <w:tcPr>
            <w:tcW w:w="2405" w:type="dxa"/>
          </w:tcPr>
          <w:p w14:paraId="7839559D" w14:textId="77777777" w:rsidR="00307E08" w:rsidRPr="00D549EE" w:rsidRDefault="00307E08" w:rsidP="00C9582F">
            <w:pPr>
              <w:pStyle w:val="a5"/>
              <w:snapToGrid w:val="0"/>
              <w:contextualSpacing/>
              <w:rPr>
                <w:lang w:val="en-US"/>
              </w:rPr>
            </w:pPr>
            <w:r w:rsidRPr="00D549EE">
              <w:rPr>
                <w:lang w:val="en-US"/>
              </w:rPr>
              <w:t>Instrument</w:t>
            </w:r>
          </w:p>
        </w:tc>
        <w:tc>
          <w:tcPr>
            <w:tcW w:w="6934" w:type="dxa"/>
          </w:tcPr>
          <w:p w14:paraId="4A966CBC" w14:textId="77777777" w:rsidR="00307E08" w:rsidRPr="00D549EE" w:rsidRDefault="00307E08" w:rsidP="00C9582F">
            <w:pPr>
              <w:pStyle w:val="a5"/>
              <w:snapToGrid w:val="0"/>
              <w:contextualSpacing/>
              <w:rPr>
                <w:lang w:val="en-US"/>
              </w:rPr>
            </w:pPr>
            <w:r w:rsidRPr="00D549EE">
              <w:rPr>
                <w:lang w:val="en-US"/>
              </w:rPr>
              <w:t>Explanation</w:t>
            </w:r>
          </w:p>
        </w:tc>
      </w:tr>
      <w:tr w:rsidR="00307E08" w:rsidRPr="00D74F7B" w14:paraId="782EBDD7" w14:textId="77777777" w:rsidTr="00BD39C9">
        <w:tc>
          <w:tcPr>
            <w:tcW w:w="2405" w:type="dxa"/>
          </w:tcPr>
          <w:p w14:paraId="3FE81F14" w14:textId="77777777" w:rsidR="00307E08" w:rsidRPr="00D549EE" w:rsidRDefault="00C26E6F" w:rsidP="00C9582F">
            <w:pPr>
              <w:pStyle w:val="a5"/>
              <w:snapToGrid w:val="0"/>
              <w:contextualSpacing/>
            </w:pPr>
            <w:r w:rsidRPr="00D549EE">
              <w:rPr>
                <w:lang w:val="en-US"/>
              </w:rPr>
              <w:t xml:space="preserve">Amanah </w:t>
            </w:r>
            <w:r w:rsidR="002863F4" w:rsidRPr="00D549EE">
              <w:rPr>
                <w:lang w:val="en-US"/>
              </w:rPr>
              <w:t>(demand deposit</w:t>
            </w:r>
            <w:r w:rsidR="00227C45" w:rsidRPr="00D549EE">
              <w:rPr>
                <w:lang w:val="en-US"/>
              </w:rPr>
              <w:t>s</w:t>
            </w:r>
            <w:r w:rsidR="002863F4" w:rsidRPr="00D549EE">
              <w:rPr>
                <w:lang w:val="en-US"/>
              </w:rPr>
              <w:t>)</w:t>
            </w:r>
          </w:p>
        </w:tc>
        <w:tc>
          <w:tcPr>
            <w:tcW w:w="6934" w:type="dxa"/>
          </w:tcPr>
          <w:p w14:paraId="46FD22D9" w14:textId="77777777" w:rsidR="00307E08" w:rsidRPr="00D549EE" w:rsidRDefault="002863F4" w:rsidP="00C9582F">
            <w:pPr>
              <w:pStyle w:val="a5"/>
              <w:snapToGrid w:val="0"/>
              <w:contextualSpacing/>
              <w:rPr>
                <w:lang w:val="en-US"/>
              </w:rPr>
            </w:pPr>
            <w:r w:rsidRPr="00D549EE">
              <w:rPr>
                <w:lang w:val="en-US"/>
              </w:rPr>
              <w:t>Belongs to deposits in trust for safekeeping purposes</w:t>
            </w:r>
            <w:r w:rsidR="00C900B3" w:rsidRPr="00D549EE">
              <w:rPr>
                <w:lang w:val="en-US"/>
              </w:rPr>
              <w:t>,</w:t>
            </w:r>
            <w:r w:rsidR="00435262" w:rsidRPr="00D549EE">
              <w:rPr>
                <w:lang w:val="en-US"/>
              </w:rPr>
              <w:t xml:space="preserve"> capital value is guaranteed without </w:t>
            </w:r>
            <w:r w:rsidR="00227C45" w:rsidRPr="00D549EE">
              <w:rPr>
                <w:lang w:val="en-US"/>
              </w:rPr>
              <w:t xml:space="preserve">earning </w:t>
            </w:r>
            <w:r w:rsidR="00D52EA9" w:rsidRPr="00D549EE">
              <w:rPr>
                <w:lang w:val="en-US"/>
              </w:rPr>
              <w:t xml:space="preserve">a </w:t>
            </w:r>
            <w:r w:rsidR="00227C45" w:rsidRPr="00D549EE">
              <w:rPr>
                <w:lang w:val="en-US"/>
              </w:rPr>
              <w:t xml:space="preserve">return. </w:t>
            </w:r>
          </w:p>
        </w:tc>
      </w:tr>
      <w:tr w:rsidR="00227C45" w:rsidRPr="00D74F7B" w14:paraId="58B5B4D2" w14:textId="77777777" w:rsidTr="00BD39C9">
        <w:tc>
          <w:tcPr>
            <w:tcW w:w="2405" w:type="dxa"/>
          </w:tcPr>
          <w:p w14:paraId="3435C73C" w14:textId="77777777" w:rsidR="00227C45" w:rsidRPr="00D549EE" w:rsidRDefault="00227C45" w:rsidP="00C9582F">
            <w:pPr>
              <w:pStyle w:val="a5"/>
              <w:snapToGrid w:val="0"/>
              <w:contextualSpacing/>
              <w:rPr>
                <w:lang w:val="en-US"/>
              </w:rPr>
            </w:pPr>
            <w:r w:rsidRPr="00D549EE">
              <w:rPr>
                <w:lang w:val="en-US"/>
              </w:rPr>
              <w:t>Qard (loans)</w:t>
            </w:r>
          </w:p>
        </w:tc>
        <w:tc>
          <w:tcPr>
            <w:tcW w:w="6934" w:type="dxa"/>
          </w:tcPr>
          <w:p w14:paraId="0E291274" w14:textId="77777777" w:rsidR="00227C45" w:rsidRPr="00D549EE" w:rsidRDefault="005B7FF8" w:rsidP="00C9582F">
            <w:pPr>
              <w:pStyle w:val="a5"/>
              <w:snapToGrid w:val="0"/>
              <w:contextualSpacing/>
              <w:rPr>
                <w:lang w:val="en-US"/>
              </w:rPr>
            </w:pPr>
            <w:r w:rsidRPr="00D549EE">
              <w:rPr>
                <w:lang w:val="en-US"/>
              </w:rPr>
              <w:t>An interest</w:t>
            </w:r>
            <w:r w:rsidR="00D52EA9" w:rsidRPr="00D549EE">
              <w:rPr>
                <w:lang w:val="en-US"/>
              </w:rPr>
              <w:t>-</w:t>
            </w:r>
            <w:r w:rsidRPr="00D549EE">
              <w:rPr>
                <w:lang w:val="en-US"/>
              </w:rPr>
              <w:t xml:space="preserve">free loan, there is </w:t>
            </w:r>
            <w:r w:rsidR="00D52EA9" w:rsidRPr="00D549EE">
              <w:rPr>
                <w:lang w:val="en-US"/>
              </w:rPr>
              <w:t xml:space="preserve">a </w:t>
            </w:r>
            <w:r w:rsidRPr="00D549EE">
              <w:rPr>
                <w:lang w:val="en-US"/>
              </w:rPr>
              <w:t>servicing fee to cover actual administrative costs.</w:t>
            </w:r>
          </w:p>
        </w:tc>
      </w:tr>
      <w:tr w:rsidR="00307E08" w:rsidRPr="00D549EE" w14:paraId="13037312" w14:textId="77777777" w:rsidTr="00BD39C9">
        <w:tc>
          <w:tcPr>
            <w:tcW w:w="2405" w:type="dxa"/>
          </w:tcPr>
          <w:p w14:paraId="4DE6BD78" w14:textId="77777777" w:rsidR="00307E08" w:rsidRPr="00D549EE" w:rsidRDefault="00227C45" w:rsidP="00C9582F">
            <w:pPr>
              <w:pStyle w:val="a5"/>
              <w:snapToGrid w:val="0"/>
              <w:contextualSpacing/>
              <w:rPr>
                <w:lang w:val="en-US"/>
              </w:rPr>
            </w:pPr>
            <w:r w:rsidRPr="00D549EE">
              <w:rPr>
                <w:lang w:val="en-US"/>
              </w:rPr>
              <w:t>Salam</w:t>
            </w:r>
            <w:r w:rsidR="00BD39C9" w:rsidRPr="00D549EE">
              <w:rPr>
                <w:lang w:val="en-US"/>
              </w:rPr>
              <w:t xml:space="preserve"> (payment in advance, deferred delivery)</w:t>
            </w:r>
          </w:p>
        </w:tc>
        <w:tc>
          <w:tcPr>
            <w:tcW w:w="6934" w:type="dxa"/>
          </w:tcPr>
          <w:p w14:paraId="27FF94FD" w14:textId="77777777" w:rsidR="00307E08" w:rsidRPr="00D549EE" w:rsidRDefault="005B7FF8" w:rsidP="00C9582F">
            <w:pPr>
              <w:pStyle w:val="a5"/>
              <w:snapToGrid w:val="0"/>
              <w:contextualSpacing/>
              <w:rPr>
                <w:lang w:val="en-US"/>
              </w:rPr>
            </w:pPr>
            <w:r w:rsidRPr="00D549EE">
              <w:rPr>
                <w:lang w:val="en-US"/>
              </w:rPr>
              <w:t xml:space="preserve">Contract for production good, in which the seller undertakes to deliver the goods to the buyer in the future against full payment in advance. </w:t>
            </w:r>
            <w:r w:rsidR="006E0421" w:rsidRPr="00D549EE">
              <w:rPr>
                <w:lang w:val="en-US"/>
              </w:rPr>
              <w:t>(Short-term)</w:t>
            </w:r>
          </w:p>
        </w:tc>
      </w:tr>
      <w:tr w:rsidR="00307E08" w:rsidRPr="00D549EE" w14:paraId="4C466A63" w14:textId="77777777" w:rsidTr="00BD39C9">
        <w:tc>
          <w:tcPr>
            <w:tcW w:w="2405" w:type="dxa"/>
          </w:tcPr>
          <w:p w14:paraId="0662461F" w14:textId="77777777" w:rsidR="00307E08" w:rsidRPr="00D549EE" w:rsidRDefault="00227C45" w:rsidP="00C9582F">
            <w:pPr>
              <w:pStyle w:val="a5"/>
              <w:snapToGrid w:val="0"/>
              <w:contextualSpacing/>
              <w:rPr>
                <w:lang w:val="en-US"/>
              </w:rPr>
            </w:pPr>
            <w:r w:rsidRPr="00D549EE">
              <w:rPr>
                <w:lang w:val="en-US"/>
              </w:rPr>
              <w:t>Istisna</w:t>
            </w:r>
            <w:r w:rsidR="00BD39C9" w:rsidRPr="00D549EE">
              <w:rPr>
                <w:lang w:val="en-US"/>
              </w:rPr>
              <w:t xml:space="preserve"> (deferred payment, deferred delivery)</w:t>
            </w:r>
          </w:p>
        </w:tc>
        <w:tc>
          <w:tcPr>
            <w:tcW w:w="6934" w:type="dxa"/>
          </w:tcPr>
          <w:p w14:paraId="0328B8CE" w14:textId="77777777" w:rsidR="00307E08" w:rsidRPr="00D549EE" w:rsidRDefault="006E0421" w:rsidP="00C9582F">
            <w:pPr>
              <w:pStyle w:val="a5"/>
              <w:snapToGrid w:val="0"/>
              <w:contextualSpacing/>
              <w:rPr>
                <w:lang w:val="en-US"/>
              </w:rPr>
            </w:pPr>
            <w:r w:rsidRPr="00D549EE">
              <w:rPr>
                <w:lang w:val="en-US"/>
              </w:rPr>
              <w:t>Agreement for manufacturing commodities or constructing properties on request, in which delivery of the agreement subject in the future against progress</w:t>
            </w:r>
            <w:r w:rsidR="00BD39C9" w:rsidRPr="00D549EE">
              <w:rPr>
                <w:lang w:val="en-US"/>
              </w:rPr>
              <w:t>ive</w:t>
            </w:r>
            <w:r w:rsidRPr="00D549EE">
              <w:rPr>
                <w:lang w:val="en-US"/>
              </w:rPr>
              <w:t xml:space="preserve"> payment </w:t>
            </w:r>
            <w:r w:rsidR="00BD39C9" w:rsidRPr="00D549EE">
              <w:rPr>
                <w:lang w:val="en-US"/>
              </w:rPr>
              <w:t xml:space="preserve">during the project. (long-term) </w:t>
            </w:r>
          </w:p>
        </w:tc>
      </w:tr>
      <w:tr w:rsidR="00307E08" w:rsidRPr="00D74F7B" w14:paraId="3D4A97AA" w14:textId="77777777" w:rsidTr="00BD39C9">
        <w:tc>
          <w:tcPr>
            <w:tcW w:w="2405" w:type="dxa"/>
          </w:tcPr>
          <w:p w14:paraId="446C309B" w14:textId="77777777" w:rsidR="00307E08" w:rsidRPr="00D549EE" w:rsidRDefault="00227C45" w:rsidP="00C9582F">
            <w:pPr>
              <w:pStyle w:val="a5"/>
              <w:snapToGrid w:val="0"/>
              <w:contextualSpacing/>
              <w:rPr>
                <w:lang w:val="en-US"/>
              </w:rPr>
            </w:pPr>
            <w:r w:rsidRPr="00D549EE">
              <w:rPr>
                <w:lang w:val="en-US"/>
              </w:rPr>
              <w:t>Murabaha</w:t>
            </w:r>
            <w:r w:rsidR="00BD39C9" w:rsidRPr="00D549EE">
              <w:rPr>
                <w:lang w:val="en-US"/>
              </w:rPr>
              <w:t xml:space="preserve"> (markup financing)</w:t>
            </w:r>
          </w:p>
        </w:tc>
        <w:tc>
          <w:tcPr>
            <w:tcW w:w="6934" w:type="dxa"/>
          </w:tcPr>
          <w:p w14:paraId="05919695" w14:textId="77777777" w:rsidR="00307E08" w:rsidRPr="00D549EE" w:rsidRDefault="00473CC6" w:rsidP="00C9582F">
            <w:pPr>
              <w:pStyle w:val="a5"/>
              <w:snapToGrid w:val="0"/>
              <w:contextualSpacing/>
              <w:rPr>
                <w:lang w:val="en-US"/>
              </w:rPr>
            </w:pPr>
            <w:r w:rsidRPr="00D549EE">
              <w:rPr>
                <w:lang w:val="en-US"/>
              </w:rPr>
              <w:t>C</w:t>
            </w:r>
            <w:r w:rsidR="00BD39C9" w:rsidRPr="00D549EE">
              <w:rPr>
                <w:lang w:val="en-US"/>
              </w:rPr>
              <w:t>ontract to obtain an asset a customer needs and sell it with a deferred payment. Not permitted if the asset is gold, silver or currency. Price includes agreed profit and costs incurred by the seller</w:t>
            </w:r>
            <w:r w:rsidRPr="00D549EE">
              <w:rPr>
                <w:lang w:val="en-US"/>
              </w:rPr>
              <w:t>.</w:t>
            </w:r>
          </w:p>
        </w:tc>
      </w:tr>
      <w:tr w:rsidR="00307E08" w:rsidRPr="00D74F7B" w14:paraId="3E9B70A5" w14:textId="77777777" w:rsidTr="00BD39C9">
        <w:tc>
          <w:tcPr>
            <w:tcW w:w="2405" w:type="dxa"/>
          </w:tcPr>
          <w:p w14:paraId="71A91DCF" w14:textId="77777777" w:rsidR="00307E08" w:rsidRPr="00D549EE" w:rsidRDefault="00227C45" w:rsidP="00C9582F">
            <w:pPr>
              <w:pStyle w:val="a5"/>
              <w:snapToGrid w:val="0"/>
              <w:contextualSpacing/>
              <w:rPr>
                <w:lang w:val="en-US"/>
              </w:rPr>
            </w:pPr>
            <w:r w:rsidRPr="00D549EE">
              <w:rPr>
                <w:lang w:val="en-US"/>
              </w:rPr>
              <w:t>Ijara</w:t>
            </w:r>
            <w:r w:rsidR="00473CC6" w:rsidRPr="00D549EE">
              <w:rPr>
                <w:lang w:val="en-US"/>
              </w:rPr>
              <w:t xml:space="preserve"> (Lease)</w:t>
            </w:r>
          </w:p>
        </w:tc>
        <w:tc>
          <w:tcPr>
            <w:tcW w:w="6934" w:type="dxa"/>
          </w:tcPr>
          <w:p w14:paraId="7FE99238" w14:textId="77777777" w:rsidR="00307E08" w:rsidRPr="00D549EE" w:rsidRDefault="00473CC6" w:rsidP="00C9582F">
            <w:pPr>
              <w:pStyle w:val="a5"/>
              <w:snapToGrid w:val="0"/>
              <w:contextualSpacing/>
              <w:rPr>
                <w:lang w:val="en-US"/>
              </w:rPr>
            </w:pPr>
            <w:r w:rsidRPr="00D549EE">
              <w:rPr>
                <w:lang w:val="en-US"/>
              </w:rPr>
              <w:t>Lease agreement in which the owner of the object (lessor) transfers it to another person (lessee) for a specific price and specific time period. Income in the form of a penalty for late payment is not allowed, the fine is transferred to charity funds; the property being leased is insured by Islamic insurance companies.</w:t>
            </w:r>
          </w:p>
        </w:tc>
      </w:tr>
      <w:tr w:rsidR="00307E08" w:rsidRPr="00D74F7B" w14:paraId="7596F40D" w14:textId="77777777" w:rsidTr="00BD39C9">
        <w:tc>
          <w:tcPr>
            <w:tcW w:w="2405" w:type="dxa"/>
          </w:tcPr>
          <w:p w14:paraId="6C3D3EFC" w14:textId="77777777" w:rsidR="00307E08" w:rsidRPr="00D549EE" w:rsidRDefault="00227C45" w:rsidP="00C9582F">
            <w:pPr>
              <w:pStyle w:val="a5"/>
              <w:snapToGrid w:val="0"/>
              <w:contextualSpacing/>
              <w:rPr>
                <w:lang w:val="en-US"/>
              </w:rPr>
            </w:pPr>
            <w:r w:rsidRPr="00D549EE">
              <w:rPr>
                <w:lang w:val="en-US"/>
              </w:rPr>
              <w:t>Mudaraba</w:t>
            </w:r>
            <w:r w:rsidR="00473CC6" w:rsidRPr="00D549EE">
              <w:rPr>
                <w:lang w:val="en-US"/>
              </w:rPr>
              <w:t xml:space="preserve"> (trustee finance contract) </w:t>
            </w:r>
          </w:p>
        </w:tc>
        <w:tc>
          <w:tcPr>
            <w:tcW w:w="6934" w:type="dxa"/>
          </w:tcPr>
          <w:p w14:paraId="04A6299C" w14:textId="77777777" w:rsidR="00307E08" w:rsidRPr="00D549EE" w:rsidRDefault="00414A5D" w:rsidP="00C9582F">
            <w:pPr>
              <w:pStyle w:val="a5"/>
              <w:snapToGrid w:val="0"/>
              <w:contextualSpacing/>
              <w:rPr>
                <w:lang w:val="en-US"/>
              </w:rPr>
            </w:pPr>
            <w:r w:rsidRPr="00D549EE">
              <w:rPr>
                <w:lang w:val="en-US"/>
              </w:rPr>
              <w:t>Profit and loss sharing p</w:t>
            </w:r>
            <w:r w:rsidR="00DB3A5F" w:rsidRPr="00D549EE">
              <w:rPr>
                <w:lang w:val="en-US"/>
              </w:rPr>
              <w:t xml:space="preserve">artnership and trust management agreement, one </w:t>
            </w:r>
            <w:r w:rsidRPr="00D549EE">
              <w:rPr>
                <w:lang w:val="en-US"/>
              </w:rPr>
              <w:t>party (rab-al-mal)</w:t>
            </w:r>
            <w:r w:rsidR="00DB3A5F" w:rsidRPr="00D549EE">
              <w:rPr>
                <w:lang w:val="en-US"/>
              </w:rPr>
              <w:t xml:space="preserve"> provides capital</w:t>
            </w:r>
            <w:r w:rsidRPr="00D549EE">
              <w:rPr>
                <w:lang w:val="en-US"/>
              </w:rPr>
              <w:t xml:space="preserve"> for the project</w:t>
            </w:r>
            <w:r w:rsidR="00DB3A5F" w:rsidRPr="00D549EE">
              <w:rPr>
                <w:lang w:val="en-US"/>
              </w:rPr>
              <w:t xml:space="preserve">, the other </w:t>
            </w:r>
            <w:r w:rsidRPr="00D549EE">
              <w:rPr>
                <w:lang w:val="en-US"/>
              </w:rPr>
              <w:t>(mudarib)</w:t>
            </w:r>
            <w:r w:rsidR="00DB3A5F" w:rsidRPr="00D549EE">
              <w:rPr>
                <w:lang w:val="en-US"/>
              </w:rPr>
              <w:t xml:space="preserve"> manage</w:t>
            </w:r>
            <w:r w:rsidRPr="00D549EE">
              <w:rPr>
                <w:lang w:val="en-US"/>
              </w:rPr>
              <w:t>s</w:t>
            </w:r>
            <w:r w:rsidR="00DB3A5F" w:rsidRPr="00D549EE">
              <w:rPr>
                <w:lang w:val="en-US"/>
              </w:rPr>
              <w:t xml:space="preserve"> </w:t>
            </w:r>
            <w:r w:rsidRPr="00D549EE">
              <w:rPr>
                <w:lang w:val="en-US"/>
              </w:rPr>
              <w:t>the project using entrepreneurial skills</w:t>
            </w:r>
            <w:r w:rsidR="00DB3A5F" w:rsidRPr="00D549EE">
              <w:rPr>
                <w:lang w:val="en-US"/>
              </w:rPr>
              <w:t>. The investor is liable for losses in the amount of invested funds and has no right to participate in management.</w:t>
            </w:r>
          </w:p>
        </w:tc>
      </w:tr>
      <w:tr w:rsidR="00307E08" w:rsidRPr="00D74F7B" w14:paraId="56D83B4B" w14:textId="77777777" w:rsidTr="00BD39C9">
        <w:tc>
          <w:tcPr>
            <w:tcW w:w="2405" w:type="dxa"/>
          </w:tcPr>
          <w:p w14:paraId="3B1D8145" w14:textId="77777777" w:rsidR="00307E08" w:rsidRPr="00D549EE" w:rsidRDefault="00227C45" w:rsidP="00C9582F">
            <w:pPr>
              <w:pStyle w:val="a5"/>
              <w:snapToGrid w:val="0"/>
              <w:contextualSpacing/>
              <w:rPr>
                <w:lang w:val="en-US"/>
              </w:rPr>
            </w:pPr>
            <w:r w:rsidRPr="00D549EE">
              <w:rPr>
                <w:lang w:val="en-US"/>
              </w:rPr>
              <w:t>Musharaka</w:t>
            </w:r>
            <w:r w:rsidR="00414A5D" w:rsidRPr="00D549EE">
              <w:rPr>
                <w:lang w:val="en-US"/>
              </w:rPr>
              <w:t xml:space="preserve"> (Equity investment, joint venture)</w:t>
            </w:r>
          </w:p>
        </w:tc>
        <w:tc>
          <w:tcPr>
            <w:tcW w:w="6934" w:type="dxa"/>
          </w:tcPr>
          <w:p w14:paraId="75F5194B" w14:textId="77777777" w:rsidR="00307E08" w:rsidRPr="00D549EE" w:rsidRDefault="00414A5D" w:rsidP="00C9582F">
            <w:pPr>
              <w:pStyle w:val="a5"/>
              <w:snapToGrid w:val="0"/>
              <w:contextualSpacing/>
              <w:rPr>
                <w:lang w:val="en-US"/>
              </w:rPr>
            </w:pPr>
            <w:r w:rsidRPr="00D549EE">
              <w:rPr>
                <w:lang w:val="en-US"/>
              </w:rPr>
              <w:t xml:space="preserve">The equity partnership for combining assets, resources or liabilities for the profit purpose. Losses are divided in proportion to the share of participants. </w:t>
            </w:r>
            <w:r w:rsidR="00AC2481" w:rsidRPr="00D549EE">
              <w:rPr>
                <w:lang w:val="en-US"/>
              </w:rPr>
              <w:t xml:space="preserve">Losses are distributed in proportion to the capital provided, profits shared according </w:t>
            </w:r>
            <w:r w:rsidR="00D52EA9" w:rsidRPr="00D549EE">
              <w:rPr>
                <w:lang w:val="en-US"/>
              </w:rPr>
              <w:t xml:space="preserve">to </w:t>
            </w:r>
            <w:r w:rsidR="00AC2481" w:rsidRPr="00D549EE">
              <w:rPr>
                <w:lang w:val="en-US"/>
              </w:rPr>
              <w:t xml:space="preserve">agreement. </w:t>
            </w:r>
          </w:p>
        </w:tc>
      </w:tr>
      <w:tr w:rsidR="00307E08" w:rsidRPr="00D74F7B" w14:paraId="4309B4F9" w14:textId="77777777" w:rsidTr="00BD39C9">
        <w:tc>
          <w:tcPr>
            <w:tcW w:w="2405" w:type="dxa"/>
          </w:tcPr>
          <w:p w14:paraId="40679F90" w14:textId="77777777" w:rsidR="00307E08" w:rsidRPr="00D549EE" w:rsidRDefault="00227C45" w:rsidP="00C9582F">
            <w:pPr>
              <w:pStyle w:val="a5"/>
              <w:snapToGrid w:val="0"/>
              <w:contextualSpacing/>
              <w:rPr>
                <w:lang w:val="en-US"/>
              </w:rPr>
            </w:pPr>
            <w:r w:rsidRPr="00D549EE">
              <w:rPr>
                <w:lang w:val="en-US"/>
              </w:rPr>
              <w:t>Takaful</w:t>
            </w:r>
            <w:r w:rsidR="00AC2481" w:rsidRPr="00D549EE">
              <w:rPr>
                <w:lang w:val="en-US"/>
              </w:rPr>
              <w:t xml:space="preserve"> (Insurance)</w:t>
            </w:r>
          </w:p>
        </w:tc>
        <w:tc>
          <w:tcPr>
            <w:tcW w:w="6934" w:type="dxa"/>
          </w:tcPr>
          <w:p w14:paraId="62611FB1" w14:textId="77777777" w:rsidR="00307E08" w:rsidRPr="00D549EE" w:rsidRDefault="00E21ACE" w:rsidP="00C9582F">
            <w:pPr>
              <w:pStyle w:val="a5"/>
              <w:snapToGrid w:val="0"/>
              <w:contextualSpacing/>
              <w:rPr>
                <w:lang w:val="en-US"/>
              </w:rPr>
            </w:pPr>
            <w:r w:rsidRPr="00D549EE">
              <w:rPr>
                <w:lang w:val="en-US"/>
              </w:rPr>
              <w:t>In the Takaful system, policyholders (participants) create a special insurance fund (takaful fund) at their own expense to provide mutual financial protection. In case of occurrence of an adverse event specified in the contract by any of the participants, insurance compensation is paid from the fund.</w:t>
            </w:r>
          </w:p>
        </w:tc>
      </w:tr>
      <w:tr w:rsidR="00227C45" w:rsidRPr="00D74F7B" w14:paraId="64701B8F" w14:textId="77777777" w:rsidTr="00BD39C9">
        <w:tc>
          <w:tcPr>
            <w:tcW w:w="2405" w:type="dxa"/>
          </w:tcPr>
          <w:p w14:paraId="66708EF8" w14:textId="77777777" w:rsidR="00227C45" w:rsidRPr="00D549EE" w:rsidRDefault="00227C45" w:rsidP="00C9582F">
            <w:pPr>
              <w:pStyle w:val="a5"/>
              <w:snapToGrid w:val="0"/>
              <w:contextualSpacing/>
              <w:rPr>
                <w:lang w:val="en-US"/>
              </w:rPr>
            </w:pPr>
            <w:r w:rsidRPr="00D549EE">
              <w:rPr>
                <w:lang w:val="en-US"/>
              </w:rPr>
              <w:t>Sukuk</w:t>
            </w:r>
            <w:r w:rsidR="00E771CF" w:rsidRPr="00D549EE">
              <w:rPr>
                <w:lang w:val="en-US"/>
              </w:rPr>
              <w:t xml:space="preserve"> (Islamic </w:t>
            </w:r>
            <w:r w:rsidR="0022400C" w:rsidRPr="00D549EE">
              <w:rPr>
                <w:lang w:val="en-US"/>
              </w:rPr>
              <w:t>securities</w:t>
            </w:r>
            <w:r w:rsidR="00E771CF" w:rsidRPr="00D549EE">
              <w:rPr>
                <w:lang w:val="en-US"/>
              </w:rPr>
              <w:t>)</w:t>
            </w:r>
          </w:p>
        </w:tc>
        <w:tc>
          <w:tcPr>
            <w:tcW w:w="6934" w:type="dxa"/>
          </w:tcPr>
          <w:p w14:paraId="0729AA1F" w14:textId="77777777" w:rsidR="00227C45" w:rsidRPr="00D549EE" w:rsidRDefault="00E771CF" w:rsidP="00C9582F">
            <w:pPr>
              <w:pStyle w:val="a5"/>
              <w:snapToGrid w:val="0"/>
              <w:contextualSpacing/>
              <w:rPr>
                <w:lang w:val="en-US"/>
              </w:rPr>
            </w:pPr>
            <w:r w:rsidRPr="00D549EE">
              <w:rPr>
                <w:lang w:val="en-US"/>
              </w:rPr>
              <w:t>Certificates of equal value representing undivided shares in ownership of tangible assets, Usufructs and services or the assets of</w:t>
            </w:r>
            <w:r w:rsidR="00F744CD" w:rsidRPr="00D549EE">
              <w:rPr>
                <w:lang w:val="en-US"/>
              </w:rPr>
              <w:t xml:space="preserve"> </w:t>
            </w:r>
            <w:r w:rsidRPr="00D549EE">
              <w:rPr>
                <w:lang w:val="en-US"/>
              </w:rPr>
              <w:t>special investment activity.</w:t>
            </w:r>
          </w:p>
        </w:tc>
      </w:tr>
      <w:tr w:rsidR="00F744CD" w:rsidRPr="00D549EE" w14:paraId="56A0A111" w14:textId="77777777" w:rsidTr="007C3594">
        <w:tc>
          <w:tcPr>
            <w:tcW w:w="9339" w:type="dxa"/>
            <w:gridSpan w:val="2"/>
          </w:tcPr>
          <w:p w14:paraId="3BDE34E9" w14:textId="75580FF7" w:rsidR="00F744CD" w:rsidRPr="00D549EE" w:rsidRDefault="00782128" w:rsidP="00C9582F">
            <w:pPr>
              <w:pStyle w:val="a5"/>
              <w:snapToGrid w:val="0"/>
              <w:ind w:firstLine="591"/>
              <w:contextualSpacing/>
              <w:rPr>
                <w:lang w:val="en-US"/>
              </w:rPr>
            </w:pPr>
            <w:r w:rsidRPr="00D549EE">
              <w:rPr>
                <w:lang w:val="en-US"/>
              </w:rPr>
              <w:t>Note – Compiled by the author</w:t>
            </w:r>
            <w:r w:rsidRPr="00D549EE">
              <w:rPr>
                <w:lang w:val="kk-KZ"/>
              </w:rPr>
              <w:t xml:space="preserve"> </w:t>
            </w:r>
            <w:r w:rsidR="00393CB8" w:rsidRPr="00D549EE">
              <w:rPr>
                <w:lang w:val="kk-KZ"/>
              </w:rPr>
              <w:t>on the basis of sources</w:t>
            </w:r>
            <w:r w:rsidR="00B838E3" w:rsidRPr="00D549EE">
              <w:rPr>
                <w:lang w:val="en-US"/>
              </w:rPr>
              <w:t xml:space="preserve"> </w:t>
            </w:r>
            <w:r w:rsidR="00B838E3" w:rsidRPr="00D549EE">
              <w:rPr>
                <w:lang w:val="en-US"/>
              </w:rPr>
              <w:fldChar w:fldCharType="begin" w:fldLock="1"/>
            </w:r>
            <w:r w:rsidR="00B838E3" w:rsidRPr="00D549EE">
              <w:rPr>
                <w:lang w:val="en-US"/>
              </w:rPr>
              <w:instrText>ADDIN CSL_CITATION {"citationItems":[{"id":"ITEM-1","itemData":{"ISBN":"9781849300179","author":[{"dropping-particle":"","family":"Ali","given":"Amjid","non-dropping-particle":"","parse-names":false,"suffix":""},{"dropping-particle":"","family":"Asutay","given":"Mehmet","non-dropping-particle":"","parse-names":false,"suffix":""},{"dropping-particle":"","family":"Bälz","given":"Kilian","non-dropping-particle":"","parse-names":false,"suffix":""},{"dropping-particle":"Ben","family":"Naceur","given":"Samy","non-dropping-particle":"","parse-names":false,"suffix":""},{"dropping-particle":"","family":"Cosgrave","given":"Barry","non-dropping-particle":"","parse-names":false,"suffix":""},{"dropping-particle":"","family":"Crawford","given":"Susi","non-dropping-particle":"","parse-names":false,"suffix":""},{"dropping-particle":"","family":"Is","given":"Omar Fisher","non-dropping-particle":"","parse-names":false,"suffix":""}],"id":"ITEM-1","issued":{"date-parts":[["2010"]]},"number-of-pages":"238","publisher-place":"London","title":"Islamic Finance: Instruments and Markets","type":"book"},"uris":["http://www.mendeley.com/documents/?uuid=fa38f272-8c81-4ed8-b2d8-f06929e3cca7"]}],"mendeley":{"formattedCitation":"[12]","plainTextFormattedCitation":"[12]","previouslyFormattedCitation":"[12]"},"properties":{"noteIndex":0},"schema":"https://github.com/citation-style-language/schema/raw/master/csl-citation.json"}</w:instrText>
            </w:r>
            <w:r w:rsidR="00B838E3" w:rsidRPr="00D549EE">
              <w:rPr>
                <w:lang w:val="en-US"/>
              </w:rPr>
              <w:fldChar w:fldCharType="separate"/>
            </w:r>
            <w:r w:rsidR="00B838E3" w:rsidRPr="00D549EE">
              <w:rPr>
                <w:noProof/>
                <w:lang w:val="en-US"/>
              </w:rPr>
              <w:t>[12, p.98]</w:t>
            </w:r>
            <w:r w:rsidR="00B838E3" w:rsidRPr="00D549EE">
              <w:rPr>
                <w:lang w:val="en-US"/>
              </w:rPr>
              <w:fldChar w:fldCharType="end"/>
            </w:r>
            <w:r w:rsidR="00393CB8" w:rsidRPr="00D549EE">
              <w:rPr>
                <w:lang w:val="kk-KZ"/>
              </w:rPr>
              <w:t xml:space="preserve"> </w:t>
            </w:r>
            <w:r w:rsidR="00B838E3" w:rsidRPr="00D549EE">
              <w:rPr>
                <w:lang w:val="en-US"/>
              </w:rPr>
              <w:fldChar w:fldCharType="begin" w:fldLock="1"/>
            </w:r>
            <w:r w:rsidR="00B838E3" w:rsidRPr="00D549EE">
              <w:rPr>
                <w:lang w:val="en-US"/>
              </w:rPr>
              <w:instrText>ADDIN CSL_CITATION {"citationItems":[{"id":"ITEM-1","itemData":{"author":[{"dropping-particle":"","family":"Chartered Institute for Securities &amp; Investment","given":"","non-dropping-particle":"","parse-names":false,"suffix":""}],"edition":"8","editor":[{"dropping-particle":"","family":"Shikder","given":"Muhammad Nurullah","non-dropping-particle":"","parse-names":false,"suffix":""}],"id":"ITEM-1","issued":{"date-parts":[["2018"]]},"number-of-pages":"294","publisher-place":"London","title":"Islamic Finance Qualification ( IFQ )","type":"book"},"uris":["http://www.mendeley.com/documents/?uuid=49a2d784-2f26-46b9-99ff-208ad5d456ee"]}],"mendeley":{"formattedCitation":"[24]","plainTextFormattedCitation":"[24]","previouslyFormattedCitation":"[24]"},"properties":{"noteIndex":0},"schema":"https://github.com/citation-style-language/schema/raw/master/csl-citation.json"}</w:instrText>
            </w:r>
            <w:r w:rsidR="00B838E3" w:rsidRPr="00D549EE">
              <w:rPr>
                <w:lang w:val="en-US"/>
              </w:rPr>
              <w:fldChar w:fldCharType="separate"/>
            </w:r>
            <w:r w:rsidR="00B838E3" w:rsidRPr="00D549EE">
              <w:rPr>
                <w:noProof/>
                <w:lang w:val="en-US"/>
              </w:rPr>
              <w:t>[24]</w:t>
            </w:r>
            <w:r w:rsidR="00B838E3" w:rsidRPr="00D549EE">
              <w:rPr>
                <w:lang w:val="en-US"/>
              </w:rPr>
              <w:fldChar w:fldCharType="end"/>
            </w:r>
            <w:r w:rsidR="00B838E3" w:rsidRPr="00D549EE">
              <w:rPr>
                <w:lang w:val="en-US"/>
              </w:rPr>
              <w:t xml:space="preserve"> </w:t>
            </w:r>
            <w:r w:rsidR="00F744CD" w:rsidRPr="00D549EE">
              <w:rPr>
                <w:lang w:val="en-US"/>
              </w:rPr>
              <w:fldChar w:fldCharType="begin" w:fldLock="1"/>
            </w:r>
            <w:r w:rsidR="00FA7152" w:rsidRPr="00D549EE">
              <w:rPr>
                <w:lang w:val="en-US"/>
              </w:rPr>
              <w:instrText>ADDIN CSL_CITATION {"citationItems":[{"id":"ITEM-1","itemData":{"DOI":"10.18334/rp.19.1.38757","ISSN":"1994-6937","abstract":"В статье рассмотрены основы и тенденции развития системы исламских финансов, принципы деятельности исламских финансовых институтов, а также финансовые инструменты, которые применяются в рамках исламской финансовой системы. Проанализированы отличительные особенности исламских и традиционных банков. Особое внимание уделяется проблемам и перспективам развития системы исламских финансов. Выявлены факторы, которые оказывают влияние на интеграцию исламских финансов в финансовую систему Российской Федерации.","author":[{"dropping-particle":"","family":"Yu.N.","given":"Gambeeva","non-dropping-particle":"","parse-names":false,"suffix":""},{"dropping-particle":"","family":"S.N.","given":"Medvedeva","non-dropping-particle":"","parse-names":false,"suffix":""}],"container-title":"Russian Journal of Entrepreneurship","id":"ITEM-1","issue":"1","issued":{"date-parts":[["2018"]]},"page":"335","title":"Islamic finance: features of formation and development","type":"article-journal","volume":"19"},"uris":["http://www.mendeley.com/documents/?uuid=52daa8b8-0baa-4b67-9137-126890977960"]}],"mendeley":{"formattedCitation":"[36]","plainTextFormattedCitation":"[36]","previouslyFormattedCitation":"[36]"},"properties":{"noteIndex":0},"schema":"https://github.com/citation-style-language/schema/raw/master/csl-citation.json"}</w:instrText>
            </w:r>
            <w:r w:rsidR="00F744CD" w:rsidRPr="00D549EE">
              <w:rPr>
                <w:lang w:val="en-US"/>
              </w:rPr>
              <w:fldChar w:fldCharType="separate"/>
            </w:r>
            <w:r w:rsidR="00785182" w:rsidRPr="00D549EE">
              <w:rPr>
                <w:noProof/>
                <w:lang w:val="en-US"/>
              </w:rPr>
              <w:t>[36]</w:t>
            </w:r>
            <w:r w:rsidR="00F744CD" w:rsidRPr="00D549EE">
              <w:rPr>
                <w:lang w:val="en-US"/>
              </w:rPr>
              <w:fldChar w:fldCharType="end"/>
            </w:r>
            <w:r w:rsidR="0007061A" w:rsidRPr="00D549EE">
              <w:rPr>
                <w:lang w:val="en-US"/>
              </w:rPr>
              <w:t xml:space="preserve"> </w:t>
            </w:r>
            <w:r w:rsidR="001A1E00" w:rsidRPr="00D549EE">
              <w:rPr>
                <w:lang w:val="en-US"/>
              </w:rPr>
              <w:fldChar w:fldCharType="begin" w:fldLock="1"/>
            </w:r>
            <w:r w:rsidR="00FA7152" w:rsidRPr="00D549EE">
              <w:rPr>
                <w:lang w:val="en-US"/>
              </w:rPr>
              <w:instrText>ADDIN CSL_CITATION {"citationItems":[{"id":"ITEM-1","itemData":{"ISBN":"9786030196166","author":[{"dropping-particle":"","family":"AAOIFI","given":"","non-dropping-particle":"","parse-names":false,"suffix":""}],"id":"ITEM-1","issued":{"date-parts":[["2015"]]},"number-of-pages":"1262","publisher-place":"Manama","title":"Sariah Standarts","type":"book"},"uris":["http://www.mendeley.com/documents/?uuid=2a4e80ee-d88e-414c-bb26-eb2757266ce9"]}],"mendeley":{"formattedCitation":"[37]","plainTextFormattedCitation":"[37]","previouslyFormattedCitation":"[37]"},"properties":{"noteIndex":0},"schema":"https://github.com/citation-style-language/schema/raw/master/csl-citation.json"}</w:instrText>
            </w:r>
            <w:r w:rsidR="001A1E00" w:rsidRPr="00D549EE">
              <w:rPr>
                <w:lang w:val="en-US"/>
              </w:rPr>
              <w:fldChar w:fldCharType="separate"/>
            </w:r>
            <w:r w:rsidR="00785182" w:rsidRPr="00D549EE">
              <w:rPr>
                <w:noProof/>
                <w:lang w:val="en-US"/>
              </w:rPr>
              <w:t>[37]</w:t>
            </w:r>
            <w:r w:rsidR="001A1E00" w:rsidRPr="00D549EE">
              <w:rPr>
                <w:lang w:val="en-US"/>
              </w:rPr>
              <w:fldChar w:fldCharType="end"/>
            </w:r>
            <w:r w:rsidR="00F82905" w:rsidRPr="00D549EE">
              <w:rPr>
                <w:lang w:val="en-US"/>
              </w:rPr>
              <w:t xml:space="preserve"> </w:t>
            </w:r>
            <w:r w:rsidR="00332A5E" w:rsidRPr="00D549EE">
              <w:rPr>
                <w:lang w:val="en-US"/>
              </w:rPr>
              <w:fldChar w:fldCharType="begin" w:fldLock="1"/>
            </w:r>
            <w:r w:rsidR="00FA7152" w:rsidRPr="00D549EE">
              <w:rPr>
                <w:lang w:val="en-US"/>
              </w:rPr>
              <w:instrText>ADDIN CSL_CITATION {"citationItems":[{"id":"ITEM-1","itemData":{"author":[{"dropping-particle":"","family":"EthicaI Institute","given":"","non-dropping-particle":"","parse-names":false,"suffix":""}],"id":"ITEM-1","issued":{"date-parts":[["2016"]]},"number-of-pages":"1-800","publisher":"Ethica Institute of Islamic finance","publisher-place":"US Newark","title":"Handbook of Islamic Finance","type":"book"},"uris":["http://www.mendeley.com/documents/?uuid=4bb68cf4-0d86-496d-93f4-079f58fbcb24"]}],"mendeley":{"formattedCitation":"[38]","plainTextFormattedCitation":"[38]","previouslyFormattedCitation":"[38]"},"properties":{"noteIndex":0},"schema":"https://github.com/citation-style-language/schema/raw/master/csl-citation.json"}</w:instrText>
            </w:r>
            <w:r w:rsidR="00332A5E" w:rsidRPr="00D549EE">
              <w:rPr>
                <w:lang w:val="en-US"/>
              </w:rPr>
              <w:fldChar w:fldCharType="separate"/>
            </w:r>
            <w:r w:rsidR="00785182" w:rsidRPr="00D549EE">
              <w:rPr>
                <w:noProof/>
                <w:lang w:val="en-US"/>
              </w:rPr>
              <w:t>[38]</w:t>
            </w:r>
            <w:r w:rsidR="00332A5E" w:rsidRPr="00D549EE">
              <w:rPr>
                <w:lang w:val="en-US"/>
              </w:rPr>
              <w:fldChar w:fldCharType="end"/>
            </w:r>
          </w:p>
        </w:tc>
      </w:tr>
    </w:tbl>
    <w:p w14:paraId="2D4D11B8" w14:textId="533D0AF1" w:rsidR="00BF6A93" w:rsidRPr="00D549EE" w:rsidRDefault="00976605" w:rsidP="00C9582F">
      <w:pPr>
        <w:pStyle w:val="a5"/>
        <w:snapToGrid w:val="0"/>
        <w:contextualSpacing/>
        <w:jc w:val="both"/>
        <w:rPr>
          <w:color w:val="000000" w:themeColor="text1"/>
          <w:sz w:val="28"/>
          <w:szCs w:val="28"/>
          <w:lang w:val="en-US"/>
        </w:rPr>
      </w:pPr>
      <w:r w:rsidRPr="00D549EE">
        <w:rPr>
          <w:sz w:val="28"/>
          <w:szCs w:val="28"/>
          <w:lang w:val="en-US"/>
        </w:rPr>
        <w:tab/>
      </w:r>
      <w:r w:rsidR="006519FA" w:rsidRPr="006519FA">
        <w:rPr>
          <w:sz w:val="28"/>
          <w:szCs w:val="28"/>
          <w:lang w:val="en-US"/>
        </w:rPr>
        <w:t xml:space="preserve">A comparative analysis of Islamic financial instruments and conventional instruments will reveal a feature in the implementation of the social function of these instruments. Over the past ten years, since the beginning of the active development of Islamic finance, including banking instruments, scientists have repeatedly described in their studies the features of Islamic instruments in comparison with conventional ones [39] [40] [41]. This is due to present the principle of Islamic products' operation to a wide range of readers aware of the non-Islamic financial instruments. To clarify the social component of Islamic financial instruments, the comparison analysis of the main Islamic and conventional financial instruments has been done. We have done our </w:t>
      </w:r>
      <w:r w:rsidR="006519FA" w:rsidRPr="006519FA">
        <w:rPr>
          <w:sz w:val="28"/>
          <w:szCs w:val="28"/>
          <w:lang w:val="en-US"/>
        </w:rPr>
        <w:lastRenderedPageBreak/>
        <w:t xml:space="preserve">comparative analysis based on features and principles of functioning of the instruments and based on their social orientation for consumers, banks, society, and the state. </w:t>
      </w:r>
      <w:r w:rsidR="006519FA" w:rsidRPr="006519FA">
        <w:rPr>
          <w:sz w:val="28"/>
          <w:szCs w:val="28"/>
          <w:lang w:val="en-US"/>
        </w:rPr>
        <w:tab/>
      </w:r>
    </w:p>
    <w:p w14:paraId="73036368" w14:textId="77777777" w:rsidR="00653C73" w:rsidRPr="00D549EE" w:rsidRDefault="00653C73" w:rsidP="00C9582F">
      <w:pPr>
        <w:pStyle w:val="a5"/>
        <w:snapToGrid w:val="0"/>
        <w:contextualSpacing/>
        <w:jc w:val="both"/>
        <w:rPr>
          <w:color w:val="000000" w:themeColor="text1"/>
          <w:sz w:val="28"/>
          <w:szCs w:val="28"/>
          <w:lang w:val="en-US"/>
        </w:rPr>
      </w:pPr>
    </w:p>
    <w:p w14:paraId="00AD8DEC" w14:textId="787D1F23" w:rsidR="00BF6A93" w:rsidRPr="00D549EE" w:rsidRDefault="00BF6A93" w:rsidP="00C9582F">
      <w:pPr>
        <w:pStyle w:val="a5"/>
        <w:snapToGrid w:val="0"/>
        <w:contextualSpacing/>
        <w:jc w:val="both"/>
        <w:rPr>
          <w:sz w:val="28"/>
          <w:szCs w:val="28"/>
          <w:lang w:val="en-US"/>
        </w:rPr>
      </w:pPr>
      <w:r w:rsidRPr="00D549EE">
        <w:rPr>
          <w:sz w:val="28"/>
          <w:szCs w:val="28"/>
          <w:lang w:val="en-US"/>
        </w:rPr>
        <w:t>Table</w:t>
      </w:r>
      <w:r w:rsidR="00257652" w:rsidRPr="00D549EE">
        <w:rPr>
          <w:sz w:val="28"/>
          <w:szCs w:val="28"/>
          <w:lang w:val="en-US"/>
        </w:rPr>
        <w:t xml:space="preserve"> 3 </w:t>
      </w:r>
      <w:r w:rsidR="00257652" w:rsidRPr="00D549EE">
        <w:rPr>
          <w:color w:val="000000" w:themeColor="text1"/>
          <w:lang w:val="en-US"/>
        </w:rPr>
        <w:t>–</w:t>
      </w:r>
      <w:r w:rsidRPr="00D549EE">
        <w:rPr>
          <w:sz w:val="28"/>
          <w:szCs w:val="28"/>
          <w:lang w:val="en-US"/>
        </w:rPr>
        <w:t xml:space="preserve"> Comparison of the Islamic and Conventional financial instruments </w:t>
      </w:r>
    </w:p>
    <w:p w14:paraId="1D2A548D" w14:textId="77777777" w:rsidR="00BF6A93" w:rsidRPr="00D549EE" w:rsidRDefault="00BF6A93" w:rsidP="00C9582F">
      <w:pPr>
        <w:pStyle w:val="a5"/>
        <w:snapToGrid w:val="0"/>
        <w:contextualSpacing/>
        <w:jc w:val="both"/>
        <w:rPr>
          <w:lang w:val="en-US"/>
        </w:rPr>
      </w:pPr>
    </w:p>
    <w:tbl>
      <w:tblPr>
        <w:tblStyle w:val="a9"/>
        <w:tblW w:w="0" w:type="auto"/>
        <w:tblLook w:val="04A0" w:firstRow="1" w:lastRow="0" w:firstColumn="1" w:lastColumn="0" w:noHBand="0" w:noVBand="1"/>
      </w:tblPr>
      <w:tblGrid>
        <w:gridCol w:w="2405"/>
        <w:gridCol w:w="2801"/>
        <w:gridCol w:w="4139"/>
      </w:tblGrid>
      <w:tr w:rsidR="00BF6A93" w:rsidRPr="00D549EE" w14:paraId="176785BB" w14:textId="77777777" w:rsidTr="0074269E">
        <w:tc>
          <w:tcPr>
            <w:tcW w:w="2405" w:type="dxa"/>
          </w:tcPr>
          <w:p w14:paraId="7BFA7971" w14:textId="77777777" w:rsidR="00BF6A93" w:rsidRPr="00D549EE" w:rsidRDefault="00BF6A93" w:rsidP="00C9582F">
            <w:pPr>
              <w:pStyle w:val="a5"/>
              <w:snapToGrid w:val="0"/>
              <w:contextualSpacing/>
              <w:rPr>
                <w:lang w:val="en-US"/>
              </w:rPr>
            </w:pPr>
            <w:r w:rsidRPr="00D549EE">
              <w:rPr>
                <w:lang w:val="en-US"/>
              </w:rPr>
              <w:t>Islamic financial Instrument</w:t>
            </w:r>
          </w:p>
        </w:tc>
        <w:tc>
          <w:tcPr>
            <w:tcW w:w="2801" w:type="dxa"/>
          </w:tcPr>
          <w:p w14:paraId="5311CFAF" w14:textId="77777777" w:rsidR="00BF6A93" w:rsidRPr="00D549EE" w:rsidRDefault="00BF6A93" w:rsidP="00C9582F">
            <w:pPr>
              <w:pStyle w:val="a5"/>
              <w:snapToGrid w:val="0"/>
              <w:contextualSpacing/>
              <w:rPr>
                <w:lang w:val="en-US"/>
              </w:rPr>
            </w:pPr>
            <w:r w:rsidRPr="00D549EE">
              <w:rPr>
                <w:lang w:val="en-US"/>
              </w:rPr>
              <w:t>Conventional financial Instrument</w:t>
            </w:r>
          </w:p>
        </w:tc>
        <w:tc>
          <w:tcPr>
            <w:tcW w:w="4139" w:type="dxa"/>
          </w:tcPr>
          <w:p w14:paraId="6D5956E5" w14:textId="77777777" w:rsidR="00BF6A93" w:rsidRPr="00D549EE" w:rsidRDefault="00BF6A93" w:rsidP="00C9582F">
            <w:pPr>
              <w:pStyle w:val="a5"/>
              <w:snapToGrid w:val="0"/>
              <w:contextualSpacing/>
              <w:rPr>
                <w:lang w:val="en-US"/>
              </w:rPr>
            </w:pPr>
            <w:r w:rsidRPr="00D549EE">
              <w:rPr>
                <w:lang w:val="en-US"/>
              </w:rPr>
              <w:t>Explanation</w:t>
            </w:r>
          </w:p>
        </w:tc>
      </w:tr>
      <w:tr w:rsidR="00BF6A93" w:rsidRPr="00D74F7B" w14:paraId="1F76AD19" w14:textId="77777777" w:rsidTr="0074269E">
        <w:tc>
          <w:tcPr>
            <w:tcW w:w="2405" w:type="dxa"/>
          </w:tcPr>
          <w:p w14:paraId="79821831" w14:textId="77777777" w:rsidR="00BF6A93" w:rsidRPr="00D549EE" w:rsidRDefault="00BF6A93" w:rsidP="00C9582F">
            <w:pPr>
              <w:pStyle w:val="a5"/>
              <w:snapToGrid w:val="0"/>
              <w:contextualSpacing/>
              <w:rPr>
                <w:lang w:val="en-US"/>
              </w:rPr>
            </w:pPr>
            <w:r w:rsidRPr="00D549EE">
              <w:rPr>
                <w:lang w:val="en-US"/>
              </w:rPr>
              <w:t>Qard - profit sharing agreements or the interest-free loan</w:t>
            </w:r>
          </w:p>
        </w:tc>
        <w:tc>
          <w:tcPr>
            <w:tcW w:w="2801" w:type="dxa"/>
          </w:tcPr>
          <w:p w14:paraId="0EE71806" w14:textId="77777777" w:rsidR="00BF6A93" w:rsidRPr="00D549EE" w:rsidRDefault="00BF6A93" w:rsidP="00C9582F">
            <w:pPr>
              <w:pStyle w:val="a5"/>
              <w:snapToGrid w:val="0"/>
              <w:contextualSpacing/>
              <w:rPr>
                <w:lang w:val="en-US"/>
              </w:rPr>
            </w:pPr>
            <w:r w:rsidRPr="00D549EE">
              <w:rPr>
                <w:lang w:val="en-US"/>
              </w:rPr>
              <w:t>Credit/Loan – fixed interest charge</w:t>
            </w:r>
          </w:p>
        </w:tc>
        <w:tc>
          <w:tcPr>
            <w:tcW w:w="4139" w:type="dxa"/>
          </w:tcPr>
          <w:p w14:paraId="52915A59" w14:textId="77777777" w:rsidR="00BF6A93" w:rsidRPr="00D549EE" w:rsidRDefault="00BF6A93" w:rsidP="00C9582F">
            <w:pPr>
              <w:pStyle w:val="a5"/>
              <w:snapToGrid w:val="0"/>
              <w:contextualSpacing/>
              <w:rPr>
                <w:lang w:val="en-US"/>
              </w:rPr>
            </w:pPr>
            <w:r w:rsidRPr="00D549EE">
              <w:rPr>
                <w:lang w:val="en-US"/>
              </w:rPr>
              <w:t xml:space="preserve">IFI takes charge only in the case of the success of the project and take the risks. </w:t>
            </w:r>
          </w:p>
          <w:p w14:paraId="2D43DCB4" w14:textId="77777777" w:rsidR="00BF6A93" w:rsidRPr="00D549EE" w:rsidRDefault="00BF6A93" w:rsidP="00C9582F">
            <w:pPr>
              <w:pStyle w:val="a5"/>
              <w:snapToGrid w:val="0"/>
              <w:contextualSpacing/>
              <w:rPr>
                <w:lang w:val="en-US"/>
              </w:rPr>
            </w:pPr>
            <w:r w:rsidRPr="00D549EE">
              <w:rPr>
                <w:lang w:val="en-US"/>
              </w:rPr>
              <w:t xml:space="preserve">Borrowing without interest to small businesses act of assistance to the enterprise and economy; industry screen – prohibition of socially harmful business activities.  </w:t>
            </w:r>
          </w:p>
        </w:tc>
      </w:tr>
      <w:tr w:rsidR="00BF6A93" w:rsidRPr="00D74F7B" w14:paraId="600B9391" w14:textId="77777777" w:rsidTr="0074269E">
        <w:tc>
          <w:tcPr>
            <w:tcW w:w="2405" w:type="dxa"/>
          </w:tcPr>
          <w:p w14:paraId="26DB6B67" w14:textId="77777777" w:rsidR="00BF6A93" w:rsidRPr="00D549EE" w:rsidRDefault="00BF6A93" w:rsidP="00C9582F">
            <w:pPr>
              <w:pStyle w:val="a5"/>
              <w:snapToGrid w:val="0"/>
              <w:contextualSpacing/>
              <w:rPr>
                <w:lang w:val="en-US"/>
              </w:rPr>
            </w:pPr>
            <w:r w:rsidRPr="00D549EE">
              <w:rPr>
                <w:lang w:val="en-US"/>
              </w:rPr>
              <w:t xml:space="preserve">Murabaha </w:t>
            </w:r>
          </w:p>
        </w:tc>
        <w:tc>
          <w:tcPr>
            <w:tcW w:w="2801" w:type="dxa"/>
          </w:tcPr>
          <w:p w14:paraId="4AB427A8" w14:textId="77777777" w:rsidR="00BF6A93" w:rsidRPr="00D549EE" w:rsidRDefault="00BF6A93" w:rsidP="00C9582F">
            <w:pPr>
              <w:pStyle w:val="a5"/>
              <w:snapToGrid w:val="0"/>
              <w:contextualSpacing/>
              <w:rPr>
                <w:lang w:val="en-US"/>
              </w:rPr>
            </w:pPr>
            <w:r w:rsidRPr="00D549EE">
              <w:rPr>
                <w:lang w:val="en-US"/>
              </w:rPr>
              <w:t xml:space="preserve">Credit/deferred payment </w:t>
            </w:r>
          </w:p>
        </w:tc>
        <w:tc>
          <w:tcPr>
            <w:tcW w:w="4139" w:type="dxa"/>
          </w:tcPr>
          <w:p w14:paraId="7C623EAE" w14:textId="77777777" w:rsidR="00BF6A93" w:rsidRPr="00D549EE" w:rsidRDefault="00BF6A93" w:rsidP="00C9582F">
            <w:pPr>
              <w:pStyle w:val="a5"/>
              <w:snapToGrid w:val="0"/>
              <w:contextualSpacing/>
              <w:rPr>
                <w:lang w:val="en-US"/>
              </w:rPr>
            </w:pPr>
            <w:r w:rsidRPr="00D549EE">
              <w:rPr>
                <w:lang w:val="en-US"/>
              </w:rPr>
              <w:t>IFI purchases the good for client, money is not transferred, that is financing is based on the real asset; the good’s risk is taken by IFI; the cost of the murabaha is fixed and independent from the time period; prohibited goods; prohibition of socially harmful goods.</w:t>
            </w:r>
          </w:p>
        </w:tc>
      </w:tr>
      <w:tr w:rsidR="00BF6A93" w:rsidRPr="00D74F7B" w14:paraId="0510E5A9" w14:textId="77777777" w:rsidTr="0074269E">
        <w:tc>
          <w:tcPr>
            <w:tcW w:w="2405" w:type="dxa"/>
          </w:tcPr>
          <w:p w14:paraId="37291358" w14:textId="77777777" w:rsidR="00BF6A93" w:rsidRPr="00D549EE" w:rsidRDefault="00BF6A93" w:rsidP="00C9582F">
            <w:pPr>
              <w:pStyle w:val="a5"/>
              <w:snapToGrid w:val="0"/>
              <w:contextualSpacing/>
              <w:rPr>
                <w:lang w:val="en-US"/>
              </w:rPr>
            </w:pPr>
            <w:r w:rsidRPr="00D549EE">
              <w:rPr>
                <w:lang w:val="en-US"/>
              </w:rPr>
              <w:t xml:space="preserve">Ijara </w:t>
            </w:r>
          </w:p>
        </w:tc>
        <w:tc>
          <w:tcPr>
            <w:tcW w:w="2801" w:type="dxa"/>
          </w:tcPr>
          <w:p w14:paraId="3DD7DF80" w14:textId="77777777" w:rsidR="00BF6A93" w:rsidRPr="00D549EE" w:rsidRDefault="00BF6A93" w:rsidP="00C9582F">
            <w:pPr>
              <w:pStyle w:val="a5"/>
              <w:snapToGrid w:val="0"/>
              <w:contextualSpacing/>
              <w:rPr>
                <w:lang w:val="en-US"/>
              </w:rPr>
            </w:pPr>
            <w:r w:rsidRPr="00D549EE">
              <w:rPr>
                <w:lang w:val="en-US"/>
              </w:rPr>
              <w:t>Leasing</w:t>
            </w:r>
          </w:p>
        </w:tc>
        <w:tc>
          <w:tcPr>
            <w:tcW w:w="4139" w:type="dxa"/>
          </w:tcPr>
          <w:p w14:paraId="1DA604BF" w14:textId="77777777" w:rsidR="00BF6A93" w:rsidRPr="00D549EE" w:rsidRDefault="00BF6A93" w:rsidP="00C9582F">
            <w:pPr>
              <w:pStyle w:val="a5"/>
              <w:snapToGrid w:val="0"/>
              <w:contextualSpacing/>
              <w:rPr>
                <w:lang w:val="en-US"/>
              </w:rPr>
            </w:pPr>
            <w:r w:rsidRPr="00D549EE">
              <w:rPr>
                <w:lang w:val="en-US"/>
              </w:rPr>
              <w:t xml:space="preserve">Ownership risk is transferred to the IFI, which is covered by rental fees fixed for all period; prohibition of socially harmful business activities. </w:t>
            </w:r>
          </w:p>
        </w:tc>
      </w:tr>
      <w:tr w:rsidR="00BF6A93" w:rsidRPr="00D74F7B" w14:paraId="296358DC" w14:textId="77777777" w:rsidTr="0074269E">
        <w:tc>
          <w:tcPr>
            <w:tcW w:w="2405" w:type="dxa"/>
          </w:tcPr>
          <w:p w14:paraId="744748CD" w14:textId="77777777" w:rsidR="00BF6A93" w:rsidRPr="00D549EE" w:rsidRDefault="00BF6A93" w:rsidP="00C9582F">
            <w:pPr>
              <w:pStyle w:val="a5"/>
              <w:snapToGrid w:val="0"/>
              <w:contextualSpacing/>
              <w:rPr>
                <w:lang w:val="en-US"/>
              </w:rPr>
            </w:pPr>
            <w:r w:rsidRPr="00D549EE">
              <w:rPr>
                <w:lang w:val="en-US"/>
              </w:rPr>
              <w:t xml:space="preserve">Mudaraba </w:t>
            </w:r>
          </w:p>
        </w:tc>
        <w:tc>
          <w:tcPr>
            <w:tcW w:w="2801" w:type="dxa"/>
          </w:tcPr>
          <w:p w14:paraId="6DC0DA74" w14:textId="77777777" w:rsidR="00BF6A93" w:rsidRPr="00D549EE" w:rsidRDefault="00BF6A93" w:rsidP="00C9582F">
            <w:pPr>
              <w:pStyle w:val="a5"/>
              <w:snapToGrid w:val="0"/>
              <w:contextualSpacing/>
              <w:rPr>
                <w:lang w:val="en-US"/>
              </w:rPr>
            </w:pPr>
            <w:r w:rsidRPr="00D549EE">
              <w:rPr>
                <w:lang w:val="en-US"/>
              </w:rPr>
              <w:t>Trustee finance contract</w:t>
            </w:r>
          </w:p>
        </w:tc>
        <w:tc>
          <w:tcPr>
            <w:tcW w:w="4139" w:type="dxa"/>
          </w:tcPr>
          <w:p w14:paraId="1A898942" w14:textId="77777777" w:rsidR="00BF6A93" w:rsidRPr="00D549EE" w:rsidRDefault="00BF6A93" w:rsidP="00C9582F">
            <w:pPr>
              <w:pStyle w:val="a5"/>
              <w:snapToGrid w:val="0"/>
              <w:contextualSpacing/>
              <w:rPr>
                <w:lang w:val="en-US"/>
              </w:rPr>
            </w:pPr>
            <w:r w:rsidRPr="00D549EE">
              <w:rPr>
                <w:lang w:val="en-US"/>
              </w:rPr>
              <w:t>Project/investment financing, profit and loss sharing; prohibition of socially harmful business activities</w:t>
            </w:r>
          </w:p>
        </w:tc>
      </w:tr>
      <w:tr w:rsidR="00BF6A93" w:rsidRPr="00D74F7B" w14:paraId="4EFD13B0" w14:textId="77777777" w:rsidTr="0074269E">
        <w:tc>
          <w:tcPr>
            <w:tcW w:w="2405" w:type="dxa"/>
          </w:tcPr>
          <w:p w14:paraId="6354A605" w14:textId="77777777" w:rsidR="00BF6A93" w:rsidRPr="00D549EE" w:rsidRDefault="00BF6A93" w:rsidP="00C9582F">
            <w:pPr>
              <w:pStyle w:val="a5"/>
              <w:snapToGrid w:val="0"/>
              <w:contextualSpacing/>
              <w:rPr>
                <w:lang w:val="en-US"/>
              </w:rPr>
            </w:pPr>
            <w:r w:rsidRPr="00D549EE">
              <w:rPr>
                <w:lang w:val="en-US"/>
              </w:rPr>
              <w:t xml:space="preserve">Musharaka </w:t>
            </w:r>
          </w:p>
        </w:tc>
        <w:tc>
          <w:tcPr>
            <w:tcW w:w="2801" w:type="dxa"/>
          </w:tcPr>
          <w:p w14:paraId="4171ED33" w14:textId="77777777" w:rsidR="00BF6A93" w:rsidRPr="00D549EE" w:rsidRDefault="00BF6A93" w:rsidP="00C9582F">
            <w:pPr>
              <w:pStyle w:val="a5"/>
              <w:snapToGrid w:val="0"/>
              <w:contextualSpacing/>
              <w:rPr>
                <w:lang w:val="en-US"/>
              </w:rPr>
            </w:pPr>
            <w:r w:rsidRPr="00D549EE">
              <w:rPr>
                <w:lang w:val="en-US"/>
              </w:rPr>
              <w:t>Equity investment</w:t>
            </w:r>
          </w:p>
        </w:tc>
        <w:tc>
          <w:tcPr>
            <w:tcW w:w="4139" w:type="dxa"/>
          </w:tcPr>
          <w:p w14:paraId="4AA5A022" w14:textId="77777777" w:rsidR="00BF6A93" w:rsidRPr="00D549EE" w:rsidRDefault="00BF6A93" w:rsidP="00C9582F">
            <w:pPr>
              <w:pStyle w:val="a5"/>
              <w:snapToGrid w:val="0"/>
              <w:contextualSpacing/>
              <w:rPr>
                <w:lang w:val="en-US"/>
              </w:rPr>
            </w:pPr>
            <w:r w:rsidRPr="00D549EE">
              <w:rPr>
                <w:lang w:val="en-US"/>
              </w:rPr>
              <w:t>Profit and risk sharing; prohibition of socially harmful business activities.</w:t>
            </w:r>
          </w:p>
        </w:tc>
      </w:tr>
      <w:tr w:rsidR="00BF6A93" w:rsidRPr="00D74F7B" w14:paraId="6A72B314" w14:textId="77777777" w:rsidTr="0074269E">
        <w:tc>
          <w:tcPr>
            <w:tcW w:w="2405" w:type="dxa"/>
          </w:tcPr>
          <w:p w14:paraId="5DE930E2" w14:textId="77777777" w:rsidR="00BF6A93" w:rsidRPr="00D549EE" w:rsidRDefault="00BF6A93" w:rsidP="00C9582F">
            <w:pPr>
              <w:pStyle w:val="a5"/>
              <w:snapToGrid w:val="0"/>
              <w:contextualSpacing/>
              <w:rPr>
                <w:lang w:val="en-US"/>
              </w:rPr>
            </w:pPr>
            <w:r w:rsidRPr="00D549EE">
              <w:rPr>
                <w:lang w:val="en-US"/>
              </w:rPr>
              <w:t xml:space="preserve">Takaful </w:t>
            </w:r>
          </w:p>
        </w:tc>
        <w:tc>
          <w:tcPr>
            <w:tcW w:w="2801" w:type="dxa"/>
          </w:tcPr>
          <w:p w14:paraId="56054829" w14:textId="77777777" w:rsidR="00BF6A93" w:rsidRPr="00D549EE" w:rsidRDefault="00BF6A93" w:rsidP="00C9582F">
            <w:pPr>
              <w:pStyle w:val="a5"/>
              <w:snapToGrid w:val="0"/>
              <w:contextualSpacing/>
              <w:rPr>
                <w:lang w:val="en-US"/>
              </w:rPr>
            </w:pPr>
            <w:r w:rsidRPr="00D549EE">
              <w:rPr>
                <w:lang w:val="en-US"/>
              </w:rPr>
              <w:t>Insurance</w:t>
            </w:r>
          </w:p>
        </w:tc>
        <w:tc>
          <w:tcPr>
            <w:tcW w:w="4139" w:type="dxa"/>
          </w:tcPr>
          <w:p w14:paraId="23AE229D" w14:textId="77777777" w:rsidR="00BF6A93" w:rsidRPr="00D549EE" w:rsidRDefault="00BF6A93" w:rsidP="00C9582F">
            <w:pPr>
              <w:pStyle w:val="a5"/>
              <w:snapToGrid w:val="0"/>
              <w:contextualSpacing/>
              <w:rPr>
                <w:lang w:val="en-US"/>
              </w:rPr>
            </w:pPr>
            <w:r w:rsidRPr="00D549EE">
              <w:rPr>
                <w:lang w:val="en-US"/>
              </w:rPr>
              <w:t xml:space="preserve">The combination of donation and indemnity agreements. Life insurance is not allowed, there is Family takaful instead. </w:t>
            </w:r>
          </w:p>
        </w:tc>
      </w:tr>
      <w:tr w:rsidR="00BF6A93" w:rsidRPr="00D74F7B" w14:paraId="4BD78132" w14:textId="77777777" w:rsidTr="0074269E">
        <w:tc>
          <w:tcPr>
            <w:tcW w:w="2405" w:type="dxa"/>
          </w:tcPr>
          <w:p w14:paraId="4D4D027F" w14:textId="77777777" w:rsidR="00BF6A93" w:rsidRPr="00D549EE" w:rsidRDefault="00BF6A93" w:rsidP="00C9582F">
            <w:pPr>
              <w:pStyle w:val="a5"/>
              <w:snapToGrid w:val="0"/>
              <w:contextualSpacing/>
              <w:rPr>
                <w:lang w:val="en-US"/>
              </w:rPr>
            </w:pPr>
            <w:r w:rsidRPr="00D549EE">
              <w:rPr>
                <w:lang w:val="en-US"/>
              </w:rPr>
              <w:t xml:space="preserve">Sukuk </w:t>
            </w:r>
          </w:p>
        </w:tc>
        <w:tc>
          <w:tcPr>
            <w:tcW w:w="2801" w:type="dxa"/>
          </w:tcPr>
          <w:p w14:paraId="1E65A21F" w14:textId="77777777" w:rsidR="00BF6A93" w:rsidRPr="00D549EE" w:rsidRDefault="00BF6A93" w:rsidP="00C9582F">
            <w:pPr>
              <w:pStyle w:val="a5"/>
              <w:snapToGrid w:val="0"/>
              <w:contextualSpacing/>
              <w:rPr>
                <w:lang w:val="en-US"/>
              </w:rPr>
            </w:pPr>
            <w:r w:rsidRPr="00D549EE">
              <w:rPr>
                <w:lang w:val="en-US"/>
              </w:rPr>
              <w:t>Securities</w:t>
            </w:r>
          </w:p>
        </w:tc>
        <w:tc>
          <w:tcPr>
            <w:tcW w:w="4139" w:type="dxa"/>
          </w:tcPr>
          <w:p w14:paraId="3C094CE3" w14:textId="77777777" w:rsidR="00BF6A93" w:rsidRPr="00D549EE" w:rsidRDefault="00BF6A93" w:rsidP="00C9582F">
            <w:pPr>
              <w:pStyle w:val="a5"/>
              <w:snapToGrid w:val="0"/>
              <w:contextualSpacing/>
              <w:rPr>
                <w:lang w:val="en-US"/>
              </w:rPr>
            </w:pPr>
            <w:r w:rsidRPr="00D549EE">
              <w:rPr>
                <w:lang w:val="en-US"/>
              </w:rPr>
              <w:t>Sukuk holder has a share in underlying asset; has right to profit and takes a losses; prohibition of socially harmful business activities.</w:t>
            </w:r>
          </w:p>
        </w:tc>
      </w:tr>
      <w:tr w:rsidR="00BF6A93" w:rsidRPr="00D74F7B" w14:paraId="6001F053" w14:textId="77777777" w:rsidTr="0074269E">
        <w:tc>
          <w:tcPr>
            <w:tcW w:w="2405" w:type="dxa"/>
          </w:tcPr>
          <w:p w14:paraId="2584481D" w14:textId="77777777" w:rsidR="00BF6A93" w:rsidRPr="00D549EE" w:rsidRDefault="00BF6A93" w:rsidP="00C9582F">
            <w:pPr>
              <w:pStyle w:val="a5"/>
              <w:snapToGrid w:val="0"/>
              <w:contextualSpacing/>
              <w:rPr>
                <w:lang w:val="en-US"/>
              </w:rPr>
            </w:pPr>
            <w:r w:rsidRPr="00D549EE">
              <w:rPr>
                <w:lang w:val="en-US"/>
              </w:rPr>
              <w:t>Home financing</w:t>
            </w:r>
          </w:p>
        </w:tc>
        <w:tc>
          <w:tcPr>
            <w:tcW w:w="2801" w:type="dxa"/>
          </w:tcPr>
          <w:p w14:paraId="5ECF380E" w14:textId="77777777" w:rsidR="00BF6A93" w:rsidRPr="00D549EE" w:rsidRDefault="00BF6A93" w:rsidP="00C9582F">
            <w:pPr>
              <w:pStyle w:val="a5"/>
              <w:snapToGrid w:val="0"/>
              <w:contextualSpacing/>
              <w:rPr>
                <w:lang w:val="en-US"/>
              </w:rPr>
            </w:pPr>
            <w:r w:rsidRPr="00D549EE">
              <w:rPr>
                <w:lang w:val="en-US"/>
              </w:rPr>
              <w:t xml:space="preserve">Mortgage </w:t>
            </w:r>
          </w:p>
        </w:tc>
        <w:tc>
          <w:tcPr>
            <w:tcW w:w="4139" w:type="dxa"/>
          </w:tcPr>
          <w:p w14:paraId="4EA661C7" w14:textId="77777777" w:rsidR="00BF6A93" w:rsidRPr="00D549EE" w:rsidRDefault="00BF6A93" w:rsidP="00C9582F">
            <w:pPr>
              <w:pStyle w:val="a5"/>
              <w:snapToGrid w:val="0"/>
              <w:contextualSpacing/>
              <w:rPr>
                <w:lang w:val="en-US"/>
              </w:rPr>
            </w:pPr>
            <w:r w:rsidRPr="00D549EE">
              <w:rPr>
                <w:lang w:val="en-US"/>
              </w:rPr>
              <w:t>Client and the IFI co-invest in property, the risks are shared, client has right to paid share of the property.</w:t>
            </w:r>
          </w:p>
        </w:tc>
      </w:tr>
      <w:tr w:rsidR="00BF6A93" w:rsidRPr="00D74F7B" w14:paraId="15386813" w14:textId="77777777" w:rsidTr="0074269E">
        <w:tc>
          <w:tcPr>
            <w:tcW w:w="9345" w:type="dxa"/>
            <w:gridSpan w:val="3"/>
          </w:tcPr>
          <w:p w14:paraId="456D829C" w14:textId="77777777" w:rsidR="00BF6A93" w:rsidRPr="00D549EE" w:rsidRDefault="00BF6A93" w:rsidP="00C9582F">
            <w:pPr>
              <w:pStyle w:val="a5"/>
              <w:snapToGrid w:val="0"/>
              <w:ind w:firstLine="591"/>
              <w:contextualSpacing/>
              <w:rPr>
                <w:lang w:val="en-US"/>
              </w:rPr>
            </w:pPr>
            <w:r w:rsidRPr="00D549EE">
              <w:rPr>
                <w:lang w:val="en-US"/>
              </w:rPr>
              <w:t>Note – Compiled by the author</w:t>
            </w:r>
            <w:r w:rsidRPr="00D549EE">
              <w:rPr>
                <w:lang w:val="kk-KZ"/>
              </w:rPr>
              <w:t xml:space="preserve"> </w:t>
            </w:r>
          </w:p>
        </w:tc>
      </w:tr>
    </w:tbl>
    <w:p w14:paraId="2FFD6CBB" w14:textId="77777777" w:rsidR="00BF6A93" w:rsidRPr="00D549EE" w:rsidRDefault="00BF6A93" w:rsidP="00C9582F">
      <w:pPr>
        <w:snapToGrid w:val="0"/>
        <w:contextualSpacing/>
        <w:jc w:val="both"/>
        <w:rPr>
          <w:color w:val="000000" w:themeColor="text1"/>
          <w:sz w:val="28"/>
          <w:szCs w:val="28"/>
          <w:lang w:val="en-US"/>
        </w:rPr>
      </w:pPr>
    </w:p>
    <w:p w14:paraId="67F905F9" w14:textId="77777777" w:rsidR="00A55E64" w:rsidRPr="00A55E64" w:rsidRDefault="00BF6A93" w:rsidP="00A55E64">
      <w:pPr>
        <w:snapToGrid w:val="0"/>
        <w:contextualSpacing/>
        <w:jc w:val="both"/>
        <w:rPr>
          <w:color w:val="000000" w:themeColor="text1"/>
          <w:sz w:val="28"/>
          <w:szCs w:val="28"/>
          <w:lang w:val="en-US"/>
        </w:rPr>
      </w:pPr>
      <w:r w:rsidRPr="00D549EE">
        <w:rPr>
          <w:color w:val="000000" w:themeColor="text1"/>
          <w:sz w:val="28"/>
          <w:szCs w:val="28"/>
          <w:lang w:val="en-US"/>
        </w:rPr>
        <w:tab/>
      </w:r>
      <w:r w:rsidR="00A55E64" w:rsidRPr="00A55E64">
        <w:rPr>
          <w:color w:val="000000" w:themeColor="text1"/>
          <w:sz w:val="28"/>
          <w:szCs w:val="28"/>
          <w:lang w:val="en-US"/>
        </w:rPr>
        <w:t>Almost every financial instrument entitles the client to the underlying asset, reducing the client's social burden. Thus, Islamic financial instruments do not finance socially harmful businesses, reducing the impact of forbidden and unfavorable industries on society, such as alcohol, drugs, tobacco, and others. In addition, Islamic financial institutions do not shift all risks to the client but share them, the profit received is a payment for these risks, thereby reducing social pressure on consumers in the form of debt burden and the risk of default.</w:t>
      </w:r>
    </w:p>
    <w:p w14:paraId="2114D650" w14:textId="57670CE7" w:rsidR="00A55E64" w:rsidRPr="00D549EE" w:rsidRDefault="00A55E64" w:rsidP="00A55E64">
      <w:pPr>
        <w:snapToGrid w:val="0"/>
        <w:contextualSpacing/>
        <w:jc w:val="both"/>
        <w:rPr>
          <w:sz w:val="28"/>
          <w:szCs w:val="28"/>
          <w:lang w:val="en-US"/>
        </w:rPr>
      </w:pPr>
      <w:r w:rsidRPr="00A55E64">
        <w:rPr>
          <w:color w:val="000000" w:themeColor="text1"/>
          <w:sz w:val="28"/>
          <w:szCs w:val="28"/>
          <w:lang w:val="en-US"/>
        </w:rPr>
        <w:lastRenderedPageBreak/>
        <w:tab/>
        <w:t>There is given a comparative analysis of one of the socially popular tools – mortgage lending and Islamic housing financing – the Diminishing Musharaka, which is one of the possible options for financing real estate for clarifying the specifics of Islamic finance in a social context.</w:t>
      </w:r>
    </w:p>
    <w:p w14:paraId="3AF5E41B" w14:textId="77777777" w:rsidR="001F0A2C" w:rsidRPr="00D549EE" w:rsidRDefault="001F0A2C" w:rsidP="00C9582F">
      <w:pPr>
        <w:snapToGrid w:val="0"/>
        <w:contextualSpacing/>
        <w:jc w:val="both"/>
        <w:rPr>
          <w:color w:val="000000" w:themeColor="text1"/>
          <w:sz w:val="28"/>
          <w:szCs w:val="28"/>
          <w:lang w:val="en-US"/>
        </w:rPr>
      </w:pPr>
    </w:p>
    <w:p w14:paraId="58A09CDF" w14:textId="5BC3CBC2" w:rsidR="0034627F" w:rsidRPr="00D549EE" w:rsidRDefault="0034627F" w:rsidP="00C9582F">
      <w:pPr>
        <w:jc w:val="both"/>
        <w:rPr>
          <w:bCs/>
          <w:color w:val="000000" w:themeColor="text1"/>
          <w:sz w:val="28"/>
          <w:szCs w:val="28"/>
          <w:lang w:val="en-US"/>
        </w:rPr>
      </w:pPr>
      <w:r w:rsidRPr="00D549EE">
        <w:rPr>
          <w:bCs/>
          <w:color w:val="000000" w:themeColor="text1"/>
          <w:sz w:val="28"/>
          <w:szCs w:val="28"/>
          <w:lang w:val="en-US"/>
        </w:rPr>
        <w:t xml:space="preserve">Table </w:t>
      </w:r>
      <w:r w:rsidR="001F0A2C" w:rsidRPr="00D549EE">
        <w:rPr>
          <w:bCs/>
          <w:color w:val="000000" w:themeColor="text1"/>
          <w:sz w:val="28"/>
          <w:szCs w:val="28"/>
          <w:lang w:val="en-US"/>
        </w:rPr>
        <w:t xml:space="preserve">4 </w:t>
      </w:r>
      <w:r w:rsidR="00257652" w:rsidRPr="00D549EE">
        <w:rPr>
          <w:color w:val="000000" w:themeColor="text1"/>
          <w:lang w:val="en-US"/>
        </w:rPr>
        <w:t>–</w:t>
      </w:r>
      <w:r w:rsidR="001F0A2C" w:rsidRPr="00D549EE">
        <w:rPr>
          <w:bCs/>
          <w:color w:val="000000" w:themeColor="text1"/>
          <w:sz w:val="28"/>
          <w:szCs w:val="28"/>
          <w:lang w:val="en-US"/>
        </w:rPr>
        <w:t xml:space="preserve"> </w:t>
      </w:r>
      <w:r w:rsidRPr="00D549EE">
        <w:rPr>
          <w:color w:val="000000" w:themeColor="text1"/>
          <w:sz w:val="28"/>
          <w:szCs w:val="28"/>
          <w:lang w:val="en-US"/>
        </w:rPr>
        <w:t>Comparison of Islamic and Conventional Banking Agreements</w:t>
      </w:r>
    </w:p>
    <w:p w14:paraId="24AF0BFA" w14:textId="77777777" w:rsidR="0034627F" w:rsidRPr="00D549EE" w:rsidRDefault="0034627F" w:rsidP="00C9582F">
      <w:pPr>
        <w:jc w:val="both"/>
        <w:rPr>
          <w:color w:val="000000" w:themeColor="text1"/>
          <w:lang w:val="en-US"/>
        </w:rPr>
      </w:pPr>
    </w:p>
    <w:tbl>
      <w:tblPr>
        <w:tblStyle w:val="a9"/>
        <w:tblW w:w="0" w:type="auto"/>
        <w:tblLook w:val="04A0" w:firstRow="1" w:lastRow="0" w:firstColumn="1" w:lastColumn="0" w:noHBand="0" w:noVBand="1"/>
      </w:tblPr>
      <w:tblGrid>
        <w:gridCol w:w="3147"/>
        <w:gridCol w:w="3147"/>
        <w:gridCol w:w="3148"/>
      </w:tblGrid>
      <w:tr w:rsidR="0034627F" w:rsidRPr="00D549EE" w14:paraId="4DBF3240" w14:textId="77777777" w:rsidTr="00F513BC">
        <w:trPr>
          <w:trHeight w:val="448"/>
        </w:trPr>
        <w:tc>
          <w:tcPr>
            <w:tcW w:w="3147" w:type="dxa"/>
          </w:tcPr>
          <w:p w14:paraId="6A6B3E0D" w14:textId="77777777" w:rsidR="0034627F" w:rsidRPr="00D549EE" w:rsidRDefault="0034627F" w:rsidP="00C9582F">
            <w:pPr>
              <w:pStyle w:val="a3"/>
              <w:snapToGrid w:val="0"/>
              <w:spacing w:line="240" w:lineRule="auto"/>
              <w:ind w:left="0"/>
              <w:jc w:val="center"/>
              <w:rPr>
                <w:rFonts w:ascii="Times New Roman" w:hAnsi="Times New Roman"/>
                <w:bCs/>
                <w:color w:val="000000" w:themeColor="text1"/>
                <w:sz w:val="24"/>
                <w:szCs w:val="24"/>
              </w:rPr>
            </w:pPr>
            <w:r w:rsidRPr="00D549EE">
              <w:rPr>
                <w:rFonts w:ascii="Times New Roman" w:hAnsi="Times New Roman"/>
                <w:bCs/>
                <w:color w:val="000000" w:themeColor="text1"/>
                <w:sz w:val="24"/>
                <w:szCs w:val="24"/>
              </w:rPr>
              <w:t>Characteristic</w:t>
            </w:r>
          </w:p>
        </w:tc>
        <w:tc>
          <w:tcPr>
            <w:tcW w:w="3147" w:type="dxa"/>
          </w:tcPr>
          <w:p w14:paraId="2F385676" w14:textId="77777777" w:rsidR="0034627F" w:rsidRPr="00D549EE" w:rsidRDefault="0034627F" w:rsidP="00C9582F">
            <w:pPr>
              <w:pStyle w:val="a3"/>
              <w:snapToGrid w:val="0"/>
              <w:spacing w:line="240" w:lineRule="auto"/>
              <w:ind w:left="0"/>
              <w:jc w:val="center"/>
              <w:rPr>
                <w:rFonts w:ascii="Times New Roman" w:hAnsi="Times New Roman"/>
                <w:bCs/>
                <w:color w:val="000000" w:themeColor="text1"/>
                <w:sz w:val="24"/>
                <w:szCs w:val="24"/>
              </w:rPr>
            </w:pPr>
            <w:r w:rsidRPr="00D549EE">
              <w:rPr>
                <w:rFonts w:ascii="Times New Roman" w:hAnsi="Times New Roman"/>
                <w:bCs/>
                <w:color w:val="000000" w:themeColor="text1"/>
                <w:sz w:val="24"/>
                <w:szCs w:val="24"/>
                <w:lang w:val="en-US"/>
              </w:rPr>
              <w:t>Mortgage Loan</w:t>
            </w:r>
          </w:p>
        </w:tc>
        <w:tc>
          <w:tcPr>
            <w:tcW w:w="3148" w:type="dxa"/>
          </w:tcPr>
          <w:p w14:paraId="1F59A943" w14:textId="77777777" w:rsidR="0034627F" w:rsidRPr="00D549EE" w:rsidRDefault="0034627F" w:rsidP="00C9582F">
            <w:pPr>
              <w:pStyle w:val="a3"/>
              <w:snapToGrid w:val="0"/>
              <w:spacing w:line="240" w:lineRule="auto"/>
              <w:ind w:left="0"/>
              <w:jc w:val="center"/>
              <w:rPr>
                <w:rFonts w:ascii="Times New Roman" w:hAnsi="Times New Roman"/>
                <w:bCs/>
                <w:color w:val="000000" w:themeColor="text1"/>
                <w:sz w:val="24"/>
                <w:szCs w:val="24"/>
              </w:rPr>
            </w:pPr>
            <w:r w:rsidRPr="00D549EE">
              <w:rPr>
                <w:rFonts w:ascii="Times New Roman" w:hAnsi="Times New Roman"/>
                <w:bCs/>
                <w:color w:val="000000" w:themeColor="text1"/>
                <w:sz w:val="24"/>
                <w:szCs w:val="24"/>
                <w:lang w:val="en-US"/>
              </w:rPr>
              <w:t>Diminishing Musharaka</w:t>
            </w:r>
          </w:p>
        </w:tc>
      </w:tr>
      <w:tr w:rsidR="0034627F" w:rsidRPr="00D549EE" w14:paraId="306F2057" w14:textId="77777777" w:rsidTr="00F513BC">
        <w:trPr>
          <w:trHeight w:val="448"/>
        </w:trPr>
        <w:tc>
          <w:tcPr>
            <w:tcW w:w="3147" w:type="dxa"/>
          </w:tcPr>
          <w:p w14:paraId="3AF7A2F5"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rPr>
            </w:pPr>
            <w:r w:rsidRPr="00D549EE">
              <w:rPr>
                <w:rFonts w:ascii="Times New Roman" w:hAnsi="Times New Roman"/>
                <w:color w:val="000000" w:themeColor="text1"/>
                <w:sz w:val="24"/>
                <w:szCs w:val="24"/>
              </w:rPr>
              <w:t>Form of the contract</w:t>
            </w:r>
          </w:p>
        </w:tc>
        <w:tc>
          <w:tcPr>
            <w:tcW w:w="3147" w:type="dxa"/>
          </w:tcPr>
          <w:p w14:paraId="49336573"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rPr>
            </w:pPr>
            <w:r w:rsidRPr="00D549EE">
              <w:rPr>
                <w:rFonts w:ascii="Times New Roman" w:hAnsi="Times New Roman"/>
                <w:color w:val="000000" w:themeColor="text1"/>
                <w:sz w:val="24"/>
                <w:szCs w:val="24"/>
              </w:rPr>
              <w:t>Bank loan</w:t>
            </w:r>
          </w:p>
        </w:tc>
        <w:tc>
          <w:tcPr>
            <w:tcW w:w="3148" w:type="dxa"/>
          </w:tcPr>
          <w:p w14:paraId="53C7BB73"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rPr>
            </w:pPr>
            <w:r w:rsidRPr="00D549EE">
              <w:rPr>
                <w:rFonts w:ascii="Times New Roman" w:hAnsi="Times New Roman"/>
                <w:color w:val="000000" w:themeColor="text1"/>
                <w:sz w:val="24"/>
                <w:szCs w:val="24"/>
              </w:rPr>
              <w:t>Contract of share property</w:t>
            </w:r>
          </w:p>
        </w:tc>
      </w:tr>
      <w:tr w:rsidR="0034627F" w:rsidRPr="00D74F7B" w14:paraId="4C8174B2" w14:textId="77777777" w:rsidTr="00F513BC">
        <w:trPr>
          <w:trHeight w:val="895"/>
        </w:trPr>
        <w:tc>
          <w:tcPr>
            <w:tcW w:w="3147" w:type="dxa"/>
          </w:tcPr>
          <w:p w14:paraId="32388339"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 xml:space="preserve">Financing </w:t>
            </w:r>
          </w:p>
        </w:tc>
        <w:tc>
          <w:tcPr>
            <w:tcW w:w="3147" w:type="dxa"/>
          </w:tcPr>
          <w:p w14:paraId="3D0EDE79" w14:textId="77777777" w:rsidR="0034627F" w:rsidRPr="00D549EE" w:rsidRDefault="0034627F" w:rsidP="00E12E19">
            <w:pPr>
              <w:pStyle w:val="a3"/>
              <w:numPr>
                <w:ilvl w:val="0"/>
                <w:numId w:val="11"/>
              </w:numPr>
              <w:snapToGrid w:val="0"/>
              <w:spacing w:after="0" w:line="240" w:lineRule="auto"/>
              <w:ind w:left="320" w:hanging="218"/>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Customer's funds</w:t>
            </w:r>
          </w:p>
          <w:p w14:paraId="7E79ADB5" w14:textId="77777777" w:rsidR="0034627F" w:rsidRPr="00D549EE" w:rsidRDefault="0034627F" w:rsidP="00E12E19">
            <w:pPr>
              <w:pStyle w:val="a3"/>
              <w:numPr>
                <w:ilvl w:val="0"/>
                <w:numId w:val="11"/>
              </w:numPr>
              <w:snapToGrid w:val="0"/>
              <w:spacing w:after="0" w:line="240" w:lineRule="auto"/>
              <w:ind w:left="320" w:hanging="218"/>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Funds borrowed from the Bank</w:t>
            </w:r>
          </w:p>
        </w:tc>
        <w:tc>
          <w:tcPr>
            <w:tcW w:w="3148" w:type="dxa"/>
          </w:tcPr>
          <w:p w14:paraId="1D09EC39" w14:textId="77777777" w:rsidR="0034627F" w:rsidRPr="00D549EE" w:rsidRDefault="0034627F" w:rsidP="00E12E19">
            <w:pPr>
              <w:pStyle w:val="a3"/>
              <w:numPr>
                <w:ilvl w:val="0"/>
                <w:numId w:val="11"/>
              </w:numPr>
              <w:snapToGrid w:val="0"/>
              <w:spacing w:after="0" w:line="240" w:lineRule="auto"/>
              <w:ind w:left="319" w:hanging="219"/>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Customer's funds (Customer's share)</w:t>
            </w:r>
          </w:p>
          <w:p w14:paraId="20B7F6BD" w14:textId="77777777" w:rsidR="0034627F" w:rsidRPr="00D549EE" w:rsidRDefault="0034627F" w:rsidP="00E12E19">
            <w:pPr>
              <w:pStyle w:val="a3"/>
              <w:numPr>
                <w:ilvl w:val="0"/>
                <w:numId w:val="11"/>
              </w:numPr>
              <w:snapToGrid w:val="0"/>
              <w:spacing w:after="0" w:line="240" w:lineRule="auto"/>
              <w:ind w:left="319" w:hanging="219"/>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Funds of the Bank (share of the Bank)</w:t>
            </w:r>
          </w:p>
        </w:tc>
      </w:tr>
      <w:tr w:rsidR="0034627F" w:rsidRPr="00D74F7B" w14:paraId="3BFB10D2" w14:textId="77777777" w:rsidTr="00F513BC">
        <w:trPr>
          <w:trHeight w:val="357"/>
        </w:trPr>
        <w:tc>
          <w:tcPr>
            <w:tcW w:w="3147" w:type="dxa"/>
          </w:tcPr>
          <w:p w14:paraId="1D66A7CF"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rPr>
            </w:pPr>
            <w:r w:rsidRPr="00D549EE">
              <w:rPr>
                <w:rFonts w:ascii="Times New Roman" w:hAnsi="Times New Roman"/>
                <w:color w:val="000000" w:themeColor="text1"/>
                <w:sz w:val="24"/>
                <w:szCs w:val="24"/>
              </w:rPr>
              <w:t>Property right</w:t>
            </w:r>
          </w:p>
        </w:tc>
        <w:tc>
          <w:tcPr>
            <w:tcW w:w="3147" w:type="dxa"/>
          </w:tcPr>
          <w:p w14:paraId="06406D32"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The Customer (borrower) is the owner of the real estate.</w:t>
            </w:r>
          </w:p>
        </w:tc>
        <w:tc>
          <w:tcPr>
            <w:tcW w:w="3148" w:type="dxa"/>
          </w:tcPr>
          <w:p w14:paraId="70A9C518"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The Customer and the Bank jointly own real estate.</w:t>
            </w:r>
          </w:p>
        </w:tc>
      </w:tr>
      <w:tr w:rsidR="0034627F" w:rsidRPr="00D74F7B" w14:paraId="4D45A7D5" w14:textId="77777777" w:rsidTr="00F513BC">
        <w:trPr>
          <w:trHeight w:val="701"/>
        </w:trPr>
        <w:tc>
          <w:tcPr>
            <w:tcW w:w="3147" w:type="dxa"/>
          </w:tcPr>
          <w:p w14:paraId="29C11FBB"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Collateral</w:t>
            </w:r>
          </w:p>
        </w:tc>
        <w:tc>
          <w:tcPr>
            <w:tcW w:w="3147" w:type="dxa"/>
          </w:tcPr>
          <w:p w14:paraId="70EB21CC"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A mortgage in the form of purchased real estate.</w:t>
            </w:r>
          </w:p>
        </w:tc>
        <w:tc>
          <w:tcPr>
            <w:tcW w:w="3148" w:type="dxa"/>
          </w:tcPr>
          <w:p w14:paraId="077C7949"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Not required because the Bank is one of the owners of real estate</w:t>
            </w:r>
          </w:p>
        </w:tc>
      </w:tr>
      <w:tr w:rsidR="0034627F" w:rsidRPr="00D74F7B" w14:paraId="5E7B62F1" w14:textId="77777777" w:rsidTr="00F513BC">
        <w:trPr>
          <w:trHeight w:val="1242"/>
        </w:trPr>
        <w:tc>
          <w:tcPr>
            <w:tcW w:w="3147" w:type="dxa"/>
          </w:tcPr>
          <w:p w14:paraId="044466B5"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rPr>
            </w:pPr>
            <w:r w:rsidRPr="00D549EE">
              <w:rPr>
                <w:rFonts w:ascii="Times New Roman" w:hAnsi="Times New Roman"/>
                <w:color w:val="000000" w:themeColor="text1"/>
                <w:sz w:val="24"/>
                <w:szCs w:val="24"/>
              </w:rPr>
              <w:t xml:space="preserve">Profit of </w:t>
            </w:r>
            <w:r w:rsidRPr="00D549EE">
              <w:rPr>
                <w:rFonts w:ascii="Times New Roman" w:hAnsi="Times New Roman"/>
                <w:color w:val="000000" w:themeColor="text1"/>
                <w:sz w:val="24"/>
                <w:szCs w:val="24"/>
                <w:lang w:val="en-US"/>
              </w:rPr>
              <w:t xml:space="preserve">the </w:t>
            </w:r>
            <w:r w:rsidRPr="00D549EE">
              <w:rPr>
                <w:rFonts w:ascii="Times New Roman" w:hAnsi="Times New Roman"/>
                <w:color w:val="000000" w:themeColor="text1"/>
                <w:sz w:val="24"/>
                <w:szCs w:val="24"/>
              </w:rPr>
              <w:t>Bank</w:t>
            </w:r>
          </w:p>
        </w:tc>
        <w:tc>
          <w:tcPr>
            <w:tcW w:w="3147" w:type="dxa"/>
          </w:tcPr>
          <w:p w14:paraId="4F24D670"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Remuneration on loan. Remuneration depends on the interest rate and outstanding principal balance.</w:t>
            </w:r>
          </w:p>
        </w:tc>
        <w:tc>
          <w:tcPr>
            <w:tcW w:w="3148" w:type="dxa"/>
          </w:tcPr>
          <w:p w14:paraId="534378BA"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The Customer paid Rental payments for using the Bank's real estate share. The payments' size depends on the rental (profit) rate and the Bank's share of the common property.</w:t>
            </w:r>
          </w:p>
        </w:tc>
      </w:tr>
      <w:tr w:rsidR="0034627F" w:rsidRPr="00D74F7B" w14:paraId="11269752" w14:textId="77777777" w:rsidTr="00AF41FD">
        <w:trPr>
          <w:trHeight w:val="2154"/>
        </w:trPr>
        <w:tc>
          <w:tcPr>
            <w:tcW w:w="3147" w:type="dxa"/>
            <w:tcBorders>
              <w:bottom w:val="single" w:sz="4" w:space="0" w:color="auto"/>
            </w:tcBorders>
          </w:tcPr>
          <w:p w14:paraId="3E8F9C8E"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Return of the sum of financing</w:t>
            </w:r>
          </w:p>
        </w:tc>
        <w:tc>
          <w:tcPr>
            <w:tcW w:w="3147" w:type="dxa"/>
            <w:tcBorders>
              <w:bottom w:val="single" w:sz="4" w:space="0" w:color="auto"/>
            </w:tcBorders>
          </w:tcPr>
          <w:p w14:paraId="2675C7BB"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Periodic repayment of bank loan principal.</w:t>
            </w:r>
          </w:p>
          <w:p w14:paraId="0F7C2A1A"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The total principal amount is fixed.</w:t>
            </w:r>
          </w:p>
        </w:tc>
        <w:tc>
          <w:tcPr>
            <w:tcW w:w="3148" w:type="dxa"/>
            <w:tcBorders>
              <w:bottom w:val="single" w:sz="4" w:space="0" w:color="auto"/>
            </w:tcBorders>
          </w:tcPr>
          <w:p w14:paraId="2967E0C4"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Periodic redemption by the Customer of a share of Bank (the Bank's share gradually decreases, the Customer's share - increases). The Customer determines the value of the Bank’s share purchased at the time of purchase based on the market value (i.e., may increase or decrease).</w:t>
            </w:r>
          </w:p>
        </w:tc>
      </w:tr>
      <w:tr w:rsidR="0034627F" w:rsidRPr="00D549EE" w14:paraId="3ED75431" w14:textId="77777777" w:rsidTr="00AF41FD">
        <w:trPr>
          <w:trHeight w:val="779"/>
        </w:trPr>
        <w:tc>
          <w:tcPr>
            <w:tcW w:w="3147" w:type="dxa"/>
            <w:tcBorders>
              <w:bottom w:val="nil"/>
            </w:tcBorders>
          </w:tcPr>
          <w:p w14:paraId="1087EFA5"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rPr>
            </w:pPr>
            <w:r w:rsidRPr="00D549EE">
              <w:rPr>
                <w:rFonts w:ascii="Times New Roman" w:hAnsi="Times New Roman"/>
                <w:color w:val="000000" w:themeColor="text1"/>
                <w:sz w:val="24"/>
                <w:szCs w:val="24"/>
              </w:rPr>
              <w:t xml:space="preserve">Prepayment </w:t>
            </w:r>
            <w:r w:rsidRPr="00D549EE">
              <w:rPr>
                <w:rFonts w:ascii="Times New Roman" w:hAnsi="Times New Roman"/>
                <w:color w:val="000000" w:themeColor="text1"/>
                <w:sz w:val="24"/>
                <w:szCs w:val="24"/>
                <w:lang w:val="en-US"/>
              </w:rPr>
              <w:t>p</w:t>
            </w:r>
            <w:r w:rsidRPr="00D549EE">
              <w:rPr>
                <w:rFonts w:ascii="Times New Roman" w:hAnsi="Times New Roman"/>
                <w:color w:val="000000" w:themeColor="text1"/>
                <w:sz w:val="24"/>
                <w:szCs w:val="24"/>
              </w:rPr>
              <w:t>enalty</w:t>
            </w:r>
          </w:p>
        </w:tc>
        <w:tc>
          <w:tcPr>
            <w:tcW w:w="3147" w:type="dxa"/>
            <w:tcBorders>
              <w:bottom w:val="nil"/>
            </w:tcBorders>
          </w:tcPr>
          <w:p w14:paraId="4A015206"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As a rule, it is present in the loan agreement, especially at the beginning of the loan term.</w:t>
            </w:r>
          </w:p>
        </w:tc>
        <w:tc>
          <w:tcPr>
            <w:tcW w:w="3148" w:type="dxa"/>
            <w:tcBorders>
              <w:bottom w:val="nil"/>
            </w:tcBorders>
          </w:tcPr>
          <w:p w14:paraId="2FB49C27"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No penalty</w:t>
            </w:r>
          </w:p>
        </w:tc>
      </w:tr>
    </w:tbl>
    <w:p w14:paraId="77DFFCCA" w14:textId="24C6DC75" w:rsidR="00F513BC" w:rsidRDefault="00F513BC"/>
    <w:p w14:paraId="7C044BCB" w14:textId="4BDC9C0A" w:rsidR="006519FA" w:rsidRDefault="006519FA"/>
    <w:p w14:paraId="695AF7AF" w14:textId="61DCDC6C" w:rsidR="006519FA" w:rsidRDefault="006519FA"/>
    <w:p w14:paraId="710111FE" w14:textId="511C39A7" w:rsidR="006519FA" w:rsidRDefault="006519FA"/>
    <w:p w14:paraId="42DCA997" w14:textId="77777777" w:rsidR="006519FA" w:rsidRPr="00D549EE" w:rsidRDefault="006519FA"/>
    <w:p w14:paraId="502DAE3F" w14:textId="77777777" w:rsidR="00D246CC" w:rsidRPr="00D549EE" w:rsidRDefault="00D246CC"/>
    <w:p w14:paraId="63DD31DD" w14:textId="7381E025" w:rsidR="00F513BC" w:rsidRDefault="00F513BC"/>
    <w:p w14:paraId="5880E220" w14:textId="636FDB09" w:rsidR="00697A02" w:rsidRDefault="00697A02"/>
    <w:p w14:paraId="5532DA4F" w14:textId="1E2E17A5" w:rsidR="00697A02" w:rsidRDefault="00697A02">
      <w:r w:rsidRPr="00697A02">
        <w:lastRenderedPageBreak/>
        <w:t>Continuation of table 1</w:t>
      </w:r>
    </w:p>
    <w:p w14:paraId="694DC7BE" w14:textId="77777777" w:rsidR="00697A02" w:rsidRPr="00D549EE" w:rsidRDefault="00697A02"/>
    <w:tbl>
      <w:tblPr>
        <w:tblStyle w:val="a9"/>
        <w:tblW w:w="0" w:type="auto"/>
        <w:tblLook w:val="04A0" w:firstRow="1" w:lastRow="0" w:firstColumn="1" w:lastColumn="0" w:noHBand="0" w:noVBand="1"/>
      </w:tblPr>
      <w:tblGrid>
        <w:gridCol w:w="3147"/>
        <w:gridCol w:w="3147"/>
        <w:gridCol w:w="3148"/>
      </w:tblGrid>
      <w:tr w:rsidR="00D246CC" w:rsidRPr="00D549EE" w14:paraId="6B691BCC" w14:textId="77777777" w:rsidTr="00D246CC">
        <w:trPr>
          <w:trHeight w:val="131"/>
        </w:trPr>
        <w:tc>
          <w:tcPr>
            <w:tcW w:w="3147" w:type="dxa"/>
          </w:tcPr>
          <w:p w14:paraId="4A916D47" w14:textId="3A5C5AB8" w:rsidR="00D246CC" w:rsidRPr="00D549EE" w:rsidRDefault="00D246CC"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1</w:t>
            </w:r>
          </w:p>
        </w:tc>
        <w:tc>
          <w:tcPr>
            <w:tcW w:w="3147" w:type="dxa"/>
          </w:tcPr>
          <w:p w14:paraId="481A0FF7" w14:textId="04111732" w:rsidR="00D246CC" w:rsidRPr="00D549EE" w:rsidRDefault="00D246CC"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2</w:t>
            </w:r>
          </w:p>
        </w:tc>
        <w:tc>
          <w:tcPr>
            <w:tcW w:w="3148" w:type="dxa"/>
          </w:tcPr>
          <w:p w14:paraId="2AE34209" w14:textId="1EB37E2E" w:rsidR="00D246CC" w:rsidRPr="00D549EE" w:rsidRDefault="00D246CC"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3</w:t>
            </w:r>
          </w:p>
        </w:tc>
      </w:tr>
      <w:tr w:rsidR="0034627F" w:rsidRPr="00D74F7B" w14:paraId="21ECA712" w14:textId="77777777" w:rsidTr="00F513BC">
        <w:trPr>
          <w:trHeight w:val="799"/>
        </w:trPr>
        <w:tc>
          <w:tcPr>
            <w:tcW w:w="3147" w:type="dxa"/>
          </w:tcPr>
          <w:p w14:paraId="65C5B557"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rPr>
            </w:pPr>
            <w:r w:rsidRPr="00D549EE">
              <w:rPr>
                <w:rFonts w:ascii="Times New Roman" w:hAnsi="Times New Roman"/>
                <w:color w:val="000000" w:themeColor="text1"/>
                <w:sz w:val="24"/>
                <w:szCs w:val="24"/>
              </w:rPr>
              <w:t>Late payment penalty</w:t>
            </w:r>
          </w:p>
        </w:tc>
        <w:tc>
          <w:tcPr>
            <w:tcW w:w="3147" w:type="dxa"/>
          </w:tcPr>
          <w:p w14:paraId="6CCAA6C4"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Present, regarded as a disciplinary measure and part of the Bank's income.</w:t>
            </w:r>
          </w:p>
        </w:tc>
        <w:tc>
          <w:tcPr>
            <w:tcW w:w="3148" w:type="dxa"/>
          </w:tcPr>
          <w:p w14:paraId="356C9714"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Present, considered solely as a disciplinary measure. The Islamic Bank sends the penalty to charity.</w:t>
            </w:r>
          </w:p>
        </w:tc>
      </w:tr>
      <w:tr w:rsidR="0034627F" w:rsidRPr="00D74F7B" w14:paraId="2697D38A" w14:textId="77777777" w:rsidTr="00F513BC">
        <w:trPr>
          <w:trHeight w:val="841"/>
        </w:trPr>
        <w:tc>
          <w:tcPr>
            <w:tcW w:w="3147" w:type="dxa"/>
          </w:tcPr>
          <w:p w14:paraId="0ED217FD"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Standard consequences of a default</w:t>
            </w:r>
          </w:p>
        </w:tc>
        <w:tc>
          <w:tcPr>
            <w:tcW w:w="3147" w:type="dxa"/>
          </w:tcPr>
          <w:p w14:paraId="2CEEEC19"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Sale of pledge (real estate). At the expense of the amount obtained from the pledge's sale, the Customer's debt to the Bank is repaid. According to the Republic of Kazakhstan legislation requirements, if the pledge realization exceeds the debt amount, the Customer returns the difference. However, this is rare in practice because collateral disposal usually takes place below the market price. As a result, the borrower loses real estate and money in case of default.</w:t>
            </w:r>
          </w:p>
        </w:tc>
        <w:tc>
          <w:tcPr>
            <w:tcW w:w="3148" w:type="dxa"/>
          </w:tcPr>
          <w:p w14:paraId="64E454D8" w14:textId="77777777" w:rsidR="0034627F" w:rsidRPr="00D549EE" w:rsidRDefault="0034627F" w:rsidP="00C9582F">
            <w:pPr>
              <w:pStyle w:val="a3"/>
              <w:snapToGrid w:val="0"/>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Real estate is sold if the Customer’s inability to redeem the Bank’s shares and inability to pay rental payments. Meanwhile, the accrued funds are distributed between the parties in proportion to the common property shares at the sale time. Thus, the principle of risk and loss sharing between the Customer and the Bank is implemented in practice.</w:t>
            </w:r>
          </w:p>
        </w:tc>
      </w:tr>
      <w:tr w:rsidR="0034627F" w:rsidRPr="00D549EE" w14:paraId="19774F37" w14:textId="77777777" w:rsidTr="005A1EE9">
        <w:trPr>
          <w:trHeight w:val="324"/>
        </w:trPr>
        <w:tc>
          <w:tcPr>
            <w:tcW w:w="9442" w:type="dxa"/>
            <w:gridSpan w:val="3"/>
          </w:tcPr>
          <w:p w14:paraId="2CAD8FED" w14:textId="46A19A20" w:rsidR="0034627F" w:rsidRPr="00D549EE" w:rsidRDefault="005A1EE9" w:rsidP="00C9582F">
            <w:pPr>
              <w:pStyle w:val="a3"/>
              <w:snapToGrid w:val="0"/>
              <w:spacing w:line="240" w:lineRule="auto"/>
              <w:ind w:left="0" w:firstLine="591"/>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 xml:space="preserve">Note – </w:t>
            </w:r>
            <w:r w:rsidR="0034627F" w:rsidRPr="00D549EE">
              <w:rPr>
                <w:rFonts w:ascii="Times New Roman" w:hAnsi="Times New Roman"/>
                <w:color w:val="000000" w:themeColor="text1"/>
                <w:sz w:val="24"/>
                <w:szCs w:val="24"/>
                <w:lang w:val="en-US"/>
              </w:rPr>
              <w:t xml:space="preserve">Source </w:t>
            </w:r>
            <w:r w:rsidRPr="00D549EE">
              <w:rPr>
                <w:rFonts w:ascii="Times New Roman" w:hAnsi="Times New Roman"/>
                <w:color w:val="000000" w:themeColor="text1"/>
                <w:sz w:val="24"/>
                <w:szCs w:val="24"/>
                <w:lang w:val="en-US"/>
              </w:rPr>
              <w:fldChar w:fldCharType="begin" w:fldLock="1"/>
            </w:r>
            <w:r w:rsidR="00FA7152" w:rsidRPr="00D549EE">
              <w:rPr>
                <w:rFonts w:ascii="Times New Roman" w:hAnsi="Times New Roman"/>
                <w:color w:val="000000" w:themeColor="text1"/>
                <w:sz w:val="24"/>
                <w:szCs w:val="24"/>
                <w:lang w:val="en-US"/>
              </w:rPr>
              <w:instrText>ADDIN CSL_CITATION {"citationItems":[{"id":"ITEM-1","itemData":{"DOI":"https://doi.org/10.1108/QRFM-03-2020-0023","abstract":"Purpose This paper aims to take stock of the Islamic finance experience and aims to identify an approach for further development in Kazakhstan, using qualitative and quantitative assessments. Design/methodology/approach The paper presents a conceptual framework based on literature review and content analysis. Furthermore, the study uses a survey-based methodology to collect data and determine the prospects, challenges and possible remedies. The quantitative parameters of the potential of Islamic finance in Kazakhstan are based on the assessment of funds on bank deposits, which can be considered potential resources for Islamic financial instruments.","author":[{"dropping-particle":"","family":"Shirazi","given":"Nasim","non-dropping-particle":"","parse-names":false,"suffix":""},{"dropping-particle":"","family":"Kuanova","given":"Laura","non-dropping-particle":"","parse-names":false,"suffix":""},{"dropping-particle":"","family":"Ryskulov","given":"Adilbek","non-dropping-particle":"","parse-names":false,"suffix":""},{"dropping-particle":"","family":"Mukusheva","given":"Aziya","non-dropping-particle":"","parse-names":false,"suffix":""}],"container-title":"Qualitative Research in Financial Markets","id":"ITEM-1","issued":{"date-parts":[["2021"]]},"title":"The experience and the prospects of Islamic finance in Kazakhstan","type":"article-journal"},"uris":["http://www.mendeley.com/documents/?uuid=44f0af57-3208-471b-868a-248de1a742d4"]}],"mendeley":{"formattedCitation":"[42]","plainTextFormattedCitation":"[42]","previouslyFormattedCitation":"[42]"},"properties":{"noteIndex":0},"schema":"https://github.com/citation-style-language/schema/raw/master/csl-citation.json"}</w:instrText>
            </w:r>
            <w:r w:rsidRPr="00D549EE">
              <w:rPr>
                <w:rFonts w:ascii="Times New Roman" w:hAnsi="Times New Roman"/>
                <w:color w:val="000000" w:themeColor="text1"/>
                <w:sz w:val="24"/>
                <w:szCs w:val="24"/>
                <w:lang w:val="en-US"/>
              </w:rPr>
              <w:fldChar w:fldCharType="separate"/>
            </w:r>
            <w:r w:rsidR="00785182" w:rsidRPr="00D549EE">
              <w:rPr>
                <w:rFonts w:ascii="Times New Roman" w:hAnsi="Times New Roman"/>
                <w:noProof/>
                <w:color w:val="000000" w:themeColor="text1"/>
                <w:sz w:val="24"/>
                <w:szCs w:val="24"/>
                <w:lang w:val="en-US"/>
              </w:rPr>
              <w:t>[42]</w:t>
            </w:r>
            <w:r w:rsidRPr="00D549EE">
              <w:rPr>
                <w:rFonts w:ascii="Times New Roman" w:hAnsi="Times New Roman"/>
                <w:color w:val="000000" w:themeColor="text1"/>
                <w:sz w:val="24"/>
                <w:szCs w:val="24"/>
                <w:lang w:val="en-US"/>
              </w:rPr>
              <w:fldChar w:fldCharType="end"/>
            </w:r>
          </w:p>
        </w:tc>
      </w:tr>
    </w:tbl>
    <w:p w14:paraId="2C8EF575" w14:textId="77777777" w:rsidR="006E2526" w:rsidRPr="00D549EE" w:rsidRDefault="00913981" w:rsidP="00C9582F">
      <w:pPr>
        <w:jc w:val="both"/>
        <w:rPr>
          <w:color w:val="000000" w:themeColor="text1"/>
          <w:sz w:val="28"/>
          <w:szCs w:val="28"/>
          <w:lang w:val="en-US"/>
        </w:rPr>
      </w:pPr>
      <w:r w:rsidRPr="00D549EE">
        <w:rPr>
          <w:color w:val="000000" w:themeColor="text1"/>
          <w:sz w:val="28"/>
          <w:szCs w:val="28"/>
          <w:lang w:val="en-US"/>
        </w:rPr>
        <w:tab/>
      </w:r>
    </w:p>
    <w:p w14:paraId="749542FA" w14:textId="77777777" w:rsidR="00A55E64" w:rsidRPr="00A55E64" w:rsidRDefault="006E2526" w:rsidP="00A55E64">
      <w:pPr>
        <w:jc w:val="both"/>
        <w:rPr>
          <w:color w:val="000000" w:themeColor="text1"/>
          <w:sz w:val="28"/>
          <w:szCs w:val="28"/>
          <w:lang w:val="en-US"/>
        </w:rPr>
      </w:pPr>
      <w:r w:rsidRPr="00D549EE">
        <w:rPr>
          <w:color w:val="000000" w:themeColor="text1"/>
          <w:sz w:val="28"/>
          <w:szCs w:val="28"/>
          <w:lang w:val="en-US"/>
        </w:rPr>
        <w:tab/>
      </w:r>
      <w:r w:rsidR="00A55E64" w:rsidRPr="00A55E64">
        <w:rPr>
          <w:color w:val="000000" w:themeColor="text1"/>
          <w:sz w:val="28"/>
          <w:szCs w:val="28"/>
          <w:lang w:val="en-US"/>
        </w:rPr>
        <w:t>By analyzing the product with a focus on social impact, it is apparent that as the customer and bank share the property's right related property, furthermore by every payment, the customer's share increases, and in the case of bankruptcy client has the right for the own share of the property by market price, Islamic instrument is more fair than conventional once [43]. In addition to the positive impact on clients, the principle of risk and loss sharing between the client and the bank encourages banks to conduct a more informed risk management process without relying solely on collateral. As the practice has shown, excessive lending on the pledge of movable and immovable property without alternative risk management approaches leads to a liquidity crisis and a concentration of non-core collateral assets on the bank's balance sheet.</w:t>
      </w:r>
    </w:p>
    <w:p w14:paraId="1D376928" w14:textId="77777777" w:rsidR="00A55E64" w:rsidRPr="00A55E64" w:rsidRDefault="00A55E64" w:rsidP="00A55E64">
      <w:pPr>
        <w:jc w:val="both"/>
        <w:rPr>
          <w:color w:val="000000" w:themeColor="text1"/>
          <w:sz w:val="28"/>
          <w:szCs w:val="28"/>
          <w:lang w:val="en-US"/>
        </w:rPr>
      </w:pPr>
      <w:r w:rsidRPr="00A55E64">
        <w:rPr>
          <w:color w:val="000000" w:themeColor="text1"/>
          <w:sz w:val="28"/>
          <w:szCs w:val="28"/>
          <w:lang w:val="en-US"/>
        </w:rPr>
        <w:tab/>
        <w:t xml:space="preserve">Suppose turn the governance of the Islamic financial institutions as the component of the social features of Islamic finance based on the specific mechanism and implemented independent Shariah Supervisory body (SSB), which reports directly to the institution's owners. The SSB members are qualified with particular Shariah education scholars who are independent of the commercial aspects of the institution. There are several rules of the SSB, the main of them is the insurance of the Shariah-compliance of the financial products and services. According to the Shariah Governance Standard 10 of the IFSB, the SSB of the Islamic financial institution provides Shariah compliance and audit [44]. There are five criteria of the SSB identified the role of it: Independence – the members must be independent of the </w:t>
      </w:r>
      <w:r w:rsidRPr="00A55E64">
        <w:rPr>
          <w:color w:val="000000" w:themeColor="text1"/>
          <w:sz w:val="28"/>
          <w:szCs w:val="28"/>
          <w:lang w:val="en-US"/>
        </w:rPr>
        <w:lastRenderedPageBreak/>
        <w:t>management; Confidentiality – proprietary information of the SSB activity must be confident; Competence – the members of the SSB required to have the knowledge and experience in Fiqh, that is Islamic law; Disclosure – the transparency of the Fatwa and structure. From these criteria of the SSB, the leading role manifests as the Advisory role, approval, and audit role. The SSB in the Shariah compliance institution is based on the functions performed. Thus, the Approval process consists of the stages of structuring the product, followed by the approval of the legal documentation and final approval for specific transactions.</w:t>
      </w:r>
    </w:p>
    <w:p w14:paraId="71C9F294" w14:textId="77777777" w:rsidR="00A55E64" w:rsidRPr="00A55E64" w:rsidRDefault="00A55E64" w:rsidP="00A55E64">
      <w:pPr>
        <w:jc w:val="both"/>
        <w:rPr>
          <w:color w:val="000000" w:themeColor="text1"/>
          <w:sz w:val="28"/>
          <w:szCs w:val="28"/>
          <w:lang w:val="en-US"/>
        </w:rPr>
      </w:pPr>
      <w:r w:rsidRPr="00A55E64">
        <w:rPr>
          <w:color w:val="000000" w:themeColor="text1"/>
          <w:sz w:val="28"/>
          <w:szCs w:val="28"/>
          <w:lang w:val="en-US"/>
        </w:rPr>
        <w:tab/>
        <w:t>According to the AAOIFI governance standard 3, Islamic financial institution performs internal Shariah audit, which is an integral part of the audit within the institution [37, p. 547]. The operations of the Islamic financial institution do not contravene Shariah, and the SSB is responsible for establishing and disclosing an independent opinion. The Shariah audit is a regular procedure for insurance of the Shariah compliance of the institution's activity and also includes an evaluation of the institution's environment, customer reading material, and staff dress code. For the different branches and levels of the financial institution, a verification must be done: from the knowledge and understanding of the process by staff to the degree of Shariah compliance of financing transactions.</w:t>
      </w:r>
    </w:p>
    <w:p w14:paraId="6B6C09CE" w14:textId="77777777" w:rsidR="00A55E64" w:rsidRPr="00A55E64" w:rsidRDefault="00A55E64" w:rsidP="00A55E64">
      <w:pPr>
        <w:jc w:val="both"/>
        <w:rPr>
          <w:color w:val="000000" w:themeColor="text1"/>
          <w:sz w:val="28"/>
          <w:szCs w:val="28"/>
          <w:lang w:val="en-US"/>
        </w:rPr>
      </w:pPr>
      <w:r w:rsidRPr="00A55E64">
        <w:rPr>
          <w:color w:val="000000" w:themeColor="text1"/>
          <w:sz w:val="28"/>
          <w:szCs w:val="28"/>
          <w:lang w:val="en-US"/>
        </w:rPr>
        <w:tab/>
        <w:t xml:space="preserve">In this regard, it is essential to notice the role of AAOIFI in regulating the Islamic financial institutions' activity as an international organization responsible for issuing standards, especially for Islamic financial institutions. There are 57 Shariah standards – identify contractual issues, 27 accounting standards – based on the IFRS (International Financial Reporting Standards) and offer additional standards for specific requirements of Islamic financial institutions, 5 auditing standards – give general guidance for the audit reporting of institution, 7 governance – additional standards required for Islamic financial institutions and 2 ethics standards – aimed at internal accountants and auditors. </w:t>
      </w:r>
    </w:p>
    <w:p w14:paraId="2AC10F5C" w14:textId="77777777" w:rsidR="00A55E64" w:rsidRPr="00A55E64" w:rsidRDefault="00A55E64" w:rsidP="00A55E64">
      <w:pPr>
        <w:jc w:val="both"/>
        <w:rPr>
          <w:color w:val="000000" w:themeColor="text1"/>
          <w:sz w:val="28"/>
          <w:szCs w:val="28"/>
          <w:lang w:val="en-US"/>
        </w:rPr>
      </w:pPr>
      <w:r w:rsidRPr="00A55E64">
        <w:rPr>
          <w:color w:val="000000" w:themeColor="text1"/>
          <w:sz w:val="28"/>
          <w:szCs w:val="28"/>
          <w:lang w:val="en-US"/>
        </w:rPr>
        <w:tab/>
        <w:t xml:space="preserve">Thus, Islamic financial institutions are regulated by international civil law, by acts and requirements of the state regulation, and international standards for Islamic financial institutions because there is a responsibility to comply with the rules prescribed by Shariah. </w:t>
      </w:r>
    </w:p>
    <w:p w14:paraId="4B770913" w14:textId="77777777" w:rsidR="00A55E64" w:rsidRPr="00A55E64" w:rsidRDefault="00A55E64" w:rsidP="00A55E64">
      <w:pPr>
        <w:jc w:val="both"/>
        <w:rPr>
          <w:color w:val="000000" w:themeColor="text1"/>
          <w:sz w:val="28"/>
          <w:szCs w:val="28"/>
          <w:lang w:val="en-US"/>
        </w:rPr>
      </w:pPr>
      <w:r w:rsidRPr="00A55E64">
        <w:rPr>
          <w:color w:val="000000" w:themeColor="text1"/>
          <w:sz w:val="28"/>
          <w:szCs w:val="28"/>
          <w:lang w:val="en-US"/>
        </w:rPr>
        <w:tab/>
        <w:t>Figure 1 illustrates the advantages and benefits of the Islamic financial system for the country's economy and the world. The main features are efficiency, which, based on the profit and loss sharing principle, allows to generate profit from real transactions of financial resources to commodity or real asset without overflow of financial resources to other financial resources in the form of interest. Stability in Islamic finance is reached through the prohibition of sales of debt to debt and derivative debt financial instruments and a strong connection between financial operations and real assets in the form of commodities. There are a number of contracts based on debt in Islamic finance, however, the sale of debt is strongly prohibited. Islamic financial institutions use contracts to ensure information symmetry between resources provider and user. Information symmetry is a framework for all used contracts in Islamic finance.</w:t>
      </w:r>
    </w:p>
    <w:p w14:paraId="4CD92042" w14:textId="77777777" w:rsidR="004A223A" w:rsidRDefault="00A55E64" w:rsidP="00A55E64">
      <w:pPr>
        <w:jc w:val="both"/>
        <w:rPr>
          <w:color w:val="000000" w:themeColor="text1"/>
          <w:sz w:val="28"/>
          <w:szCs w:val="28"/>
          <w:lang w:val="en-US"/>
        </w:rPr>
      </w:pPr>
      <w:r w:rsidRPr="00A55E64">
        <w:rPr>
          <w:color w:val="000000" w:themeColor="text1"/>
          <w:sz w:val="28"/>
          <w:szCs w:val="28"/>
          <w:lang w:val="en-US"/>
        </w:rPr>
        <w:tab/>
        <w:t>The set of the advantages and the benefits of Islamic finance for economics looks like the following according to [45] [46]:</w:t>
      </w:r>
    </w:p>
    <w:p w14:paraId="0B21424D" w14:textId="5B364A9C" w:rsidR="00BF6A93" w:rsidRPr="00D549EE" w:rsidRDefault="00BF6A93" w:rsidP="00A55E64">
      <w:pPr>
        <w:jc w:val="both"/>
        <w:rPr>
          <w:lang w:val="en-US"/>
        </w:rPr>
      </w:pPr>
      <w:r w:rsidRPr="00D549EE">
        <w:rPr>
          <w:noProof/>
        </w:rPr>
        <w:lastRenderedPageBreak/>
        <w:drawing>
          <wp:inline distT="0" distB="0" distL="0" distR="0" wp14:anchorId="2919A0BD" wp14:editId="4A950B03">
            <wp:extent cx="6134100" cy="3181350"/>
            <wp:effectExtent l="0" t="19050" r="0" b="3810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5F94B62" w14:textId="70303D58" w:rsidR="00BF6A93" w:rsidRPr="00D549EE" w:rsidRDefault="00BF6A93" w:rsidP="00C9582F">
      <w:pPr>
        <w:pStyle w:val="a5"/>
        <w:jc w:val="center"/>
        <w:rPr>
          <w:sz w:val="28"/>
          <w:szCs w:val="28"/>
          <w:lang w:val="en-US"/>
        </w:rPr>
      </w:pPr>
      <w:r w:rsidRPr="00D549EE">
        <w:rPr>
          <w:bCs/>
          <w:sz w:val="28"/>
          <w:szCs w:val="28"/>
          <w:lang w:val="en-US"/>
        </w:rPr>
        <w:t xml:space="preserve">Figure </w:t>
      </w:r>
      <w:r w:rsidR="00344140" w:rsidRPr="00D549EE">
        <w:rPr>
          <w:bCs/>
          <w:sz w:val="28"/>
          <w:szCs w:val="28"/>
          <w:lang w:val="en-US"/>
        </w:rPr>
        <w:t>1</w:t>
      </w:r>
      <w:r w:rsidRPr="00D549EE">
        <w:rPr>
          <w:bCs/>
          <w:sz w:val="28"/>
          <w:szCs w:val="28"/>
          <w:lang w:val="en-US"/>
        </w:rPr>
        <w:t xml:space="preserve"> </w:t>
      </w:r>
      <w:r w:rsidRPr="00D549EE">
        <w:rPr>
          <w:color w:val="000000" w:themeColor="text1"/>
          <w:lang w:val="en-US"/>
        </w:rPr>
        <w:t>–</w:t>
      </w:r>
      <w:r w:rsidRPr="00D549EE">
        <w:rPr>
          <w:color w:val="000000" w:themeColor="text1"/>
          <w:sz w:val="28"/>
          <w:szCs w:val="28"/>
          <w:lang w:val="en-US"/>
        </w:rPr>
        <w:t xml:space="preserve"> </w:t>
      </w:r>
      <w:r w:rsidRPr="00D549EE">
        <w:rPr>
          <w:sz w:val="28"/>
          <w:szCs w:val="28"/>
          <w:lang w:val="en-US"/>
        </w:rPr>
        <w:t>Set of the advantages of Islamic finance</w:t>
      </w:r>
    </w:p>
    <w:p w14:paraId="17CDA60D" w14:textId="77777777" w:rsidR="00BF6A93" w:rsidRPr="00D549EE" w:rsidRDefault="00BF6A93" w:rsidP="00C9582F">
      <w:pPr>
        <w:pStyle w:val="a5"/>
        <w:rPr>
          <w:sz w:val="28"/>
          <w:szCs w:val="28"/>
          <w:lang w:val="en-US"/>
        </w:rPr>
      </w:pPr>
      <w:r w:rsidRPr="00D549EE">
        <w:rPr>
          <w:sz w:val="28"/>
          <w:szCs w:val="28"/>
          <w:lang w:val="en-US"/>
        </w:rPr>
        <w:tab/>
      </w:r>
      <w:r w:rsidRPr="00D549EE">
        <w:rPr>
          <w:lang w:val="en-US"/>
        </w:rPr>
        <w:t>Note – Compiled by the author</w:t>
      </w:r>
    </w:p>
    <w:p w14:paraId="41E6208B" w14:textId="77777777" w:rsidR="00D84943" w:rsidRPr="00D84943" w:rsidRDefault="00BF6A93" w:rsidP="00D84943">
      <w:pPr>
        <w:pStyle w:val="a5"/>
        <w:contextualSpacing/>
        <w:jc w:val="both"/>
        <w:rPr>
          <w:sz w:val="28"/>
          <w:szCs w:val="28"/>
          <w:lang w:val="en-US"/>
        </w:rPr>
      </w:pPr>
      <w:r w:rsidRPr="00D549EE">
        <w:rPr>
          <w:sz w:val="28"/>
          <w:szCs w:val="28"/>
          <w:lang w:val="en-US"/>
        </w:rPr>
        <w:tab/>
      </w:r>
      <w:r w:rsidR="00D84943" w:rsidRPr="00D84943">
        <w:rPr>
          <w:sz w:val="28"/>
          <w:szCs w:val="28"/>
          <w:lang w:val="en-US"/>
        </w:rPr>
        <w:t xml:space="preserve">Mobilizing financial resources in ethical investments and prohibition of haram business (drug, alcohol, tobacco, adult entertainment, casino and gambling, weapon) and any activity that harms society and the environment allow financing of economic development with avoidance of pseudo-needs of community. The Islamic financial system demonstrates sustainability to the economic and financial crises due to institutional structure interest and debt trading and has a good set of tools to deal with the consequences of crises. </w:t>
      </w:r>
    </w:p>
    <w:p w14:paraId="347B4A97" w14:textId="77777777" w:rsidR="00D84943" w:rsidRPr="00D84943" w:rsidRDefault="00D84943" w:rsidP="00D84943">
      <w:pPr>
        <w:pStyle w:val="a5"/>
        <w:contextualSpacing/>
        <w:jc w:val="both"/>
        <w:rPr>
          <w:sz w:val="28"/>
          <w:szCs w:val="28"/>
          <w:lang w:val="en-US"/>
        </w:rPr>
      </w:pPr>
      <w:r w:rsidRPr="00D84943">
        <w:rPr>
          <w:sz w:val="28"/>
          <w:szCs w:val="28"/>
          <w:lang w:val="en-US"/>
        </w:rPr>
        <w:tab/>
        <w:t>Islamic finance benefit in the form of the revolutionary formula for reforming international economies includes several elements. Instead of conventional debt contracts, there are 20 Islamic financial contracts, all financial resources involved in profit and loss sharing investments, and prohibition of debt and risk trading. However, this kind of Islamic financial system is possible in widespread use worldwide.</w:t>
      </w:r>
    </w:p>
    <w:p w14:paraId="78E95161" w14:textId="77777777" w:rsidR="00D84943" w:rsidRPr="00D84943" w:rsidRDefault="00D84943" w:rsidP="00D84943">
      <w:pPr>
        <w:pStyle w:val="a5"/>
        <w:contextualSpacing/>
        <w:jc w:val="both"/>
        <w:rPr>
          <w:sz w:val="28"/>
          <w:szCs w:val="28"/>
          <w:lang w:val="en-US"/>
        </w:rPr>
      </w:pPr>
      <w:r w:rsidRPr="00D84943">
        <w:rPr>
          <w:sz w:val="28"/>
          <w:szCs w:val="28"/>
          <w:lang w:val="en-US"/>
        </w:rPr>
        <w:tab/>
        <w:t>Considered a paradoxical financial system, Islamic finance has shown phenomenal growth over the years after the crisis. According to a Global Islamic Finance report from 2020, the annual turnover of the Islamic finance market reached 2.88 trillion US dollars, while the rate of increase of global Islamic finance has remained at about 12% annual for the last 10 years [47], but last year growth was only 2%, as a result of pandemic crisis [48].</w:t>
      </w:r>
    </w:p>
    <w:p w14:paraId="29E3DDDE" w14:textId="77777777" w:rsidR="00D84943" w:rsidRPr="00D84943" w:rsidRDefault="00D84943" w:rsidP="00D84943">
      <w:pPr>
        <w:pStyle w:val="a5"/>
        <w:contextualSpacing/>
        <w:jc w:val="both"/>
        <w:rPr>
          <w:sz w:val="28"/>
          <w:szCs w:val="28"/>
          <w:lang w:val="en-US"/>
        </w:rPr>
      </w:pPr>
      <w:r w:rsidRPr="00D84943">
        <w:rPr>
          <w:sz w:val="28"/>
          <w:szCs w:val="28"/>
          <w:lang w:val="en-US"/>
        </w:rPr>
        <w:tab/>
        <w:t xml:space="preserve">At the same time, sustainable, responsible, and impact investing, also known as socially responsible or ethical investing, has progressed about two and half times from 13.3 trillion US dollars in 2012 (first report) to 30.7 trillion US dollars at the start of 2018 [49] [50]. </w:t>
      </w:r>
    </w:p>
    <w:p w14:paraId="25C34938" w14:textId="77777777" w:rsidR="00D84943" w:rsidRPr="00D84943" w:rsidRDefault="00D84943" w:rsidP="00D84943">
      <w:pPr>
        <w:pStyle w:val="a5"/>
        <w:contextualSpacing/>
        <w:jc w:val="both"/>
        <w:rPr>
          <w:sz w:val="28"/>
          <w:szCs w:val="28"/>
          <w:lang w:val="en-US"/>
        </w:rPr>
      </w:pPr>
      <w:r w:rsidRPr="00D84943">
        <w:rPr>
          <w:sz w:val="28"/>
          <w:szCs w:val="28"/>
          <w:lang w:val="en-US"/>
        </w:rPr>
        <w:tab/>
        <w:t xml:space="preserve">Social finance or impact investing is an approach to managing investments that deliver a social and environmental dividend as well as an economic return. Islamic </w:t>
      </w:r>
      <w:r w:rsidRPr="00D84943">
        <w:rPr>
          <w:sz w:val="28"/>
          <w:szCs w:val="28"/>
          <w:lang w:val="en-US"/>
        </w:rPr>
        <w:lastRenderedPageBreak/>
        <w:t xml:space="preserve">finance can be considered a subcategory of socially responsible investing. However, there is a fundamental difference between the two meanings in terms of conceptual ideas: the guiding principle of Islamic finance is based on religion. At the same time, impact investing believes in the concept that returns to society should be ethical and sustainable. </w:t>
      </w:r>
    </w:p>
    <w:p w14:paraId="4FDCAC54" w14:textId="77777777" w:rsidR="00D84943" w:rsidRPr="00D84943" w:rsidRDefault="00D84943" w:rsidP="00D84943">
      <w:pPr>
        <w:pStyle w:val="a5"/>
        <w:contextualSpacing/>
        <w:jc w:val="both"/>
        <w:rPr>
          <w:sz w:val="28"/>
          <w:szCs w:val="28"/>
          <w:lang w:val="en-US"/>
        </w:rPr>
      </w:pPr>
      <w:r w:rsidRPr="00D84943">
        <w:rPr>
          <w:sz w:val="28"/>
          <w:szCs w:val="28"/>
          <w:lang w:val="en-US"/>
        </w:rPr>
        <w:tab/>
        <w:t>Despite the difference in the guiding concepts of these investment categories, Islamic social finance can contribute toward sustainable investing and Islamic financial inclusion through the following fundamental principles: governing property, wealth creation, and charitable distribution.</w:t>
      </w:r>
    </w:p>
    <w:p w14:paraId="5FCBFB30" w14:textId="77777777" w:rsidR="00D84943" w:rsidRPr="00D84943" w:rsidRDefault="00D84943" w:rsidP="00D84943">
      <w:pPr>
        <w:pStyle w:val="a5"/>
        <w:contextualSpacing/>
        <w:jc w:val="both"/>
        <w:rPr>
          <w:sz w:val="28"/>
          <w:szCs w:val="28"/>
          <w:lang w:val="en-US"/>
        </w:rPr>
      </w:pPr>
      <w:r w:rsidRPr="00D84943">
        <w:rPr>
          <w:sz w:val="28"/>
          <w:szCs w:val="28"/>
          <w:lang w:val="en-US"/>
        </w:rPr>
        <w:tab/>
        <w:t xml:space="preserve">It is a well-known fact that the world is moving to meet sustainable development goals (SDGs) and that the 2030 agenda for sustainable development calls upon people to do more [51]. Furthermore, investing requirements for these goals are very high, limiting their potential satisfaction through only conventional financing tools. In this case, Islamic finance, which experienced reduced impacts from the global financial crisis due to the specifics of Islamic financial institutions' activities, is being seen as among the resources that could potentially be utilized for SDG purposes. Even though Islamic social finance is an emerging instrument in contemporary financial science and systems, Islamic social finance tools have been instrumental in alleviating poverty and socioeconomic development for a long time. Its instruments can be leveraged to bridge financing gaps and create social safety nets. </w:t>
      </w:r>
    </w:p>
    <w:p w14:paraId="2F705720" w14:textId="77777777" w:rsidR="00D84943" w:rsidRPr="00D84943" w:rsidRDefault="00D84943" w:rsidP="00D84943">
      <w:pPr>
        <w:pStyle w:val="a5"/>
        <w:contextualSpacing/>
        <w:jc w:val="both"/>
        <w:rPr>
          <w:sz w:val="28"/>
          <w:szCs w:val="28"/>
          <w:lang w:val="en-US"/>
        </w:rPr>
      </w:pPr>
      <w:r w:rsidRPr="00D84943">
        <w:rPr>
          <w:sz w:val="28"/>
          <w:szCs w:val="28"/>
          <w:lang w:val="en-US"/>
        </w:rPr>
        <w:tab/>
        <w:t xml:space="preserve">Nowadays, there are 167.6 million people in the world in need of humanitarian assistance. The budget provided for humanitarian aid increases every year and amounted to 28.8 billion US dollars in 2019 [52]. The pandemic that has come in almost every country has influenced the need for humanitarian support and has deepened the problem. There is a genuine potential that Islamic finance could provide solutions. </w:t>
      </w:r>
    </w:p>
    <w:p w14:paraId="03CB35AE" w14:textId="77777777" w:rsidR="00D84943" w:rsidRPr="00D84943" w:rsidRDefault="00D84943" w:rsidP="00D84943">
      <w:pPr>
        <w:pStyle w:val="a5"/>
        <w:contextualSpacing/>
        <w:jc w:val="both"/>
        <w:rPr>
          <w:sz w:val="28"/>
          <w:szCs w:val="28"/>
          <w:lang w:val="en-US"/>
        </w:rPr>
      </w:pPr>
      <w:r w:rsidRPr="00D84943">
        <w:rPr>
          <w:sz w:val="28"/>
          <w:szCs w:val="28"/>
          <w:lang w:val="en-US"/>
        </w:rPr>
        <w:tab/>
        <w:t xml:space="preserve">There is an indisputably important role played by sustainable investments through Islamic finance instruments, with the result that Islamic finance and sustainability are increasingly converging. The United Nations Agenda for Sustainable Development includes 17 Sustainable Development Goals built on the principle of "leaving no one behind" and focused on 169 targets. </w:t>
      </w:r>
    </w:p>
    <w:p w14:paraId="25D6F987" w14:textId="77777777" w:rsidR="00D84943" w:rsidRPr="00D84943" w:rsidRDefault="00D84943" w:rsidP="00D84943">
      <w:pPr>
        <w:pStyle w:val="a5"/>
        <w:contextualSpacing/>
        <w:jc w:val="both"/>
        <w:rPr>
          <w:sz w:val="28"/>
          <w:szCs w:val="28"/>
          <w:lang w:val="en-US"/>
        </w:rPr>
      </w:pPr>
      <w:r w:rsidRPr="00D84943">
        <w:rPr>
          <w:sz w:val="28"/>
          <w:szCs w:val="28"/>
          <w:lang w:val="en-US"/>
        </w:rPr>
        <w:tab/>
        <w:t xml:space="preserve">The UN SDGs cover all aspects of human life and wellbeing. At the same time, the philosophy of Islamic finance is to protect the most critical aspects of being human: life, faith, mind, wealth, and progeny [53]. Islamic finance is based on Islamic law, and the overarching objectives of this law are concerned with the protection of religious freedoms, family rights, the promotion of intellectual thought and reasoning, and the protection and preservation of wealth. There is a link between UN SDGs and Shariah's goals. The analysis of 17 SDG components shows that they align with Shariah and generally serve similar goals. The following table demonstrates the link between the goals. </w:t>
      </w:r>
    </w:p>
    <w:p w14:paraId="26711F20" w14:textId="432F750D" w:rsidR="00D246CC" w:rsidRPr="00D549EE" w:rsidRDefault="00D84943" w:rsidP="00D84943">
      <w:pPr>
        <w:pStyle w:val="a5"/>
        <w:contextualSpacing/>
        <w:jc w:val="both"/>
        <w:rPr>
          <w:sz w:val="28"/>
          <w:szCs w:val="28"/>
          <w:lang w:val="en-US"/>
        </w:rPr>
      </w:pPr>
      <w:r w:rsidRPr="00D84943">
        <w:rPr>
          <w:sz w:val="28"/>
          <w:szCs w:val="28"/>
          <w:lang w:val="en-US"/>
        </w:rPr>
        <w:tab/>
        <w:t>The Sustainable Development Goals and Shariah's purposes have the same value for achieving the piece and wealth on the earth in cooperation with each other.</w:t>
      </w:r>
    </w:p>
    <w:p w14:paraId="55C1BCEE" w14:textId="77777777" w:rsidR="00E9221E" w:rsidRDefault="00E9221E" w:rsidP="00C9582F">
      <w:pPr>
        <w:contextualSpacing/>
        <w:jc w:val="both"/>
        <w:rPr>
          <w:color w:val="000000" w:themeColor="text1"/>
          <w:sz w:val="28"/>
          <w:szCs w:val="28"/>
          <w:lang w:val="en-US"/>
        </w:rPr>
      </w:pPr>
    </w:p>
    <w:p w14:paraId="46F84FB0" w14:textId="77777777" w:rsidR="00F933D3" w:rsidRDefault="00F933D3" w:rsidP="00C9582F">
      <w:pPr>
        <w:contextualSpacing/>
        <w:jc w:val="both"/>
        <w:rPr>
          <w:color w:val="000000" w:themeColor="text1"/>
          <w:sz w:val="28"/>
          <w:szCs w:val="28"/>
          <w:lang w:val="en-US"/>
        </w:rPr>
      </w:pPr>
    </w:p>
    <w:p w14:paraId="12A1665E" w14:textId="4150772A" w:rsidR="00421E50" w:rsidRPr="00D549EE" w:rsidRDefault="00421E50" w:rsidP="00C9582F">
      <w:pPr>
        <w:contextualSpacing/>
        <w:jc w:val="both"/>
        <w:rPr>
          <w:color w:val="000000" w:themeColor="text1"/>
          <w:sz w:val="28"/>
          <w:szCs w:val="28"/>
          <w:lang w:val="en-US"/>
        </w:rPr>
      </w:pPr>
      <w:r w:rsidRPr="00D549EE">
        <w:rPr>
          <w:color w:val="000000" w:themeColor="text1"/>
          <w:sz w:val="28"/>
          <w:szCs w:val="28"/>
          <w:lang w:val="en-US"/>
        </w:rPr>
        <w:lastRenderedPageBreak/>
        <w:t xml:space="preserve">Table </w:t>
      </w:r>
      <w:r w:rsidR="001277D2" w:rsidRPr="00D549EE">
        <w:rPr>
          <w:color w:val="000000" w:themeColor="text1"/>
          <w:sz w:val="28"/>
          <w:szCs w:val="28"/>
          <w:lang w:val="en-US"/>
        </w:rPr>
        <w:t>5</w:t>
      </w:r>
      <w:r w:rsidRPr="00D549EE">
        <w:rPr>
          <w:bCs/>
          <w:sz w:val="28"/>
          <w:szCs w:val="28"/>
          <w:lang w:val="en-US"/>
        </w:rPr>
        <w:t xml:space="preserve"> </w:t>
      </w:r>
      <w:r w:rsidRPr="00D549EE">
        <w:rPr>
          <w:color w:val="000000" w:themeColor="text1"/>
          <w:lang w:val="en-US"/>
        </w:rPr>
        <w:t>–</w:t>
      </w:r>
      <w:r w:rsidRPr="00D549EE">
        <w:rPr>
          <w:color w:val="000000" w:themeColor="text1"/>
          <w:sz w:val="28"/>
          <w:szCs w:val="28"/>
          <w:lang w:val="en-US"/>
        </w:rPr>
        <w:t xml:space="preserve"> Sustainable Development and Shariah Goals   </w:t>
      </w:r>
    </w:p>
    <w:p w14:paraId="54E0D4E3" w14:textId="77777777" w:rsidR="00421E50" w:rsidRPr="00D549EE" w:rsidRDefault="00421E50" w:rsidP="00C9582F">
      <w:pPr>
        <w:contextualSpacing/>
        <w:jc w:val="both"/>
        <w:rPr>
          <w:color w:val="000000" w:themeColor="text1"/>
          <w:sz w:val="28"/>
          <w:szCs w:val="28"/>
          <w:lang w:val="en-US"/>
        </w:rPr>
      </w:pPr>
    </w:p>
    <w:tbl>
      <w:tblPr>
        <w:tblStyle w:val="a9"/>
        <w:tblW w:w="0" w:type="auto"/>
        <w:tblLook w:val="04A0" w:firstRow="1" w:lastRow="0" w:firstColumn="1" w:lastColumn="0" w:noHBand="0" w:noVBand="1"/>
      </w:tblPr>
      <w:tblGrid>
        <w:gridCol w:w="5240"/>
        <w:gridCol w:w="4382"/>
      </w:tblGrid>
      <w:tr w:rsidR="00421E50" w:rsidRPr="00D549EE" w14:paraId="691575D3" w14:textId="77777777" w:rsidTr="00FA7152">
        <w:tc>
          <w:tcPr>
            <w:tcW w:w="5240" w:type="dxa"/>
          </w:tcPr>
          <w:p w14:paraId="5053E483" w14:textId="77777777" w:rsidR="00421E50" w:rsidRPr="00D549EE" w:rsidRDefault="00421E50" w:rsidP="00C9582F">
            <w:pPr>
              <w:contextualSpacing/>
              <w:rPr>
                <w:color w:val="000000" w:themeColor="text1"/>
                <w:lang w:val="en-US"/>
              </w:rPr>
            </w:pPr>
            <w:r w:rsidRPr="00D549EE">
              <w:rPr>
                <w:color w:val="000000" w:themeColor="text1"/>
                <w:lang w:val="en-US"/>
              </w:rPr>
              <w:t>Sustainable Development Goals</w:t>
            </w:r>
          </w:p>
        </w:tc>
        <w:tc>
          <w:tcPr>
            <w:tcW w:w="4382" w:type="dxa"/>
          </w:tcPr>
          <w:p w14:paraId="3D72683B" w14:textId="77777777" w:rsidR="00421E50" w:rsidRPr="00D549EE" w:rsidRDefault="00421E50" w:rsidP="00C9582F">
            <w:pPr>
              <w:contextualSpacing/>
              <w:rPr>
                <w:color w:val="000000" w:themeColor="text1"/>
                <w:lang w:val="en-US"/>
              </w:rPr>
            </w:pPr>
            <w:r w:rsidRPr="00D549EE">
              <w:rPr>
                <w:color w:val="000000" w:themeColor="text1"/>
                <w:lang w:val="en-US"/>
              </w:rPr>
              <w:t>Shariah Goals</w:t>
            </w:r>
          </w:p>
        </w:tc>
      </w:tr>
      <w:tr w:rsidR="00421E50" w:rsidRPr="00D549EE" w14:paraId="4F52E0B7" w14:textId="77777777" w:rsidTr="00FA7152">
        <w:tc>
          <w:tcPr>
            <w:tcW w:w="5240" w:type="dxa"/>
          </w:tcPr>
          <w:p w14:paraId="77560A0C" w14:textId="77777777" w:rsidR="00421E50" w:rsidRPr="00D549EE" w:rsidRDefault="00421E50" w:rsidP="00C9582F">
            <w:pPr>
              <w:contextualSpacing/>
              <w:rPr>
                <w:color w:val="000000" w:themeColor="text1"/>
                <w:lang w:val="en-US"/>
              </w:rPr>
            </w:pPr>
            <w:r w:rsidRPr="00D549EE">
              <w:rPr>
                <w:color w:val="000000" w:themeColor="text1"/>
                <w:lang w:val="en-US"/>
              </w:rPr>
              <w:t>No poverty (Goal 1)</w:t>
            </w:r>
          </w:p>
        </w:tc>
        <w:tc>
          <w:tcPr>
            <w:tcW w:w="4382" w:type="dxa"/>
            <w:vMerge w:val="restart"/>
          </w:tcPr>
          <w:p w14:paraId="3ACC6BDD" w14:textId="77777777" w:rsidR="00421E50" w:rsidRPr="00D549EE" w:rsidRDefault="00421E50" w:rsidP="00C9582F">
            <w:pPr>
              <w:contextualSpacing/>
              <w:jc w:val="center"/>
              <w:rPr>
                <w:color w:val="000000" w:themeColor="text1"/>
                <w:lang w:val="en-US"/>
              </w:rPr>
            </w:pPr>
            <w:r w:rsidRPr="00D549EE">
              <w:rPr>
                <w:color w:val="000000" w:themeColor="text1"/>
                <w:lang w:val="en-US"/>
              </w:rPr>
              <w:t xml:space="preserve">Preservation of life </w:t>
            </w:r>
          </w:p>
        </w:tc>
      </w:tr>
      <w:tr w:rsidR="00421E50" w:rsidRPr="00D549EE" w14:paraId="1064892F" w14:textId="77777777" w:rsidTr="00FA7152">
        <w:tc>
          <w:tcPr>
            <w:tcW w:w="5240" w:type="dxa"/>
          </w:tcPr>
          <w:p w14:paraId="3983A7BE" w14:textId="77777777" w:rsidR="00421E50" w:rsidRPr="00D549EE" w:rsidRDefault="00421E50" w:rsidP="00C9582F">
            <w:pPr>
              <w:contextualSpacing/>
              <w:rPr>
                <w:color w:val="000000" w:themeColor="text1"/>
                <w:lang w:val="en-US"/>
              </w:rPr>
            </w:pPr>
            <w:r w:rsidRPr="00D549EE">
              <w:rPr>
                <w:color w:val="000000" w:themeColor="text1"/>
                <w:lang w:val="en-US"/>
              </w:rPr>
              <w:t>Zero Hunger (Goal 2)</w:t>
            </w:r>
          </w:p>
        </w:tc>
        <w:tc>
          <w:tcPr>
            <w:tcW w:w="4382" w:type="dxa"/>
            <w:vMerge/>
          </w:tcPr>
          <w:p w14:paraId="0AC70702" w14:textId="77777777" w:rsidR="00421E50" w:rsidRPr="00D549EE" w:rsidRDefault="00421E50" w:rsidP="00C9582F">
            <w:pPr>
              <w:contextualSpacing/>
              <w:rPr>
                <w:color w:val="000000" w:themeColor="text1"/>
                <w:lang w:val="en-US"/>
              </w:rPr>
            </w:pPr>
          </w:p>
        </w:tc>
      </w:tr>
      <w:tr w:rsidR="00421E50" w:rsidRPr="00D74F7B" w14:paraId="07B41E4B" w14:textId="77777777" w:rsidTr="00FA7152">
        <w:tc>
          <w:tcPr>
            <w:tcW w:w="5240" w:type="dxa"/>
          </w:tcPr>
          <w:p w14:paraId="7BEF7F0D" w14:textId="77777777" w:rsidR="00421E50" w:rsidRPr="00D549EE" w:rsidRDefault="00421E50" w:rsidP="00C9582F">
            <w:pPr>
              <w:contextualSpacing/>
              <w:rPr>
                <w:color w:val="000000" w:themeColor="text1"/>
                <w:lang w:val="en-US"/>
              </w:rPr>
            </w:pPr>
            <w:r w:rsidRPr="00D549EE">
              <w:rPr>
                <w:color w:val="000000" w:themeColor="text1"/>
                <w:lang w:val="en-US"/>
              </w:rPr>
              <w:t>Good health and well-being (Goal 3)</w:t>
            </w:r>
          </w:p>
        </w:tc>
        <w:tc>
          <w:tcPr>
            <w:tcW w:w="4382" w:type="dxa"/>
            <w:vMerge/>
          </w:tcPr>
          <w:p w14:paraId="2DEA11A8" w14:textId="77777777" w:rsidR="00421E50" w:rsidRPr="00D549EE" w:rsidRDefault="00421E50" w:rsidP="00C9582F">
            <w:pPr>
              <w:contextualSpacing/>
              <w:rPr>
                <w:color w:val="000000" w:themeColor="text1"/>
                <w:lang w:val="en-US"/>
              </w:rPr>
            </w:pPr>
          </w:p>
        </w:tc>
      </w:tr>
      <w:tr w:rsidR="00421E50" w:rsidRPr="00D549EE" w14:paraId="442B3C8F" w14:textId="77777777" w:rsidTr="00FA7152">
        <w:tc>
          <w:tcPr>
            <w:tcW w:w="5240" w:type="dxa"/>
          </w:tcPr>
          <w:p w14:paraId="23FAE8EE" w14:textId="77777777" w:rsidR="00421E50" w:rsidRPr="00D549EE" w:rsidRDefault="00421E50" w:rsidP="00C9582F">
            <w:pPr>
              <w:contextualSpacing/>
              <w:rPr>
                <w:color w:val="000000" w:themeColor="text1"/>
                <w:lang w:val="en-US"/>
              </w:rPr>
            </w:pPr>
            <w:r w:rsidRPr="00D549EE">
              <w:rPr>
                <w:color w:val="000000" w:themeColor="text1"/>
                <w:lang w:val="en-US"/>
              </w:rPr>
              <w:t>Quality education (Goal 4)</w:t>
            </w:r>
          </w:p>
        </w:tc>
        <w:tc>
          <w:tcPr>
            <w:tcW w:w="4382" w:type="dxa"/>
          </w:tcPr>
          <w:p w14:paraId="6BC6C973" w14:textId="77777777" w:rsidR="00421E50" w:rsidRPr="00D549EE" w:rsidRDefault="00421E50" w:rsidP="00C9582F">
            <w:pPr>
              <w:contextualSpacing/>
              <w:jc w:val="center"/>
              <w:rPr>
                <w:color w:val="000000" w:themeColor="text1"/>
                <w:lang w:val="en-US"/>
              </w:rPr>
            </w:pPr>
            <w:r w:rsidRPr="00D549EE">
              <w:rPr>
                <w:color w:val="000000" w:themeColor="text1"/>
                <w:lang w:val="en-US"/>
              </w:rPr>
              <w:t>Preservation of intellect</w:t>
            </w:r>
          </w:p>
        </w:tc>
      </w:tr>
      <w:tr w:rsidR="00421E50" w:rsidRPr="00D74F7B" w14:paraId="06141C8B" w14:textId="77777777" w:rsidTr="00FA7152">
        <w:tc>
          <w:tcPr>
            <w:tcW w:w="5240" w:type="dxa"/>
          </w:tcPr>
          <w:p w14:paraId="49BF167C" w14:textId="77777777" w:rsidR="00421E50" w:rsidRPr="00D549EE" w:rsidRDefault="00421E50" w:rsidP="00C9582F">
            <w:pPr>
              <w:contextualSpacing/>
              <w:rPr>
                <w:color w:val="000000" w:themeColor="text1"/>
                <w:lang w:val="en-US"/>
              </w:rPr>
            </w:pPr>
            <w:r w:rsidRPr="00D549EE">
              <w:rPr>
                <w:color w:val="000000" w:themeColor="text1"/>
                <w:lang w:val="en-US"/>
              </w:rPr>
              <w:t>Clean Water and sanitation (Goal 6)</w:t>
            </w:r>
          </w:p>
        </w:tc>
        <w:tc>
          <w:tcPr>
            <w:tcW w:w="4382" w:type="dxa"/>
            <w:vMerge w:val="restart"/>
          </w:tcPr>
          <w:p w14:paraId="42CE7966" w14:textId="77777777" w:rsidR="00421E50" w:rsidRPr="00D549EE" w:rsidRDefault="00421E50" w:rsidP="00C9582F">
            <w:pPr>
              <w:contextualSpacing/>
              <w:jc w:val="center"/>
              <w:rPr>
                <w:color w:val="000000" w:themeColor="text1"/>
                <w:lang w:val="en-US"/>
              </w:rPr>
            </w:pPr>
            <w:r w:rsidRPr="00D549EE">
              <w:rPr>
                <w:color w:val="000000" w:themeColor="text1"/>
                <w:lang w:val="en-US"/>
              </w:rPr>
              <w:t xml:space="preserve">Wasail or direct means to preserve life, intellect and lineage </w:t>
            </w:r>
          </w:p>
        </w:tc>
      </w:tr>
      <w:tr w:rsidR="00421E50" w:rsidRPr="00D74F7B" w14:paraId="617707A5" w14:textId="77777777" w:rsidTr="00FA7152">
        <w:tc>
          <w:tcPr>
            <w:tcW w:w="5240" w:type="dxa"/>
          </w:tcPr>
          <w:p w14:paraId="4C97B5D8" w14:textId="77777777" w:rsidR="00421E50" w:rsidRPr="00D549EE" w:rsidRDefault="00421E50" w:rsidP="00C9582F">
            <w:pPr>
              <w:contextualSpacing/>
              <w:rPr>
                <w:color w:val="000000" w:themeColor="text1"/>
                <w:lang w:val="en-US"/>
              </w:rPr>
            </w:pPr>
            <w:r w:rsidRPr="00D549EE">
              <w:rPr>
                <w:color w:val="000000" w:themeColor="text1"/>
                <w:lang w:val="en-US"/>
              </w:rPr>
              <w:t>Affordable and Clean Energy (Goal 7)</w:t>
            </w:r>
          </w:p>
        </w:tc>
        <w:tc>
          <w:tcPr>
            <w:tcW w:w="4382" w:type="dxa"/>
            <w:vMerge/>
          </w:tcPr>
          <w:p w14:paraId="732805E5" w14:textId="77777777" w:rsidR="00421E50" w:rsidRPr="00D549EE" w:rsidRDefault="00421E50" w:rsidP="00C9582F">
            <w:pPr>
              <w:contextualSpacing/>
              <w:rPr>
                <w:color w:val="000000" w:themeColor="text1"/>
                <w:lang w:val="en-US"/>
              </w:rPr>
            </w:pPr>
          </w:p>
        </w:tc>
      </w:tr>
      <w:tr w:rsidR="00421E50" w:rsidRPr="00D74F7B" w14:paraId="28BFCAF8" w14:textId="77777777" w:rsidTr="00FA7152">
        <w:tc>
          <w:tcPr>
            <w:tcW w:w="5240" w:type="dxa"/>
          </w:tcPr>
          <w:p w14:paraId="2E6D1CAF" w14:textId="77777777" w:rsidR="00421E50" w:rsidRPr="00D549EE" w:rsidRDefault="00421E50" w:rsidP="00C9582F">
            <w:pPr>
              <w:contextualSpacing/>
              <w:rPr>
                <w:color w:val="000000" w:themeColor="text1"/>
                <w:lang w:val="en-US"/>
              </w:rPr>
            </w:pPr>
            <w:r w:rsidRPr="00D549EE">
              <w:rPr>
                <w:color w:val="000000" w:themeColor="text1"/>
                <w:lang w:val="en-US"/>
              </w:rPr>
              <w:t>Responsible consumption and production (Goal 12)</w:t>
            </w:r>
          </w:p>
        </w:tc>
        <w:tc>
          <w:tcPr>
            <w:tcW w:w="4382" w:type="dxa"/>
            <w:vMerge/>
          </w:tcPr>
          <w:p w14:paraId="2AF233F3" w14:textId="77777777" w:rsidR="00421E50" w:rsidRPr="00D549EE" w:rsidRDefault="00421E50" w:rsidP="00C9582F">
            <w:pPr>
              <w:contextualSpacing/>
              <w:rPr>
                <w:color w:val="000000" w:themeColor="text1"/>
                <w:lang w:val="en-US"/>
              </w:rPr>
            </w:pPr>
          </w:p>
        </w:tc>
      </w:tr>
      <w:tr w:rsidR="00421E50" w:rsidRPr="00D549EE" w14:paraId="43BD02C8" w14:textId="77777777" w:rsidTr="00FA7152">
        <w:tc>
          <w:tcPr>
            <w:tcW w:w="5240" w:type="dxa"/>
          </w:tcPr>
          <w:p w14:paraId="60DA4FD4" w14:textId="77777777" w:rsidR="00421E50" w:rsidRPr="00D549EE" w:rsidRDefault="00421E50" w:rsidP="00C9582F">
            <w:pPr>
              <w:contextualSpacing/>
              <w:rPr>
                <w:color w:val="000000" w:themeColor="text1"/>
                <w:lang w:val="en-US"/>
              </w:rPr>
            </w:pPr>
            <w:r w:rsidRPr="00D549EE">
              <w:rPr>
                <w:color w:val="000000" w:themeColor="text1"/>
                <w:lang w:val="en-US"/>
              </w:rPr>
              <w:t>Climate action (Goal 13)</w:t>
            </w:r>
          </w:p>
        </w:tc>
        <w:tc>
          <w:tcPr>
            <w:tcW w:w="4382" w:type="dxa"/>
            <w:vMerge/>
          </w:tcPr>
          <w:p w14:paraId="323559A6" w14:textId="77777777" w:rsidR="00421E50" w:rsidRPr="00D549EE" w:rsidRDefault="00421E50" w:rsidP="00C9582F">
            <w:pPr>
              <w:contextualSpacing/>
              <w:rPr>
                <w:color w:val="000000" w:themeColor="text1"/>
                <w:lang w:val="en-US"/>
              </w:rPr>
            </w:pPr>
          </w:p>
        </w:tc>
      </w:tr>
      <w:tr w:rsidR="00421E50" w:rsidRPr="00D549EE" w14:paraId="7402BDDD" w14:textId="77777777" w:rsidTr="00FA7152">
        <w:tc>
          <w:tcPr>
            <w:tcW w:w="5240" w:type="dxa"/>
          </w:tcPr>
          <w:p w14:paraId="45208574" w14:textId="77777777" w:rsidR="00421E50" w:rsidRPr="00D549EE" w:rsidRDefault="00421E50" w:rsidP="00C9582F">
            <w:pPr>
              <w:contextualSpacing/>
              <w:rPr>
                <w:color w:val="000000" w:themeColor="text1"/>
                <w:lang w:val="en-US"/>
              </w:rPr>
            </w:pPr>
            <w:r w:rsidRPr="00D549EE">
              <w:rPr>
                <w:color w:val="000000" w:themeColor="text1"/>
                <w:lang w:val="en-US"/>
              </w:rPr>
              <w:t>Life bellow water (Goal 14)</w:t>
            </w:r>
          </w:p>
        </w:tc>
        <w:tc>
          <w:tcPr>
            <w:tcW w:w="4382" w:type="dxa"/>
            <w:vMerge/>
          </w:tcPr>
          <w:p w14:paraId="0BAC81F8" w14:textId="77777777" w:rsidR="00421E50" w:rsidRPr="00D549EE" w:rsidRDefault="00421E50" w:rsidP="00C9582F">
            <w:pPr>
              <w:contextualSpacing/>
              <w:rPr>
                <w:color w:val="000000" w:themeColor="text1"/>
                <w:lang w:val="en-US"/>
              </w:rPr>
            </w:pPr>
          </w:p>
        </w:tc>
      </w:tr>
      <w:tr w:rsidR="00421E50" w:rsidRPr="00D549EE" w14:paraId="6B76791D" w14:textId="77777777" w:rsidTr="00FA7152">
        <w:tc>
          <w:tcPr>
            <w:tcW w:w="5240" w:type="dxa"/>
          </w:tcPr>
          <w:p w14:paraId="283ABF06" w14:textId="77777777" w:rsidR="00421E50" w:rsidRPr="00D549EE" w:rsidRDefault="00421E50" w:rsidP="00C9582F">
            <w:pPr>
              <w:contextualSpacing/>
              <w:rPr>
                <w:color w:val="000000" w:themeColor="text1"/>
                <w:lang w:val="en-US"/>
              </w:rPr>
            </w:pPr>
            <w:r w:rsidRPr="00D549EE">
              <w:rPr>
                <w:color w:val="000000" w:themeColor="text1"/>
                <w:lang w:val="en-US"/>
              </w:rPr>
              <w:t>Life on Land (Goal 15)</w:t>
            </w:r>
          </w:p>
        </w:tc>
        <w:tc>
          <w:tcPr>
            <w:tcW w:w="4382" w:type="dxa"/>
            <w:vMerge/>
          </w:tcPr>
          <w:p w14:paraId="70BF06D8" w14:textId="77777777" w:rsidR="00421E50" w:rsidRPr="00D549EE" w:rsidRDefault="00421E50" w:rsidP="00C9582F">
            <w:pPr>
              <w:contextualSpacing/>
              <w:rPr>
                <w:color w:val="000000" w:themeColor="text1"/>
                <w:lang w:val="en-US"/>
              </w:rPr>
            </w:pPr>
          </w:p>
        </w:tc>
      </w:tr>
      <w:tr w:rsidR="00421E50" w:rsidRPr="00D74F7B" w14:paraId="0EEA49B1" w14:textId="77777777" w:rsidTr="00FA7152">
        <w:tc>
          <w:tcPr>
            <w:tcW w:w="5240" w:type="dxa"/>
          </w:tcPr>
          <w:p w14:paraId="3B113610" w14:textId="77777777" w:rsidR="00421E50" w:rsidRPr="00D549EE" w:rsidRDefault="00421E50" w:rsidP="00C9582F">
            <w:pPr>
              <w:contextualSpacing/>
              <w:rPr>
                <w:color w:val="000000" w:themeColor="text1"/>
                <w:lang w:val="en-US"/>
              </w:rPr>
            </w:pPr>
            <w:r w:rsidRPr="00D549EE">
              <w:rPr>
                <w:color w:val="000000" w:themeColor="text1"/>
                <w:lang w:val="en-US"/>
              </w:rPr>
              <w:t>Decent work and economic growth (Goal 8)</w:t>
            </w:r>
          </w:p>
        </w:tc>
        <w:tc>
          <w:tcPr>
            <w:tcW w:w="4382" w:type="dxa"/>
            <w:vMerge w:val="restart"/>
          </w:tcPr>
          <w:p w14:paraId="1E53C647" w14:textId="77777777" w:rsidR="00421E50" w:rsidRPr="00D549EE" w:rsidRDefault="00421E50" w:rsidP="00C9582F">
            <w:pPr>
              <w:contextualSpacing/>
              <w:jc w:val="center"/>
              <w:rPr>
                <w:color w:val="000000" w:themeColor="text1"/>
                <w:lang w:val="en-US"/>
              </w:rPr>
            </w:pPr>
            <w:r w:rsidRPr="00D549EE">
              <w:rPr>
                <w:color w:val="000000" w:themeColor="text1"/>
                <w:lang w:val="en-US"/>
              </w:rPr>
              <w:t>Means to preservation of wealth</w:t>
            </w:r>
          </w:p>
        </w:tc>
      </w:tr>
      <w:tr w:rsidR="00421E50" w:rsidRPr="00D74F7B" w14:paraId="3D53F9E9" w14:textId="77777777" w:rsidTr="00FA7152">
        <w:tc>
          <w:tcPr>
            <w:tcW w:w="5240" w:type="dxa"/>
          </w:tcPr>
          <w:p w14:paraId="4D19D21C" w14:textId="77777777" w:rsidR="00421E50" w:rsidRPr="00D549EE" w:rsidRDefault="00421E50" w:rsidP="00C9582F">
            <w:pPr>
              <w:contextualSpacing/>
              <w:rPr>
                <w:color w:val="000000" w:themeColor="text1"/>
                <w:lang w:val="en-US"/>
              </w:rPr>
            </w:pPr>
            <w:r w:rsidRPr="00D549EE">
              <w:rPr>
                <w:color w:val="000000" w:themeColor="text1"/>
                <w:lang w:val="en-US"/>
              </w:rPr>
              <w:t>Industry, Innovation and Infrastructure (Goal 9)</w:t>
            </w:r>
          </w:p>
        </w:tc>
        <w:tc>
          <w:tcPr>
            <w:tcW w:w="4382" w:type="dxa"/>
            <w:vMerge/>
          </w:tcPr>
          <w:p w14:paraId="729E4899" w14:textId="77777777" w:rsidR="00421E50" w:rsidRPr="00D549EE" w:rsidRDefault="00421E50" w:rsidP="00C9582F">
            <w:pPr>
              <w:contextualSpacing/>
              <w:rPr>
                <w:color w:val="000000" w:themeColor="text1"/>
                <w:lang w:val="en-US"/>
              </w:rPr>
            </w:pPr>
          </w:p>
        </w:tc>
      </w:tr>
      <w:tr w:rsidR="00421E50" w:rsidRPr="00D74F7B" w14:paraId="3DE38EFD" w14:textId="77777777" w:rsidTr="00FA7152">
        <w:tc>
          <w:tcPr>
            <w:tcW w:w="5240" w:type="dxa"/>
          </w:tcPr>
          <w:p w14:paraId="59A741E0" w14:textId="77777777" w:rsidR="00421E50" w:rsidRPr="00D549EE" w:rsidRDefault="00421E50" w:rsidP="00C9582F">
            <w:pPr>
              <w:contextualSpacing/>
              <w:rPr>
                <w:color w:val="000000" w:themeColor="text1"/>
                <w:lang w:val="en-US"/>
              </w:rPr>
            </w:pPr>
            <w:r w:rsidRPr="00D549EE">
              <w:rPr>
                <w:color w:val="000000" w:themeColor="text1"/>
                <w:lang w:val="en-US"/>
              </w:rPr>
              <w:t>Sustainable cities and communities (Goal 11)</w:t>
            </w:r>
          </w:p>
        </w:tc>
        <w:tc>
          <w:tcPr>
            <w:tcW w:w="4382" w:type="dxa"/>
            <w:vMerge/>
          </w:tcPr>
          <w:p w14:paraId="00970D3D" w14:textId="77777777" w:rsidR="00421E50" w:rsidRPr="00D549EE" w:rsidRDefault="00421E50" w:rsidP="00C9582F">
            <w:pPr>
              <w:contextualSpacing/>
              <w:rPr>
                <w:color w:val="000000" w:themeColor="text1"/>
                <w:lang w:val="en-US"/>
              </w:rPr>
            </w:pPr>
          </w:p>
        </w:tc>
      </w:tr>
      <w:tr w:rsidR="00421E50" w:rsidRPr="00D74F7B" w14:paraId="68204E89" w14:textId="77777777" w:rsidTr="00FA7152">
        <w:tc>
          <w:tcPr>
            <w:tcW w:w="5240" w:type="dxa"/>
          </w:tcPr>
          <w:p w14:paraId="5DF151BB" w14:textId="77777777" w:rsidR="00421E50" w:rsidRPr="00D549EE" w:rsidRDefault="00421E50" w:rsidP="00C9582F">
            <w:pPr>
              <w:contextualSpacing/>
              <w:rPr>
                <w:color w:val="000000" w:themeColor="text1"/>
                <w:lang w:val="en-US"/>
              </w:rPr>
            </w:pPr>
            <w:r w:rsidRPr="00D549EE">
              <w:rPr>
                <w:color w:val="000000" w:themeColor="text1"/>
                <w:lang w:val="en-US"/>
              </w:rPr>
              <w:t>Peace, justice and strong institutions (Goal 16)</w:t>
            </w:r>
          </w:p>
        </w:tc>
        <w:tc>
          <w:tcPr>
            <w:tcW w:w="4382" w:type="dxa"/>
          </w:tcPr>
          <w:p w14:paraId="0DD965BA" w14:textId="77777777" w:rsidR="00421E50" w:rsidRPr="00D549EE" w:rsidRDefault="00421E50" w:rsidP="00C9582F">
            <w:pPr>
              <w:contextualSpacing/>
              <w:jc w:val="center"/>
              <w:rPr>
                <w:color w:val="000000" w:themeColor="text1"/>
                <w:lang w:val="en-US"/>
              </w:rPr>
            </w:pPr>
            <w:r w:rsidRPr="00D549EE">
              <w:rPr>
                <w:color w:val="000000" w:themeColor="text1"/>
                <w:lang w:val="en-US"/>
              </w:rPr>
              <w:t>Preservation of justice, fundamental of Islamic belief</w:t>
            </w:r>
          </w:p>
        </w:tc>
      </w:tr>
      <w:tr w:rsidR="00421E50" w:rsidRPr="00D549EE" w14:paraId="0797CC3A" w14:textId="77777777" w:rsidTr="00FA7152">
        <w:tc>
          <w:tcPr>
            <w:tcW w:w="5240" w:type="dxa"/>
          </w:tcPr>
          <w:p w14:paraId="3A71BFED" w14:textId="77777777" w:rsidR="00421E50" w:rsidRPr="00D549EE" w:rsidRDefault="00421E50" w:rsidP="00C9582F">
            <w:pPr>
              <w:contextualSpacing/>
              <w:rPr>
                <w:color w:val="000000" w:themeColor="text1"/>
                <w:lang w:val="en-US"/>
              </w:rPr>
            </w:pPr>
            <w:r w:rsidRPr="00D549EE">
              <w:rPr>
                <w:color w:val="000000" w:themeColor="text1"/>
                <w:lang w:val="en-US"/>
              </w:rPr>
              <w:t>Reduced inequality (Goal 10)</w:t>
            </w:r>
          </w:p>
        </w:tc>
        <w:tc>
          <w:tcPr>
            <w:tcW w:w="4382" w:type="dxa"/>
          </w:tcPr>
          <w:p w14:paraId="38DCBEFD" w14:textId="77777777" w:rsidR="00421E50" w:rsidRPr="00D549EE" w:rsidRDefault="00421E50" w:rsidP="00C9582F">
            <w:pPr>
              <w:contextualSpacing/>
              <w:jc w:val="center"/>
              <w:rPr>
                <w:color w:val="000000" w:themeColor="text1"/>
                <w:lang w:val="en-US"/>
              </w:rPr>
            </w:pPr>
            <w:r w:rsidRPr="00D549EE">
              <w:rPr>
                <w:color w:val="000000" w:themeColor="text1"/>
                <w:lang w:val="en-US"/>
              </w:rPr>
              <w:t>Conforms with Islamic value</w:t>
            </w:r>
          </w:p>
        </w:tc>
      </w:tr>
      <w:tr w:rsidR="00421E50" w:rsidRPr="00D549EE" w14:paraId="47D8830B" w14:textId="77777777" w:rsidTr="00FA7152">
        <w:tc>
          <w:tcPr>
            <w:tcW w:w="5240" w:type="dxa"/>
          </w:tcPr>
          <w:p w14:paraId="65827827" w14:textId="77777777" w:rsidR="00421E50" w:rsidRPr="00D549EE" w:rsidRDefault="00421E50" w:rsidP="00C9582F">
            <w:pPr>
              <w:contextualSpacing/>
              <w:rPr>
                <w:color w:val="000000" w:themeColor="text1"/>
                <w:lang w:val="en-US"/>
              </w:rPr>
            </w:pPr>
            <w:r w:rsidRPr="00D549EE">
              <w:rPr>
                <w:color w:val="000000" w:themeColor="text1"/>
                <w:lang w:val="en-US"/>
              </w:rPr>
              <w:t>Partnership to achieve the Goals (Goal 17)</w:t>
            </w:r>
          </w:p>
        </w:tc>
        <w:tc>
          <w:tcPr>
            <w:tcW w:w="4382" w:type="dxa"/>
          </w:tcPr>
          <w:p w14:paraId="59485B04" w14:textId="77777777" w:rsidR="00421E50" w:rsidRPr="00D549EE" w:rsidRDefault="00421E50" w:rsidP="00C9582F">
            <w:pPr>
              <w:contextualSpacing/>
              <w:jc w:val="center"/>
              <w:rPr>
                <w:color w:val="000000" w:themeColor="text1"/>
                <w:lang w:val="en-US"/>
              </w:rPr>
            </w:pPr>
            <w:r w:rsidRPr="00D549EE">
              <w:rPr>
                <w:color w:val="000000" w:themeColor="text1"/>
                <w:lang w:val="en-US"/>
              </w:rPr>
              <w:t>Confirms with Islamic value</w:t>
            </w:r>
          </w:p>
        </w:tc>
      </w:tr>
      <w:tr w:rsidR="00421E50" w:rsidRPr="00D74F7B" w14:paraId="12B95BAC" w14:textId="77777777" w:rsidTr="00CF6718">
        <w:tc>
          <w:tcPr>
            <w:tcW w:w="9622" w:type="dxa"/>
            <w:gridSpan w:val="2"/>
          </w:tcPr>
          <w:p w14:paraId="582807A0" w14:textId="560361BB" w:rsidR="00421E50" w:rsidRPr="00D549EE" w:rsidRDefault="00FA7152" w:rsidP="00C9582F">
            <w:pPr>
              <w:contextualSpacing/>
              <w:jc w:val="left"/>
              <w:rPr>
                <w:color w:val="000000" w:themeColor="text1"/>
                <w:lang w:val="en-US"/>
              </w:rPr>
            </w:pPr>
            <w:r w:rsidRPr="00D549EE">
              <w:rPr>
                <w:color w:val="000000" w:themeColor="text1"/>
                <w:lang w:val="en-US"/>
              </w:rPr>
              <w:t xml:space="preserve">      </w:t>
            </w:r>
            <w:r w:rsidR="00421E50" w:rsidRPr="00D549EE">
              <w:rPr>
                <w:color w:val="000000" w:themeColor="text1"/>
                <w:lang w:val="en-US"/>
              </w:rPr>
              <w:t>Note – Compiled by the author</w:t>
            </w:r>
          </w:p>
        </w:tc>
      </w:tr>
    </w:tbl>
    <w:p w14:paraId="6BFE8117" w14:textId="77777777" w:rsidR="00421E50" w:rsidRPr="00D549EE" w:rsidRDefault="00421E50" w:rsidP="00C9582F">
      <w:pPr>
        <w:contextualSpacing/>
        <w:jc w:val="both"/>
        <w:rPr>
          <w:color w:val="000000" w:themeColor="text1"/>
          <w:sz w:val="28"/>
          <w:szCs w:val="28"/>
          <w:lang w:val="en-US"/>
        </w:rPr>
      </w:pPr>
      <w:r w:rsidRPr="00D549EE">
        <w:rPr>
          <w:color w:val="000000" w:themeColor="text1"/>
          <w:sz w:val="28"/>
          <w:szCs w:val="28"/>
          <w:lang w:val="en-US"/>
        </w:rPr>
        <w:tab/>
      </w:r>
    </w:p>
    <w:p w14:paraId="1DAB449F" w14:textId="7CA6AC2D" w:rsidR="00421E50" w:rsidRPr="00D549EE" w:rsidRDefault="001277D2" w:rsidP="00C9582F">
      <w:pPr>
        <w:contextualSpacing/>
        <w:jc w:val="both"/>
        <w:rPr>
          <w:color w:val="000000" w:themeColor="text1"/>
          <w:sz w:val="28"/>
          <w:szCs w:val="28"/>
          <w:lang w:val="en-US"/>
        </w:rPr>
      </w:pPr>
      <w:r w:rsidRPr="00D549EE">
        <w:rPr>
          <w:color w:val="000000" w:themeColor="text1"/>
          <w:sz w:val="28"/>
          <w:szCs w:val="28"/>
          <w:lang w:val="en-US"/>
        </w:rPr>
        <w:tab/>
      </w:r>
      <w:r w:rsidR="00421E50" w:rsidRPr="00D549EE">
        <w:rPr>
          <w:color w:val="000000" w:themeColor="text1"/>
          <w:sz w:val="28"/>
          <w:szCs w:val="28"/>
          <w:lang w:val="en-US"/>
        </w:rPr>
        <w:t xml:space="preserve">However, there is difference in motivation of the goals. Islamic finance as the Shariah compliance financial relationship supports SDGs by following instruments and aspects. (Figure </w:t>
      </w:r>
      <w:r w:rsidR="00344140" w:rsidRPr="00D549EE">
        <w:rPr>
          <w:color w:val="000000" w:themeColor="text1"/>
          <w:sz w:val="28"/>
          <w:szCs w:val="28"/>
          <w:lang w:val="en-US"/>
        </w:rPr>
        <w:t>2</w:t>
      </w:r>
      <w:r w:rsidR="00421E50" w:rsidRPr="00D549EE">
        <w:rPr>
          <w:color w:val="000000" w:themeColor="text1"/>
          <w:sz w:val="28"/>
          <w:szCs w:val="28"/>
          <w:lang w:val="en-US"/>
        </w:rPr>
        <w:t>)</w:t>
      </w:r>
    </w:p>
    <w:p w14:paraId="4E744594" w14:textId="77777777" w:rsidR="00421E50" w:rsidRPr="00D549EE" w:rsidRDefault="00421E50" w:rsidP="00C9582F">
      <w:pPr>
        <w:snapToGrid w:val="0"/>
        <w:contextualSpacing/>
        <w:jc w:val="both"/>
        <w:rPr>
          <w:color w:val="000000" w:themeColor="text1"/>
          <w:sz w:val="28"/>
          <w:szCs w:val="28"/>
          <w:lang w:val="en-US"/>
        </w:rPr>
      </w:pPr>
    </w:p>
    <w:p w14:paraId="5D9E12FC" w14:textId="77777777" w:rsidR="00421E50" w:rsidRPr="00D549EE" w:rsidRDefault="00421E50" w:rsidP="00C9582F">
      <w:pPr>
        <w:snapToGrid w:val="0"/>
        <w:contextualSpacing/>
        <w:jc w:val="both"/>
        <w:rPr>
          <w:color w:val="000000" w:themeColor="text1"/>
          <w:sz w:val="28"/>
          <w:szCs w:val="28"/>
          <w:lang w:val="en-US"/>
        </w:rPr>
      </w:pPr>
      <w:r w:rsidRPr="00D549EE">
        <w:rPr>
          <w:noProof/>
          <w:color w:val="000000" w:themeColor="text1"/>
          <w:sz w:val="28"/>
          <w:szCs w:val="28"/>
        </w:rPr>
        <w:drawing>
          <wp:inline distT="0" distB="0" distL="0" distR="0" wp14:anchorId="74685DE3" wp14:editId="62E6BE91">
            <wp:extent cx="5486400" cy="2481029"/>
            <wp:effectExtent l="0" t="0" r="0" b="1460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44B2DAF" w14:textId="77777777" w:rsidR="00421E50" w:rsidRPr="00D549EE" w:rsidRDefault="00421E50" w:rsidP="00C9582F">
      <w:pPr>
        <w:snapToGrid w:val="0"/>
        <w:contextualSpacing/>
        <w:jc w:val="both"/>
        <w:rPr>
          <w:color w:val="000000" w:themeColor="text1"/>
          <w:sz w:val="28"/>
          <w:szCs w:val="28"/>
          <w:lang w:val="en-US"/>
        </w:rPr>
      </w:pPr>
    </w:p>
    <w:p w14:paraId="232447C7" w14:textId="4295763D" w:rsidR="00421E50" w:rsidRPr="00D549EE" w:rsidRDefault="00421E50" w:rsidP="00C9582F">
      <w:pPr>
        <w:snapToGrid w:val="0"/>
        <w:contextualSpacing/>
        <w:jc w:val="center"/>
        <w:rPr>
          <w:bCs/>
          <w:color w:val="000000" w:themeColor="text1"/>
          <w:sz w:val="28"/>
          <w:szCs w:val="28"/>
          <w:lang w:val="en-US"/>
        </w:rPr>
      </w:pPr>
      <w:r w:rsidRPr="00D549EE">
        <w:rPr>
          <w:color w:val="000000" w:themeColor="text1"/>
          <w:sz w:val="28"/>
          <w:szCs w:val="28"/>
          <w:lang w:val="en-US"/>
        </w:rPr>
        <w:t xml:space="preserve">Figure </w:t>
      </w:r>
      <w:r w:rsidR="00344140" w:rsidRPr="00D549EE">
        <w:rPr>
          <w:color w:val="000000" w:themeColor="text1"/>
          <w:sz w:val="28"/>
          <w:szCs w:val="28"/>
          <w:lang w:val="en-US"/>
        </w:rPr>
        <w:t>2</w:t>
      </w:r>
      <w:r w:rsidRPr="00D549EE">
        <w:rPr>
          <w:color w:val="000000" w:themeColor="text1"/>
          <w:sz w:val="28"/>
          <w:szCs w:val="28"/>
          <w:lang w:val="en-US"/>
        </w:rPr>
        <w:t xml:space="preserve"> </w:t>
      </w:r>
      <w:r w:rsidRPr="00D549EE">
        <w:rPr>
          <w:color w:val="000000" w:themeColor="text1"/>
          <w:lang w:val="en-US"/>
        </w:rPr>
        <w:t>–</w:t>
      </w:r>
      <w:r w:rsidRPr="00D549EE">
        <w:rPr>
          <w:bCs/>
          <w:color w:val="000000" w:themeColor="text1"/>
          <w:sz w:val="28"/>
          <w:szCs w:val="28"/>
          <w:lang w:val="en-US"/>
        </w:rPr>
        <w:t xml:space="preserve"> Linking Islamic Finance with the UN SDGs 17</w:t>
      </w:r>
    </w:p>
    <w:p w14:paraId="41E24F6C" w14:textId="77777777" w:rsidR="00421E50" w:rsidRPr="00D549EE" w:rsidRDefault="00421E50" w:rsidP="00C9582F">
      <w:pPr>
        <w:snapToGrid w:val="0"/>
        <w:contextualSpacing/>
        <w:jc w:val="center"/>
        <w:rPr>
          <w:bCs/>
          <w:color w:val="000000" w:themeColor="text1"/>
          <w:sz w:val="28"/>
          <w:szCs w:val="28"/>
          <w:lang w:val="en-US"/>
        </w:rPr>
      </w:pPr>
    </w:p>
    <w:p w14:paraId="012EF686" w14:textId="20BD2203" w:rsidR="00421E50" w:rsidRPr="00E9221E" w:rsidRDefault="00421E50" w:rsidP="00E9221E">
      <w:pPr>
        <w:snapToGrid w:val="0"/>
        <w:contextualSpacing/>
        <w:jc w:val="both"/>
        <w:rPr>
          <w:lang w:val="en-US"/>
        </w:rPr>
      </w:pPr>
      <w:r w:rsidRPr="00D549EE">
        <w:rPr>
          <w:b/>
          <w:lang w:val="en-US"/>
        </w:rPr>
        <w:tab/>
      </w:r>
      <w:r w:rsidRPr="00D549EE">
        <w:rPr>
          <w:lang w:val="en-US"/>
        </w:rPr>
        <w:t xml:space="preserve">Note – Source </w:t>
      </w:r>
      <w:r w:rsidRPr="00D549EE">
        <w:rPr>
          <w:lang w:val="en-US"/>
        </w:rPr>
        <w:fldChar w:fldCharType="begin" w:fldLock="1"/>
      </w:r>
      <w:r w:rsidR="007204D1" w:rsidRPr="00D549EE">
        <w:rPr>
          <w:lang w:val="en-US"/>
        </w:rPr>
        <w:instrText>ADDIN CSL_CITATION {"citationItems":[{"id":"ITEM-1","itemData":{"author":[{"dropping-particle":"","family":"Mahomed","given":"Ziyaad","non-dropping-particle":"","parse-names":false,"suffix":""}],"container-title":"Islamic Finance Hub","id":"ITEM-1","issued":{"date-parts":[["2017"]]},"title":"Islamic Social Finance: Relevance and Recognition with Responsibility","type":"article"},"uris":["http://www.mendeley.com/documents/?uuid=12ac6ce6-364e-42c1-a629-ca3dd5988f07"]}],"mendeley":{"formattedCitation":"[3]","manualFormatting":"[3, p. 15-17]","plainTextFormattedCitation":"[3]","previouslyFormattedCitation":"[3]"},"properties":{"noteIndex":0},"schema":"https://github.com/citation-style-language/schema/raw/master/csl-citation.json"}</w:instrText>
      </w:r>
      <w:r w:rsidRPr="00D549EE">
        <w:rPr>
          <w:lang w:val="en-US"/>
        </w:rPr>
        <w:fldChar w:fldCharType="separate"/>
      </w:r>
      <w:r w:rsidR="00264276" w:rsidRPr="00D549EE">
        <w:rPr>
          <w:noProof/>
          <w:lang w:val="en-US"/>
        </w:rPr>
        <w:t>[3</w:t>
      </w:r>
      <w:r w:rsidR="007204D1" w:rsidRPr="00D549EE">
        <w:rPr>
          <w:noProof/>
          <w:lang w:val="en-US"/>
        </w:rPr>
        <w:t>, p. 15-17</w:t>
      </w:r>
      <w:r w:rsidR="00264276" w:rsidRPr="00D549EE">
        <w:rPr>
          <w:noProof/>
          <w:lang w:val="en-US"/>
        </w:rPr>
        <w:t>]</w:t>
      </w:r>
      <w:r w:rsidRPr="00D549EE">
        <w:rPr>
          <w:lang w:val="en-US"/>
        </w:rPr>
        <w:fldChar w:fldCharType="end"/>
      </w:r>
    </w:p>
    <w:p w14:paraId="062C9734" w14:textId="77777777" w:rsidR="003E2C0D" w:rsidRPr="003E2C0D" w:rsidRDefault="003E2C0D" w:rsidP="003E2C0D">
      <w:pPr>
        <w:pStyle w:val="a5"/>
        <w:ind w:firstLine="708"/>
        <w:contextualSpacing/>
        <w:jc w:val="both"/>
        <w:rPr>
          <w:color w:val="000000" w:themeColor="text1"/>
          <w:sz w:val="28"/>
          <w:szCs w:val="28"/>
          <w:lang w:val="en-US"/>
        </w:rPr>
      </w:pPr>
      <w:r w:rsidRPr="003E2C0D">
        <w:rPr>
          <w:color w:val="000000" w:themeColor="text1"/>
          <w:sz w:val="28"/>
          <w:szCs w:val="28"/>
          <w:lang w:val="en-US"/>
        </w:rPr>
        <w:t xml:space="preserve">A brief review of the UN SDGs indicates that Islamic law supports them, that the objectives of Islamic finance promote shared prosperity with and financial inclusion of the poor and the religiously motivated. </w:t>
      </w:r>
    </w:p>
    <w:p w14:paraId="77B14B94" w14:textId="77777777" w:rsidR="003E2C0D" w:rsidRPr="003E2C0D" w:rsidRDefault="003E2C0D" w:rsidP="003E2C0D">
      <w:pPr>
        <w:pStyle w:val="a5"/>
        <w:ind w:firstLine="708"/>
        <w:contextualSpacing/>
        <w:jc w:val="both"/>
        <w:rPr>
          <w:color w:val="000000" w:themeColor="text1"/>
          <w:sz w:val="28"/>
          <w:szCs w:val="28"/>
          <w:lang w:val="en-US"/>
        </w:rPr>
      </w:pPr>
      <w:r w:rsidRPr="003E2C0D">
        <w:rPr>
          <w:color w:val="000000" w:themeColor="text1"/>
          <w:sz w:val="28"/>
          <w:szCs w:val="28"/>
          <w:lang w:val="en-US"/>
        </w:rPr>
        <w:lastRenderedPageBreak/>
        <w:t xml:space="preserve">Thus, if to conclude the first section of the research, the primary purpose of which is the investigation of specifics and concepts of Islamic finance in the social context, it is becoming clear that the Islamic financial system carries the social elements of distribution and performs several social functions based on the fundamental principles of Shariah. In this regard, the phenomenon of Islamic finance, which is considered a set of methods and mechanisms alternative to interest financing and allowing for compliance with Shariah principles, is of particular importance. Islamic finance is often defined by a central characteristic: the prohibition of lending at interest. From the primary prohibition of riba, which carries the idea of real economic development, avoiding the formation of financial and interest bubbles, Islamic finance aims to achieve the economic well-being of the agents in the economy to distribute economic resources reasonably equitably. The prohibition of financing haram business, in turn, is aimed at creating a healthy, both morally and physically, society without the consumption of alcohol, narcotic products, gambling, escort activities, and the use of weapons in peacetime. Islam aims to provide people with equal opportunities for economic actions in all areas - private and pervasive, internal and external - and should be aimed at ensuring social justice. </w:t>
      </w:r>
    </w:p>
    <w:p w14:paraId="67AD549D" w14:textId="77777777" w:rsidR="003E2C0D" w:rsidRPr="003E2C0D" w:rsidRDefault="003E2C0D" w:rsidP="003E2C0D">
      <w:pPr>
        <w:pStyle w:val="a5"/>
        <w:ind w:firstLine="708"/>
        <w:contextualSpacing/>
        <w:jc w:val="both"/>
        <w:rPr>
          <w:color w:val="000000" w:themeColor="text1"/>
          <w:sz w:val="28"/>
          <w:szCs w:val="28"/>
          <w:lang w:val="en-US"/>
        </w:rPr>
      </w:pPr>
      <w:r w:rsidRPr="003E2C0D">
        <w:rPr>
          <w:color w:val="000000" w:themeColor="text1"/>
          <w:sz w:val="28"/>
          <w:szCs w:val="28"/>
          <w:lang w:val="en-US"/>
        </w:rPr>
        <w:t>The goals of the Islamic financial system contain the promotion of economic well-being, poverty alleviation, the fulfillment of basic human needs, optimization in the utilization of natural resources, the realization of spiritual needs, and the realization of economic and social justice.</w:t>
      </w:r>
    </w:p>
    <w:p w14:paraId="7F9401F1" w14:textId="77777777" w:rsidR="003E2C0D" w:rsidRPr="003E2C0D" w:rsidRDefault="003E2C0D" w:rsidP="003E2C0D">
      <w:pPr>
        <w:pStyle w:val="a5"/>
        <w:ind w:firstLine="708"/>
        <w:contextualSpacing/>
        <w:jc w:val="both"/>
        <w:rPr>
          <w:color w:val="000000" w:themeColor="text1"/>
          <w:sz w:val="28"/>
          <w:szCs w:val="28"/>
          <w:lang w:val="en-US"/>
        </w:rPr>
      </w:pPr>
      <w:r w:rsidRPr="003E2C0D">
        <w:rPr>
          <w:color w:val="000000" w:themeColor="text1"/>
          <w:sz w:val="28"/>
          <w:szCs w:val="28"/>
          <w:lang w:val="en-US"/>
        </w:rPr>
        <w:t xml:space="preserve">Islamic finance may not yet have impacted socio-economic development in line with its lofty ideals. However, there is now an emerging trend of Islamic social finance and investments in response to the growing global demand for ethical investments. The analysis of the Islamic finance's social features such as equal opportunities, equitable distribution, social justice, development and growth of economics and society, wealth creation, profit, and risk-sharing allows demonstrating the set of advantages approved by the norms and working instruments of Islamic finance – efficiency, stability, establishing equity, systematic integrity, society orientation, and sustainability. </w:t>
      </w:r>
    </w:p>
    <w:p w14:paraId="6C1B84DE" w14:textId="77777777" w:rsidR="003E2C0D" w:rsidRPr="003E2C0D" w:rsidRDefault="003E2C0D" w:rsidP="003E2C0D">
      <w:pPr>
        <w:pStyle w:val="a5"/>
        <w:ind w:firstLine="708"/>
        <w:contextualSpacing/>
        <w:jc w:val="both"/>
        <w:rPr>
          <w:color w:val="000000" w:themeColor="text1"/>
          <w:sz w:val="28"/>
          <w:szCs w:val="28"/>
          <w:lang w:val="en-US"/>
        </w:rPr>
      </w:pPr>
      <w:r w:rsidRPr="003E2C0D">
        <w:rPr>
          <w:color w:val="000000" w:themeColor="text1"/>
          <w:sz w:val="28"/>
          <w:szCs w:val="28"/>
          <w:lang w:val="en-US"/>
        </w:rPr>
        <w:t>The study of the leading Islamic financial tools and the Islamic mortgage financing analysis in comparison with conventional instruments shows that the positive impact on clients, the principle of risk and loss sharing between the client and the Bank reduce social pressure on consumers in the form of debt burden and the risk of default. Practically every financial instrument entitles the client to the underlying asset, reducing the client's social burden.</w:t>
      </w:r>
    </w:p>
    <w:p w14:paraId="3D7E6878" w14:textId="77777777" w:rsidR="003E2C0D" w:rsidRDefault="003E2C0D" w:rsidP="003E2C0D">
      <w:pPr>
        <w:pStyle w:val="a5"/>
        <w:ind w:firstLine="708"/>
        <w:contextualSpacing/>
        <w:jc w:val="both"/>
        <w:rPr>
          <w:color w:val="000000" w:themeColor="text1"/>
          <w:sz w:val="28"/>
          <w:szCs w:val="28"/>
          <w:lang w:val="en-US"/>
        </w:rPr>
      </w:pPr>
      <w:r w:rsidRPr="003E2C0D">
        <w:rPr>
          <w:color w:val="000000" w:themeColor="text1"/>
          <w:sz w:val="28"/>
          <w:szCs w:val="28"/>
          <w:lang w:val="en-US"/>
        </w:rPr>
        <w:t xml:space="preserve">One of the main distinctive features of Islamic finance and Islamic social financial instruments is in connection with covering some of the 17 UN SDGs. More specifically, they support SDGs 1, 2, 3, 5, 6, and 16, ending poverty, achieving food security, ensuring healthy lives, achieving gender equality, and promoting a peaceful and inclusive society. Similarly, it is easy to map the links between Islamic finance objectives and the rest of the UN SDG 17. Research has been conducted to indicate that the performance of ethical investments post-2007 crises has been either on par with or better than conventional investment. Thus, responsible investing is profitable, even in the short term. </w:t>
      </w:r>
    </w:p>
    <w:p w14:paraId="4699704C" w14:textId="77777777" w:rsidR="00C3507D" w:rsidRDefault="005A1EE9" w:rsidP="00C3507D">
      <w:pPr>
        <w:pStyle w:val="a5"/>
        <w:ind w:firstLine="708"/>
        <w:contextualSpacing/>
        <w:jc w:val="both"/>
        <w:rPr>
          <w:b/>
          <w:color w:val="000000"/>
          <w:sz w:val="28"/>
          <w:szCs w:val="28"/>
          <w:lang w:val="en-US"/>
        </w:rPr>
      </w:pPr>
      <w:r w:rsidRPr="00D549EE">
        <w:rPr>
          <w:b/>
          <w:sz w:val="28"/>
          <w:szCs w:val="28"/>
          <w:lang w:val="en-US"/>
        </w:rPr>
        <w:lastRenderedPageBreak/>
        <w:t xml:space="preserve">1.2 </w:t>
      </w:r>
      <w:r w:rsidRPr="00D549EE">
        <w:rPr>
          <w:b/>
          <w:color w:val="000000"/>
          <w:sz w:val="28"/>
          <w:szCs w:val="28"/>
          <w:lang w:val="en-US"/>
        </w:rPr>
        <w:t>Islamic Social Finance: concept and functions of Zakat, Waqf and Islamic microfinance</w:t>
      </w:r>
    </w:p>
    <w:p w14:paraId="0DAC0888" w14:textId="77777777" w:rsidR="00C3507D" w:rsidRPr="00C3507D" w:rsidRDefault="00287ACF" w:rsidP="00C3507D">
      <w:pPr>
        <w:pStyle w:val="a5"/>
        <w:ind w:firstLine="709"/>
        <w:contextualSpacing/>
        <w:jc w:val="both"/>
        <w:rPr>
          <w:bCs/>
          <w:color w:val="000000" w:themeColor="text1"/>
          <w:sz w:val="28"/>
          <w:szCs w:val="28"/>
          <w:lang w:val="en-US"/>
        </w:rPr>
      </w:pPr>
      <w:r w:rsidRPr="00C3507D">
        <w:rPr>
          <w:bCs/>
          <w:color w:val="000000" w:themeColor="text1"/>
          <w:sz w:val="28"/>
          <w:szCs w:val="28"/>
          <w:lang w:val="en-US"/>
        </w:rPr>
        <w:t>Islamic finance has always advocated the narrative of risk-sharing, more equitable distribution of wealth, and fairness and justice in all transactions [54]. It also encourages entrepreneurship, promotes real economic development, and supports the principles of long-term sustainability. However, Islamic finance has been criticized for converging into conventional practices. Its rapid growth has been witnessed primarily in wealthy nations, supporting the premise that the current Islamic finance system improves the lives of the wealthy without negatively impacting the less fortunate.</w:t>
      </w:r>
    </w:p>
    <w:p w14:paraId="4268093B" w14:textId="77777777" w:rsidR="00C3507D" w:rsidRPr="00C3507D" w:rsidRDefault="00287ACF" w:rsidP="00C3507D">
      <w:pPr>
        <w:pStyle w:val="a5"/>
        <w:ind w:firstLine="709"/>
        <w:contextualSpacing/>
        <w:jc w:val="both"/>
        <w:rPr>
          <w:bCs/>
          <w:color w:val="000000" w:themeColor="text1"/>
          <w:sz w:val="28"/>
          <w:szCs w:val="28"/>
          <w:lang w:val="en-US"/>
        </w:rPr>
      </w:pPr>
      <w:r w:rsidRPr="00C3507D">
        <w:rPr>
          <w:bCs/>
          <w:color w:val="000000" w:themeColor="text1"/>
          <w:sz w:val="28"/>
          <w:szCs w:val="28"/>
          <w:lang w:val="en-US"/>
        </w:rPr>
        <w:t>Islamic finance also promotes socio-economic empowerment through social tools – Zakat (alms-giving), Waqf (endowment), Sadaqah (voluntary), and Qard Hasan (interest-free loan) – which have been adopted and applied even outside the Islamic world. All these tools of Islamic social finance are associated with philanthropic giving but have different forms and definitions [55]. Zakat is an obligatory and mandatory payment of income, whereas waqf refers to charitable giving as a charitable endowment trust [24]. Moreover, sadaqah has a more charitable and voluntary nature, giving something to the needy without expecting a return. These instruments are used to provide education and healthcare, develop infrastructure, and maintain social welfare provisions for the poor and destitute, albeit in a mostly informal structure [56].</w:t>
      </w:r>
    </w:p>
    <w:p w14:paraId="255B1B52" w14:textId="77777777" w:rsidR="00C3507D" w:rsidRPr="00C3507D" w:rsidRDefault="00287ACF" w:rsidP="00C3507D">
      <w:pPr>
        <w:pStyle w:val="a5"/>
        <w:ind w:firstLine="709"/>
        <w:contextualSpacing/>
        <w:jc w:val="both"/>
        <w:rPr>
          <w:bCs/>
          <w:color w:val="000000" w:themeColor="text1"/>
          <w:sz w:val="28"/>
          <w:szCs w:val="28"/>
          <w:lang w:val="en-US"/>
        </w:rPr>
      </w:pPr>
      <w:r w:rsidRPr="00C3507D">
        <w:rPr>
          <w:bCs/>
          <w:color w:val="000000" w:themeColor="text1"/>
          <w:sz w:val="28"/>
          <w:szCs w:val="28"/>
          <w:lang w:val="en-US"/>
        </w:rPr>
        <w:t>Islamic finance also promotes socio-economic empowerment through social tools, which have been adopted and applied even outside the Islamic world. Earlier in the study, during the consideration of the social functions and ethical nature of Islamic economics and finance, we did not mention the special social tools of Islamic finance as zakat (alms-giving), sadaqah (voluntary), waqf (endowment), and Islamic microfinance. All these tools of Islamic social finance are associated with philanthropic giving but have different forms and definitions.</w:t>
      </w:r>
    </w:p>
    <w:p w14:paraId="6E8538A2" w14:textId="77777777" w:rsidR="00C3507D" w:rsidRPr="00C3507D" w:rsidRDefault="00287ACF" w:rsidP="00C3507D">
      <w:pPr>
        <w:pStyle w:val="a5"/>
        <w:ind w:firstLine="709"/>
        <w:contextualSpacing/>
        <w:jc w:val="both"/>
        <w:rPr>
          <w:bCs/>
          <w:i/>
          <w:color w:val="000000" w:themeColor="text1"/>
          <w:sz w:val="28"/>
          <w:szCs w:val="28"/>
          <w:lang w:val="en-US"/>
        </w:rPr>
      </w:pPr>
      <w:r w:rsidRPr="00C3507D">
        <w:rPr>
          <w:bCs/>
          <w:i/>
          <w:color w:val="000000" w:themeColor="text1"/>
          <w:sz w:val="28"/>
          <w:szCs w:val="28"/>
          <w:lang w:val="en-US"/>
        </w:rPr>
        <w:t>1.2.1 Zakat</w:t>
      </w:r>
    </w:p>
    <w:p w14:paraId="62662894" w14:textId="77777777" w:rsidR="00C3507D" w:rsidRPr="00C3507D" w:rsidRDefault="00287ACF" w:rsidP="00C3507D">
      <w:pPr>
        <w:pStyle w:val="a5"/>
        <w:ind w:firstLine="709"/>
        <w:contextualSpacing/>
        <w:jc w:val="both"/>
        <w:rPr>
          <w:bCs/>
          <w:color w:val="000000" w:themeColor="text1"/>
          <w:sz w:val="28"/>
          <w:szCs w:val="28"/>
          <w:lang w:val="en-US"/>
        </w:rPr>
      </w:pPr>
      <w:r w:rsidRPr="00C3507D">
        <w:rPr>
          <w:bCs/>
          <w:color w:val="000000" w:themeColor="text1"/>
          <w:sz w:val="28"/>
          <w:szCs w:val="28"/>
          <w:lang w:val="en-US"/>
        </w:rPr>
        <w:t>In Islamic economics, zakat has occupied a significant place for many centuries. This is related to the fact that zakat is known as a third of the five main religious pillars of the Muslims. Al-Qardawi claimed that zakat is the keystone of Islam's economic, financial and social systems [57]. Zakat is one of the fundamentals of Islam that has direct economic implications. Also, zakat in states where Islam is the main religion is often fixed as an official tax, the value of which is directly dependent on the type of asset. Zakat literally signifies growth, increase, praise, and it can increase someone's wealth. "Those who, if We give them authority in the land, establish prayer and give zakat and enjoin what is right and forbid what is wrong." (22:41), "Take, from their wealth a charity by which you purify them and cause them to increase" (9:103) [7, p. 222].</w:t>
      </w:r>
    </w:p>
    <w:p w14:paraId="57892349" w14:textId="77777777" w:rsidR="00C3507D" w:rsidRPr="00C3507D" w:rsidRDefault="00287ACF" w:rsidP="00C3507D">
      <w:pPr>
        <w:pStyle w:val="a5"/>
        <w:ind w:firstLine="709"/>
        <w:contextualSpacing/>
        <w:jc w:val="both"/>
        <w:rPr>
          <w:bCs/>
          <w:color w:val="000000" w:themeColor="text1"/>
          <w:sz w:val="28"/>
          <w:szCs w:val="28"/>
          <w:lang w:val="en-US"/>
        </w:rPr>
      </w:pPr>
      <w:r w:rsidRPr="00C3507D">
        <w:rPr>
          <w:bCs/>
          <w:color w:val="000000" w:themeColor="text1"/>
          <w:sz w:val="28"/>
          <w:szCs w:val="28"/>
          <w:lang w:val="en-US"/>
        </w:rPr>
        <w:t xml:space="preserve">The Islamic social financial instrument is sadaqah, and from the early sources of interpretation of the meaning of zakat, sadaqah had the same meaning as zakat and had the two types, zakat – obligatory and sadaqah – voluntary. While zakat has fixed and strict rules of rates and distribution, which are mentioned in the Quran, sadaqah can be given in the amount and direction according to the giver's will. However, in the later sources, sadaqah started to use as the only vulnerable payment from the wealth, as a charity. </w:t>
      </w:r>
    </w:p>
    <w:p w14:paraId="2BD1EB5B" w14:textId="77777777" w:rsidR="00C3507D" w:rsidRPr="00C3507D" w:rsidRDefault="00287ACF" w:rsidP="00C3507D">
      <w:pPr>
        <w:pStyle w:val="a5"/>
        <w:ind w:firstLine="709"/>
        <w:contextualSpacing/>
        <w:jc w:val="both"/>
        <w:rPr>
          <w:bCs/>
          <w:color w:val="000000" w:themeColor="text1"/>
          <w:sz w:val="28"/>
          <w:szCs w:val="28"/>
          <w:lang w:val="en-US"/>
        </w:rPr>
      </w:pPr>
      <w:r w:rsidRPr="00C3507D">
        <w:rPr>
          <w:bCs/>
          <w:color w:val="000000" w:themeColor="text1"/>
          <w:sz w:val="28"/>
          <w:szCs w:val="28"/>
          <w:lang w:val="en-US"/>
        </w:rPr>
        <w:lastRenderedPageBreak/>
        <w:t xml:space="preserve">Unfortunately, it is estimated that one-tenth of the world population lives under the international extreme poverty line of 1.90 US dollars a day, although there has been significant progress in decreasing the poverty rate from 43 percent in 2011 is more than four times reduction. However, about 1 billion of the Word's population is still below the poverty line [58]. Furthermore, 55 percent of the population has no access to at least one social protection cash benefit. </w:t>
      </w:r>
    </w:p>
    <w:p w14:paraId="7C7BA06B" w14:textId="77777777" w:rsidR="00C3507D" w:rsidRPr="00C3507D" w:rsidRDefault="00287ACF" w:rsidP="00C3507D">
      <w:pPr>
        <w:pStyle w:val="a5"/>
        <w:ind w:firstLine="709"/>
        <w:contextualSpacing/>
        <w:jc w:val="both"/>
        <w:rPr>
          <w:bCs/>
          <w:color w:val="000000" w:themeColor="text1"/>
          <w:sz w:val="28"/>
          <w:szCs w:val="28"/>
          <w:lang w:val="en-US"/>
        </w:rPr>
      </w:pPr>
      <w:r w:rsidRPr="00C3507D">
        <w:rPr>
          <w:bCs/>
          <w:color w:val="000000" w:themeColor="text1"/>
          <w:sz w:val="28"/>
          <w:szCs w:val="28"/>
          <w:lang w:val="en-US"/>
        </w:rPr>
        <w:t>Solutions to poverty alleviation and inequalities are often looked for by structural changes in the socio-economic framework with effective social security programs at the local and international levels. Many developed countries try to overcome the problem of poverty and protect the population by promoting social and welfare programs. However, most countries do not have effective social security programs, or these programs do not work. Nevertheless, it is necessary to transfer funds from the rich to the poor in implementing and working on social programs.</w:t>
      </w:r>
    </w:p>
    <w:p w14:paraId="540BADA0" w14:textId="77777777" w:rsidR="00C3507D" w:rsidRPr="00C3507D" w:rsidRDefault="00287ACF" w:rsidP="00C3507D">
      <w:pPr>
        <w:pStyle w:val="a5"/>
        <w:ind w:firstLine="709"/>
        <w:contextualSpacing/>
        <w:jc w:val="both"/>
        <w:rPr>
          <w:bCs/>
          <w:color w:val="000000" w:themeColor="text1"/>
          <w:sz w:val="28"/>
          <w:szCs w:val="28"/>
          <w:lang w:val="en-US"/>
        </w:rPr>
      </w:pPr>
      <w:r w:rsidRPr="00C3507D">
        <w:rPr>
          <w:bCs/>
          <w:color w:val="000000" w:themeColor="text1"/>
          <w:sz w:val="28"/>
          <w:szCs w:val="28"/>
          <w:lang w:val="en-US"/>
        </w:rPr>
        <w:t xml:space="preserve">Moreover, the role and scope of zakat and waqf in solving the problem of poverty are very appropriate, especially for developing countries. These traditional Islamic instruments were used to solve poverty and supply the first necessary social services to the needy people in the past. Considering that poverty is more widespread in Muslim countries than in the western region, it is important to study how these tools could be used in current times to alleviate poverty in societies with Islamic faith and in the countries with developing economies. In this regard, there is the issue of discussion of the impact of religious institutions and cultures on economic variables and outcomes. </w:t>
      </w:r>
    </w:p>
    <w:p w14:paraId="48417A8B" w14:textId="77777777" w:rsidR="00C3507D" w:rsidRPr="00C3507D" w:rsidRDefault="00287ACF" w:rsidP="00C3507D">
      <w:pPr>
        <w:pStyle w:val="a5"/>
        <w:ind w:firstLine="709"/>
        <w:contextualSpacing/>
        <w:jc w:val="both"/>
        <w:rPr>
          <w:bCs/>
          <w:color w:val="000000" w:themeColor="text1"/>
          <w:sz w:val="28"/>
          <w:szCs w:val="28"/>
          <w:lang w:val="en-US"/>
        </w:rPr>
      </w:pPr>
      <w:r w:rsidRPr="00C3507D">
        <w:rPr>
          <w:bCs/>
          <w:color w:val="000000" w:themeColor="text1"/>
          <w:sz w:val="28"/>
          <w:szCs w:val="28"/>
          <w:lang w:val="en-US"/>
        </w:rPr>
        <w:t>There are some general characteristics of zakat that were studied by several scientists [59] [27, p. 43]. First of all, zakat applies only to Muslims. Secondly, it is one of the pastoral responsibilities of the faithful Muslim, which fills this category with moral and religious components, dominating the financial and economic components. The third characteristic of the zakat accepted the irrevocable and gratuitous nature of the giving. There are specific zakat payment procedures that are constant, and non-payment of it cannot be forgiven by Allah.</w:t>
      </w:r>
    </w:p>
    <w:p w14:paraId="118AC33D" w14:textId="249D7941" w:rsidR="00287ACF" w:rsidRPr="00C3507D" w:rsidRDefault="00287ACF" w:rsidP="00C3507D">
      <w:pPr>
        <w:pStyle w:val="a5"/>
        <w:ind w:firstLine="709"/>
        <w:contextualSpacing/>
        <w:jc w:val="both"/>
        <w:rPr>
          <w:color w:val="000000"/>
          <w:sz w:val="28"/>
          <w:szCs w:val="28"/>
          <w:lang w:val="en-US"/>
        </w:rPr>
      </w:pPr>
      <w:r w:rsidRPr="00C3507D">
        <w:rPr>
          <w:bCs/>
          <w:color w:val="000000" w:themeColor="text1"/>
          <w:sz w:val="28"/>
          <w:szCs w:val="28"/>
          <w:lang w:val="en-US"/>
        </w:rPr>
        <w:t>Zakat, in the economic approach, performs several essential functions:</w:t>
      </w:r>
    </w:p>
    <w:p w14:paraId="1370A8DF" w14:textId="77777777"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sidRPr="00287ACF">
        <w:rPr>
          <w:b w:val="0"/>
          <w:bCs w:val="0"/>
          <w:color w:val="000000" w:themeColor="text1"/>
          <w:sz w:val="28"/>
          <w:szCs w:val="28"/>
          <w:lang w:val="en-US"/>
        </w:rPr>
        <w:t>(i) contributes to equalization of living standards of the population, smooths over social inequality, which ultimately reduces social stress;</w:t>
      </w:r>
    </w:p>
    <w:p w14:paraId="640B1ED8" w14:textId="77777777"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sidRPr="00287ACF">
        <w:rPr>
          <w:b w:val="0"/>
          <w:bCs w:val="0"/>
          <w:color w:val="000000" w:themeColor="text1"/>
          <w:sz w:val="28"/>
          <w:szCs w:val="28"/>
          <w:lang w:val="en-US"/>
        </w:rPr>
        <w:t>(ii) stimulates investment activity, as it is obligated from the assets and cash which were not be used by one year;</w:t>
      </w:r>
    </w:p>
    <w:p w14:paraId="19AB2847" w14:textId="77777777"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sidRPr="00287ACF">
        <w:rPr>
          <w:b w:val="0"/>
          <w:bCs w:val="0"/>
          <w:color w:val="000000" w:themeColor="text1"/>
          <w:sz w:val="28"/>
          <w:szCs w:val="28"/>
          <w:lang w:val="en-US"/>
        </w:rPr>
        <w:t xml:space="preserve">(iii) as the tool of stimulating investment activity, zakat also stimulates demand for labor </w:t>
      </w:r>
    </w:p>
    <w:p w14:paraId="5634DD2B" w14:textId="77777777"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sidRPr="00287ACF">
        <w:rPr>
          <w:b w:val="0"/>
          <w:bCs w:val="0"/>
          <w:color w:val="000000" w:themeColor="text1"/>
          <w:sz w:val="28"/>
          <w:szCs w:val="28"/>
          <w:lang w:val="en-US"/>
        </w:rPr>
        <w:t>(iv) influences the structure of the goods and services produced in the country, the increase in the income of the needy part of the population leads to the increase in demand for the main and necessary consumer goods, which stimulates their production and favorable allocative effects in the economy;</w:t>
      </w:r>
    </w:p>
    <w:p w14:paraId="4515AF5C" w14:textId="77777777"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sidRPr="00287ACF">
        <w:rPr>
          <w:b w:val="0"/>
          <w:bCs w:val="0"/>
          <w:color w:val="000000" w:themeColor="text1"/>
          <w:sz w:val="28"/>
          <w:szCs w:val="28"/>
          <w:lang w:val="en-US"/>
        </w:rPr>
        <w:t>(v) forms a culture of consumption among Muslims, constantly reminding us that Allah is the valid owner of everything;</w:t>
      </w:r>
    </w:p>
    <w:p w14:paraId="6BF5361C" w14:textId="77777777"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sidRPr="00287ACF">
        <w:rPr>
          <w:b w:val="0"/>
          <w:bCs w:val="0"/>
          <w:color w:val="000000" w:themeColor="text1"/>
          <w:sz w:val="28"/>
          <w:szCs w:val="28"/>
          <w:lang w:val="en-US"/>
        </w:rPr>
        <w:t xml:space="preserve">(vi) Finally, influences the country's economic growth due to stimulating economic activity, redistribution of the savings to the investment and consumption, and </w:t>
      </w:r>
      <w:r w:rsidRPr="00287ACF">
        <w:rPr>
          <w:b w:val="0"/>
          <w:bCs w:val="0"/>
          <w:color w:val="000000" w:themeColor="text1"/>
          <w:sz w:val="28"/>
          <w:szCs w:val="28"/>
          <w:lang w:val="en-US"/>
        </w:rPr>
        <w:lastRenderedPageBreak/>
        <w:t>increasing aggregate demand. The production potentialities curve shifts upwards because of dynamic forces of integrating production and consumption effects.</w:t>
      </w:r>
    </w:p>
    <w:p w14:paraId="3929BA45" w14:textId="3CDD7BFA"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Pr>
          <w:b w:val="0"/>
          <w:bCs w:val="0"/>
          <w:color w:val="000000" w:themeColor="text1"/>
          <w:sz w:val="28"/>
          <w:szCs w:val="28"/>
          <w:lang w:val="en-US"/>
        </w:rPr>
        <w:tab/>
      </w:r>
      <w:r w:rsidRPr="00287ACF">
        <w:rPr>
          <w:b w:val="0"/>
          <w:bCs w:val="0"/>
          <w:color w:val="000000" w:themeColor="text1"/>
          <w:sz w:val="28"/>
          <w:szCs w:val="28"/>
          <w:lang w:val="en-US"/>
        </w:rPr>
        <w:t xml:space="preserve">It must be noted that in contemporary Islamic economics, there is no unity regarding the size and subject of zakat, and the procedure for paying it. At the same time, it is accepted that assets that satisfy certain conditions: the number of assets at the time of calculating the amount of zakat exceeds nisab (minimum zakatable property), the zakat payer owns the assets during the year, assets acquired legally, the assets are for personal use. </w:t>
      </w:r>
    </w:p>
    <w:p w14:paraId="10DBCAB4" w14:textId="7E271855"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Pr>
          <w:b w:val="0"/>
          <w:bCs w:val="0"/>
          <w:color w:val="000000" w:themeColor="text1"/>
          <w:sz w:val="28"/>
          <w:szCs w:val="28"/>
          <w:lang w:val="en-US"/>
        </w:rPr>
        <w:tab/>
      </w:r>
      <w:r w:rsidRPr="00287ACF">
        <w:rPr>
          <w:b w:val="0"/>
          <w:bCs w:val="0"/>
          <w:color w:val="000000" w:themeColor="text1"/>
          <w:sz w:val="28"/>
          <w:szCs w:val="28"/>
          <w:lang w:val="en-US"/>
        </w:rPr>
        <w:t>Zakat provides a meaningful and sustainable social security scheme in the following ways: by providing material assistance for the poor, the needy, and the destitute in the society to fulfill their material needs enabling them to be self-reliant, and by providing the required assistance in the circumstances of unemployment, insufficient medical expenses, for the old, the disabled and the handicapped as well as inadequacies to maintain one's life. It also provides to travelers by helping other members who might not be originally poor but unexpectedly facing material and financial constraints due to traveling. Zakat can be paid to the persons who have debt by relieving a person from the burden of debt. The other category of the zakat distribution is by playing an essential role in protecting and helping those who are sacrificing themselves in the path of Islam to uphold Allah's way on this earth. It provides both the Muslims and non-Muslims with material and financial protections. There are 8 categories of eligible Zakat beneficiaries defined in the Quran. "Charities are only for the poor and the needy, and those employed to collect them, and those whose hearts are to be reconciled, and for [the freedom of] the enslaved people and the debtors, and in the way of Allah, and for the traveler. This is an ordinance from Allah, and Allah is all-knowing, all-wise" (9:60) [7, p. 218].</w:t>
      </w:r>
    </w:p>
    <w:p w14:paraId="5AFC0280" w14:textId="704ABC4F"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Pr>
          <w:b w:val="0"/>
          <w:bCs w:val="0"/>
          <w:color w:val="000000" w:themeColor="text1"/>
          <w:sz w:val="28"/>
          <w:szCs w:val="28"/>
          <w:lang w:val="en-US"/>
        </w:rPr>
        <w:tab/>
      </w:r>
      <w:r w:rsidRPr="00287ACF">
        <w:rPr>
          <w:b w:val="0"/>
          <w:bCs w:val="0"/>
          <w:color w:val="000000" w:themeColor="text1"/>
          <w:sz w:val="28"/>
          <w:szCs w:val="28"/>
          <w:lang w:val="en-US"/>
        </w:rPr>
        <w:t>In this case, there is the Islamic concept of poverty explained by scholars. According to this concept, poor and faqir is a person who has no wealth and presently he is not an earning hand or if he is presently earning, but that is not sufficient for meeting his needs from 30 percent to 50 percent. These Jurists have even specified that if a person possesses the wealth, which can satisfy less than fifty percent of his needs, he will be considered poor. A person is considered a miskeen (needy) if his earnings or wealth can satisfy more than 50 percent of his needs but not 100 percent. Zakat is a non-contributory based social security system where the compulsory zakat helps worth people by the rich. It is established that zakat is the payment of the transfer of wealth from the rich and wealthy to the poor and needy for redistribution purposes of income in society and socio-economic justice [60]. The rich people do not get any direct benefit but reward from Allah, and its scope is broader than the modern social security system.</w:t>
      </w:r>
    </w:p>
    <w:p w14:paraId="10F8E1AA" w14:textId="62D714ED"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Pr>
          <w:b w:val="0"/>
          <w:bCs w:val="0"/>
          <w:color w:val="000000" w:themeColor="text1"/>
          <w:sz w:val="28"/>
          <w:szCs w:val="28"/>
          <w:lang w:val="en-US"/>
        </w:rPr>
        <w:tab/>
      </w:r>
      <w:r w:rsidRPr="00287ACF">
        <w:rPr>
          <w:b w:val="0"/>
          <w:bCs w:val="0"/>
          <w:color w:val="000000" w:themeColor="text1"/>
          <w:sz w:val="28"/>
          <w:szCs w:val="28"/>
          <w:lang w:val="en-US"/>
        </w:rPr>
        <w:t xml:space="preserve">According to views of different thoughts of Islam,  the zakatable amount of assets, nisab is different, for example, it was considered 200 Dirham for stock items or equivalent (5 heads of camel, 40 heads of sheep) and approximately 653 kg of agricultural product. Nowadays, this amount is considered 3 ounces of gold, 85 grams which is about 3560 US dollars, 1 262 105 tenge for 2020 [61]. Different zakat rates depended on the origin of the zakatable items, 2.5% for stock items and 10% for agricultural products. By AAOIFI Standards, the calculation is used 2.5% for a lunar calendar year (354-355 days) and 2.5775% for a solar (355-356 days).  </w:t>
      </w:r>
    </w:p>
    <w:p w14:paraId="36F5DF38" w14:textId="77777777" w:rsidR="00287ACF" w:rsidRPr="00287ACF" w:rsidRDefault="00287ACF" w:rsidP="00287ACF">
      <w:pPr>
        <w:pStyle w:val="2"/>
        <w:snapToGrid w:val="0"/>
        <w:spacing w:before="75" w:after="375"/>
        <w:contextualSpacing/>
        <w:jc w:val="both"/>
        <w:rPr>
          <w:b w:val="0"/>
          <w:bCs w:val="0"/>
          <w:color w:val="000000" w:themeColor="text1"/>
          <w:sz w:val="28"/>
          <w:szCs w:val="28"/>
          <w:lang w:val="en-US"/>
        </w:rPr>
      </w:pPr>
      <w:r w:rsidRPr="00287ACF">
        <w:rPr>
          <w:b w:val="0"/>
          <w:bCs w:val="0"/>
          <w:color w:val="000000" w:themeColor="text1"/>
          <w:sz w:val="28"/>
          <w:szCs w:val="28"/>
          <w:lang w:val="en-US"/>
        </w:rPr>
        <w:lastRenderedPageBreak/>
        <w:t xml:space="preserve">Summarizing several dozens of definitions of the zakat, our own definition as an economical category is as follows: </w:t>
      </w:r>
      <w:r w:rsidRPr="00287ACF">
        <w:rPr>
          <w:b w:val="0"/>
          <w:bCs w:val="0"/>
          <w:i/>
          <w:color w:val="000000" w:themeColor="text1"/>
          <w:sz w:val="28"/>
          <w:szCs w:val="28"/>
          <w:lang w:val="en-US"/>
        </w:rPr>
        <w:t>Zakat is the Islamic financial instrument in the form of the payment, obliged as the pillar to the Muslims by Shariah, from the savings and profit (nisab) exceeding the equivalent of 85 grams of gold, in the amount of 2.5% for the calendar year, which directed to charity.</w:t>
      </w:r>
    </w:p>
    <w:p w14:paraId="029BA0F8" w14:textId="2C696867" w:rsidR="00287ACF" w:rsidRDefault="00287ACF" w:rsidP="00287ACF">
      <w:pPr>
        <w:pStyle w:val="2"/>
        <w:snapToGrid w:val="0"/>
        <w:spacing w:before="75" w:beforeAutospacing="0" w:after="375" w:afterAutospacing="0"/>
        <w:contextualSpacing/>
        <w:jc w:val="both"/>
        <w:rPr>
          <w:b w:val="0"/>
          <w:bCs w:val="0"/>
          <w:color w:val="000000" w:themeColor="text1"/>
          <w:sz w:val="28"/>
          <w:szCs w:val="28"/>
          <w:lang w:val="en-US"/>
        </w:rPr>
      </w:pPr>
      <w:r>
        <w:rPr>
          <w:b w:val="0"/>
          <w:bCs w:val="0"/>
          <w:color w:val="000000" w:themeColor="text1"/>
          <w:sz w:val="28"/>
          <w:szCs w:val="28"/>
          <w:lang w:val="en-US"/>
        </w:rPr>
        <w:tab/>
      </w:r>
      <w:r w:rsidRPr="00287ACF">
        <w:rPr>
          <w:b w:val="0"/>
          <w:bCs w:val="0"/>
          <w:color w:val="000000" w:themeColor="text1"/>
          <w:sz w:val="28"/>
          <w:szCs w:val="28"/>
          <w:lang w:val="en-US"/>
        </w:rPr>
        <w:t>There is a methodology for calculating the zakat base offered by AAOIFI for legal entities and financial institutions.</w:t>
      </w:r>
    </w:p>
    <w:p w14:paraId="3519734F" w14:textId="77777777" w:rsidR="00287ACF" w:rsidRDefault="00287ACF" w:rsidP="00287ACF">
      <w:pPr>
        <w:pStyle w:val="2"/>
        <w:snapToGrid w:val="0"/>
        <w:spacing w:before="75" w:beforeAutospacing="0" w:after="375" w:afterAutospacing="0"/>
        <w:contextualSpacing/>
        <w:jc w:val="both"/>
        <w:rPr>
          <w:b w:val="0"/>
          <w:bCs w:val="0"/>
          <w:color w:val="000000" w:themeColor="text1"/>
          <w:sz w:val="28"/>
          <w:szCs w:val="28"/>
          <w:lang w:val="en-US"/>
        </w:rPr>
      </w:pPr>
    </w:p>
    <w:p w14:paraId="31E4A305" w14:textId="277B0271" w:rsidR="00F64E71" w:rsidRPr="00D549EE" w:rsidRDefault="00F64E71" w:rsidP="00287AC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 xml:space="preserve">Table </w:t>
      </w:r>
      <w:r w:rsidR="001C5A38" w:rsidRPr="00D549EE">
        <w:rPr>
          <w:b w:val="0"/>
          <w:bCs w:val="0"/>
          <w:color w:val="000000" w:themeColor="text1"/>
          <w:sz w:val="28"/>
          <w:szCs w:val="28"/>
          <w:lang w:val="en-US"/>
        </w:rPr>
        <w:t>6</w:t>
      </w:r>
      <w:r w:rsidR="00C93933" w:rsidRPr="00D549EE">
        <w:rPr>
          <w:b w:val="0"/>
          <w:bCs w:val="0"/>
          <w:color w:val="000000" w:themeColor="text1"/>
          <w:sz w:val="28"/>
          <w:szCs w:val="28"/>
          <w:lang w:val="en-US"/>
        </w:rPr>
        <w:t xml:space="preserve"> </w:t>
      </w:r>
      <w:r w:rsidR="00C93933" w:rsidRPr="00D549EE">
        <w:rPr>
          <w:b w:val="0"/>
          <w:color w:val="000000" w:themeColor="text1"/>
          <w:lang w:val="en-US"/>
        </w:rPr>
        <w:t>–</w:t>
      </w:r>
      <w:r w:rsidR="00E05F9F" w:rsidRPr="00D549EE">
        <w:rPr>
          <w:b w:val="0"/>
          <w:bCs w:val="0"/>
          <w:color w:val="000000" w:themeColor="text1"/>
          <w:sz w:val="28"/>
          <w:szCs w:val="28"/>
          <w:lang w:val="en-US"/>
        </w:rPr>
        <w:t xml:space="preserve"> </w:t>
      </w:r>
      <w:r w:rsidRPr="00D549EE">
        <w:rPr>
          <w:b w:val="0"/>
          <w:bCs w:val="0"/>
          <w:color w:val="000000" w:themeColor="text1"/>
          <w:sz w:val="28"/>
          <w:szCs w:val="28"/>
          <w:lang w:val="en-US"/>
        </w:rPr>
        <w:t>Method of calculating zakat base</w:t>
      </w:r>
    </w:p>
    <w:p w14:paraId="2B4ECEDC" w14:textId="77777777" w:rsidR="00F64E71" w:rsidRPr="00D549EE" w:rsidRDefault="00F64E71" w:rsidP="00C9582F">
      <w:pPr>
        <w:pStyle w:val="2"/>
        <w:snapToGrid w:val="0"/>
        <w:spacing w:before="75" w:beforeAutospacing="0" w:after="375" w:afterAutospacing="0"/>
        <w:contextualSpacing/>
        <w:jc w:val="both"/>
        <w:rPr>
          <w:bCs w:val="0"/>
          <w:color w:val="000000" w:themeColor="text1"/>
          <w:sz w:val="28"/>
          <w:szCs w:val="28"/>
          <w:lang w:val="en-US"/>
        </w:rPr>
      </w:pPr>
    </w:p>
    <w:tbl>
      <w:tblPr>
        <w:tblStyle w:val="a9"/>
        <w:tblW w:w="0" w:type="auto"/>
        <w:tblLook w:val="04A0" w:firstRow="1" w:lastRow="0" w:firstColumn="1" w:lastColumn="0" w:noHBand="0" w:noVBand="1"/>
      </w:tblPr>
      <w:tblGrid>
        <w:gridCol w:w="9623"/>
      </w:tblGrid>
      <w:tr w:rsidR="00DD36BD" w:rsidRPr="00D549EE" w14:paraId="4D0B0A04" w14:textId="77777777" w:rsidTr="00E37BB0">
        <w:trPr>
          <w:trHeight w:val="310"/>
        </w:trPr>
        <w:tc>
          <w:tcPr>
            <w:tcW w:w="0" w:type="auto"/>
          </w:tcPr>
          <w:p w14:paraId="096291D0" w14:textId="77777777" w:rsidR="00DD36BD" w:rsidRPr="00D549EE" w:rsidRDefault="00DD36BD" w:rsidP="00C9582F">
            <w:pPr>
              <w:pStyle w:val="2"/>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Net asset method</w:t>
            </w:r>
          </w:p>
        </w:tc>
      </w:tr>
      <w:tr w:rsidR="00DD36BD" w:rsidRPr="00D74F7B" w14:paraId="2D63E4F2" w14:textId="77777777" w:rsidTr="00E135E6">
        <w:tc>
          <w:tcPr>
            <w:tcW w:w="0" w:type="auto"/>
          </w:tcPr>
          <w:p w14:paraId="3B8C0F00" w14:textId="77777777" w:rsidR="00DD36BD" w:rsidRPr="00D549EE" w:rsidRDefault="00DD36BD" w:rsidP="00C9582F">
            <w:pPr>
              <w:pStyle w:val="a5"/>
              <w:contextualSpacing/>
              <w:rPr>
                <w:lang w:val="en-US"/>
              </w:rPr>
            </w:pPr>
            <w:r w:rsidRPr="00D549EE">
              <w:rPr>
                <w:bCs/>
                <w:color w:val="000000" w:themeColor="text1"/>
                <w:lang w:val="en-US"/>
              </w:rPr>
              <w:t xml:space="preserve">“+” </w:t>
            </w:r>
            <w:r w:rsidRPr="00D549EE">
              <w:rPr>
                <w:bCs/>
                <w:lang w:val="en-US"/>
              </w:rPr>
              <w:t>Zakatable Assets (</w:t>
            </w:r>
            <w:r w:rsidRPr="00D549EE">
              <w:rPr>
                <w:lang w:val="en-US"/>
              </w:rPr>
              <w:t>including cash, cash equivalent, net receivables, trading assets, financing assets)</w:t>
            </w:r>
          </w:p>
        </w:tc>
      </w:tr>
      <w:tr w:rsidR="00DD36BD" w:rsidRPr="00D74F7B" w14:paraId="201ACB60" w14:textId="77777777" w:rsidTr="00E135E6">
        <w:tc>
          <w:tcPr>
            <w:tcW w:w="0" w:type="auto"/>
          </w:tcPr>
          <w:p w14:paraId="6C52ED08" w14:textId="77777777" w:rsidR="00DD36BD" w:rsidRPr="00D549EE" w:rsidRDefault="00DD36BD" w:rsidP="00C9582F">
            <w:pPr>
              <w:pStyle w:val="a5"/>
              <w:contextualSpacing/>
              <w:rPr>
                <w:lang w:val="en-US"/>
              </w:rPr>
            </w:pPr>
            <w:r w:rsidRPr="00D549EE">
              <w:rPr>
                <w:bCs/>
                <w:color w:val="000000" w:themeColor="text1"/>
                <w:lang w:val="en-US"/>
              </w:rPr>
              <w:t xml:space="preserve">“-” </w:t>
            </w:r>
            <w:r w:rsidRPr="00D549EE">
              <w:rPr>
                <w:lang w:val="en-US"/>
              </w:rPr>
              <w:t>Liabilities to be paid during the year ended on the date of the financial statements</w:t>
            </w:r>
          </w:p>
        </w:tc>
      </w:tr>
      <w:tr w:rsidR="00DD36BD" w:rsidRPr="00D74F7B" w14:paraId="13FF59C8" w14:textId="77777777" w:rsidTr="00E135E6">
        <w:tc>
          <w:tcPr>
            <w:tcW w:w="0" w:type="auto"/>
          </w:tcPr>
          <w:p w14:paraId="3EF8DF77" w14:textId="77777777" w:rsidR="00DD36BD" w:rsidRPr="00D549EE" w:rsidRDefault="00DD36BD" w:rsidP="00C9582F">
            <w:pPr>
              <w:pStyle w:val="a5"/>
              <w:contextualSpacing/>
              <w:rPr>
                <w:lang w:val="en-US"/>
              </w:rPr>
            </w:pPr>
            <w:r w:rsidRPr="00D549EE">
              <w:rPr>
                <w:bCs/>
                <w:color w:val="000000" w:themeColor="text1"/>
                <w:lang w:val="en-US"/>
              </w:rPr>
              <w:t xml:space="preserve">“-” </w:t>
            </w:r>
            <w:r w:rsidRPr="00D549EE">
              <w:rPr>
                <w:lang w:val="en-US"/>
              </w:rPr>
              <w:t>Equity of investment account holders</w:t>
            </w:r>
          </w:p>
        </w:tc>
      </w:tr>
      <w:tr w:rsidR="00DD36BD" w:rsidRPr="00D549EE" w14:paraId="7180D9B1" w14:textId="77777777" w:rsidTr="00E135E6">
        <w:tc>
          <w:tcPr>
            <w:tcW w:w="0" w:type="auto"/>
          </w:tcPr>
          <w:p w14:paraId="462401BB" w14:textId="77777777" w:rsidR="00DD36BD" w:rsidRPr="00D549EE" w:rsidRDefault="00DD36BD" w:rsidP="00C9582F">
            <w:pPr>
              <w:pStyle w:val="a5"/>
              <w:contextualSpacing/>
            </w:pPr>
            <w:r w:rsidRPr="00D549EE">
              <w:rPr>
                <w:bCs/>
                <w:color w:val="000000" w:themeColor="text1"/>
                <w:lang w:val="en-US"/>
              </w:rPr>
              <w:t xml:space="preserve">“-” </w:t>
            </w:r>
            <w:r w:rsidRPr="00D549EE">
              <w:t xml:space="preserve">Minority interests </w:t>
            </w:r>
          </w:p>
        </w:tc>
      </w:tr>
      <w:tr w:rsidR="00DD36BD" w:rsidRPr="00D549EE" w14:paraId="561D5A91" w14:textId="77777777" w:rsidTr="00E135E6">
        <w:trPr>
          <w:trHeight w:val="226"/>
        </w:trPr>
        <w:tc>
          <w:tcPr>
            <w:tcW w:w="0" w:type="auto"/>
          </w:tcPr>
          <w:p w14:paraId="772C52F5" w14:textId="77777777" w:rsidR="00DD36BD" w:rsidRPr="00D549EE" w:rsidRDefault="00DD36BD" w:rsidP="00C9582F">
            <w:pPr>
              <w:pStyle w:val="a5"/>
              <w:contextualSpacing/>
            </w:pPr>
            <w:r w:rsidRPr="00D549EE">
              <w:rPr>
                <w:bCs/>
                <w:color w:val="000000" w:themeColor="text1"/>
                <w:lang w:val="en-US"/>
              </w:rPr>
              <w:t xml:space="preserve">“-” </w:t>
            </w:r>
            <w:r w:rsidRPr="00D549EE">
              <w:t>Equity owned by governments</w:t>
            </w:r>
          </w:p>
        </w:tc>
      </w:tr>
      <w:tr w:rsidR="00DD36BD" w:rsidRPr="00D74F7B" w14:paraId="71F72D8E" w14:textId="77777777" w:rsidTr="00E135E6">
        <w:tc>
          <w:tcPr>
            <w:tcW w:w="0" w:type="auto"/>
          </w:tcPr>
          <w:p w14:paraId="3F285FD7" w14:textId="77777777" w:rsidR="00DD36BD" w:rsidRPr="00D549EE" w:rsidRDefault="00DD36BD" w:rsidP="00C9582F">
            <w:pPr>
              <w:pStyle w:val="a5"/>
              <w:contextualSpacing/>
              <w:rPr>
                <w:lang w:val="en-US"/>
              </w:rPr>
            </w:pPr>
            <w:r w:rsidRPr="00D549EE">
              <w:rPr>
                <w:bCs/>
                <w:color w:val="000000" w:themeColor="text1"/>
                <w:lang w:val="en-US"/>
              </w:rPr>
              <w:t xml:space="preserve">“-” </w:t>
            </w:r>
            <w:r w:rsidRPr="00D549EE">
              <w:rPr>
                <w:lang w:val="en-US"/>
              </w:rPr>
              <w:t>Equity owned by endowment funds</w:t>
            </w:r>
          </w:p>
        </w:tc>
      </w:tr>
      <w:tr w:rsidR="00DD36BD" w:rsidRPr="00D549EE" w14:paraId="72304353" w14:textId="77777777" w:rsidTr="00E135E6">
        <w:tc>
          <w:tcPr>
            <w:tcW w:w="0" w:type="auto"/>
          </w:tcPr>
          <w:p w14:paraId="329BA0B7" w14:textId="77777777" w:rsidR="00DD36BD" w:rsidRPr="00D549EE" w:rsidRDefault="00DD36BD" w:rsidP="00C9582F">
            <w:pPr>
              <w:pStyle w:val="a5"/>
              <w:contextualSpacing/>
            </w:pPr>
            <w:r w:rsidRPr="00D549EE">
              <w:rPr>
                <w:bCs/>
                <w:color w:val="000000" w:themeColor="text1"/>
                <w:lang w:val="en-US"/>
              </w:rPr>
              <w:t xml:space="preserve">“-“ </w:t>
            </w:r>
            <w:r w:rsidRPr="00D549EE">
              <w:t>Equity owned by charities</w:t>
            </w:r>
          </w:p>
        </w:tc>
      </w:tr>
      <w:tr w:rsidR="00DD36BD" w:rsidRPr="00D74F7B" w14:paraId="59AE73B7" w14:textId="77777777" w:rsidTr="00E135E6">
        <w:tc>
          <w:tcPr>
            <w:tcW w:w="0" w:type="auto"/>
          </w:tcPr>
          <w:p w14:paraId="4093B320" w14:textId="77777777" w:rsidR="00DD36BD" w:rsidRPr="00D549EE" w:rsidRDefault="00DD36BD" w:rsidP="00C9582F">
            <w:pPr>
              <w:pStyle w:val="a5"/>
              <w:contextualSpacing/>
              <w:rPr>
                <w:lang w:val="en-US"/>
              </w:rPr>
            </w:pPr>
            <w:r w:rsidRPr="00D549EE">
              <w:rPr>
                <w:bCs/>
                <w:color w:val="000000" w:themeColor="text1"/>
                <w:lang w:val="en-US"/>
              </w:rPr>
              <w:t xml:space="preserve">“-” </w:t>
            </w:r>
            <w:r w:rsidRPr="00D549EE">
              <w:rPr>
                <w:lang w:val="en-US"/>
              </w:rPr>
              <w:t xml:space="preserve">Equity of non-profit organizations, excluding those owned by individuals </w:t>
            </w:r>
          </w:p>
        </w:tc>
      </w:tr>
      <w:tr w:rsidR="00DD36BD" w:rsidRPr="00D549EE" w14:paraId="048305D3" w14:textId="77777777" w:rsidTr="00E135E6">
        <w:tc>
          <w:tcPr>
            <w:tcW w:w="0" w:type="auto"/>
          </w:tcPr>
          <w:p w14:paraId="7214014E" w14:textId="2680E7D7" w:rsidR="00DD36BD" w:rsidRPr="00D549EE" w:rsidRDefault="00DD36BD" w:rsidP="00C9582F">
            <w:pPr>
              <w:pStyle w:val="a5"/>
              <w:contextualSpacing/>
              <w:rPr>
                <w:bCs/>
                <w:color w:val="000000" w:themeColor="text1"/>
                <w:lang w:val="en-US"/>
              </w:rPr>
            </w:pPr>
            <w:r w:rsidRPr="00D549EE">
              <w:rPr>
                <w:bCs/>
                <w:color w:val="000000" w:themeColor="text1"/>
                <w:lang w:val="en-US"/>
              </w:rPr>
              <w:t xml:space="preserve">    Note – Source </w:t>
            </w:r>
            <w:r w:rsidRPr="00D549EE">
              <w:rPr>
                <w:bCs/>
                <w:color w:val="000000" w:themeColor="text1"/>
                <w:lang w:val="en-US"/>
              </w:rPr>
              <w:fldChar w:fldCharType="begin" w:fldLock="1"/>
            </w:r>
            <w:r w:rsidR="00785182" w:rsidRPr="00D549EE">
              <w:rPr>
                <w:bCs/>
                <w:color w:val="000000" w:themeColor="text1"/>
                <w:lang w:val="en-US"/>
              </w:rPr>
              <w:instrText>ADDIN CSL_CITATION {"citationItems":[{"id":"ITEM-1","itemData":{"author":[{"dropping-particle":"","family":"Chartered Institute for Securities &amp; Investment","given":"","non-dropping-particle":"","parse-names":false,"suffix":""}],"edition":"8","editor":[{"dropping-particle":"","family":"Shikder","given":"Muhammad Nurullah","non-dropping-particle":"","parse-names":false,"suffix":""}],"id":"ITEM-1","issued":{"date-parts":[["2018"]]},"number-of-pages":"294","publisher-place":"London","title":"Islamic Finance Qualification ( IFQ )","type":"book"},"uris":["http://www.mendeley.com/documents/?uuid=49a2d784-2f26-46b9-99ff-208ad5d456ee"]}],"mendeley":{"formattedCitation":"[24]","plainTextFormattedCitation":"[24]","previouslyFormattedCitation":"[24]"},"properties":{"noteIndex":0},"schema":"https://github.com/citation-style-language/schema/raw/master/csl-citation.json"}</w:instrText>
            </w:r>
            <w:r w:rsidRPr="00D549EE">
              <w:rPr>
                <w:bCs/>
                <w:color w:val="000000" w:themeColor="text1"/>
                <w:lang w:val="en-US"/>
              </w:rPr>
              <w:fldChar w:fldCharType="separate"/>
            </w:r>
            <w:r w:rsidR="00785182" w:rsidRPr="00D549EE">
              <w:rPr>
                <w:bCs/>
                <w:noProof/>
                <w:color w:val="000000" w:themeColor="text1"/>
                <w:lang w:val="en-US"/>
              </w:rPr>
              <w:t>[24]</w:t>
            </w:r>
            <w:r w:rsidRPr="00D549EE">
              <w:rPr>
                <w:bCs/>
                <w:color w:val="000000" w:themeColor="text1"/>
                <w:lang w:val="en-US"/>
              </w:rPr>
              <w:fldChar w:fldCharType="end"/>
            </w:r>
          </w:p>
        </w:tc>
      </w:tr>
    </w:tbl>
    <w:p w14:paraId="6519F031" w14:textId="77777777" w:rsidR="007763A8" w:rsidRPr="007763A8" w:rsidRDefault="004777C4" w:rsidP="007763A8">
      <w:pPr>
        <w:pStyle w:val="a5"/>
        <w:contextualSpacing/>
        <w:jc w:val="both"/>
        <w:rPr>
          <w:sz w:val="28"/>
          <w:szCs w:val="28"/>
          <w:lang w:val="en-US"/>
        </w:rPr>
      </w:pPr>
      <w:r w:rsidRPr="00D549EE">
        <w:rPr>
          <w:sz w:val="28"/>
          <w:szCs w:val="28"/>
          <w:lang w:val="en-US"/>
        </w:rPr>
        <w:tab/>
      </w:r>
      <w:r w:rsidR="007763A8" w:rsidRPr="007763A8">
        <w:rPr>
          <w:sz w:val="28"/>
          <w:szCs w:val="28"/>
          <w:lang w:val="en-US"/>
        </w:rPr>
        <w:t>According to the Financial accounting standard 39 of AAOIFI, as an additional amendment of standard 9, Financial institutions are obliged to pay zakat requested based on the "net asset" method [62]. Previously, there were two methods of calculation and measurement of zakat: the net asset method, which is illustrated in Table 6, and the net invested method, which is based on the following indicators of the statement: "+" Paid-up capital; "+" Reserves; "+" Provisions not deducted from assets; "+" Retained earnings; "+" Net income; "+" Liabilities not due to be paid during the year; "-"(Net fixed assets + investments not acquired for trading + accumulated losses).</w:t>
      </w:r>
    </w:p>
    <w:p w14:paraId="2F206E87" w14:textId="77777777" w:rsidR="007763A8" w:rsidRPr="007763A8" w:rsidRDefault="007763A8" w:rsidP="007763A8">
      <w:pPr>
        <w:pStyle w:val="a5"/>
        <w:contextualSpacing/>
        <w:jc w:val="both"/>
        <w:rPr>
          <w:sz w:val="28"/>
          <w:szCs w:val="28"/>
          <w:lang w:val="en-US"/>
        </w:rPr>
      </w:pPr>
      <w:r w:rsidRPr="007763A8">
        <w:rPr>
          <w:sz w:val="28"/>
          <w:szCs w:val="28"/>
          <w:lang w:val="en-US"/>
        </w:rPr>
        <w:tab/>
        <w:t xml:space="preserve">It should be noted that zakat is an Individual obligation, which has to be performed by each individual independently from other members of society. As a result, Islamic financial institutions have two options for zakat payment. First, the financial institutions could pay zakat if it is considered by the country's local legal framework, internal politics, and shareholders' consideration. Secondly, in other cases, the financial institution's responsibility is to calculate the amount of zakat and inform shareholders. After that, the obligation of zakat payment lies with individuals, that is, shareholders.  </w:t>
      </w:r>
    </w:p>
    <w:p w14:paraId="0A3D0C02" w14:textId="77777777" w:rsidR="007763A8" w:rsidRPr="007763A8" w:rsidRDefault="007763A8" w:rsidP="007763A8">
      <w:pPr>
        <w:pStyle w:val="a5"/>
        <w:contextualSpacing/>
        <w:jc w:val="both"/>
        <w:rPr>
          <w:sz w:val="28"/>
          <w:szCs w:val="28"/>
          <w:lang w:val="en-US"/>
        </w:rPr>
      </w:pPr>
      <w:r w:rsidRPr="007763A8">
        <w:rPr>
          <w:sz w:val="28"/>
          <w:szCs w:val="28"/>
          <w:lang w:val="en-US"/>
        </w:rPr>
        <w:tab/>
        <w:t xml:space="preserve"> The most successful of the zakat implementation mechanisms of the countries for further investigating the suitable for our country were considered, which will be discussed in the following chapters [63].    </w:t>
      </w:r>
    </w:p>
    <w:p w14:paraId="7B9DB50D" w14:textId="77777777" w:rsidR="007763A8" w:rsidRDefault="007763A8" w:rsidP="007763A8">
      <w:pPr>
        <w:pStyle w:val="a5"/>
        <w:contextualSpacing/>
        <w:jc w:val="both"/>
        <w:rPr>
          <w:sz w:val="28"/>
          <w:szCs w:val="28"/>
          <w:lang w:val="en-US"/>
        </w:rPr>
      </w:pPr>
      <w:r w:rsidRPr="007763A8">
        <w:rPr>
          <w:sz w:val="28"/>
          <w:szCs w:val="28"/>
          <w:lang w:val="en-US"/>
        </w:rPr>
        <w:tab/>
        <w:t>The country which has the largest Muslim population in the world is Indonesia. According to official data, there are 225 million Muslims, which is 87% of all population of the country and 12.7% of the world's Muslim population.</w:t>
      </w:r>
    </w:p>
    <w:p w14:paraId="003DB92F" w14:textId="6F8926AD" w:rsidR="00216574" w:rsidRPr="007763A8" w:rsidRDefault="00216574" w:rsidP="007763A8">
      <w:pPr>
        <w:pStyle w:val="a5"/>
        <w:contextualSpacing/>
        <w:jc w:val="both"/>
        <w:rPr>
          <w:lang w:val="en-US"/>
        </w:rPr>
      </w:pPr>
      <w:r w:rsidRPr="00D549EE">
        <w:rPr>
          <w:noProof/>
        </w:rPr>
        <w:lastRenderedPageBreak/>
        <w:drawing>
          <wp:inline distT="0" distB="0" distL="0" distR="0" wp14:anchorId="1A0145D8" wp14:editId="00EE955B">
            <wp:extent cx="5228590" cy="1029547"/>
            <wp:effectExtent l="0" t="0" r="0" b="12065"/>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AF5F546" w14:textId="426771F6" w:rsidR="00216574" w:rsidRPr="00D549EE" w:rsidRDefault="00415D89" w:rsidP="00C9582F">
      <w:pPr>
        <w:pStyle w:val="2"/>
        <w:snapToGrid w:val="0"/>
        <w:spacing w:before="75" w:beforeAutospacing="0" w:after="375" w:afterAutospacing="0"/>
        <w:contextualSpacing/>
        <w:jc w:val="center"/>
        <w:rPr>
          <w:lang w:val="en-US"/>
        </w:rPr>
      </w:pPr>
      <w:r w:rsidRPr="00D549EE">
        <w:rPr>
          <w:b w:val="0"/>
          <w:sz w:val="28"/>
          <w:szCs w:val="28"/>
          <w:lang w:val="en-US"/>
        </w:rPr>
        <w:t xml:space="preserve">Figure </w:t>
      </w:r>
      <w:r w:rsidR="00344140" w:rsidRPr="00D549EE">
        <w:rPr>
          <w:b w:val="0"/>
          <w:sz w:val="28"/>
          <w:szCs w:val="28"/>
          <w:lang w:val="en-US"/>
        </w:rPr>
        <w:t>3</w:t>
      </w:r>
      <w:r w:rsidRPr="00D549EE">
        <w:rPr>
          <w:lang w:val="en-US"/>
        </w:rPr>
        <w:t xml:space="preserve"> </w:t>
      </w:r>
      <w:r w:rsidR="00C93933" w:rsidRPr="00D549EE">
        <w:rPr>
          <w:b w:val="0"/>
          <w:color w:val="000000" w:themeColor="text1"/>
          <w:lang w:val="en-US"/>
        </w:rPr>
        <w:t>–</w:t>
      </w:r>
      <w:r w:rsidR="00C93933" w:rsidRPr="00D549EE">
        <w:rPr>
          <w:b w:val="0"/>
          <w:color w:val="000000" w:themeColor="text1"/>
          <w:sz w:val="28"/>
          <w:szCs w:val="28"/>
          <w:lang w:val="en-US"/>
        </w:rPr>
        <w:t xml:space="preserve"> </w:t>
      </w:r>
      <w:r w:rsidRPr="00D549EE">
        <w:rPr>
          <w:b w:val="0"/>
          <w:sz w:val="28"/>
          <w:szCs w:val="28"/>
          <w:lang w:val="en-US"/>
        </w:rPr>
        <w:t>Institutional structure of zakat management in Indonesia</w:t>
      </w:r>
      <w:r w:rsidRPr="00D549EE">
        <w:rPr>
          <w:lang w:val="en-US"/>
        </w:rPr>
        <w:t xml:space="preserve"> </w:t>
      </w:r>
    </w:p>
    <w:p w14:paraId="28CF56EC" w14:textId="0562F644" w:rsidR="00216574" w:rsidRPr="00D549EE" w:rsidRDefault="00216574" w:rsidP="00C9582F">
      <w:pPr>
        <w:pStyle w:val="2"/>
        <w:snapToGrid w:val="0"/>
        <w:spacing w:before="75" w:beforeAutospacing="0" w:after="375" w:afterAutospacing="0"/>
        <w:contextualSpacing/>
        <w:jc w:val="both"/>
        <w:rPr>
          <w:sz w:val="24"/>
          <w:szCs w:val="24"/>
          <w:lang w:val="en-US"/>
        </w:rPr>
      </w:pPr>
    </w:p>
    <w:p w14:paraId="7CC0DF75" w14:textId="77777777" w:rsidR="004C0B59" w:rsidRPr="004C0B59" w:rsidRDefault="00043CEC" w:rsidP="004C0B59">
      <w:pPr>
        <w:pStyle w:val="2"/>
        <w:snapToGrid w:val="0"/>
        <w:spacing w:before="75" w:after="375"/>
        <w:contextualSpacing/>
        <w:jc w:val="both"/>
        <w:rPr>
          <w:b w:val="0"/>
          <w:sz w:val="28"/>
          <w:szCs w:val="28"/>
          <w:lang w:val="en-US"/>
        </w:rPr>
      </w:pPr>
      <w:r w:rsidRPr="00D549EE">
        <w:rPr>
          <w:b w:val="0"/>
          <w:sz w:val="28"/>
          <w:szCs w:val="28"/>
          <w:lang w:val="en-US"/>
        </w:rPr>
        <w:tab/>
      </w:r>
      <w:r w:rsidR="004C0B59" w:rsidRPr="004C0B59">
        <w:rPr>
          <w:b w:val="0"/>
          <w:sz w:val="28"/>
          <w:szCs w:val="28"/>
          <w:lang w:val="en-US"/>
        </w:rPr>
        <w:t xml:space="preserve">The zakat management's institutional and organizational structure is based on the dual system, the coordination activity of the government and private, not-for-profit institutions. The structure is illustrated in Figure 3, where there are two management levels. First is the National zakat fund, established by the Ministry of religious affairs and responsible directly to the country's president. The second management level involves the private non-profit organizations with their own Shariah supervisory Board – Amil Zakat Institutions. The primary purpose of this independent body is to control the process of collecting, distributing, and organizing the zakat through zakat collecting Units. The share of the total zakat collection in the Indonesia National zakat network is 62%, while the share of the private institutions is 38%.  </w:t>
      </w:r>
    </w:p>
    <w:p w14:paraId="6A7B412F" w14:textId="3889B905" w:rsidR="00216574" w:rsidRPr="00D549EE" w:rsidRDefault="004C0B59" w:rsidP="004C0B59">
      <w:pPr>
        <w:pStyle w:val="2"/>
        <w:snapToGrid w:val="0"/>
        <w:spacing w:before="75" w:beforeAutospacing="0" w:after="375" w:afterAutospacing="0"/>
        <w:contextualSpacing/>
        <w:jc w:val="both"/>
        <w:rPr>
          <w:b w:val="0"/>
          <w:sz w:val="28"/>
          <w:szCs w:val="28"/>
          <w:lang w:val="en-US"/>
        </w:rPr>
      </w:pPr>
      <w:r w:rsidRPr="004C0B59">
        <w:rPr>
          <w:b w:val="0"/>
          <w:sz w:val="28"/>
          <w:szCs w:val="28"/>
          <w:lang w:val="en-US"/>
        </w:rPr>
        <w:tab/>
        <w:t>Pakistan has the second-largest Muslim population, approximately 202.65 million, 11.1% of the world's Muslim population [64]. The structure of the zakat management in Pakistan is based on the dual system and obligatory implementation form involving the state and private actors. The Department of Zakat under the Ministry of religious affairs of the country is the main government body for collecting, distributing, and managing zakat. Bangladesh has a structure of zakat management similar to the system of Pakistan.</w:t>
      </w:r>
      <w:r w:rsidR="00E76949" w:rsidRPr="00D549EE">
        <w:rPr>
          <w:b w:val="0"/>
          <w:sz w:val="28"/>
          <w:szCs w:val="28"/>
          <w:lang w:val="en-US"/>
        </w:rPr>
        <w:t xml:space="preserve">  </w:t>
      </w:r>
    </w:p>
    <w:p w14:paraId="1580A44F" w14:textId="77777777" w:rsidR="00236FED" w:rsidRPr="00D549EE" w:rsidRDefault="00236FED" w:rsidP="00C9582F">
      <w:pPr>
        <w:pStyle w:val="2"/>
        <w:snapToGrid w:val="0"/>
        <w:spacing w:before="75" w:beforeAutospacing="0" w:after="375" w:afterAutospacing="0"/>
        <w:contextualSpacing/>
        <w:jc w:val="both"/>
        <w:rPr>
          <w:b w:val="0"/>
          <w:sz w:val="28"/>
          <w:szCs w:val="28"/>
          <w:lang w:val="en-US"/>
        </w:rPr>
      </w:pPr>
    </w:p>
    <w:p w14:paraId="032C2453" w14:textId="77777777" w:rsidR="00236FED" w:rsidRPr="00D549EE" w:rsidRDefault="00236FED" w:rsidP="00C9582F">
      <w:pPr>
        <w:pStyle w:val="2"/>
        <w:snapToGrid w:val="0"/>
        <w:spacing w:before="75" w:beforeAutospacing="0" w:after="375" w:afterAutospacing="0"/>
        <w:contextualSpacing/>
        <w:jc w:val="both"/>
        <w:rPr>
          <w:b w:val="0"/>
          <w:sz w:val="28"/>
          <w:szCs w:val="28"/>
          <w:lang w:val="en-US"/>
        </w:rPr>
      </w:pPr>
      <w:r w:rsidRPr="00D549EE">
        <w:rPr>
          <w:b w:val="0"/>
          <w:noProof/>
          <w:sz w:val="28"/>
          <w:szCs w:val="28"/>
        </w:rPr>
        <w:drawing>
          <wp:inline distT="0" distB="0" distL="0" distR="0" wp14:anchorId="04286B82" wp14:editId="3DBF9B82">
            <wp:extent cx="5289973" cy="812800"/>
            <wp:effectExtent l="0" t="0" r="0" b="1270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F7A2B6A" w14:textId="77777777" w:rsidR="00236FED" w:rsidRPr="00D549EE" w:rsidRDefault="00236FED" w:rsidP="00C9582F">
      <w:pPr>
        <w:pStyle w:val="2"/>
        <w:snapToGrid w:val="0"/>
        <w:spacing w:before="75" w:beforeAutospacing="0" w:after="375" w:afterAutospacing="0"/>
        <w:contextualSpacing/>
        <w:jc w:val="both"/>
        <w:rPr>
          <w:b w:val="0"/>
          <w:sz w:val="28"/>
          <w:szCs w:val="28"/>
          <w:lang w:val="en-US"/>
        </w:rPr>
      </w:pPr>
    </w:p>
    <w:p w14:paraId="18E52986" w14:textId="2B1E9784" w:rsidR="00C93933" w:rsidRPr="00D549EE" w:rsidRDefault="00236FED" w:rsidP="00C9582F">
      <w:pPr>
        <w:pStyle w:val="2"/>
        <w:snapToGrid w:val="0"/>
        <w:spacing w:before="75" w:beforeAutospacing="0" w:after="375" w:afterAutospacing="0"/>
        <w:contextualSpacing/>
        <w:jc w:val="center"/>
        <w:rPr>
          <w:lang w:val="en-US"/>
        </w:rPr>
      </w:pPr>
      <w:r w:rsidRPr="00D549EE">
        <w:rPr>
          <w:b w:val="0"/>
          <w:sz w:val="28"/>
          <w:szCs w:val="28"/>
          <w:lang w:val="en-US"/>
        </w:rPr>
        <w:t xml:space="preserve">Figure </w:t>
      </w:r>
      <w:r w:rsidR="00344140" w:rsidRPr="00D549EE">
        <w:rPr>
          <w:b w:val="0"/>
          <w:sz w:val="28"/>
          <w:szCs w:val="28"/>
          <w:lang w:val="en-US"/>
        </w:rPr>
        <w:t>4</w:t>
      </w:r>
      <w:r w:rsidR="00C93933" w:rsidRPr="00D549EE">
        <w:rPr>
          <w:sz w:val="28"/>
          <w:szCs w:val="28"/>
          <w:lang w:val="en-US"/>
        </w:rPr>
        <w:t xml:space="preserve"> </w:t>
      </w:r>
      <w:r w:rsidR="00C93933" w:rsidRPr="00D549EE">
        <w:rPr>
          <w:b w:val="0"/>
          <w:color w:val="000000" w:themeColor="text1"/>
          <w:lang w:val="en-US"/>
        </w:rPr>
        <w:t>–</w:t>
      </w:r>
      <w:r w:rsidRPr="00D549EE">
        <w:rPr>
          <w:lang w:val="en-US"/>
        </w:rPr>
        <w:t xml:space="preserve"> </w:t>
      </w:r>
      <w:r w:rsidRPr="00D549EE">
        <w:rPr>
          <w:b w:val="0"/>
          <w:sz w:val="28"/>
          <w:szCs w:val="28"/>
          <w:lang w:val="en-US"/>
        </w:rPr>
        <w:t>Institutional structure of zakat management in Pakistan</w:t>
      </w:r>
      <w:r w:rsidR="00E76949" w:rsidRPr="00D549EE">
        <w:rPr>
          <w:b w:val="0"/>
          <w:sz w:val="28"/>
          <w:szCs w:val="28"/>
          <w:lang w:val="en-US"/>
        </w:rPr>
        <w:t xml:space="preserve"> and Bangladesh</w:t>
      </w:r>
    </w:p>
    <w:p w14:paraId="6725C21B" w14:textId="77777777" w:rsidR="00236FED" w:rsidRPr="00D549EE" w:rsidRDefault="00236FED" w:rsidP="00C9582F">
      <w:pPr>
        <w:pStyle w:val="2"/>
        <w:snapToGrid w:val="0"/>
        <w:spacing w:before="75" w:beforeAutospacing="0" w:after="375" w:afterAutospacing="0"/>
        <w:contextualSpacing/>
        <w:jc w:val="both"/>
        <w:rPr>
          <w:b w:val="0"/>
          <w:sz w:val="28"/>
          <w:szCs w:val="28"/>
          <w:lang w:val="en-US"/>
        </w:rPr>
      </w:pPr>
    </w:p>
    <w:p w14:paraId="74D63C7B" w14:textId="77777777" w:rsidR="00367ECC" w:rsidRPr="00367ECC" w:rsidRDefault="00E76949" w:rsidP="00367ECC">
      <w:pPr>
        <w:pStyle w:val="2"/>
        <w:snapToGrid w:val="0"/>
        <w:spacing w:before="75" w:after="375"/>
        <w:contextualSpacing/>
        <w:jc w:val="both"/>
        <w:rPr>
          <w:b w:val="0"/>
          <w:sz w:val="28"/>
          <w:szCs w:val="28"/>
          <w:lang w:val="en-US"/>
        </w:rPr>
      </w:pPr>
      <w:r w:rsidRPr="00D549EE">
        <w:rPr>
          <w:b w:val="0"/>
          <w:sz w:val="28"/>
          <w:szCs w:val="28"/>
          <w:lang w:val="en-US"/>
        </w:rPr>
        <w:tab/>
      </w:r>
      <w:r w:rsidR="00367ECC" w:rsidRPr="00367ECC">
        <w:rPr>
          <w:b w:val="0"/>
          <w:sz w:val="28"/>
          <w:szCs w:val="28"/>
          <w:lang w:val="en-US"/>
        </w:rPr>
        <w:t xml:space="preserve">The institutional structure of zakat management in the country with the third-largest Muslim population in India is based on regulation without government participation. Collecting, distribution, and management are carried out through religious schools and individual and institutional zakat collectors.    </w:t>
      </w:r>
    </w:p>
    <w:p w14:paraId="12255B6E" w14:textId="59DB2CCC" w:rsidR="005864ED" w:rsidRPr="00D549EE" w:rsidRDefault="00367ECC" w:rsidP="00367ECC">
      <w:pPr>
        <w:pStyle w:val="2"/>
        <w:snapToGrid w:val="0"/>
        <w:spacing w:before="75" w:beforeAutospacing="0" w:after="375" w:afterAutospacing="0"/>
        <w:contextualSpacing/>
        <w:jc w:val="both"/>
        <w:rPr>
          <w:b w:val="0"/>
          <w:bCs w:val="0"/>
          <w:color w:val="000000" w:themeColor="text1"/>
          <w:sz w:val="28"/>
          <w:szCs w:val="28"/>
          <w:lang w:val="en-US"/>
        </w:rPr>
      </w:pPr>
      <w:r w:rsidRPr="00367ECC">
        <w:rPr>
          <w:b w:val="0"/>
          <w:sz w:val="28"/>
          <w:szCs w:val="28"/>
          <w:lang w:val="en-US"/>
        </w:rPr>
        <w:tab/>
        <w:t xml:space="preserve">The following countries are Malaysia, Singapore, and Brunei Darussalam, which have a similar institutional structure for zakat managing through the Islamic religious Council, called Majlis under the Ministry of religious affairs, responsible to the President or Sultan of the country. </w:t>
      </w:r>
      <w:r w:rsidR="00E76949" w:rsidRPr="00D549EE">
        <w:rPr>
          <w:b w:val="0"/>
          <w:bCs w:val="0"/>
          <w:color w:val="000000" w:themeColor="text1"/>
          <w:sz w:val="28"/>
          <w:szCs w:val="28"/>
          <w:lang w:val="en-US"/>
        </w:rPr>
        <w:t xml:space="preserve"> </w:t>
      </w:r>
    </w:p>
    <w:p w14:paraId="3E31458E" w14:textId="77777777" w:rsidR="00E76949" w:rsidRPr="00D549EE" w:rsidRDefault="00E7694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noProof/>
          <w:sz w:val="28"/>
          <w:szCs w:val="28"/>
        </w:rPr>
        <w:lastRenderedPageBreak/>
        <w:drawing>
          <wp:inline distT="0" distB="0" distL="0" distR="0" wp14:anchorId="2C8162E6" wp14:editId="0138AF94">
            <wp:extent cx="5594985" cy="1063414"/>
            <wp:effectExtent l="0" t="0" r="0" b="1651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364C388" w14:textId="77777777" w:rsidR="006644D6" w:rsidRPr="00D549EE" w:rsidRDefault="006644D6" w:rsidP="00C9582F">
      <w:pPr>
        <w:pStyle w:val="2"/>
        <w:snapToGrid w:val="0"/>
        <w:spacing w:before="75" w:beforeAutospacing="0" w:after="375" w:afterAutospacing="0"/>
        <w:contextualSpacing/>
        <w:jc w:val="center"/>
        <w:rPr>
          <w:b w:val="0"/>
          <w:sz w:val="28"/>
          <w:szCs w:val="28"/>
          <w:lang w:val="en-US"/>
        </w:rPr>
      </w:pPr>
    </w:p>
    <w:p w14:paraId="6AE7FB04" w14:textId="3378FBE8" w:rsidR="00C93933" w:rsidRPr="00D549EE" w:rsidRDefault="00C93933" w:rsidP="00C9582F">
      <w:pPr>
        <w:pStyle w:val="2"/>
        <w:snapToGrid w:val="0"/>
        <w:spacing w:before="75" w:beforeAutospacing="0" w:after="375" w:afterAutospacing="0"/>
        <w:contextualSpacing/>
        <w:jc w:val="center"/>
        <w:rPr>
          <w:b w:val="0"/>
          <w:sz w:val="28"/>
          <w:szCs w:val="28"/>
          <w:lang w:val="en-US"/>
        </w:rPr>
      </w:pPr>
      <w:r w:rsidRPr="00D549EE">
        <w:rPr>
          <w:b w:val="0"/>
          <w:sz w:val="28"/>
          <w:szCs w:val="28"/>
          <w:lang w:val="en-US"/>
        </w:rPr>
        <w:t xml:space="preserve">Figure </w:t>
      </w:r>
      <w:r w:rsidR="00344140" w:rsidRPr="00D549EE">
        <w:rPr>
          <w:b w:val="0"/>
          <w:sz w:val="28"/>
          <w:szCs w:val="28"/>
          <w:lang w:val="en-US"/>
        </w:rPr>
        <w:t>5</w:t>
      </w:r>
      <w:r w:rsidRPr="00D549EE">
        <w:rPr>
          <w:sz w:val="28"/>
          <w:szCs w:val="28"/>
          <w:lang w:val="en-US"/>
        </w:rPr>
        <w:t xml:space="preserve"> </w:t>
      </w:r>
      <w:r w:rsidRPr="00D549EE">
        <w:rPr>
          <w:b w:val="0"/>
          <w:color w:val="000000" w:themeColor="text1"/>
          <w:lang w:val="en-US"/>
        </w:rPr>
        <w:t>–</w:t>
      </w:r>
      <w:r w:rsidRPr="00D549EE">
        <w:rPr>
          <w:lang w:val="en-US"/>
        </w:rPr>
        <w:t xml:space="preserve"> </w:t>
      </w:r>
      <w:r w:rsidR="000E1EF9" w:rsidRPr="00D549EE">
        <w:rPr>
          <w:b w:val="0"/>
          <w:sz w:val="28"/>
          <w:szCs w:val="28"/>
          <w:lang w:val="en-US"/>
        </w:rPr>
        <w:t>Institutional structure of zakat management in Malaysia, Singapore and</w:t>
      </w:r>
    </w:p>
    <w:p w14:paraId="6BBE781B" w14:textId="77777777" w:rsidR="00C93933" w:rsidRPr="00D549EE" w:rsidRDefault="000E1EF9" w:rsidP="00C9582F">
      <w:pPr>
        <w:pStyle w:val="2"/>
        <w:snapToGrid w:val="0"/>
        <w:spacing w:before="75" w:beforeAutospacing="0" w:after="375" w:afterAutospacing="0"/>
        <w:contextualSpacing/>
        <w:jc w:val="center"/>
        <w:rPr>
          <w:lang w:val="en-US"/>
        </w:rPr>
      </w:pPr>
      <w:r w:rsidRPr="00D549EE">
        <w:rPr>
          <w:b w:val="0"/>
          <w:sz w:val="28"/>
          <w:szCs w:val="28"/>
          <w:lang w:val="en-US"/>
        </w:rPr>
        <w:t>Brunei Darussalam</w:t>
      </w:r>
      <w:r w:rsidRPr="00D549EE">
        <w:rPr>
          <w:lang w:val="en-US"/>
        </w:rPr>
        <w:t xml:space="preserve"> </w:t>
      </w:r>
    </w:p>
    <w:p w14:paraId="3C1AC2FF" w14:textId="3FC4E0E4" w:rsidR="009B702E" w:rsidRPr="00D549EE" w:rsidRDefault="009B702E" w:rsidP="00C9582F">
      <w:pPr>
        <w:pStyle w:val="2"/>
        <w:snapToGrid w:val="0"/>
        <w:spacing w:before="75" w:beforeAutospacing="0" w:after="375" w:afterAutospacing="0"/>
        <w:contextualSpacing/>
        <w:jc w:val="both"/>
        <w:rPr>
          <w:b w:val="0"/>
          <w:bCs w:val="0"/>
          <w:color w:val="000000" w:themeColor="text1"/>
          <w:sz w:val="28"/>
          <w:szCs w:val="28"/>
          <w:lang w:val="en-US"/>
        </w:rPr>
      </w:pPr>
    </w:p>
    <w:p w14:paraId="4990056A" w14:textId="77777777" w:rsidR="00367ECC" w:rsidRPr="00367ECC" w:rsidRDefault="00D70265" w:rsidP="00367ECC">
      <w:pPr>
        <w:pStyle w:val="2"/>
        <w:snapToGrid w:val="0"/>
        <w:spacing w:before="75" w:after="375"/>
        <w:contextualSpacing/>
        <w:jc w:val="both"/>
        <w:rPr>
          <w:b w:val="0"/>
          <w:bCs w:val="0"/>
          <w:color w:val="000000" w:themeColor="text1"/>
          <w:sz w:val="28"/>
          <w:szCs w:val="28"/>
          <w:lang w:val="en-US"/>
        </w:rPr>
      </w:pPr>
      <w:r w:rsidRPr="00D549EE">
        <w:rPr>
          <w:b w:val="0"/>
          <w:bCs w:val="0"/>
          <w:color w:val="000000" w:themeColor="text1"/>
          <w:sz w:val="28"/>
          <w:szCs w:val="28"/>
          <w:lang w:val="en-US"/>
        </w:rPr>
        <w:tab/>
      </w:r>
      <w:r w:rsidR="00367ECC" w:rsidRPr="00367ECC">
        <w:rPr>
          <w:b w:val="0"/>
          <w:bCs w:val="0"/>
          <w:color w:val="000000" w:themeColor="text1"/>
          <w:sz w:val="28"/>
          <w:szCs w:val="28"/>
          <w:lang w:val="en-US"/>
        </w:rPr>
        <w:t>The practice of the zakat institutional structure and zakat collection of the countries with a high amount of the zakat demonstrated the role of the zakat in the countries’ policy, and mainly the process is regulated by the Ministry of religious affairs. However, important to understand that zakat is obligatory or dual in these structures. For the voluntary zakat collection, the institutional structure is involved in the financial system and regulated by responsible ministries. Thus, Qatar, Kuwait, Bahrain, and Jordan zakat collection is under the Ministry of endowments (Awqaf) and Islamic affairs.</w:t>
      </w:r>
    </w:p>
    <w:p w14:paraId="24ED4D1A" w14:textId="352C83D5" w:rsidR="004949BD" w:rsidRPr="00D549EE" w:rsidRDefault="00367ECC" w:rsidP="00367ECC">
      <w:pPr>
        <w:pStyle w:val="2"/>
        <w:snapToGrid w:val="0"/>
        <w:spacing w:before="75" w:beforeAutospacing="0" w:after="375" w:afterAutospacing="0"/>
        <w:contextualSpacing/>
        <w:jc w:val="both"/>
        <w:rPr>
          <w:b w:val="0"/>
          <w:bCs w:val="0"/>
          <w:color w:val="000000" w:themeColor="text1"/>
          <w:sz w:val="28"/>
          <w:szCs w:val="28"/>
          <w:lang w:val="en-US"/>
        </w:rPr>
      </w:pPr>
      <w:r w:rsidRPr="00367ECC">
        <w:rPr>
          <w:b w:val="0"/>
          <w:bCs w:val="0"/>
          <w:color w:val="000000" w:themeColor="text1"/>
          <w:sz w:val="28"/>
          <w:szCs w:val="28"/>
          <w:lang w:val="en-US"/>
        </w:rPr>
        <w:tab/>
        <w:t>The following table presents forms of zakat implementation and regulation mechanisms in the selected countries.</w:t>
      </w:r>
      <w:r w:rsidR="004949BD" w:rsidRPr="00D549EE">
        <w:rPr>
          <w:b w:val="0"/>
          <w:bCs w:val="0"/>
          <w:color w:val="000000" w:themeColor="text1"/>
          <w:sz w:val="28"/>
          <w:szCs w:val="28"/>
          <w:lang w:val="en-US"/>
        </w:rPr>
        <w:t xml:space="preserve"> </w:t>
      </w:r>
    </w:p>
    <w:p w14:paraId="3EB3B609" w14:textId="77777777" w:rsidR="004949BD" w:rsidRPr="00D549EE" w:rsidRDefault="004949BD" w:rsidP="00C9582F">
      <w:pPr>
        <w:pStyle w:val="2"/>
        <w:snapToGrid w:val="0"/>
        <w:spacing w:before="75" w:beforeAutospacing="0" w:after="375" w:afterAutospacing="0"/>
        <w:contextualSpacing/>
        <w:jc w:val="both"/>
        <w:rPr>
          <w:b w:val="0"/>
          <w:bCs w:val="0"/>
          <w:color w:val="000000" w:themeColor="text1"/>
          <w:sz w:val="28"/>
          <w:szCs w:val="28"/>
          <w:lang w:val="en-US"/>
        </w:rPr>
      </w:pPr>
    </w:p>
    <w:p w14:paraId="0F5B5E13" w14:textId="66FEC363" w:rsidR="004949BD" w:rsidRPr="00D549EE" w:rsidRDefault="004949BD"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 xml:space="preserve">Table 7 </w:t>
      </w:r>
      <w:r w:rsidRPr="00D549EE">
        <w:rPr>
          <w:b w:val="0"/>
          <w:color w:val="000000" w:themeColor="text1"/>
          <w:lang w:val="en-US"/>
        </w:rPr>
        <w:t>–</w:t>
      </w:r>
      <w:r w:rsidRPr="00D549EE">
        <w:rPr>
          <w:color w:val="000000" w:themeColor="text1"/>
          <w:sz w:val="28"/>
          <w:szCs w:val="28"/>
          <w:lang w:val="en-US"/>
        </w:rPr>
        <w:t xml:space="preserve"> </w:t>
      </w:r>
      <w:r w:rsidRPr="00D549EE">
        <w:rPr>
          <w:b w:val="0"/>
          <w:bCs w:val="0"/>
          <w:color w:val="000000" w:themeColor="text1"/>
          <w:sz w:val="28"/>
          <w:szCs w:val="28"/>
          <w:lang w:val="en-US"/>
        </w:rPr>
        <w:t>Zakat implementation forms in the selected countries</w:t>
      </w:r>
    </w:p>
    <w:p w14:paraId="3F34BA79" w14:textId="77777777" w:rsidR="004949BD" w:rsidRPr="00D549EE" w:rsidRDefault="004949BD" w:rsidP="00C9582F">
      <w:pPr>
        <w:pStyle w:val="2"/>
        <w:snapToGrid w:val="0"/>
        <w:spacing w:before="75" w:beforeAutospacing="0" w:after="375" w:afterAutospacing="0"/>
        <w:contextualSpacing/>
        <w:jc w:val="both"/>
        <w:rPr>
          <w:bCs w:val="0"/>
          <w:color w:val="000000" w:themeColor="text1"/>
          <w:sz w:val="28"/>
          <w:szCs w:val="28"/>
          <w:lang w:val="en-US"/>
        </w:rPr>
      </w:pPr>
    </w:p>
    <w:tbl>
      <w:tblPr>
        <w:tblStyle w:val="a9"/>
        <w:tblW w:w="0" w:type="auto"/>
        <w:tblLook w:val="04A0" w:firstRow="1" w:lastRow="0" w:firstColumn="1" w:lastColumn="0" w:noHBand="0" w:noVBand="1"/>
      </w:tblPr>
      <w:tblGrid>
        <w:gridCol w:w="336"/>
        <w:gridCol w:w="1342"/>
        <w:gridCol w:w="2231"/>
        <w:gridCol w:w="1189"/>
        <w:gridCol w:w="4525"/>
      </w:tblGrid>
      <w:tr w:rsidR="004949BD" w:rsidRPr="00D549EE" w14:paraId="0E0D5467" w14:textId="77777777" w:rsidTr="00A50632">
        <w:tc>
          <w:tcPr>
            <w:tcW w:w="0" w:type="auto"/>
          </w:tcPr>
          <w:p w14:paraId="64E276F1"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p>
        </w:tc>
        <w:tc>
          <w:tcPr>
            <w:tcW w:w="0" w:type="auto"/>
          </w:tcPr>
          <w:p w14:paraId="5EF9E439"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Country</w:t>
            </w:r>
          </w:p>
        </w:tc>
        <w:tc>
          <w:tcPr>
            <w:tcW w:w="2231" w:type="dxa"/>
          </w:tcPr>
          <w:p w14:paraId="33B55565"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Implementation form</w:t>
            </w:r>
          </w:p>
        </w:tc>
        <w:tc>
          <w:tcPr>
            <w:tcW w:w="1189" w:type="dxa"/>
          </w:tcPr>
          <w:p w14:paraId="4E99D2BD"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Year</w:t>
            </w:r>
          </w:p>
        </w:tc>
        <w:tc>
          <w:tcPr>
            <w:tcW w:w="4525" w:type="dxa"/>
          </w:tcPr>
          <w:p w14:paraId="7E368EB3"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Regulatory framework</w:t>
            </w:r>
          </w:p>
        </w:tc>
      </w:tr>
      <w:tr w:rsidR="004949BD" w:rsidRPr="00D74F7B" w14:paraId="099ECF90" w14:textId="77777777" w:rsidTr="00A50632">
        <w:trPr>
          <w:trHeight w:hRule="exact" w:val="907"/>
        </w:trPr>
        <w:tc>
          <w:tcPr>
            <w:tcW w:w="0" w:type="auto"/>
          </w:tcPr>
          <w:p w14:paraId="306BB222"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w:t>
            </w:r>
          </w:p>
        </w:tc>
        <w:tc>
          <w:tcPr>
            <w:tcW w:w="0" w:type="auto"/>
          </w:tcPr>
          <w:p w14:paraId="2E9D9D77"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Yemen</w:t>
            </w:r>
          </w:p>
        </w:tc>
        <w:tc>
          <w:tcPr>
            <w:tcW w:w="2231" w:type="dxa"/>
          </w:tcPr>
          <w:p w14:paraId="6FAEB346"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Obligatory </w:t>
            </w:r>
          </w:p>
        </w:tc>
        <w:tc>
          <w:tcPr>
            <w:tcW w:w="1189" w:type="dxa"/>
          </w:tcPr>
          <w:p w14:paraId="1C20647E" w14:textId="571A15F4"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9</w:t>
            </w:r>
            <w:r w:rsidR="005E772C" w:rsidRPr="00D549EE">
              <w:rPr>
                <w:b w:val="0"/>
                <w:bCs w:val="0"/>
                <w:color w:val="000000" w:themeColor="text1"/>
                <w:sz w:val="24"/>
                <w:szCs w:val="24"/>
                <w:lang w:val="en-US"/>
              </w:rPr>
              <w:t xml:space="preserve"> </w:t>
            </w:r>
            <w:r w:rsidRPr="00D549EE">
              <w:rPr>
                <w:b w:val="0"/>
                <w:bCs w:val="0"/>
                <w:color w:val="000000" w:themeColor="text1"/>
                <w:sz w:val="24"/>
                <w:szCs w:val="24"/>
                <w:lang w:val="en-US"/>
              </w:rPr>
              <w:t>year of Hijrah (632 CE)</w:t>
            </w:r>
          </w:p>
        </w:tc>
        <w:tc>
          <w:tcPr>
            <w:tcW w:w="4525" w:type="dxa"/>
          </w:tcPr>
          <w:p w14:paraId="21BBE428"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Collecting – Agency of duties, state body</w:t>
            </w:r>
          </w:p>
          <w:p w14:paraId="402C96B7"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Distribution – Social welfare, Health and Education ministries</w:t>
            </w:r>
          </w:p>
        </w:tc>
      </w:tr>
      <w:tr w:rsidR="004949BD" w:rsidRPr="00D74F7B" w14:paraId="68BAE899" w14:textId="77777777" w:rsidTr="00A50632">
        <w:trPr>
          <w:trHeight w:hRule="exact" w:val="1247"/>
        </w:trPr>
        <w:tc>
          <w:tcPr>
            <w:tcW w:w="0" w:type="auto"/>
          </w:tcPr>
          <w:p w14:paraId="2C8D7C10"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2</w:t>
            </w:r>
          </w:p>
        </w:tc>
        <w:tc>
          <w:tcPr>
            <w:tcW w:w="0" w:type="auto"/>
          </w:tcPr>
          <w:p w14:paraId="4ADD46DB"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Saudi Arabia</w:t>
            </w:r>
          </w:p>
        </w:tc>
        <w:tc>
          <w:tcPr>
            <w:tcW w:w="2231" w:type="dxa"/>
          </w:tcPr>
          <w:p w14:paraId="25F41F9E"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Obligatory</w:t>
            </w:r>
          </w:p>
        </w:tc>
        <w:tc>
          <w:tcPr>
            <w:tcW w:w="1189" w:type="dxa"/>
          </w:tcPr>
          <w:p w14:paraId="216DC4FF"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1951</w:t>
            </w:r>
          </w:p>
        </w:tc>
        <w:tc>
          <w:tcPr>
            <w:tcW w:w="4525" w:type="dxa"/>
          </w:tcPr>
          <w:p w14:paraId="0B2B20E3"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Collecting – Ministry of Finance, Agency of zakat and taxes</w:t>
            </w:r>
          </w:p>
          <w:p w14:paraId="10996B6D"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Distribution – Ministry of labor and social welfare</w:t>
            </w:r>
          </w:p>
        </w:tc>
      </w:tr>
      <w:tr w:rsidR="004949BD" w:rsidRPr="00D74F7B" w14:paraId="5613632E" w14:textId="77777777" w:rsidTr="00A50632">
        <w:trPr>
          <w:trHeight w:hRule="exact" w:val="851"/>
        </w:trPr>
        <w:tc>
          <w:tcPr>
            <w:tcW w:w="0" w:type="auto"/>
          </w:tcPr>
          <w:p w14:paraId="657A11AB"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3</w:t>
            </w:r>
          </w:p>
        </w:tc>
        <w:tc>
          <w:tcPr>
            <w:tcW w:w="0" w:type="auto"/>
          </w:tcPr>
          <w:p w14:paraId="1704B007"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Malaysia</w:t>
            </w:r>
          </w:p>
        </w:tc>
        <w:tc>
          <w:tcPr>
            <w:tcW w:w="2231" w:type="dxa"/>
          </w:tcPr>
          <w:p w14:paraId="29E1CD64"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Obligatory</w:t>
            </w:r>
          </w:p>
        </w:tc>
        <w:tc>
          <w:tcPr>
            <w:tcW w:w="1189" w:type="dxa"/>
          </w:tcPr>
          <w:p w14:paraId="56914ECB"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1993</w:t>
            </w:r>
          </w:p>
        </w:tc>
        <w:tc>
          <w:tcPr>
            <w:tcW w:w="4525" w:type="dxa"/>
          </w:tcPr>
          <w:p w14:paraId="1F8896F1"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Collecting and distribution – councils of religious affairs of the 13 sates</w:t>
            </w:r>
          </w:p>
        </w:tc>
      </w:tr>
      <w:tr w:rsidR="004949BD" w:rsidRPr="00D74F7B" w14:paraId="60E1864B" w14:textId="77777777" w:rsidTr="007B0840">
        <w:trPr>
          <w:trHeight w:hRule="exact" w:val="851"/>
        </w:trPr>
        <w:tc>
          <w:tcPr>
            <w:tcW w:w="0" w:type="auto"/>
            <w:tcBorders>
              <w:bottom w:val="single" w:sz="4" w:space="0" w:color="auto"/>
            </w:tcBorders>
          </w:tcPr>
          <w:p w14:paraId="40D0CE6D"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4</w:t>
            </w:r>
          </w:p>
        </w:tc>
        <w:tc>
          <w:tcPr>
            <w:tcW w:w="0" w:type="auto"/>
            <w:tcBorders>
              <w:bottom w:val="single" w:sz="4" w:space="0" w:color="auto"/>
            </w:tcBorders>
          </w:tcPr>
          <w:p w14:paraId="258C08F6"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Libya</w:t>
            </w:r>
          </w:p>
        </w:tc>
        <w:tc>
          <w:tcPr>
            <w:tcW w:w="2231" w:type="dxa"/>
            <w:tcBorders>
              <w:bottom w:val="single" w:sz="4" w:space="0" w:color="auto"/>
            </w:tcBorders>
          </w:tcPr>
          <w:p w14:paraId="08408549"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Obligatory</w:t>
            </w:r>
          </w:p>
        </w:tc>
        <w:tc>
          <w:tcPr>
            <w:tcW w:w="1189" w:type="dxa"/>
            <w:tcBorders>
              <w:bottom w:val="single" w:sz="4" w:space="0" w:color="auto"/>
            </w:tcBorders>
          </w:tcPr>
          <w:p w14:paraId="2E45F2AD"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1971</w:t>
            </w:r>
          </w:p>
        </w:tc>
        <w:tc>
          <w:tcPr>
            <w:tcW w:w="4525" w:type="dxa"/>
            <w:tcBorders>
              <w:bottom w:val="single" w:sz="4" w:space="0" w:color="auto"/>
            </w:tcBorders>
          </w:tcPr>
          <w:p w14:paraId="4C7B9051"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Collecting – General Directorate for zakat</w:t>
            </w:r>
          </w:p>
          <w:p w14:paraId="3B5C597B"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Distribution – Social welfare Department of the Government</w:t>
            </w:r>
          </w:p>
        </w:tc>
      </w:tr>
      <w:tr w:rsidR="004949BD" w:rsidRPr="00D74F7B" w14:paraId="40130D3C" w14:textId="77777777" w:rsidTr="007B0840">
        <w:trPr>
          <w:trHeight w:hRule="exact" w:val="1471"/>
        </w:trPr>
        <w:tc>
          <w:tcPr>
            <w:tcW w:w="0" w:type="auto"/>
            <w:tcBorders>
              <w:bottom w:val="nil"/>
            </w:tcBorders>
          </w:tcPr>
          <w:p w14:paraId="46E9D771"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5</w:t>
            </w:r>
          </w:p>
        </w:tc>
        <w:tc>
          <w:tcPr>
            <w:tcW w:w="0" w:type="auto"/>
            <w:tcBorders>
              <w:bottom w:val="nil"/>
            </w:tcBorders>
          </w:tcPr>
          <w:p w14:paraId="13FAEEFB"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Pakistan</w:t>
            </w:r>
          </w:p>
        </w:tc>
        <w:tc>
          <w:tcPr>
            <w:tcW w:w="2231" w:type="dxa"/>
            <w:tcBorders>
              <w:bottom w:val="nil"/>
            </w:tcBorders>
          </w:tcPr>
          <w:p w14:paraId="1CAEE05D"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Obligatory</w:t>
            </w:r>
          </w:p>
        </w:tc>
        <w:tc>
          <w:tcPr>
            <w:tcW w:w="1189" w:type="dxa"/>
            <w:tcBorders>
              <w:bottom w:val="nil"/>
            </w:tcBorders>
          </w:tcPr>
          <w:p w14:paraId="7BE206B4"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1981</w:t>
            </w:r>
          </w:p>
        </w:tc>
        <w:tc>
          <w:tcPr>
            <w:tcW w:w="4525" w:type="dxa"/>
            <w:tcBorders>
              <w:bottom w:val="nil"/>
            </w:tcBorders>
          </w:tcPr>
          <w:p w14:paraId="29282D10"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Collecting – administration of zakat, Ministry of finance</w:t>
            </w:r>
          </w:p>
          <w:p w14:paraId="05559A74"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Distribution – local committees and distribution agencies (charitable organizations)</w:t>
            </w:r>
          </w:p>
        </w:tc>
      </w:tr>
    </w:tbl>
    <w:p w14:paraId="64CF4E43" w14:textId="07CA516F" w:rsidR="00A50632" w:rsidRDefault="00A50632">
      <w:pPr>
        <w:rPr>
          <w:lang w:val="en-US"/>
        </w:rPr>
      </w:pPr>
    </w:p>
    <w:p w14:paraId="77A2B4A3" w14:textId="37F8BC97" w:rsidR="00367ECC" w:rsidRDefault="00367ECC">
      <w:pPr>
        <w:rPr>
          <w:lang w:val="en-US"/>
        </w:rPr>
      </w:pPr>
    </w:p>
    <w:p w14:paraId="5C67AB92" w14:textId="045F22D6" w:rsidR="00367ECC" w:rsidRDefault="00367ECC">
      <w:pPr>
        <w:rPr>
          <w:lang w:val="en-US"/>
        </w:rPr>
      </w:pPr>
    </w:p>
    <w:p w14:paraId="50C8225D" w14:textId="28DB3396" w:rsidR="001D45D2" w:rsidRDefault="001D45D2">
      <w:pPr>
        <w:rPr>
          <w:lang w:val="en-US"/>
        </w:rPr>
      </w:pPr>
    </w:p>
    <w:p w14:paraId="7C56C73F" w14:textId="7D59FD7B" w:rsidR="001D45D2" w:rsidRDefault="001D45D2">
      <w:pPr>
        <w:rPr>
          <w:lang w:val="en-US"/>
        </w:rPr>
      </w:pPr>
      <w:r w:rsidRPr="001D45D2">
        <w:rPr>
          <w:lang w:val="en-US"/>
        </w:rPr>
        <w:lastRenderedPageBreak/>
        <w:t>Continuation of table 1</w:t>
      </w:r>
    </w:p>
    <w:p w14:paraId="005E5591" w14:textId="77777777" w:rsidR="00F23564" w:rsidRPr="00D549EE" w:rsidRDefault="00F23564">
      <w:pPr>
        <w:rPr>
          <w:lang w:val="en-US"/>
        </w:rPr>
      </w:pPr>
    </w:p>
    <w:tbl>
      <w:tblPr>
        <w:tblStyle w:val="a9"/>
        <w:tblW w:w="0" w:type="auto"/>
        <w:tblLook w:val="04A0" w:firstRow="1" w:lastRow="0" w:firstColumn="1" w:lastColumn="0" w:noHBand="0" w:noVBand="1"/>
      </w:tblPr>
      <w:tblGrid>
        <w:gridCol w:w="456"/>
        <w:gridCol w:w="1150"/>
        <w:gridCol w:w="2231"/>
        <w:gridCol w:w="1189"/>
        <w:gridCol w:w="4525"/>
      </w:tblGrid>
      <w:tr w:rsidR="00A50632" w:rsidRPr="00D549EE" w14:paraId="2ADF221E" w14:textId="77777777" w:rsidTr="00A50632">
        <w:trPr>
          <w:trHeight w:hRule="exact" w:val="435"/>
        </w:trPr>
        <w:tc>
          <w:tcPr>
            <w:tcW w:w="0" w:type="auto"/>
            <w:tcBorders>
              <w:top w:val="single" w:sz="4" w:space="0" w:color="auto"/>
            </w:tcBorders>
          </w:tcPr>
          <w:p w14:paraId="623222AE" w14:textId="0BF71809" w:rsidR="00A50632" w:rsidRPr="00D549EE" w:rsidRDefault="00A50632" w:rsidP="00A50632">
            <w:pPr>
              <w:pStyle w:val="2"/>
              <w:snapToGrid w:val="0"/>
              <w:spacing w:before="75" w:beforeAutospacing="0" w:after="375" w:afterAutospacing="0"/>
              <w:contextualSpacing/>
              <w:jc w:val="left"/>
              <w:outlineLvl w:val="1"/>
              <w:rPr>
                <w:b w:val="0"/>
                <w:bCs w:val="0"/>
                <w:color w:val="000000" w:themeColor="text1"/>
                <w:sz w:val="24"/>
                <w:szCs w:val="24"/>
                <w:lang w:val="en-US"/>
              </w:rPr>
            </w:pPr>
            <w:r w:rsidRPr="00D549EE">
              <w:rPr>
                <w:b w:val="0"/>
                <w:bCs w:val="0"/>
                <w:color w:val="000000" w:themeColor="text1"/>
                <w:sz w:val="24"/>
                <w:szCs w:val="24"/>
                <w:lang w:val="en-US"/>
              </w:rPr>
              <w:t>1</w:t>
            </w:r>
          </w:p>
        </w:tc>
        <w:tc>
          <w:tcPr>
            <w:tcW w:w="0" w:type="auto"/>
            <w:tcBorders>
              <w:top w:val="single" w:sz="4" w:space="0" w:color="auto"/>
            </w:tcBorders>
          </w:tcPr>
          <w:p w14:paraId="38694FBE" w14:textId="2161D322" w:rsidR="00A50632" w:rsidRPr="00D549EE" w:rsidRDefault="00A50632"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2</w:t>
            </w:r>
          </w:p>
        </w:tc>
        <w:tc>
          <w:tcPr>
            <w:tcW w:w="2231" w:type="dxa"/>
            <w:tcBorders>
              <w:top w:val="single" w:sz="4" w:space="0" w:color="auto"/>
            </w:tcBorders>
          </w:tcPr>
          <w:p w14:paraId="3B250065" w14:textId="161A5F8E" w:rsidR="00A50632" w:rsidRPr="00D549EE" w:rsidRDefault="00A50632"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3</w:t>
            </w:r>
          </w:p>
        </w:tc>
        <w:tc>
          <w:tcPr>
            <w:tcW w:w="1189" w:type="dxa"/>
            <w:tcBorders>
              <w:top w:val="single" w:sz="4" w:space="0" w:color="auto"/>
            </w:tcBorders>
          </w:tcPr>
          <w:p w14:paraId="158CEA67" w14:textId="0CD08C27" w:rsidR="00A50632" w:rsidRPr="00D549EE" w:rsidRDefault="00A50632"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4</w:t>
            </w:r>
          </w:p>
        </w:tc>
        <w:tc>
          <w:tcPr>
            <w:tcW w:w="4525" w:type="dxa"/>
            <w:tcBorders>
              <w:top w:val="single" w:sz="4" w:space="0" w:color="auto"/>
            </w:tcBorders>
          </w:tcPr>
          <w:p w14:paraId="5A091E60" w14:textId="379D652C" w:rsidR="00A50632" w:rsidRPr="00D549EE" w:rsidRDefault="00A50632"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5</w:t>
            </w:r>
          </w:p>
        </w:tc>
      </w:tr>
      <w:tr w:rsidR="004949BD" w:rsidRPr="00D74F7B" w14:paraId="50097242" w14:textId="77777777" w:rsidTr="00A50632">
        <w:trPr>
          <w:trHeight w:hRule="exact" w:val="624"/>
        </w:trPr>
        <w:tc>
          <w:tcPr>
            <w:tcW w:w="0" w:type="auto"/>
            <w:tcBorders>
              <w:top w:val="dotted" w:sz="4" w:space="0" w:color="auto"/>
            </w:tcBorders>
          </w:tcPr>
          <w:p w14:paraId="35EFA05F"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6</w:t>
            </w:r>
          </w:p>
        </w:tc>
        <w:tc>
          <w:tcPr>
            <w:tcW w:w="0" w:type="auto"/>
            <w:tcBorders>
              <w:top w:val="dotted" w:sz="4" w:space="0" w:color="auto"/>
            </w:tcBorders>
          </w:tcPr>
          <w:p w14:paraId="44E833BA"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Sudan</w:t>
            </w:r>
          </w:p>
        </w:tc>
        <w:tc>
          <w:tcPr>
            <w:tcW w:w="2231" w:type="dxa"/>
            <w:tcBorders>
              <w:top w:val="dotted" w:sz="4" w:space="0" w:color="auto"/>
            </w:tcBorders>
          </w:tcPr>
          <w:p w14:paraId="1B1550E5"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Obligatory</w:t>
            </w:r>
          </w:p>
        </w:tc>
        <w:tc>
          <w:tcPr>
            <w:tcW w:w="1189" w:type="dxa"/>
            <w:tcBorders>
              <w:top w:val="dotted" w:sz="4" w:space="0" w:color="auto"/>
            </w:tcBorders>
          </w:tcPr>
          <w:p w14:paraId="1BCD315E"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1984</w:t>
            </w:r>
          </w:p>
        </w:tc>
        <w:tc>
          <w:tcPr>
            <w:tcW w:w="4525" w:type="dxa"/>
            <w:tcBorders>
              <w:top w:val="dotted" w:sz="4" w:space="0" w:color="auto"/>
            </w:tcBorders>
          </w:tcPr>
          <w:p w14:paraId="29EBA443"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Collecting and distribution – Zakat Chamber, Ministry of religion affairs</w:t>
            </w:r>
          </w:p>
        </w:tc>
      </w:tr>
      <w:tr w:rsidR="004949BD" w:rsidRPr="00D74F7B" w14:paraId="4AE3D889" w14:textId="77777777" w:rsidTr="00A50632">
        <w:trPr>
          <w:trHeight w:hRule="exact" w:val="567"/>
        </w:trPr>
        <w:tc>
          <w:tcPr>
            <w:tcW w:w="0" w:type="auto"/>
          </w:tcPr>
          <w:p w14:paraId="1571389A"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7</w:t>
            </w:r>
          </w:p>
        </w:tc>
        <w:tc>
          <w:tcPr>
            <w:tcW w:w="0" w:type="auto"/>
          </w:tcPr>
          <w:p w14:paraId="339531A1"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Jordan</w:t>
            </w:r>
          </w:p>
        </w:tc>
        <w:tc>
          <w:tcPr>
            <w:tcW w:w="2231" w:type="dxa"/>
          </w:tcPr>
          <w:p w14:paraId="7D9DC47A"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Voluntary </w:t>
            </w:r>
          </w:p>
        </w:tc>
        <w:tc>
          <w:tcPr>
            <w:tcW w:w="1189" w:type="dxa"/>
          </w:tcPr>
          <w:p w14:paraId="2887781B"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1978</w:t>
            </w:r>
          </w:p>
        </w:tc>
        <w:tc>
          <w:tcPr>
            <w:tcW w:w="4525" w:type="dxa"/>
          </w:tcPr>
          <w:p w14:paraId="701759FB"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Zakat fund affiliated with Ministry of Awqaf </w:t>
            </w:r>
          </w:p>
        </w:tc>
      </w:tr>
      <w:tr w:rsidR="004949BD" w:rsidRPr="00D74F7B" w14:paraId="344AB471" w14:textId="77777777" w:rsidTr="00A50632">
        <w:trPr>
          <w:trHeight w:hRule="exact" w:val="659"/>
        </w:trPr>
        <w:tc>
          <w:tcPr>
            <w:tcW w:w="0" w:type="auto"/>
          </w:tcPr>
          <w:p w14:paraId="21F6DE68"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8</w:t>
            </w:r>
          </w:p>
        </w:tc>
        <w:tc>
          <w:tcPr>
            <w:tcW w:w="0" w:type="auto"/>
          </w:tcPr>
          <w:p w14:paraId="16BEFF12"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Bahrain</w:t>
            </w:r>
          </w:p>
        </w:tc>
        <w:tc>
          <w:tcPr>
            <w:tcW w:w="2231" w:type="dxa"/>
          </w:tcPr>
          <w:p w14:paraId="384C0D5D"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Voluntary</w:t>
            </w:r>
          </w:p>
        </w:tc>
        <w:tc>
          <w:tcPr>
            <w:tcW w:w="1189" w:type="dxa"/>
          </w:tcPr>
          <w:p w14:paraId="58A9689F"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1979</w:t>
            </w:r>
          </w:p>
        </w:tc>
        <w:tc>
          <w:tcPr>
            <w:tcW w:w="4525" w:type="dxa"/>
          </w:tcPr>
          <w:p w14:paraId="761F92AC"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Zakat fund affiliated with the Ministry of Awqaf</w:t>
            </w:r>
          </w:p>
        </w:tc>
      </w:tr>
      <w:tr w:rsidR="004949BD" w:rsidRPr="00D74F7B" w14:paraId="0B5DF505" w14:textId="77777777" w:rsidTr="00A50632">
        <w:trPr>
          <w:trHeight w:hRule="exact" w:val="567"/>
        </w:trPr>
        <w:tc>
          <w:tcPr>
            <w:tcW w:w="0" w:type="auto"/>
          </w:tcPr>
          <w:p w14:paraId="30F91284"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9</w:t>
            </w:r>
          </w:p>
        </w:tc>
        <w:tc>
          <w:tcPr>
            <w:tcW w:w="0" w:type="auto"/>
          </w:tcPr>
          <w:p w14:paraId="5E482605"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Egypt</w:t>
            </w:r>
          </w:p>
        </w:tc>
        <w:tc>
          <w:tcPr>
            <w:tcW w:w="2231" w:type="dxa"/>
          </w:tcPr>
          <w:p w14:paraId="10E78661"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Voluntary</w:t>
            </w:r>
          </w:p>
        </w:tc>
        <w:tc>
          <w:tcPr>
            <w:tcW w:w="1189" w:type="dxa"/>
          </w:tcPr>
          <w:p w14:paraId="1D1AF4AF"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1971</w:t>
            </w:r>
          </w:p>
        </w:tc>
        <w:tc>
          <w:tcPr>
            <w:tcW w:w="4525" w:type="dxa"/>
          </w:tcPr>
          <w:p w14:paraId="2E298EF4"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Nasir Social Bank of Egypt, Department of zakat</w:t>
            </w:r>
          </w:p>
        </w:tc>
      </w:tr>
      <w:tr w:rsidR="004949BD" w:rsidRPr="00D74F7B" w14:paraId="5CE52CA0" w14:textId="77777777" w:rsidTr="00A50632">
        <w:trPr>
          <w:trHeight w:hRule="exact" w:val="851"/>
        </w:trPr>
        <w:tc>
          <w:tcPr>
            <w:tcW w:w="0" w:type="auto"/>
          </w:tcPr>
          <w:p w14:paraId="2E8D7425"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10</w:t>
            </w:r>
          </w:p>
        </w:tc>
        <w:tc>
          <w:tcPr>
            <w:tcW w:w="0" w:type="auto"/>
          </w:tcPr>
          <w:p w14:paraId="03AD732E"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Kuwait</w:t>
            </w:r>
          </w:p>
        </w:tc>
        <w:tc>
          <w:tcPr>
            <w:tcW w:w="2231" w:type="dxa"/>
          </w:tcPr>
          <w:p w14:paraId="302866FB"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Voluntary</w:t>
            </w:r>
          </w:p>
        </w:tc>
        <w:tc>
          <w:tcPr>
            <w:tcW w:w="1189" w:type="dxa"/>
          </w:tcPr>
          <w:p w14:paraId="190378AA"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1982</w:t>
            </w:r>
          </w:p>
        </w:tc>
        <w:tc>
          <w:tcPr>
            <w:tcW w:w="4525" w:type="dxa"/>
          </w:tcPr>
          <w:p w14:paraId="3538BE31"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Zakat House of Kuwait, affiliated with the Ministry of Awqaf </w:t>
            </w:r>
          </w:p>
        </w:tc>
      </w:tr>
      <w:tr w:rsidR="004949BD" w:rsidRPr="00D74F7B" w14:paraId="69632AE6" w14:textId="77777777" w:rsidTr="00A50632">
        <w:trPr>
          <w:trHeight w:hRule="exact" w:val="1247"/>
        </w:trPr>
        <w:tc>
          <w:tcPr>
            <w:tcW w:w="0" w:type="auto"/>
          </w:tcPr>
          <w:p w14:paraId="5EEDD342"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11</w:t>
            </w:r>
          </w:p>
        </w:tc>
        <w:tc>
          <w:tcPr>
            <w:tcW w:w="0" w:type="auto"/>
          </w:tcPr>
          <w:p w14:paraId="64CE82B6"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India</w:t>
            </w:r>
          </w:p>
        </w:tc>
        <w:tc>
          <w:tcPr>
            <w:tcW w:w="2231" w:type="dxa"/>
          </w:tcPr>
          <w:p w14:paraId="617963FF"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Voluntary</w:t>
            </w:r>
          </w:p>
          <w:p w14:paraId="08FE0C5A" w14:textId="77777777" w:rsidR="004949BD" w:rsidRPr="00D549EE" w:rsidRDefault="004949BD" w:rsidP="00C9582F">
            <w:pPr>
              <w:contextualSpacing/>
              <w:rPr>
                <w:lang w:val="en-US"/>
              </w:rPr>
            </w:pPr>
          </w:p>
          <w:p w14:paraId="152C7C97" w14:textId="77777777" w:rsidR="004949BD" w:rsidRPr="00D549EE" w:rsidRDefault="004949BD" w:rsidP="00C9582F">
            <w:pPr>
              <w:contextualSpacing/>
              <w:rPr>
                <w:lang w:val="en-US"/>
              </w:rPr>
            </w:pPr>
          </w:p>
          <w:p w14:paraId="66B4608E" w14:textId="77777777" w:rsidR="004949BD" w:rsidRPr="00D549EE" w:rsidRDefault="004949BD" w:rsidP="00C9582F">
            <w:pPr>
              <w:contextualSpacing/>
              <w:jc w:val="right"/>
              <w:rPr>
                <w:lang w:val="en-US"/>
              </w:rPr>
            </w:pPr>
          </w:p>
        </w:tc>
        <w:tc>
          <w:tcPr>
            <w:tcW w:w="1189" w:type="dxa"/>
          </w:tcPr>
          <w:p w14:paraId="30E90E2A"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p>
        </w:tc>
        <w:tc>
          <w:tcPr>
            <w:tcW w:w="4525" w:type="dxa"/>
          </w:tcPr>
          <w:p w14:paraId="77D12E48"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Religious schools </w:t>
            </w:r>
          </w:p>
          <w:p w14:paraId="2EE975DF"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Jamaat-e-Islami organization </w:t>
            </w:r>
          </w:p>
          <w:p w14:paraId="4D5BAD46"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Baituz zakat of Bombay</w:t>
            </w:r>
          </w:p>
          <w:p w14:paraId="51133849"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Crescent Charitable trust of Aligarh</w:t>
            </w:r>
          </w:p>
        </w:tc>
      </w:tr>
      <w:tr w:rsidR="004949BD" w:rsidRPr="00D549EE" w14:paraId="4D07A583" w14:textId="77777777" w:rsidTr="00A50632">
        <w:trPr>
          <w:trHeight w:hRule="exact" w:val="919"/>
        </w:trPr>
        <w:tc>
          <w:tcPr>
            <w:tcW w:w="0" w:type="auto"/>
          </w:tcPr>
          <w:p w14:paraId="1C71A65A"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12</w:t>
            </w:r>
          </w:p>
        </w:tc>
        <w:tc>
          <w:tcPr>
            <w:tcW w:w="0" w:type="auto"/>
          </w:tcPr>
          <w:p w14:paraId="4F079AA5"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Qatar</w:t>
            </w:r>
          </w:p>
        </w:tc>
        <w:tc>
          <w:tcPr>
            <w:tcW w:w="2231" w:type="dxa"/>
          </w:tcPr>
          <w:p w14:paraId="71C47E82"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Voluntary</w:t>
            </w:r>
          </w:p>
          <w:p w14:paraId="1A3647E0"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p>
        </w:tc>
        <w:tc>
          <w:tcPr>
            <w:tcW w:w="1189" w:type="dxa"/>
          </w:tcPr>
          <w:p w14:paraId="2F701F96"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1992</w:t>
            </w:r>
          </w:p>
        </w:tc>
        <w:tc>
          <w:tcPr>
            <w:tcW w:w="4525" w:type="dxa"/>
          </w:tcPr>
          <w:p w14:paraId="7B7894B5"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Ministry of endowments (Awqaf) an Islamic affairs, Zakat fund</w:t>
            </w:r>
          </w:p>
          <w:p w14:paraId="5BEDCE13"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Qatar Red Crescent Society  </w:t>
            </w:r>
          </w:p>
        </w:tc>
      </w:tr>
      <w:tr w:rsidR="004949BD" w:rsidRPr="00D549EE" w14:paraId="38A009E6" w14:textId="77777777" w:rsidTr="00A50632">
        <w:trPr>
          <w:trHeight w:val="986"/>
        </w:trPr>
        <w:tc>
          <w:tcPr>
            <w:tcW w:w="0" w:type="auto"/>
          </w:tcPr>
          <w:p w14:paraId="39658109"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13</w:t>
            </w:r>
          </w:p>
        </w:tc>
        <w:tc>
          <w:tcPr>
            <w:tcW w:w="0" w:type="auto"/>
          </w:tcPr>
          <w:p w14:paraId="06140612"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Indonesia</w:t>
            </w:r>
          </w:p>
        </w:tc>
        <w:tc>
          <w:tcPr>
            <w:tcW w:w="2231" w:type="dxa"/>
          </w:tcPr>
          <w:p w14:paraId="4939A52C"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Dual system </w:t>
            </w:r>
          </w:p>
        </w:tc>
        <w:tc>
          <w:tcPr>
            <w:tcW w:w="1189" w:type="dxa"/>
          </w:tcPr>
          <w:p w14:paraId="43827182"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1999</w:t>
            </w:r>
          </w:p>
          <w:p w14:paraId="7E4970F9"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2011 (replacing act)</w:t>
            </w:r>
          </w:p>
        </w:tc>
        <w:tc>
          <w:tcPr>
            <w:tcW w:w="4525" w:type="dxa"/>
          </w:tcPr>
          <w:p w14:paraId="627FFE1C"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National zakat board (BAZNAS)</w:t>
            </w:r>
          </w:p>
          <w:p w14:paraId="63446989"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Amil zakat institutions </w:t>
            </w:r>
          </w:p>
          <w:p w14:paraId="5291A627" w14:textId="77777777"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Zakat collecting units</w:t>
            </w:r>
          </w:p>
        </w:tc>
      </w:tr>
      <w:tr w:rsidR="004949BD" w:rsidRPr="00D74F7B" w14:paraId="5342A203" w14:textId="77777777" w:rsidTr="00913981">
        <w:trPr>
          <w:trHeight w:hRule="exact" w:val="357"/>
        </w:trPr>
        <w:tc>
          <w:tcPr>
            <w:tcW w:w="0" w:type="auto"/>
            <w:gridSpan w:val="5"/>
          </w:tcPr>
          <w:p w14:paraId="6EA88D53" w14:textId="00BAE473" w:rsidR="004949BD" w:rsidRPr="00D549EE" w:rsidRDefault="004949B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sz w:val="24"/>
                <w:szCs w:val="24"/>
                <w:lang w:val="en-US"/>
              </w:rPr>
              <w:t>Note – Compiled by the author</w:t>
            </w:r>
            <w:r w:rsidRPr="00D549EE">
              <w:rPr>
                <w:b w:val="0"/>
                <w:sz w:val="24"/>
                <w:szCs w:val="24"/>
                <w:lang w:val="kk-KZ"/>
              </w:rPr>
              <w:t xml:space="preserve"> on the basis of source</w:t>
            </w:r>
            <w:r w:rsidRPr="00D549EE">
              <w:rPr>
                <w:b w:val="0"/>
                <w:sz w:val="24"/>
                <w:szCs w:val="24"/>
                <w:lang w:val="en-US"/>
              </w:rPr>
              <w:t xml:space="preserve"> </w:t>
            </w:r>
            <w:r w:rsidRPr="00D549EE">
              <w:rPr>
                <w:b w:val="0"/>
                <w:sz w:val="24"/>
                <w:szCs w:val="24"/>
                <w:lang w:val="en-US"/>
              </w:rPr>
              <w:fldChar w:fldCharType="begin" w:fldLock="1"/>
            </w:r>
            <w:r w:rsidR="00023147" w:rsidRPr="00D549EE">
              <w:rPr>
                <w:b w:val="0"/>
                <w:sz w:val="24"/>
                <w:szCs w:val="24"/>
                <w:lang w:val="en-US"/>
              </w:rPr>
              <w:instrText>ADDIN CSL_CITATION {"citationItems":[{"id":"ITEM-1","itemData":{"author":[{"dropping-particle":"","family":"Kahf","given":"Monzer","non-dropping-particle":"","parse-names":false,"suffix":""}],"id":"ITEM-1","issued":{"date-parts":[["2013"]]},"number-of-pages":"18","title":"Zakah","type":"report"},"uris":["http://www.mendeley.com/documents/?uuid=d2f2aebb-239f-43a6-a889-beeb84aa9d22"]}],"mendeley":{"formattedCitation":"[65]","plainTextFormattedCitation":"[65]","previouslyFormattedCitation":"[65]"},"properties":{"noteIndex":0},"schema":"https://github.com/citation-style-language/schema/raw/master/csl-citation.json"}</w:instrText>
            </w:r>
            <w:r w:rsidRPr="00D549EE">
              <w:rPr>
                <w:b w:val="0"/>
                <w:sz w:val="24"/>
                <w:szCs w:val="24"/>
                <w:lang w:val="en-US"/>
              </w:rPr>
              <w:fldChar w:fldCharType="separate"/>
            </w:r>
            <w:r w:rsidR="009147BE" w:rsidRPr="00D549EE">
              <w:rPr>
                <w:b w:val="0"/>
                <w:noProof/>
                <w:sz w:val="24"/>
                <w:szCs w:val="24"/>
                <w:lang w:val="en-US"/>
              </w:rPr>
              <w:t>[65]</w:t>
            </w:r>
            <w:r w:rsidRPr="00D549EE">
              <w:rPr>
                <w:b w:val="0"/>
                <w:sz w:val="24"/>
                <w:szCs w:val="24"/>
                <w:lang w:val="en-US"/>
              </w:rPr>
              <w:fldChar w:fldCharType="end"/>
            </w:r>
          </w:p>
        </w:tc>
      </w:tr>
    </w:tbl>
    <w:p w14:paraId="3E4E267B" w14:textId="77777777" w:rsidR="004949BD" w:rsidRPr="00D549EE" w:rsidRDefault="004949BD"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 xml:space="preserve"> </w:t>
      </w:r>
    </w:p>
    <w:p w14:paraId="265F71E9" w14:textId="25777735" w:rsidR="00554880" w:rsidRPr="00554880" w:rsidRDefault="00E9221E" w:rsidP="00554880">
      <w:pPr>
        <w:pStyle w:val="2"/>
        <w:snapToGrid w:val="0"/>
        <w:spacing w:before="75" w:after="375"/>
        <w:contextualSpacing/>
        <w:jc w:val="both"/>
        <w:rPr>
          <w:b w:val="0"/>
          <w:bCs w:val="0"/>
          <w:color w:val="000000" w:themeColor="text1"/>
          <w:sz w:val="28"/>
          <w:szCs w:val="28"/>
          <w:lang w:val="en-US"/>
        </w:rPr>
      </w:pPr>
      <w:r>
        <w:rPr>
          <w:b w:val="0"/>
          <w:bCs w:val="0"/>
          <w:color w:val="000000" w:themeColor="text1"/>
          <w:sz w:val="28"/>
          <w:szCs w:val="28"/>
          <w:lang w:val="en-US"/>
        </w:rPr>
        <w:tab/>
      </w:r>
      <w:r w:rsidR="00554880" w:rsidRPr="00554880">
        <w:rPr>
          <w:b w:val="0"/>
          <w:bCs w:val="0"/>
          <w:color w:val="000000" w:themeColor="text1"/>
          <w:sz w:val="28"/>
          <w:szCs w:val="28"/>
          <w:lang w:val="en-US"/>
        </w:rPr>
        <w:t>Depending on the zakat implementation form and zakat collecting and distribution development in the world, there are different mechanisms of the social activity in the country.</w:t>
      </w:r>
    </w:p>
    <w:p w14:paraId="36A1AF18" w14:textId="77777777" w:rsidR="00554880" w:rsidRPr="00554880" w:rsidRDefault="00554880" w:rsidP="00554880">
      <w:pPr>
        <w:pStyle w:val="2"/>
        <w:snapToGrid w:val="0"/>
        <w:spacing w:before="75" w:after="375"/>
        <w:contextualSpacing/>
        <w:jc w:val="both"/>
        <w:rPr>
          <w:b w:val="0"/>
          <w:bCs w:val="0"/>
          <w:color w:val="000000" w:themeColor="text1"/>
          <w:sz w:val="28"/>
          <w:szCs w:val="28"/>
          <w:lang w:val="en-US"/>
        </w:rPr>
      </w:pPr>
      <w:r w:rsidRPr="00554880">
        <w:rPr>
          <w:b w:val="0"/>
          <w:bCs w:val="0"/>
          <w:color w:val="000000" w:themeColor="text1"/>
          <w:sz w:val="28"/>
          <w:szCs w:val="28"/>
          <w:lang w:val="en-US"/>
        </w:rPr>
        <w:t>Some researchers suggested integrating the various poverty reduction and redistribution instruments for creating synergies. The effectiveness of zakat institutions can be improved by collaborating with microfinance institutions and financial institutions, which suggests that the institutions of zakat and waqf (charitable trust) need to be integrated into the poverty alleviation strategy of the Islamic Development Bank (IDB) member countries, the member of which is Kazakhstan [66] [67] [68].</w:t>
      </w:r>
    </w:p>
    <w:p w14:paraId="474D5B22" w14:textId="77777777" w:rsidR="00554880" w:rsidRDefault="00554880" w:rsidP="00554880">
      <w:pPr>
        <w:pStyle w:val="2"/>
        <w:snapToGrid w:val="0"/>
        <w:spacing w:before="75" w:beforeAutospacing="0" w:after="375" w:afterAutospacing="0"/>
        <w:contextualSpacing/>
        <w:jc w:val="both"/>
        <w:rPr>
          <w:b w:val="0"/>
          <w:bCs w:val="0"/>
          <w:color w:val="000000" w:themeColor="text1"/>
          <w:sz w:val="28"/>
          <w:szCs w:val="28"/>
          <w:lang w:val="en-US"/>
        </w:rPr>
      </w:pPr>
      <w:r w:rsidRPr="00554880">
        <w:rPr>
          <w:b w:val="0"/>
          <w:bCs w:val="0"/>
          <w:color w:val="000000" w:themeColor="text1"/>
          <w:sz w:val="28"/>
          <w:szCs w:val="28"/>
          <w:lang w:val="en-US"/>
        </w:rPr>
        <w:tab/>
        <w:t>According to the Islamic Development Bank (IDB), zakat potential is 3% of global GDP, whereas the actual collection is 0.15% of GDP for OIC countries [69]. As noted by IDB, the GDP of OIC member countries is 6 trillion US dollars, while actual zakat is estimated at 10 billion US dollars, although potential estimation reaches 200 billion US dollars. Some recent studies have provided different estimates of global zakat collection that range from 200 billion to 1 trillion US dollars. It should be noted that these estimates vary because a considerable share of zakat is paid at the individual level and is thus not reflected in official data [70].</w:t>
      </w:r>
    </w:p>
    <w:p w14:paraId="6DA0527E" w14:textId="77777777" w:rsidR="00F23564" w:rsidRDefault="00F23564" w:rsidP="00554880">
      <w:pPr>
        <w:pStyle w:val="2"/>
        <w:snapToGrid w:val="0"/>
        <w:spacing w:before="75" w:beforeAutospacing="0" w:after="375" w:afterAutospacing="0"/>
        <w:contextualSpacing/>
        <w:jc w:val="both"/>
        <w:rPr>
          <w:rStyle w:val="Bodytext2Italic"/>
          <w:sz w:val="28"/>
          <w:szCs w:val="28"/>
        </w:rPr>
      </w:pPr>
    </w:p>
    <w:p w14:paraId="4D4436D4" w14:textId="77777777" w:rsidR="00F23564" w:rsidRDefault="00F23564" w:rsidP="00554880">
      <w:pPr>
        <w:pStyle w:val="2"/>
        <w:snapToGrid w:val="0"/>
        <w:spacing w:before="75" w:beforeAutospacing="0" w:after="375" w:afterAutospacing="0"/>
        <w:contextualSpacing/>
        <w:jc w:val="both"/>
        <w:rPr>
          <w:rStyle w:val="Bodytext2Italic"/>
          <w:sz w:val="28"/>
          <w:szCs w:val="28"/>
        </w:rPr>
      </w:pPr>
    </w:p>
    <w:p w14:paraId="0C7A894B" w14:textId="3A89A323" w:rsidR="00B97A2B" w:rsidRPr="00D549EE" w:rsidRDefault="00115FBE" w:rsidP="00554880">
      <w:pPr>
        <w:pStyle w:val="2"/>
        <w:snapToGrid w:val="0"/>
        <w:spacing w:before="75" w:beforeAutospacing="0" w:after="375" w:afterAutospacing="0"/>
        <w:contextualSpacing/>
        <w:jc w:val="both"/>
        <w:rPr>
          <w:rStyle w:val="Bodytext2Italic"/>
          <w:b w:val="0"/>
          <w:sz w:val="28"/>
          <w:szCs w:val="28"/>
        </w:rPr>
      </w:pPr>
      <w:r w:rsidRPr="00D549EE">
        <w:rPr>
          <w:rStyle w:val="Bodytext2Italic"/>
          <w:sz w:val="28"/>
          <w:szCs w:val="28"/>
        </w:rPr>
        <w:lastRenderedPageBreak/>
        <w:tab/>
      </w:r>
      <w:r w:rsidR="00B97A2B" w:rsidRPr="00D549EE">
        <w:rPr>
          <w:rStyle w:val="Bodytext2Italic"/>
          <w:b w:val="0"/>
          <w:sz w:val="28"/>
          <w:szCs w:val="28"/>
        </w:rPr>
        <w:t>1.2.2 Waqf</w:t>
      </w:r>
    </w:p>
    <w:p w14:paraId="2A6C07E8" w14:textId="77777777" w:rsidR="002D06E5" w:rsidRPr="002D06E5" w:rsidRDefault="00B97A2B" w:rsidP="002D06E5">
      <w:pPr>
        <w:pStyle w:val="2"/>
        <w:snapToGrid w:val="0"/>
        <w:spacing w:before="75" w:after="375"/>
        <w:contextualSpacing/>
        <w:jc w:val="both"/>
        <w:rPr>
          <w:rStyle w:val="Bodytext2Italic"/>
          <w:b w:val="0"/>
          <w:i w:val="0"/>
          <w:sz w:val="28"/>
          <w:szCs w:val="28"/>
        </w:rPr>
      </w:pPr>
      <w:r w:rsidRPr="00D549EE">
        <w:rPr>
          <w:rStyle w:val="Bodytext2Italic"/>
          <w:b w:val="0"/>
          <w:i w:val="0"/>
          <w:sz w:val="28"/>
          <w:szCs w:val="28"/>
        </w:rPr>
        <w:tab/>
      </w:r>
      <w:r w:rsidR="002D06E5" w:rsidRPr="002D06E5">
        <w:rPr>
          <w:rStyle w:val="Bodytext2Italic"/>
          <w:b w:val="0"/>
          <w:i w:val="0"/>
          <w:sz w:val="28"/>
          <w:szCs w:val="28"/>
        </w:rPr>
        <w:t>The following Islamic social tool has a long history of implementation and is adopted nowadays and becoming the system for solving real social problems and plays an essential role in developing economics in some countries – Waqf. Suppose to turn to the waqf, a voluntary act of charity that comes under general terms of Sadaqah and Infaq (disbursement without hoping return). It is an Arabic word, it means to a standstill, hold still, not to go. It implies holding an asset from consumption and sale. Waqf is given different meanings and definitions. However, contemporary definitions seem to be more corresponding to the current practice of the waqf system. Among these definitions are the following: waqf is holding specific property and preserving it for the confined benefit of particular philanthropy and prohibiting any use or disposition outside the specific objective.</w:t>
      </w:r>
    </w:p>
    <w:p w14:paraId="0D782A66" w14:textId="77777777" w:rsidR="002D06E5" w:rsidRPr="002D06E5" w:rsidRDefault="002D06E5" w:rsidP="002D06E5">
      <w:pPr>
        <w:pStyle w:val="2"/>
        <w:snapToGrid w:val="0"/>
        <w:spacing w:before="75" w:after="375"/>
        <w:contextualSpacing/>
        <w:jc w:val="both"/>
        <w:rPr>
          <w:rStyle w:val="Bodytext2Italic"/>
          <w:b w:val="0"/>
          <w:i w:val="0"/>
          <w:sz w:val="28"/>
          <w:szCs w:val="28"/>
        </w:rPr>
      </w:pPr>
      <w:r w:rsidRPr="002D06E5">
        <w:rPr>
          <w:rStyle w:val="Bodytext2Italic"/>
          <w:b w:val="0"/>
          <w:i w:val="0"/>
          <w:sz w:val="28"/>
          <w:szCs w:val="28"/>
        </w:rPr>
        <w:tab/>
        <w:t>The waqf essence is to attract and accumulate the property transferred as a donation in a special purpose fund for their commercial use in the interests of the population and the state. This definition contains characteristics of waqf, which include irrevocability, perpetuity, and inalienability. Another definition is that waqf is an irrevocable gift of a property for the benefit of the donor's family or someone else or something in perpetuity, as a charity promised and usually executed during the donor's lifetime, which is not transferable [71].</w:t>
      </w:r>
    </w:p>
    <w:p w14:paraId="55FF39BC" w14:textId="77777777" w:rsidR="002D06E5" w:rsidRPr="002D06E5" w:rsidRDefault="002D06E5" w:rsidP="002D06E5">
      <w:pPr>
        <w:pStyle w:val="2"/>
        <w:snapToGrid w:val="0"/>
        <w:spacing w:before="75" w:after="375"/>
        <w:contextualSpacing/>
        <w:jc w:val="both"/>
        <w:rPr>
          <w:rStyle w:val="Bodytext2Italic"/>
          <w:b w:val="0"/>
          <w:i w:val="0"/>
          <w:sz w:val="28"/>
          <w:szCs w:val="28"/>
        </w:rPr>
      </w:pPr>
      <w:r w:rsidRPr="002D06E5">
        <w:rPr>
          <w:rStyle w:val="Bodytext2Italic"/>
          <w:b w:val="0"/>
          <w:i w:val="0"/>
          <w:sz w:val="28"/>
          <w:szCs w:val="28"/>
        </w:rPr>
        <w:tab/>
        <w:t>Waqf is a property alienated for charitable purposes. After the transfer of particular property to waqf (or, in the opinion of other Muslim jurists, after a decision announcement ), it ceases to be the property of the founder of waqf, without becoming at the same time the property of the person who receives waqf and manages it in the interests indicated by the beneficiary of the waqf founder. The waqf institution is a typical example of splitting the ownership right, in which the property ownership is transferred to the beneficiaries, and the order is limited to the will of the waqf founder. Since the Quran does not say anything directly about waqf, Muslim scholars view this institution in the context of charity verses.</w:t>
      </w:r>
      <w:r w:rsidRPr="002D06E5">
        <w:rPr>
          <w:rStyle w:val="Bodytext2Italic"/>
          <w:b w:val="0"/>
          <w:i w:val="0"/>
          <w:sz w:val="28"/>
          <w:szCs w:val="28"/>
        </w:rPr>
        <w:tab/>
      </w:r>
    </w:p>
    <w:p w14:paraId="3B56C15B" w14:textId="77777777" w:rsidR="002D06E5" w:rsidRPr="002D06E5" w:rsidRDefault="002D06E5" w:rsidP="002D06E5">
      <w:pPr>
        <w:pStyle w:val="2"/>
        <w:snapToGrid w:val="0"/>
        <w:spacing w:before="75" w:after="375"/>
        <w:contextualSpacing/>
        <w:jc w:val="both"/>
        <w:rPr>
          <w:rStyle w:val="Bodytext2Italic"/>
          <w:b w:val="0"/>
          <w:i w:val="0"/>
          <w:sz w:val="28"/>
          <w:szCs w:val="28"/>
        </w:rPr>
      </w:pPr>
      <w:r w:rsidRPr="002D06E5">
        <w:rPr>
          <w:rStyle w:val="Bodytext2Italic"/>
          <w:b w:val="0"/>
          <w:i w:val="0"/>
          <w:sz w:val="28"/>
          <w:szCs w:val="28"/>
        </w:rPr>
        <w:tab/>
        <w:t>Waqf plays a significant role in economic development that is a consequence of the features of social nature. We could highlight many of them here, but key among them are enhancing economic progress, eradicating poverty, restoring income distribution, preventing deficit financing, and reducing government expenditure [72]. The role of waqf in development is covered extensively in the literature; however, this role in human development specifically did not attract scholars' attention. This is not to say that some ingredients of human development are not touched within the context of the role of waqf in development. For example, Ahmad al Raisouni investigated the role of waqf in human development in classical Muslim societies. In this regard, he maintains that in the past, the waqf system focused on the material, spiritual and physical development of human beings in serving the objective of development [73].</w:t>
      </w:r>
    </w:p>
    <w:p w14:paraId="0A4494A8" w14:textId="77777777" w:rsidR="002D06E5" w:rsidRPr="002D06E5" w:rsidRDefault="002D06E5" w:rsidP="002D06E5">
      <w:pPr>
        <w:pStyle w:val="2"/>
        <w:snapToGrid w:val="0"/>
        <w:spacing w:before="75" w:after="375"/>
        <w:contextualSpacing/>
        <w:jc w:val="both"/>
        <w:rPr>
          <w:rStyle w:val="Bodytext2Italic"/>
          <w:b w:val="0"/>
          <w:i w:val="0"/>
          <w:sz w:val="28"/>
          <w:szCs w:val="28"/>
        </w:rPr>
      </w:pPr>
      <w:r w:rsidRPr="002D06E5">
        <w:rPr>
          <w:rStyle w:val="Bodytext2Italic"/>
          <w:b w:val="0"/>
          <w:i w:val="0"/>
          <w:sz w:val="28"/>
          <w:szCs w:val="28"/>
        </w:rPr>
        <w:tab/>
        <w:t xml:space="preserve">Likewise, Yalawae and Tahit considered that waqf played a role in attaining quality human development through effective distribution of wealth and redistribution of income, providing infrastructure for rapid development, improving the social structure of development processes, participating in health education, and raising the living standard of the poor [74]. </w:t>
      </w:r>
    </w:p>
    <w:p w14:paraId="62C1AD75" w14:textId="78A8B765" w:rsidR="00E9221E" w:rsidRDefault="002D06E5" w:rsidP="002D06E5">
      <w:pPr>
        <w:pStyle w:val="2"/>
        <w:snapToGrid w:val="0"/>
        <w:spacing w:before="75" w:beforeAutospacing="0" w:after="375" w:afterAutospacing="0"/>
        <w:contextualSpacing/>
        <w:jc w:val="both"/>
        <w:rPr>
          <w:rStyle w:val="Bodytext2Italic"/>
          <w:b w:val="0"/>
          <w:i w:val="0"/>
          <w:sz w:val="28"/>
          <w:szCs w:val="28"/>
        </w:rPr>
      </w:pPr>
      <w:r w:rsidRPr="002D06E5">
        <w:rPr>
          <w:rStyle w:val="Bodytext2Italic"/>
          <w:b w:val="0"/>
          <w:i w:val="0"/>
          <w:sz w:val="28"/>
          <w:szCs w:val="28"/>
        </w:rPr>
        <w:lastRenderedPageBreak/>
        <w:tab/>
        <w:t xml:space="preserve">If to turn to the conceptual origin of waqf it can be illustrated in the following </w:t>
      </w:r>
      <w:r w:rsidR="00E9221E">
        <w:rPr>
          <w:rStyle w:val="Bodytext2Italic"/>
          <w:b w:val="0"/>
          <w:i w:val="0"/>
          <w:sz w:val="28"/>
          <w:szCs w:val="28"/>
        </w:rPr>
        <w:t>form.</w:t>
      </w:r>
    </w:p>
    <w:p w14:paraId="0DE9E8AA" w14:textId="387E3966" w:rsidR="00633E51" w:rsidRPr="00D549EE" w:rsidRDefault="00633E51" w:rsidP="002D06E5">
      <w:pPr>
        <w:pStyle w:val="2"/>
        <w:snapToGrid w:val="0"/>
        <w:spacing w:before="75" w:beforeAutospacing="0" w:after="375" w:afterAutospacing="0"/>
        <w:contextualSpacing/>
        <w:jc w:val="both"/>
        <w:rPr>
          <w:b w:val="0"/>
          <w:color w:val="000000"/>
          <w:sz w:val="28"/>
          <w:szCs w:val="28"/>
          <w:lang w:val="en-US" w:eastAsia="en-US" w:bidi="en-US"/>
        </w:rPr>
      </w:pPr>
      <w:r w:rsidRPr="00D549EE">
        <w:rPr>
          <w:b w:val="0"/>
          <w:noProof/>
          <w:color w:val="000000"/>
          <w:sz w:val="28"/>
          <w:szCs w:val="28"/>
        </w:rPr>
        <w:drawing>
          <wp:inline distT="0" distB="0" distL="0" distR="0" wp14:anchorId="70490EAC" wp14:editId="4D44F76B">
            <wp:extent cx="5486400" cy="227076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E13E3D3" w14:textId="0033A9A7" w:rsidR="00C93933" w:rsidRPr="00D549EE" w:rsidRDefault="00C93933" w:rsidP="00C9582F">
      <w:pPr>
        <w:pStyle w:val="2"/>
        <w:tabs>
          <w:tab w:val="left" w:pos="567"/>
        </w:tabs>
        <w:snapToGrid w:val="0"/>
        <w:spacing w:before="75" w:beforeAutospacing="0" w:after="375" w:afterAutospacing="0"/>
        <w:contextualSpacing/>
        <w:jc w:val="center"/>
        <w:rPr>
          <w:b w:val="0"/>
          <w:color w:val="000000"/>
          <w:sz w:val="28"/>
          <w:szCs w:val="28"/>
          <w:lang w:val="en-US" w:eastAsia="en-US" w:bidi="en-US"/>
        </w:rPr>
      </w:pPr>
      <w:r w:rsidRPr="00D549EE">
        <w:rPr>
          <w:b w:val="0"/>
          <w:sz w:val="28"/>
          <w:szCs w:val="28"/>
          <w:lang w:val="en-US"/>
        </w:rPr>
        <w:t xml:space="preserve">Figure </w:t>
      </w:r>
      <w:r w:rsidR="00344140" w:rsidRPr="00D549EE">
        <w:rPr>
          <w:b w:val="0"/>
          <w:sz w:val="28"/>
          <w:szCs w:val="28"/>
          <w:lang w:val="en-US"/>
        </w:rPr>
        <w:t>6</w:t>
      </w:r>
      <w:r w:rsidRPr="00D549EE">
        <w:rPr>
          <w:sz w:val="28"/>
          <w:szCs w:val="28"/>
          <w:lang w:val="en-US"/>
        </w:rPr>
        <w:t xml:space="preserve"> </w:t>
      </w:r>
      <w:r w:rsidRPr="00D549EE">
        <w:rPr>
          <w:b w:val="0"/>
          <w:color w:val="000000" w:themeColor="text1"/>
          <w:lang w:val="en-US"/>
        </w:rPr>
        <w:t>–</w:t>
      </w:r>
      <w:r w:rsidRPr="00D549EE">
        <w:rPr>
          <w:lang w:val="en-US"/>
        </w:rPr>
        <w:t xml:space="preserve"> </w:t>
      </w:r>
      <w:r w:rsidR="00E97676" w:rsidRPr="00D549EE">
        <w:rPr>
          <w:b w:val="0"/>
          <w:color w:val="000000"/>
          <w:sz w:val="28"/>
          <w:szCs w:val="28"/>
          <w:lang w:val="en-US" w:eastAsia="en-US" w:bidi="en-US"/>
        </w:rPr>
        <w:t>Conceptual origin of waqf</w:t>
      </w:r>
    </w:p>
    <w:p w14:paraId="38328129" w14:textId="77777777" w:rsidR="00C93933" w:rsidRPr="00D549EE" w:rsidRDefault="00C93933" w:rsidP="00C9582F">
      <w:pPr>
        <w:pStyle w:val="2"/>
        <w:tabs>
          <w:tab w:val="left" w:pos="567"/>
        </w:tabs>
        <w:snapToGrid w:val="0"/>
        <w:spacing w:before="75" w:beforeAutospacing="0" w:after="375" w:afterAutospacing="0"/>
        <w:contextualSpacing/>
        <w:jc w:val="center"/>
        <w:rPr>
          <w:b w:val="0"/>
          <w:color w:val="000000"/>
          <w:sz w:val="28"/>
          <w:szCs w:val="28"/>
          <w:lang w:val="en-US" w:eastAsia="en-US" w:bidi="en-US"/>
        </w:rPr>
      </w:pPr>
    </w:p>
    <w:p w14:paraId="618F7E86" w14:textId="4E77A28F" w:rsidR="00633E51" w:rsidRPr="00D549EE" w:rsidRDefault="00C93933" w:rsidP="00C9582F">
      <w:pPr>
        <w:pStyle w:val="2"/>
        <w:tabs>
          <w:tab w:val="left" w:pos="567"/>
        </w:tabs>
        <w:snapToGrid w:val="0"/>
        <w:spacing w:before="75" w:beforeAutospacing="0" w:after="375" w:afterAutospacing="0"/>
        <w:contextualSpacing/>
        <w:jc w:val="both"/>
        <w:rPr>
          <w:b w:val="0"/>
          <w:color w:val="000000"/>
          <w:sz w:val="24"/>
          <w:szCs w:val="24"/>
          <w:lang w:val="en-US" w:eastAsia="en-US" w:bidi="en-US"/>
        </w:rPr>
      </w:pPr>
      <w:r w:rsidRPr="00D549EE">
        <w:rPr>
          <w:b w:val="0"/>
          <w:color w:val="000000"/>
          <w:sz w:val="28"/>
          <w:szCs w:val="28"/>
          <w:lang w:val="en-US" w:eastAsia="en-US" w:bidi="en-US"/>
        </w:rPr>
        <w:tab/>
      </w:r>
      <w:r w:rsidRPr="00D549EE">
        <w:rPr>
          <w:b w:val="0"/>
          <w:sz w:val="24"/>
          <w:szCs w:val="24"/>
          <w:lang w:val="en-US"/>
        </w:rPr>
        <w:t>Note</w:t>
      </w:r>
      <w:r w:rsidRPr="00D549EE">
        <w:rPr>
          <w:sz w:val="24"/>
          <w:szCs w:val="24"/>
          <w:lang w:val="en-US"/>
        </w:rPr>
        <w:t xml:space="preserve"> </w:t>
      </w:r>
      <w:r w:rsidRPr="00D549EE">
        <w:rPr>
          <w:b w:val="0"/>
          <w:color w:val="000000" w:themeColor="text1"/>
          <w:sz w:val="24"/>
          <w:szCs w:val="24"/>
          <w:lang w:val="en-US"/>
        </w:rPr>
        <w:t>– Source</w:t>
      </w:r>
      <w:r w:rsidR="00E97676" w:rsidRPr="00D549EE">
        <w:rPr>
          <w:b w:val="0"/>
          <w:color w:val="000000"/>
          <w:sz w:val="24"/>
          <w:szCs w:val="24"/>
          <w:lang w:val="en-US" w:eastAsia="en-US" w:bidi="en-US"/>
        </w:rPr>
        <w:t xml:space="preserve"> </w:t>
      </w:r>
      <w:r w:rsidR="00B32B23" w:rsidRPr="00D549EE">
        <w:rPr>
          <w:b w:val="0"/>
          <w:color w:val="000000"/>
          <w:sz w:val="24"/>
          <w:szCs w:val="24"/>
          <w:lang w:val="en-US" w:eastAsia="en-US" w:bidi="en-US"/>
        </w:rPr>
        <w:fldChar w:fldCharType="begin" w:fldLock="1"/>
      </w:r>
      <w:r w:rsidR="00023147" w:rsidRPr="00D549EE">
        <w:rPr>
          <w:b w:val="0"/>
          <w:color w:val="000000"/>
          <w:sz w:val="24"/>
          <w:szCs w:val="24"/>
          <w:lang w:val="en-US" w:eastAsia="en-US" w:bidi="en-US"/>
        </w:rPr>
        <w:instrText>ADDIN CSL_CITATION {"citationItems":[{"id":"ITEM-1","itemData":{"author":[{"dropping-particle":"","family":"GIFR","given":"","non-dropping-particle":"","parse-names":false,"suffix":""}],"id":"ITEM-1","issued":{"date-parts":[["2018"]]},"title":"Global Islamic Finance Report 2018: Key Highlights","type":"article-journal"},"uris":["http://www.mendeley.com/documents/?uuid=a2c8d58f-5dd3-49fe-9b9c-f4a0ac075142"]}],"mendeley":{"formattedCitation":"[75]","plainTextFormattedCitation":"[75]","previouslyFormattedCitation":"[75]"},"properties":{"noteIndex":0},"schema":"https://github.com/citation-style-language/schema/raw/master/csl-citation.json"}</w:instrText>
      </w:r>
      <w:r w:rsidR="00B32B23" w:rsidRPr="00D549EE">
        <w:rPr>
          <w:b w:val="0"/>
          <w:color w:val="000000"/>
          <w:sz w:val="24"/>
          <w:szCs w:val="24"/>
          <w:lang w:val="en-US" w:eastAsia="en-US" w:bidi="en-US"/>
        </w:rPr>
        <w:fldChar w:fldCharType="separate"/>
      </w:r>
      <w:r w:rsidR="009147BE" w:rsidRPr="00D549EE">
        <w:rPr>
          <w:b w:val="0"/>
          <w:noProof/>
          <w:color w:val="000000"/>
          <w:sz w:val="24"/>
          <w:szCs w:val="24"/>
          <w:lang w:val="en-US" w:eastAsia="en-US" w:bidi="en-US"/>
        </w:rPr>
        <w:t>[75]</w:t>
      </w:r>
      <w:r w:rsidR="00B32B23" w:rsidRPr="00D549EE">
        <w:rPr>
          <w:b w:val="0"/>
          <w:color w:val="000000"/>
          <w:sz w:val="24"/>
          <w:szCs w:val="24"/>
          <w:lang w:val="en-US" w:eastAsia="en-US" w:bidi="en-US"/>
        </w:rPr>
        <w:fldChar w:fldCharType="end"/>
      </w:r>
    </w:p>
    <w:p w14:paraId="58F5C06E" w14:textId="77777777" w:rsidR="00772F4A" w:rsidRPr="00D549EE" w:rsidRDefault="00B32B23"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r w:rsidRPr="00D549EE">
        <w:rPr>
          <w:b w:val="0"/>
          <w:color w:val="000000"/>
          <w:sz w:val="28"/>
          <w:szCs w:val="28"/>
          <w:lang w:val="en-US" w:eastAsia="en-US" w:bidi="en-US"/>
        </w:rPr>
        <w:tab/>
      </w:r>
    </w:p>
    <w:p w14:paraId="58851C3B" w14:textId="77777777" w:rsidR="00D367CC" w:rsidRPr="00D367CC" w:rsidRDefault="00772F4A" w:rsidP="00D367CC">
      <w:pPr>
        <w:pStyle w:val="2"/>
        <w:tabs>
          <w:tab w:val="left" w:pos="567"/>
        </w:tabs>
        <w:snapToGrid w:val="0"/>
        <w:spacing w:before="75" w:after="375"/>
        <w:contextualSpacing/>
        <w:jc w:val="both"/>
        <w:rPr>
          <w:b w:val="0"/>
          <w:color w:val="000000"/>
          <w:sz w:val="28"/>
          <w:szCs w:val="28"/>
          <w:lang w:val="en-US" w:eastAsia="en-US" w:bidi="en-US"/>
        </w:rPr>
      </w:pPr>
      <w:r w:rsidRPr="00D549EE">
        <w:rPr>
          <w:b w:val="0"/>
          <w:color w:val="000000"/>
          <w:sz w:val="28"/>
          <w:szCs w:val="28"/>
          <w:lang w:val="en-US" w:eastAsia="en-US" w:bidi="en-US"/>
        </w:rPr>
        <w:tab/>
      </w:r>
      <w:r w:rsidR="00D367CC" w:rsidRPr="00D367CC">
        <w:rPr>
          <w:b w:val="0"/>
          <w:color w:val="000000"/>
          <w:sz w:val="28"/>
          <w:szCs w:val="28"/>
          <w:lang w:val="en-US" w:eastAsia="en-US" w:bidi="en-US"/>
        </w:rPr>
        <w:t>Waqf is different from the other forms of Islamic charities. Waqf establishes in the form of a non-obligatory charitable institution and is different from zakat, which is obligatory. The waqf institutions have a flexible framework for both sides, the donors and the beneficiaries. According to jurisprudential rules of the waqf institution establishment, the waqf subject ownership is not transferred to the beneficiary. The object becomes the public property, as by Sariah, the owner of everything on earth is Allah, many verses of the Quran explain it (73:9, 81:29, 92:13).</w:t>
      </w:r>
    </w:p>
    <w:p w14:paraId="0CE5D11B" w14:textId="554DCE03" w:rsidR="001A5702" w:rsidRDefault="00D367CC" w:rsidP="00D367CC">
      <w:pPr>
        <w:pStyle w:val="2"/>
        <w:tabs>
          <w:tab w:val="left" w:pos="567"/>
        </w:tabs>
        <w:snapToGrid w:val="0"/>
        <w:spacing w:before="75" w:beforeAutospacing="0" w:after="375" w:afterAutospacing="0"/>
        <w:contextualSpacing/>
        <w:jc w:val="both"/>
        <w:rPr>
          <w:b w:val="0"/>
          <w:color w:val="000000"/>
          <w:sz w:val="28"/>
          <w:szCs w:val="28"/>
          <w:lang w:val="en-US" w:eastAsia="en-US" w:bidi="en-US"/>
        </w:rPr>
      </w:pPr>
      <w:r w:rsidRPr="00D367CC">
        <w:rPr>
          <w:b w:val="0"/>
          <w:color w:val="000000"/>
          <w:sz w:val="28"/>
          <w:szCs w:val="28"/>
          <w:lang w:val="en-US" w:eastAsia="en-US" w:bidi="en-US"/>
        </w:rPr>
        <w:tab/>
        <w:t>The types of the waqf model distinguish the schemes of the waqf. The authors consider several models of cash waqf: waqf share scheme, deposit cash waqf scheme, compulsory waqf scheme, corporate waqf scheme, and cooperative waqf scheme, which was offered by A. Pitchay [76].</w:t>
      </w:r>
    </w:p>
    <w:p w14:paraId="24E53A4F" w14:textId="77777777" w:rsidR="00D367CC" w:rsidRPr="00D549EE" w:rsidRDefault="00D367CC" w:rsidP="00D367CC">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184F4E43" w14:textId="77777777" w:rsidR="00AF3349" w:rsidRPr="00D549EE" w:rsidRDefault="00AF3349"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r w:rsidRPr="00D549EE">
        <w:rPr>
          <w:b w:val="0"/>
          <w:noProof/>
          <w:color w:val="000000"/>
          <w:sz w:val="28"/>
          <w:szCs w:val="28"/>
        </w:rPr>
        <w:drawing>
          <wp:inline distT="0" distB="0" distL="0" distR="0" wp14:anchorId="418A3DC2" wp14:editId="22FB9E1C">
            <wp:extent cx="6134100" cy="2382390"/>
            <wp:effectExtent l="0" t="38100" r="0" b="5651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57A11CB" w14:textId="77777777" w:rsidR="00633E51" w:rsidRPr="00D549EE" w:rsidRDefault="00633E51"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27096E17" w14:textId="74056821" w:rsidR="00E41582" w:rsidRPr="00D549EE" w:rsidRDefault="00C93933" w:rsidP="00C9582F">
      <w:pPr>
        <w:pStyle w:val="2"/>
        <w:tabs>
          <w:tab w:val="left" w:pos="567"/>
        </w:tabs>
        <w:snapToGrid w:val="0"/>
        <w:spacing w:before="75" w:beforeAutospacing="0" w:after="375" w:afterAutospacing="0"/>
        <w:contextualSpacing/>
        <w:jc w:val="center"/>
        <w:rPr>
          <w:b w:val="0"/>
          <w:color w:val="000000"/>
          <w:sz w:val="28"/>
          <w:szCs w:val="28"/>
          <w:lang w:val="en-US" w:eastAsia="en-US" w:bidi="en-US"/>
        </w:rPr>
      </w:pPr>
      <w:r w:rsidRPr="00D549EE">
        <w:rPr>
          <w:b w:val="0"/>
          <w:sz w:val="28"/>
          <w:szCs w:val="28"/>
          <w:lang w:val="en-US"/>
        </w:rPr>
        <w:t xml:space="preserve">Figure </w:t>
      </w:r>
      <w:r w:rsidR="00344140" w:rsidRPr="00D549EE">
        <w:rPr>
          <w:b w:val="0"/>
          <w:sz w:val="28"/>
          <w:szCs w:val="28"/>
          <w:lang w:val="en-US"/>
        </w:rPr>
        <w:t>7</w:t>
      </w:r>
      <w:r w:rsidRPr="00D549EE">
        <w:rPr>
          <w:sz w:val="28"/>
          <w:szCs w:val="28"/>
          <w:lang w:val="en-US"/>
        </w:rPr>
        <w:t xml:space="preserve"> </w:t>
      </w:r>
      <w:r w:rsidRPr="00D549EE">
        <w:rPr>
          <w:b w:val="0"/>
          <w:color w:val="000000" w:themeColor="text1"/>
          <w:lang w:val="en-US"/>
        </w:rPr>
        <w:t>–</w:t>
      </w:r>
      <w:r w:rsidRPr="00D549EE">
        <w:rPr>
          <w:lang w:val="en-US"/>
        </w:rPr>
        <w:t xml:space="preserve"> </w:t>
      </w:r>
      <w:r w:rsidR="00E41582" w:rsidRPr="00D549EE">
        <w:rPr>
          <w:b w:val="0"/>
          <w:color w:val="000000"/>
          <w:sz w:val="28"/>
          <w:szCs w:val="28"/>
          <w:lang w:val="en-US" w:eastAsia="en-US" w:bidi="en-US"/>
        </w:rPr>
        <w:t>Waqf shares scheme</w:t>
      </w:r>
    </w:p>
    <w:p w14:paraId="13E9BDA2" w14:textId="120E335D" w:rsidR="00D367CC" w:rsidRPr="00F23564" w:rsidRDefault="005A1EE9" w:rsidP="00C9582F">
      <w:pPr>
        <w:pStyle w:val="2"/>
        <w:tabs>
          <w:tab w:val="left" w:pos="567"/>
        </w:tabs>
        <w:snapToGrid w:val="0"/>
        <w:spacing w:before="75" w:beforeAutospacing="0" w:after="375" w:afterAutospacing="0"/>
        <w:contextualSpacing/>
        <w:jc w:val="both"/>
        <w:rPr>
          <w:b w:val="0"/>
          <w:color w:val="000000"/>
          <w:sz w:val="24"/>
          <w:szCs w:val="24"/>
          <w:lang w:val="en-US" w:eastAsia="en-US" w:bidi="en-US"/>
        </w:rPr>
      </w:pPr>
      <w:r w:rsidRPr="00D549EE">
        <w:rPr>
          <w:b w:val="0"/>
          <w:sz w:val="24"/>
          <w:szCs w:val="24"/>
          <w:lang w:val="en-US"/>
        </w:rPr>
        <w:t>Note</w:t>
      </w:r>
      <w:r w:rsidRPr="00D549EE">
        <w:rPr>
          <w:sz w:val="24"/>
          <w:szCs w:val="24"/>
          <w:lang w:val="en-US"/>
        </w:rPr>
        <w:t xml:space="preserve"> </w:t>
      </w:r>
      <w:r w:rsidRPr="00D549EE">
        <w:rPr>
          <w:b w:val="0"/>
          <w:color w:val="000000" w:themeColor="text1"/>
          <w:sz w:val="24"/>
          <w:szCs w:val="24"/>
          <w:lang w:val="en-US"/>
        </w:rPr>
        <w:t>– Compiled by the author</w:t>
      </w:r>
      <w:r w:rsidR="00326636" w:rsidRPr="00D549EE">
        <w:rPr>
          <w:b w:val="0"/>
          <w:color w:val="000000"/>
          <w:sz w:val="28"/>
          <w:szCs w:val="28"/>
          <w:lang w:val="en-US" w:eastAsia="en-US" w:bidi="en-US"/>
        </w:rPr>
        <w:tab/>
      </w:r>
    </w:p>
    <w:p w14:paraId="298F0DEF" w14:textId="77777777" w:rsidR="00D367CC" w:rsidRPr="00D367CC" w:rsidRDefault="00D367CC" w:rsidP="00D367CC">
      <w:pPr>
        <w:pStyle w:val="2"/>
        <w:tabs>
          <w:tab w:val="left" w:pos="567"/>
        </w:tabs>
        <w:snapToGrid w:val="0"/>
        <w:spacing w:before="75" w:after="375"/>
        <w:contextualSpacing/>
        <w:jc w:val="both"/>
        <w:rPr>
          <w:b w:val="0"/>
          <w:color w:val="000000"/>
          <w:sz w:val="28"/>
          <w:szCs w:val="28"/>
          <w:lang w:val="en-US" w:eastAsia="en-US" w:bidi="en-US"/>
        </w:rPr>
      </w:pPr>
      <w:r>
        <w:rPr>
          <w:b w:val="0"/>
          <w:color w:val="000000"/>
          <w:sz w:val="28"/>
          <w:szCs w:val="28"/>
          <w:lang w:val="en-US" w:eastAsia="en-US" w:bidi="en-US"/>
        </w:rPr>
        <w:lastRenderedPageBreak/>
        <w:tab/>
      </w:r>
      <w:r w:rsidRPr="00D367CC">
        <w:rPr>
          <w:b w:val="0"/>
          <w:color w:val="000000"/>
          <w:sz w:val="28"/>
          <w:szCs w:val="28"/>
          <w:lang w:val="en-US" w:eastAsia="en-US" w:bidi="en-US"/>
        </w:rPr>
        <w:t>A waqf share scheme is a form of the public waqf, the primary purpose of which is to collect funds for improving ether social welfare of the society, either for assisting the needy people. This scheme exists in the countries such as the UK, Malaysia, Indonesia, and Kuwait and is well-practiced. The model of this form of waqf looks as follows.</w:t>
      </w:r>
    </w:p>
    <w:p w14:paraId="7016465D" w14:textId="77777777" w:rsidR="00D367CC" w:rsidRPr="00D367CC" w:rsidRDefault="00D367CC" w:rsidP="00D367CC">
      <w:pPr>
        <w:pStyle w:val="2"/>
        <w:tabs>
          <w:tab w:val="left" w:pos="567"/>
        </w:tabs>
        <w:snapToGrid w:val="0"/>
        <w:spacing w:before="75" w:after="375"/>
        <w:contextualSpacing/>
        <w:jc w:val="both"/>
        <w:rPr>
          <w:b w:val="0"/>
          <w:color w:val="000000"/>
          <w:sz w:val="28"/>
          <w:szCs w:val="28"/>
          <w:lang w:val="en-US" w:eastAsia="en-US" w:bidi="en-US"/>
        </w:rPr>
      </w:pPr>
      <w:r w:rsidRPr="00D367CC">
        <w:rPr>
          <w:b w:val="0"/>
          <w:color w:val="000000"/>
          <w:sz w:val="28"/>
          <w:szCs w:val="28"/>
          <w:lang w:val="en-US" w:eastAsia="en-US" w:bidi="en-US"/>
        </w:rPr>
        <w:tab/>
        <w:t xml:space="preserve">This waqf scheme has been used in mentioned countries since the 1990s and was accepted as a funds’ growth model for further investments. The generated profit from the investment is mainly used to construct mosques, and medreses, develop waqf lands, build religious centers, and others.   </w:t>
      </w:r>
    </w:p>
    <w:p w14:paraId="5FEA0FC6" w14:textId="1F47942E" w:rsidR="00633E51" w:rsidRDefault="00D367CC" w:rsidP="00D367CC">
      <w:pPr>
        <w:pStyle w:val="2"/>
        <w:tabs>
          <w:tab w:val="left" w:pos="567"/>
        </w:tabs>
        <w:snapToGrid w:val="0"/>
        <w:spacing w:before="75" w:beforeAutospacing="0" w:after="375" w:afterAutospacing="0"/>
        <w:contextualSpacing/>
        <w:jc w:val="both"/>
        <w:rPr>
          <w:b w:val="0"/>
          <w:color w:val="000000"/>
          <w:sz w:val="28"/>
          <w:szCs w:val="28"/>
          <w:lang w:val="en-US" w:eastAsia="en-US" w:bidi="en-US"/>
        </w:rPr>
      </w:pPr>
      <w:r w:rsidRPr="00D367CC">
        <w:rPr>
          <w:b w:val="0"/>
          <w:color w:val="000000"/>
          <w:sz w:val="28"/>
          <w:szCs w:val="28"/>
          <w:lang w:val="en-US" w:eastAsia="en-US" w:bidi="en-US"/>
        </w:rPr>
        <w:tab/>
        <w:t>The other form of waqf is presented below.</w:t>
      </w:r>
    </w:p>
    <w:p w14:paraId="180C5E83" w14:textId="77777777" w:rsidR="00D367CC" w:rsidRPr="00D549EE" w:rsidRDefault="00D367CC" w:rsidP="00D367CC">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316C1624" w14:textId="77777777" w:rsidR="00633E51" w:rsidRPr="00D549EE" w:rsidRDefault="002C1236"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r w:rsidRPr="00D549EE">
        <w:rPr>
          <w:b w:val="0"/>
          <w:noProof/>
          <w:color w:val="000000"/>
          <w:sz w:val="28"/>
          <w:szCs w:val="28"/>
        </w:rPr>
        <w:drawing>
          <wp:inline distT="0" distB="0" distL="0" distR="0" wp14:anchorId="38D7C2A5" wp14:editId="4852F727">
            <wp:extent cx="4739640" cy="2133600"/>
            <wp:effectExtent l="0" t="38100" r="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A9A3C8C" w14:textId="77777777" w:rsidR="00633E51" w:rsidRPr="00D549EE" w:rsidRDefault="00633E51"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2A1175B1" w14:textId="48AE39FF" w:rsidR="001A0EE2" w:rsidRPr="00D549EE" w:rsidRDefault="009769EE" w:rsidP="00C9582F">
      <w:pPr>
        <w:pStyle w:val="2"/>
        <w:tabs>
          <w:tab w:val="left" w:pos="567"/>
        </w:tabs>
        <w:snapToGrid w:val="0"/>
        <w:spacing w:before="75" w:beforeAutospacing="0" w:after="375" w:afterAutospacing="0"/>
        <w:contextualSpacing/>
        <w:jc w:val="center"/>
        <w:rPr>
          <w:b w:val="0"/>
          <w:color w:val="000000"/>
          <w:sz w:val="28"/>
          <w:szCs w:val="28"/>
          <w:lang w:val="en-US" w:eastAsia="en-US" w:bidi="en-US"/>
        </w:rPr>
      </w:pPr>
      <w:r w:rsidRPr="00D549EE">
        <w:rPr>
          <w:b w:val="0"/>
          <w:sz w:val="28"/>
          <w:szCs w:val="28"/>
          <w:lang w:val="en-US"/>
        </w:rPr>
        <w:t xml:space="preserve">Figure </w:t>
      </w:r>
      <w:r w:rsidR="00344140" w:rsidRPr="00D549EE">
        <w:rPr>
          <w:b w:val="0"/>
          <w:sz w:val="28"/>
          <w:szCs w:val="28"/>
          <w:lang w:val="en-US"/>
        </w:rPr>
        <w:t>8</w:t>
      </w:r>
      <w:r w:rsidRPr="00D549EE">
        <w:rPr>
          <w:sz w:val="28"/>
          <w:szCs w:val="28"/>
          <w:lang w:val="en-US"/>
        </w:rPr>
        <w:t xml:space="preserve"> </w:t>
      </w:r>
      <w:r w:rsidRPr="00D549EE">
        <w:rPr>
          <w:b w:val="0"/>
          <w:color w:val="000000" w:themeColor="text1"/>
          <w:lang w:val="en-US"/>
        </w:rPr>
        <w:t>–</w:t>
      </w:r>
      <w:r w:rsidRPr="00D549EE">
        <w:rPr>
          <w:lang w:val="en-US"/>
        </w:rPr>
        <w:t xml:space="preserve"> </w:t>
      </w:r>
      <w:r w:rsidR="001A0EE2" w:rsidRPr="00D549EE">
        <w:rPr>
          <w:b w:val="0"/>
          <w:color w:val="000000"/>
          <w:sz w:val="28"/>
          <w:szCs w:val="28"/>
          <w:lang w:val="en-US" w:eastAsia="en-US" w:bidi="en-US"/>
        </w:rPr>
        <w:t>Deposit cash Waqf scheme</w:t>
      </w:r>
    </w:p>
    <w:p w14:paraId="7ADCCEEE" w14:textId="7EF942F3" w:rsidR="001A0EE2" w:rsidRPr="00D549EE" w:rsidRDefault="001A0EE2"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3B8A5079" w14:textId="55DD3498" w:rsidR="005A1EE9" w:rsidRPr="00D549EE" w:rsidRDefault="005A1EE9" w:rsidP="00C9582F">
      <w:pPr>
        <w:pStyle w:val="2"/>
        <w:tabs>
          <w:tab w:val="left" w:pos="567"/>
        </w:tabs>
        <w:snapToGrid w:val="0"/>
        <w:spacing w:before="75" w:beforeAutospacing="0" w:after="375" w:afterAutospacing="0"/>
        <w:contextualSpacing/>
        <w:jc w:val="both"/>
        <w:rPr>
          <w:b w:val="0"/>
          <w:color w:val="000000" w:themeColor="text1"/>
          <w:sz w:val="24"/>
          <w:szCs w:val="24"/>
          <w:lang w:val="en-US"/>
        </w:rPr>
      </w:pPr>
      <w:r w:rsidRPr="00D549EE">
        <w:rPr>
          <w:b w:val="0"/>
          <w:color w:val="000000"/>
          <w:sz w:val="28"/>
          <w:szCs w:val="28"/>
          <w:lang w:val="en-US" w:eastAsia="en-US" w:bidi="en-US"/>
        </w:rPr>
        <w:tab/>
      </w:r>
      <w:r w:rsidRPr="00D549EE">
        <w:rPr>
          <w:b w:val="0"/>
          <w:sz w:val="24"/>
          <w:szCs w:val="24"/>
          <w:lang w:val="en-US"/>
        </w:rPr>
        <w:t>Note</w:t>
      </w:r>
      <w:r w:rsidRPr="00D549EE">
        <w:rPr>
          <w:sz w:val="24"/>
          <w:szCs w:val="24"/>
          <w:lang w:val="en-US"/>
        </w:rPr>
        <w:t xml:space="preserve"> </w:t>
      </w:r>
      <w:r w:rsidRPr="00D549EE">
        <w:rPr>
          <w:b w:val="0"/>
          <w:color w:val="000000" w:themeColor="text1"/>
          <w:sz w:val="24"/>
          <w:szCs w:val="24"/>
          <w:lang w:val="en-US"/>
        </w:rPr>
        <w:t>– Compiled by the author</w:t>
      </w:r>
    </w:p>
    <w:p w14:paraId="223786DC" w14:textId="77777777" w:rsidR="005A1EE9" w:rsidRPr="00D549EE" w:rsidRDefault="005A1EE9"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7E4C6180" w14:textId="77777777" w:rsidR="00B94EE5" w:rsidRPr="00B94EE5" w:rsidRDefault="001A0EE2" w:rsidP="00B94EE5">
      <w:pPr>
        <w:pStyle w:val="2"/>
        <w:tabs>
          <w:tab w:val="left" w:pos="567"/>
        </w:tabs>
        <w:snapToGrid w:val="0"/>
        <w:spacing w:before="75" w:after="375"/>
        <w:contextualSpacing/>
        <w:jc w:val="both"/>
        <w:rPr>
          <w:b w:val="0"/>
          <w:color w:val="000000"/>
          <w:sz w:val="28"/>
          <w:szCs w:val="28"/>
          <w:lang w:val="en-US" w:eastAsia="en-US" w:bidi="en-US"/>
        </w:rPr>
      </w:pPr>
      <w:r w:rsidRPr="00D549EE">
        <w:rPr>
          <w:b w:val="0"/>
          <w:color w:val="000000"/>
          <w:sz w:val="28"/>
          <w:szCs w:val="28"/>
          <w:lang w:val="en-US" w:eastAsia="en-US" w:bidi="en-US"/>
        </w:rPr>
        <w:tab/>
      </w:r>
      <w:r w:rsidR="00B94EE5" w:rsidRPr="00B94EE5">
        <w:rPr>
          <w:b w:val="0"/>
          <w:color w:val="000000"/>
          <w:sz w:val="28"/>
          <w:szCs w:val="28"/>
          <w:lang w:val="en-US" w:eastAsia="en-US" w:bidi="en-US"/>
        </w:rPr>
        <w:t xml:space="preserve">This form of the waqf model has more participants like the bank, which acts in the interest of the waqf institution as an agent. This scheme is used for providing goods or services to society and was used in Singapore. </w:t>
      </w:r>
    </w:p>
    <w:p w14:paraId="534554D9" w14:textId="77777777" w:rsidR="00B94EE5" w:rsidRPr="00B94EE5" w:rsidRDefault="00B94EE5" w:rsidP="00B94EE5">
      <w:pPr>
        <w:pStyle w:val="2"/>
        <w:tabs>
          <w:tab w:val="left" w:pos="567"/>
        </w:tabs>
        <w:snapToGrid w:val="0"/>
        <w:spacing w:before="75" w:after="375"/>
        <w:contextualSpacing/>
        <w:jc w:val="both"/>
        <w:rPr>
          <w:b w:val="0"/>
          <w:color w:val="000000"/>
          <w:sz w:val="28"/>
          <w:szCs w:val="28"/>
          <w:lang w:val="en-US" w:eastAsia="en-US" w:bidi="en-US"/>
        </w:rPr>
      </w:pPr>
      <w:r w:rsidRPr="00B94EE5">
        <w:rPr>
          <w:b w:val="0"/>
          <w:color w:val="000000"/>
          <w:sz w:val="28"/>
          <w:szCs w:val="28"/>
          <w:lang w:val="en-US" w:eastAsia="en-US" w:bidi="en-US"/>
        </w:rPr>
        <w:tab/>
        <w:t xml:space="preserve">The compulsory cash waqf model is not popular in the Muslim majority or minority countries and was practiced only in Singapore in the form of public waqf.  </w:t>
      </w:r>
    </w:p>
    <w:p w14:paraId="25D4F1A9" w14:textId="77777777" w:rsidR="00B94EE5" w:rsidRPr="00B94EE5" w:rsidRDefault="00B94EE5" w:rsidP="00B94EE5">
      <w:pPr>
        <w:pStyle w:val="2"/>
        <w:tabs>
          <w:tab w:val="left" w:pos="567"/>
        </w:tabs>
        <w:snapToGrid w:val="0"/>
        <w:spacing w:before="75" w:after="375"/>
        <w:contextualSpacing/>
        <w:jc w:val="both"/>
        <w:rPr>
          <w:b w:val="0"/>
          <w:color w:val="000000"/>
          <w:sz w:val="28"/>
          <w:szCs w:val="28"/>
          <w:lang w:val="en-US" w:eastAsia="en-US" w:bidi="en-US"/>
        </w:rPr>
      </w:pPr>
      <w:r w:rsidRPr="00B94EE5">
        <w:rPr>
          <w:b w:val="0"/>
          <w:color w:val="000000"/>
          <w:sz w:val="28"/>
          <w:szCs w:val="28"/>
          <w:lang w:val="en-US" w:eastAsia="en-US" w:bidi="en-US"/>
        </w:rPr>
        <w:tab/>
        <w:t xml:space="preserve">Compared with the compulsory cash waqf scheme, the corporate waqf scheme was used as the public waqf in many countries, such as Malaysia, India, Turkey, and Pakistan.    </w:t>
      </w:r>
    </w:p>
    <w:p w14:paraId="7547984A" w14:textId="77777777" w:rsidR="00B94EE5" w:rsidRPr="00B94EE5" w:rsidRDefault="00B94EE5" w:rsidP="00B94EE5">
      <w:pPr>
        <w:pStyle w:val="2"/>
        <w:tabs>
          <w:tab w:val="left" w:pos="567"/>
        </w:tabs>
        <w:snapToGrid w:val="0"/>
        <w:spacing w:before="75" w:after="375"/>
        <w:contextualSpacing/>
        <w:jc w:val="both"/>
        <w:rPr>
          <w:b w:val="0"/>
          <w:color w:val="000000"/>
          <w:sz w:val="28"/>
          <w:szCs w:val="28"/>
          <w:lang w:val="en-US" w:eastAsia="en-US" w:bidi="en-US"/>
        </w:rPr>
      </w:pPr>
      <w:r w:rsidRPr="00B94EE5">
        <w:rPr>
          <w:b w:val="0"/>
          <w:color w:val="000000"/>
          <w:sz w:val="28"/>
          <w:szCs w:val="28"/>
          <w:lang w:val="en-US" w:eastAsia="en-US" w:bidi="en-US"/>
        </w:rPr>
        <w:tab/>
        <w:t xml:space="preserve">The waqf institutions were considered an instrument for wealth and benefits distribution and protection of needy people for a long time. However, there are different views of point among scientists in this area. For example, the most influential is the most cited author in the scientometric bases, like Web of Science and Scopus, Timur Kuran, who is the author of many papers on Islamic finance, waqf institutes are considered as an obstacle to the financial development of the Middle East. His paper [77] Why the Middle East is economically underdeveloped: Historical mechanisms of institutional stagnation gave the information about the theoretical bases of Islamic finance and compared the Western conventional financial system development and Islamic financial system development of the Middle East. The author critically </w:t>
      </w:r>
      <w:r w:rsidRPr="00B94EE5">
        <w:rPr>
          <w:b w:val="0"/>
          <w:color w:val="000000"/>
          <w:sz w:val="28"/>
          <w:szCs w:val="28"/>
          <w:lang w:val="en-US" w:eastAsia="en-US" w:bidi="en-US"/>
        </w:rPr>
        <w:lastRenderedPageBreak/>
        <w:t xml:space="preserve">measured the stagnation of Islamic economics and highlighted the main reasons for the considerable difference in development. He has found the primary source of the differences that manifested in the form of the Individually oriented contract law in Islamic economics and corporate structure evolution in the conventional Western economic system.  </w:t>
      </w:r>
    </w:p>
    <w:p w14:paraId="66A000A7" w14:textId="77777777" w:rsidR="008071A8" w:rsidRPr="00D549EE" w:rsidRDefault="008071A8" w:rsidP="008071A8">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45E1A158" w14:textId="77777777" w:rsidR="00F27E7F" w:rsidRPr="00D549EE" w:rsidRDefault="00F27E7F"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r w:rsidRPr="00D549EE">
        <w:rPr>
          <w:b w:val="0"/>
          <w:noProof/>
          <w:color w:val="000000"/>
          <w:sz w:val="28"/>
          <w:szCs w:val="28"/>
        </w:rPr>
        <w:drawing>
          <wp:inline distT="0" distB="0" distL="0" distR="0" wp14:anchorId="31E06A63" wp14:editId="2BF21592">
            <wp:extent cx="4739640" cy="2133600"/>
            <wp:effectExtent l="0" t="0" r="0"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BF79677" w14:textId="77777777" w:rsidR="00733C49" w:rsidRPr="00D549EE" w:rsidRDefault="00733C49"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645449D7" w14:textId="4D447055" w:rsidR="00B2197D" w:rsidRPr="00D549EE" w:rsidRDefault="009769EE" w:rsidP="00C9582F">
      <w:pPr>
        <w:pStyle w:val="2"/>
        <w:tabs>
          <w:tab w:val="left" w:pos="567"/>
        </w:tabs>
        <w:snapToGrid w:val="0"/>
        <w:spacing w:before="75" w:beforeAutospacing="0" w:after="375" w:afterAutospacing="0"/>
        <w:contextualSpacing/>
        <w:jc w:val="center"/>
        <w:rPr>
          <w:b w:val="0"/>
          <w:color w:val="000000"/>
          <w:sz w:val="28"/>
          <w:szCs w:val="28"/>
          <w:lang w:val="en-US" w:eastAsia="en-US" w:bidi="en-US"/>
        </w:rPr>
      </w:pPr>
      <w:r w:rsidRPr="00D549EE">
        <w:rPr>
          <w:b w:val="0"/>
          <w:sz w:val="28"/>
          <w:szCs w:val="28"/>
          <w:lang w:val="en-US"/>
        </w:rPr>
        <w:t xml:space="preserve">Figure </w:t>
      </w:r>
      <w:r w:rsidR="00344140" w:rsidRPr="00D549EE">
        <w:rPr>
          <w:b w:val="0"/>
          <w:sz w:val="28"/>
          <w:szCs w:val="28"/>
          <w:lang w:val="en-US"/>
        </w:rPr>
        <w:t>9</w:t>
      </w:r>
      <w:r w:rsidRPr="00D549EE">
        <w:rPr>
          <w:sz w:val="28"/>
          <w:szCs w:val="28"/>
          <w:lang w:val="en-US"/>
        </w:rPr>
        <w:t xml:space="preserve"> </w:t>
      </w:r>
      <w:r w:rsidRPr="00D549EE">
        <w:rPr>
          <w:b w:val="0"/>
          <w:color w:val="000000" w:themeColor="text1"/>
          <w:lang w:val="en-US"/>
        </w:rPr>
        <w:t>–</w:t>
      </w:r>
      <w:r w:rsidRPr="00D549EE">
        <w:rPr>
          <w:lang w:val="en-US"/>
        </w:rPr>
        <w:t xml:space="preserve"> </w:t>
      </w:r>
      <w:r w:rsidR="00B2197D" w:rsidRPr="00D549EE">
        <w:rPr>
          <w:b w:val="0"/>
          <w:color w:val="000000"/>
          <w:sz w:val="28"/>
          <w:szCs w:val="28"/>
          <w:lang w:val="en-US" w:eastAsia="en-US" w:bidi="en-US"/>
        </w:rPr>
        <w:t>Corporate Waqf scheme</w:t>
      </w:r>
    </w:p>
    <w:p w14:paraId="30E281D1" w14:textId="77777777" w:rsidR="005A1EE9" w:rsidRPr="00D549EE" w:rsidRDefault="005A1EE9" w:rsidP="00C9582F">
      <w:pPr>
        <w:pStyle w:val="2"/>
        <w:tabs>
          <w:tab w:val="left" w:pos="567"/>
        </w:tabs>
        <w:snapToGrid w:val="0"/>
        <w:spacing w:before="75" w:beforeAutospacing="0" w:after="375" w:afterAutospacing="0"/>
        <w:contextualSpacing/>
        <w:jc w:val="both"/>
        <w:rPr>
          <w:b w:val="0"/>
          <w:sz w:val="24"/>
          <w:szCs w:val="24"/>
          <w:lang w:val="en-US"/>
        </w:rPr>
      </w:pPr>
    </w:p>
    <w:p w14:paraId="10A1ABA1" w14:textId="55964A9D" w:rsidR="00B2197D" w:rsidRPr="00D549EE" w:rsidRDefault="005A1EE9" w:rsidP="00C9582F">
      <w:pPr>
        <w:pStyle w:val="2"/>
        <w:tabs>
          <w:tab w:val="left" w:pos="567"/>
        </w:tabs>
        <w:snapToGrid w:val="0"/>
        <w:spacing w:before="75" w:beforeAutospacing="0" w:after="375" w:afterAutospacing="0"/>
        <w:contextualSpacing/>
        <w:jc w:val="both"/>
        <w:rPr>
          <w:b w:val="0"/>
          <w:color w:val="000000" w:themeColor="text1"/>
          <w:sz w:val="24"/>
          <w:szCs w:val="24"/>
          <w:lang w:val="en-US"/>
        </w:rPr>
      </w:pPr>
      <w:r w:rsidRPr="00D549EE">
        <w:rPr>
          <w:b w:val="0"/>
          <w:sz w:val="24"/>
          <w:szCs w:val="24"/>
          <w:lang w:val="en-US"/>
        </w:rPr>
        <w:tab/>
        <w:t>Note</w:t>
      </w:r>
      <w:r w:rsidRPr="00D549EE">
        <w:rPr>
          <w:sz w:val="24"/>
          <w:szCs w:val="24"/>
          <w:lang w:val="en-US"/>
        </w:rPr>
        <w:t xml:space="preserve"> </w:t>
      </w:r>
      <w:r w:rsidRPr="00D549EE">
        <w:rPr>
          <w:b w:val="0"/>
          <w:color w:val="000000" w:themeColor="text1"/>
          <w:sz w:val="24"/>
          <w:szCs w:val="24"/>
          <w:lang w:val="en-US"/>
        </w:rPr>
        <w:t>– Compiled by the author</w:t>
      </w:r>
    </w:p>
    <w:p w14:paraId="01B94BCB" w14:textId="77777777" w:rsidR="00344140" w:rsidRPr="00D549EE" w:rsidRDefault="00344140"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6D9CE4B4" w14:textId="37E48B7E" w:rsidR="00A94D49" w:rsidRPr="00D549EE" w:rsidRDefault="00B2197D"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r w:rsidRPr="00D549EE">
        <w:rPr>
          <w:b w:val="0"/>
          <w:color w:val="000000"/>
          <w:sz w:val="28"/>
          <w:szCs w:val="28"/>
          <w:lang w:val="en-US" w:eastAsia="en-US" w:bidi="en-US"/>
        </w:rPr>
        <w:tab/>
      </w:r>
      <w:r w:rsidR="00A94D49" w:rsidRPr="00D549EE">
        <w:rPr>
          <w:b w:val="0"/>
          <w:color w:val="000000"/>
          <w:sz w:val="28"/>
          <w:szCs w:val="28"/>
          <w:lang w:val="en-US" w:eastAsia="en-US" w:bidi="en-US"/>
        </w:rPr>
        <w:t xml:space="preserve">The authors considered the co-operative waqf scheme as the model which provides the development communications between donors and waqf institutions. This model can build confidence to the waqf institutions and can improve their reputation. </w:t>
      </w:r>
    </w:p>
    <w:p w14:paraId="36FEB64B" w14:textId="77777777" w:rsidR="00A94D49" w:rsidRPr="00D549EE" w:rsidRDefault="00A94D49"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64A41A1C" w14:textId="77777777" w:rsidR="00A94D49" w:rsidRPr="00D549EE" w:rsidRDefault="00A94D49"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r w:rsidRPr="00D549EE">
        <w:rPr>
          <w:b w:val="0"/>
          <w:noProof/>
          <w:color w:val="000000"/>
          <w:sz w:val="28"/>
          <w:szCs w:val="28"/>
        </w:rPr>
        <w:drawing>
          <wp:inline distT="0" distB="0" distL="0" distR="0" wp14:anchorId="7A622345" wp14:editId="208EDDE3">
            <wp:extent cx="4739640" cy="2133600"/>
            <wp:effectExtent l="0" t="0" r="0" b="1905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68A8D3A" w14:textId="77777777" w:rsidR="00A94D49" w:rsidRPr="00D549EE" w:rsidRDefault="00A94D49" w:rsidP="00C9582F">
      <w:pPr>
        <w:pStyle w:val="2"/>
        <w:tabs>
          <w:tab w:val="left" w:pos="567"/>
        </w:tabs>
        <w:snapToGrid w:val="0"/>
        <w:spacing w:before="75" w:beforeAutospacing="0" w:after="375" w:afterAutospacing="0"/>
        <w:contextualSpacing/>
        <w:jc w:val="both"/>
        <w:rPr>
          <w:b w:val="0"/>
          <w:color w:val="000000"/>
          <w:sz w:val="28"/>
          <w:szCs w:val="28"/>
          <w:lang w:val="en-US" w:eastAsia="en-US" w:bidi="en-US"/>
        </w:rPr>
      </w:pPr>
    </w:p>
    <w:p w14:paraId="0C589083" w14:textId="7E84A7BD" w:rsidR="00A54F21" w:rsidRPr="00D549EE" w:rsidRDefault="009769EE" w:rsidP="00C9582F">
      <w:pPr>
        <w:pStyle w:val="2"/>
        <w:tabs>
          <w:tab w:val="left" w:pos="567"/>
        </w:tabs>
        <w:snapToGrid w:val="0"/>
        <w:spacing w:before="75" w:beforeAutospacing="0" w:after="375" w:afterAutospacing="0"/>
        <w:contextualSpacing/>
        <w:jc w:val="center"/>
        <w:rPr>
          <w:b w:val="0"/>
          <w:color w:val="000000"/>
          <w:sz w:val="28"/>
          <w:szCs w:val="28"/>
          <w:lang w:val="en-US" w:eastAsia="en-US" w:bidi="en-US"/>
        </w:rPr>
      </w:pPr>
      <w:r w:rsidRPr="00D549EE">
        <w:rPr>
          <w:b w:val="0"/>
          <w:sz w:val="28"/>
          <w:szCs w:val="28"/>
          <w:lang w:val="en-US"/>
        </w:rPr>
        <w:t>Figure 1</w:t>
      </w:r>
      <w:r w:rsidR="00344140" w:rsidRPr="00D549EE">
        <w:rPr>
          <w:b w:val="0"/>
          <w:sz w:val="28"/>
          <w:szCs w:val="28"/>
          <w:lang w:val="en-US"/>
        </w:rPr>
        <w:t>0</w:t>
      </w:r>
      <w:r w:rsidRPr="00D549EE">
        <w:rPr>
          <w:sz w:val="28"/>
          <w:szCs w:val="28"/>
          <w:lang w:val="en-US"/>
        </w:rPr>
        <w:t xml:space="preserve"> </w:t>
      </w:r>
      <w:r w:rsidRPr="00D549EE">
        <w:rPr>
          <w:b w:val="0"/>
          <w:color w:val="000000" w:themeColor="text1"/>
          <w:lang w:val="en-US"/>
        </w:rPr>
        <w:t>–</w:t>
      </w:r>
      <w:r w:rsidRPr="00D549EE">
        <w:rPr>
          <w:lang w:val="en-US"/>
        </w:rPr>
        <w:t xml:space="preserve"> </w:t>
      </w:r>
      <w:r w:rsidR="00A54F21" w:rsidRPr="00D549EE">
        <w:rPr>
          <w:b w:val="0"/>
          <w:color w:val="000000"/>
          <w:sz w:val="28"/>
          <w:szCs w:val="28"/>
          <w:lang w:val="en-US" w:eastAsia="en-US" w:bidi="en-US"/>
        </w:rPr>
        <w:t>Cooperative-Waqf scheme</w:t>
      </w:r>
    </w:p>
    <w:p w14:paraId="1A14F401" w14:textId="77777777" w:rsidR="005A1EE9" w:rsidRPr="00D549EE" w:rsidRDefault="005A1EE9" w:rsidP="00C9582F">
      <w:pPr>
        <w:pStyle w:val="2"/>
        <w:tabs>
          <w:tab w:val="left" w:pos="567"/>
        </w:tabs>
        <w:snapToGrid w:val="0"/>
        <w:spacing w:before="75" w:beforeAutospacing="0" w:after="375" w:afterAutospacing="0"/>
        <w:contextualSpacing/>
        <w:jc w:val="both"/>
        <w:rPr>
          <w:b w:val="0"/>
          <w:sz w:val="24"/>
          <w:szCs w:val="24"/>
          <w:lang w:val="en-US"/>
        </w:rPr>
      </w:pPr>
    </w:p>
    <w:p w14:paraId="3CACAC09" w14:textId="5E2842B7" w:rsidR="00A54F21" w:rsidRPr="00D549EE" w:rsidRDefault="005A1EE9" w:rsidP="00C9582F">
      <w:pPr>
        <w:pStyle w:val="2"/>
        <w:tabs>
          <w:tab w:val="left" w:pos="567"/>
        </w:tabs>
        <w:snapToGrid w:val="0"/>
        <w:spacing w:before="75" w:beforeAutospacing="0" w:after="375" w:afterAutospacing="0"/>
        <w:ind w:firstLine="567"/>
        <w:contextualSpacing/>
        <w:jc w:val="both"/>
        <w:rPr>
          <w:b w:val="0"/>
          <w:color w:val="000000" w:themeColor="text1"/>
          <w:sz w:val="24"/>
          <w:szCs w:val="24"/>
          <w:lang w:val="en-US"/>
        </w:rPr>
      </w:pPr>
      <w:r w:rsidRPr="00D549EE">
        <w:rPr>
          <w:b w:val="0"/>
          <w:sz w:val="24"/>
          <w:szCs w:val="24"/>
          <w:lang w:val="en-US"/>
        </w:rPr>
        <w:tab/>
        <w:t>Note</w:t>
      </w:r>
      <w:r w:rsidRPr="00D549EE">
        <w:rPr>
          <w:sz w:val="24"/>
          <w:szCs w:val="24"/>
          <w:lang w:val="en-US"/>
        </w:rPr>
        <w:t xml:space="preserve"> </w:t>
      </w:r>
      <w:r w:rsidRPr="00D549EE">
        <w:rPr>
          <w:b w:val="0"/>
          <w:color w:val="000000" w:themeColor="text1"/>
          <w:sz w:val="24"/>
          <w:szCs w:val="24"/>
          <w:lang w:val="en-US"/>
        </w:rPr>
        <w:t>– Compiled by the author</w:t>
      </w:r>
    </w:p>
    <w:p w14:paraId="4750A2D2" w14:textId="7596ECEF" w:rsidR="008359D9" w:rsidRPr="00D549EE" w:rsidRDefault="008071A8"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ab/>
      </w:r>
      <w:r w:rsidR="00CE6F50" w:rsidRPr="00D549EE">
        <w:rPr>
          <w:b w:val="0"/>
          <w:bCs w:val="0"/>
          <w:color w:val="000000" w:themeColor="text1"/>
          <w:sz w:val="28"/>
          <w:szCs w:val="28"/>
          <w:lang w:val="en-US"/>
        </w:rPr>
        <w:t xml:space="preserve"> </w:t>
      </w:r>
    </w:p>
    <w:p w14:paraId="6D417198" w14:textId="132DFFD0" w:rsidR="00FF5FD1" w:rsidRPr="00D549EE" w:rsidRDefault="008359D9" w:rsidP="00C9582F">
      <w:pPr>
        <w:pStyle w:val="2"/>
        <w:snapToGrid w:val="0"/>
        <w:spacing w:before="75" w:beforeAutospacing="0" w:after="375" w:afterAutospacing="0"/>
        <w:contextualSpacing/>
        <w:jc w:val="both"/>
        <w:rPr>
          <w:b w:val="0"/>
          <w:sz w:val="28"/>
          <w:szCs w:val="28"/>
          <w:lang w:val="en-US"/>
        </w:rPr>
      </w:pPr>
      <w:r w:rsidRPr="00D549EE">
        <w:rPr>
          <w:b w:val="0"/>
          <w:bCs w:val="0"/>
          <w:color w:val="000000" w:themeColor="text1"/>
          <w:sz w:val="28"/>
          <w:szCs w:val="28"/>
          <w:lang w:val="en-US"/>
        </w:rPr>
        <w:tab/>
      </w:r>
      <w:r w:rsidR="00E91FA2" w:rsidRPr="00E91FA2">
        <w:rPr>
          <w:b w:val="0"/>
          <w:bCs w:val="0"/>
          <w:color w:val="000000" w:themeColor="text1"/>
          <w:sz w:val="28"/>
          <w:szCs w:val="28"/>
          <w:lang w:val="en-US"/>
        </w:rPr>
        <w:t xml:space="preserve">Other research entitled The Provision of Public Goods under Islamic Law: Origins, Impact, and Limitations of the waqf system, were explored the features of the waqf system. This paper was a continuing study of the previous issues raised by the author Timur Kuran. In his style of analysis, the author tried to show all limitations, </w:t>
      </w:r>
      <w:r w:rsidR="00E91FA2" w:rsidRPr="00E91FA2">
        <w:rPr>
          <w:b w:val="0"/>
          <w:bCs w:val="0"/>
          <w:color w:val="000000" w:themeColor="text1"/>
          <w:sz w:val="28"/>
          <w:szCs w:val="28"/>
          <w:lang w:val="en-US"/>
        </w:rPr>
        <w:lastRenderedPageBreak/>
        <w:t>inefficiency and flows of waqf institutions and their management from the historical development perspective [78]. The article emphasizes the inability of Islamic law for corporations, and the waqf system was critically analyzed as the system that hindered corporate law advancement by absorbing the resources [79]. We decided to study these analyses and find the truth, does waqf institution promote the efficiency of Islamic finance, or does waqf institution lead to limitations and hinder the development of the financial system.</w:t>
      </w:r>
      <w:r w:rsidRPr="00D549EE">
        <w:rPr>
          <w:b w:val="0"/>
          <w:sz w:val="28"/>
          <w:szCs w:val="28"/>
          <w:lang w:val="en-US"/>
        </w:rPr>
        <w:t xml:space="preserve"> </w:t>
      </w:r>
    </w:p>
    <w:p w14:paraId="03BD98B3" w14:textId="77777777" w:rsidR="00B97A2B" w:rsidRPr="00D549EE" w:rsidRDefault="00B97A2B" w:rsidP="00C9582F">
      <w:pPr>
        <w:pStyle w:val="2"/>
        <w:snapToGrid w:val="0"/>
        <w:spacing w:before="75" w:beforeAutospacing="0" w:after="375" w:afterAutospacing="0"/>
        <w:ind w:firstLine="708"/>
        <w:contextualSpacing/>
        <w:jc w:val="both"/>
        <w:rPr>
          <w:b w:val="0"/>
          <w:color w:val="000000" w:themeColor="text1"/>
          <w:sz w:val="28"/>
          <w:szCs w:val="28"/>
          <w:lang w:val="en-US"/>
        </w:rPr>
      </w:pPr>
      <w:r w:rsidRPr="00D549EE">
        <w:rPr>
          <w:b w:val="0"/>
          <w:i/>
          <w:iCs/>
          <w:sz w:val="28"/>
          <w:szCs w:val="28"/>
          <w:lang w:val="en-US"/>
        </w:rPr>
        <w:t xml:space="preserve">1.2.3 </w:t>
      </w:r>
      <w:r w:rsidR="00FF5FD1" w:rsidRPr="00D549EE">
        <w:rPr>
          <w:b w:val="0"/>
          <w:i/>
          <w:iCs/>
          <w:sz w:val="28"/>
          <w:szCs w:val="28"/>
          <w:lang w:val="en-US"/>
        </w:rPr>
        <w:t>Islamic microfinance</w:t>
      </w:r>
    </w:p>
    <w:p w14:paraId="57EA7E38" w14:textId="77777777" w:rsidR="00E91FA2" w:rsidRPr="00E91FA2" w:rsidRDefault="00E91FA2" w:rsidP="00E91FA2">
      <w:pPr>
        <w:pStyle w:val="2"/>
        <w:spacing w:before="75" w:after="375"/>
        <w:contextualSpacing/>
        <w:jc w:val="both"/>
        <w:rPr>
          <w:b w:val="0"/>
          <w:bCs w:val="0"/>
          <w:color w:val="000000" w:themeColor="text1"/>
          <w:sz w:val="28"/>
          <w:szCs w:val="28"/>
          <w:lang w:val="en-US"/>
        </w:rPr>
      </w:pPr>
      <w:r w:rsidRPr="00E91FA2">
        <w:rPr>
          <w:b w:val="0"/>
          <w:bCs w:val="0"/>
          <w:color w:val="000000" w:themeColor="text1"/>
          <w:sz w:val="28"/>
          <w:szCs w:val="28"/>
          <w:lang w:val="en-US"/>
        </w:rPr>
        <w:t xml:space="preserve">The role of the micro and small enterprises cannot be underdeveloped in economics and the financial system of any country. According to the World Bank, the definition of microenterprises can be given differently, depending on the country's development level, strategic political objectives, and administration. Micro and small enterprises generally have a limited number of employees, income, or capital. Hence, by Organization for Economic Co-operation and Development (OECD), which has 36 member countries, companies with 19 workers are extra-small, with 20-90 workers are small enterprises. And if there are a minimum of 100 and a maximum of 499 employees in the enterprise, it is considered medium. </w:t>
      </w:r>
    </w:p>
    <w:p w14:paraId="59F90B13" w14:textId="2675FE3E" w:rsidR="00E91FA2" w:rsidRPr="00E91FA2" w:rsidRDefault="00E9221E" w:rsidP="00E91FA2">
      <w:pPr>
        <w:pStyle w:val="2"/>
        <w:spacing w:before="75" w:after="375"/>
        <w:contextualSpacing/>
        <w:jc w:val="both"/>
        <w:rPr>
          <w:b w:val="0"/>
          <w:bCs w:val="0"/>
          <w:color w:val="000000" w:themeColor="text1"/>
          <w:sz w:val="28"/>
          <w:szCs w:val="28"/>
          <w:lang w:val="en-US"/>
        </w:rPr>
      </w:pPr>
      <w:r>
        <w:rPr>
          <w:b w:val="0"/>
          <w:bCs w:val="0"/>
          <w:color w:val="000000" w:themeColor="text1"/>
          <w:sz w:val="28"/>
          <w:szCs w:val="28"/>
          <w:lang w:val="en-US"/>
        </w:rPr>
        <w:tab/>
      </w:r>
      <w:r w:rsidR="00E91FA2" w:rsidRPr="00E91FA2">
        <w:rPr>
          <w:b w:val="0"/>
          <w:bCs w:val="0"/>
          <w:color w:val="000000" w:themeColor="text1"/>
          <w:sz w:val="28"/>
          <w:szCs w:val="28"/>
          <w:lang w:val="en-US"/>
        </w:rPr>
        <w:t>Actually, for the microenterprises, which are mainly shops, catering and transport services, trading, the issue of the sources of financing is relevant, as there are some differences in access to financing, such as information asymmetry, high level of the transaction's costs and, short term of providing funds.</w:t>
      </w:r>
    </w:p>
    <w:p w14:paraId="422AC4D9" w14:textId="17A7474C" w:rsidR="00E91FA2" w:rsidRPr="00E91FA2" w:rsidRDefault="00E9221E" w:rsidP="00E91FA2">
      <w:pPr>
        <w:pStyle w:val="2"/>
        <w:spacing w:before="75" w:after="375"/>
        <w:contextualSpacing/>
        <w:jc w:val="both"/>
        <w:rPr>
          <w:b w:val="0"/>
          <w:bCs w:val="0"/>
          <w:color w:val="000000" w:themeColor="text1"/>
          <w:sz w:val="28"/>
          <w:szCs w:val="28"/>
          <w:lang w:val="en-US"/>
        </w:rPr>
      </w:pPr>
      <w:r>
        <w:rPr>
          <w:b w:val="0"/>
          <w:bCs w:val="0"/>
          <w:color w:val="000000" w:themeColor="text1"/>
          <w:sz w:val="28"/>
          <w:szCs w:val="28"/>
          <w:lang w:val="en-US"/>
        </w:rPr>
        <w:tab/>
      </w:r>
      <w:r w:rsidR="00E91FA2" w:rsidRPr="00E91FA2">
        <w:rPr>
          <w:b w:val="0"/>
          <w:bCs w:val="0"/>
          <w:color w:val="000000" w:themeColor="text1"/>
          <w:sz w:val="28"/>
          <w:szCs w:val="28"/>
          <w:lang w:val="en-US"/>
        </w:rPr>
        <w:t xml:space="preserve">Islamic finance has a particular direction for microenterprises, and Islamic microfinancing has been discussed for years by scholars. Microfinance is considered one of the powerful poverty alleviation instruments [80]. The function of this tool is based on providing the low-income population with financial services, credit, venture capital, savings, insurance, and money transfers on the micro-level, which gives provision to the people or enterprises with limited financial income and sources. This, in turn, allows to increase the household's income and creates demand for other goods and services, especially nutrition, education, and health care. </w:t>
      </w:r>
    </w:p>
    <w:p w14:paraId="7DCE96B7" w14:textId="0766FFFC" w:rsidR="00E91FA2" w:rsidRPr="00E91FA2" w:rsidRDefault="00E9221E" w:rsidP="00E91FA2">
      <w:pPr>
        <w:pStyle w:val="2"/>
        <w:spacing w:before="75" w:after="375"/>
        <w:contextualSpacing/>
        <w:jc w:val="both"/>
        <w:rPr>
          <w:b w:val="0"/>
          <w:bCs w:val="0"/>
          <w:color w:val="000000" w:themeColor="text1"/>
          <w:sz w:val="28"/>
          <w:szCs w:val="28"/>
          <w:lang w:val="en-US"/>
        </w:rPr>
      </w:pPr>
      <w:r>
        <w:rPr>
          <w:b w:val="0"/>
          <w:bCs w:val="0"/>
          <w:color w:val="000000" w:themeColor="text1"/>
          <w:sz w:val="28"/>
          <w:szCs w:val="28"/>
          <w:lang w:val="en-US"/>
        </w:rPr>
        <w:tab/>
      </w:r>
      <w:r w:rsidR="00E91FA2" w:rsidRPr="00E91FA2">
        <w:rPr>
          <w:b w:val="0"/>
          <w:bCs w:val="0"/>
          <w:color w:val="000000" w:themeColor="text1"/>
          <w:sz w:val="28"/>
          <w:szCs w:val="28"/>
          <w:lang w:val="en-US"/>
        </w:rPr>
        <w:t>It is important to focus on access to microfinancing, not on the cost of creating and implementing the microfinancing program for poverty alleviation [81]. There are several vital principles of microfinancing:</w:t>
      </w:r>
    </w:p>
    <w:p w14:paraId="7978DB2B" w14:textId="77777777" w:rsidR="00E91FA2" w:rsidRPr="00E91FA2" w:rsidRDefault="00E91FA2" w:rsidP="00E91FA2">
      <w:pPr>
        <w:pStyle w:val="2"/>
        <w:spacing w:before="75" w:after="375"/>
        <w:contextualSpacing/>
        <w:jc w:val="both"/>
        <w:rPr>
          <w:b w:val="0"/>
          <w:bCs w:val="0"/>
          <w:color w:val="000000" w:themeColor="text1"/>
          <w:sz w:val="28"/>
          <w:szCs w:val="28"/>
          <w:lang w:val="en-US"/>
        </w:rPr>
      </w:pPr>
      <w:r w:rsidRPr="00E91FA2">
        <w:rPr>
          <w:b w:val="0"/>
          <w:bCs w:val="0"/>
          <w:color w:val="000000" w:themeColor="text1"/>
          <w:sz w:val="28"/>
          <w:szCs w:val="28"/>
          <w:lang w:val="en-US"/>
        </w:rPr>
        <w:t>-</w:t>
      </w:r>
      <w:r w:rsidRPr="00E91FA2">
        <w:rPr>
          <w:b w:val="0"/>
          <w:bCs w:val="0"/>
          <w:color w:val="000000" w:themeColor="text1"/>
          <w:sz w:val="28"/>
          <w:szCs w:val="28"/>
          <w:lang w:val="en-US"/>
        </w:rPr>
        <w:tab/>
        <w:t>People with the low-income need other forms of financial services, not just loans, as insurance, savings programs, and money transfers;</w:t>
      </w:r>
    </w:p>
    <w:p w14:paraId="2C7D0805" w14:textId="77777777" w:rsidR="00E91FA2" w:rsidRPr="00E91FA2" w:rsidRDefault="00E91FA2" w:rsidP="00E91FA2">
      <w:pPr>
        <w:pStyle w:val="2"/>
        <w:spacing w:before="75" w:after="375"/>
        <w:contextualSpacing/>
        <w:jc w:val="both"/>
        <w:rPr>
          <w:b w:val="0"/>
          <w:bCs w:val="0"/>
          <w:color w:val="000000" w:themeColor="text1"/>
          <w:sz w:val="28"/>
          <w:szCs w:val="28"/>
          <w:lang w:val="en-US"/>
        </w:rPr>
      </w:pPr>
      <w:r w:rsidRPr="00E91FA2">
        <w:rPr>
          <w:b w:val="0"/>
          <w:bCs w:val="0"/>
          <w:color w:val="000000" w:themeColor="text1"/>
          <w:sz w:val="28"/>
          <w:szCs w:val="28"/>
          <w:lang w:val="en-US"/>
        </w:rPr>
        <w:t>-</w:t>
      </w:r>
      <w:r w:rsidRPr="00E91FA2">
        <w:rPr>
          <w:b w:val="0"/>
          <w:bCs w:val="0"/>
          <w:color w:val="000000" w:themeColor="text1"/>
          <w:sz w:val="28"/>
          <w:szCs w:val="28"/>
          <w:lang w:val="en-US"/>
        </w:rPr>
        <w:tab/>
        <w:t xml:space="preserve">The use of available financial services by households helps to increase their income and build the assets; </w:t>
      </w:r>
    </w:p>
    <w:p w14:paraId="53A963FC" w14:textId="77777777" w:rsidR="00E91FA2" w:rsidRPr="00E91FA2" w:rsidRDefault="00E91FA2" w:rsidP="00E91FA2">
      <w:pPr>
        <w:pStyle w:val="2"/>
        <w:spacing w:before="75" w:after="375"/>
        <w:contextualSpacing/>
        <w:jc w:val="both"/>
        <w:rPr>
          <w:b w:val="0"/>
          <w:bCs w:val="0"/>
          <w:color w:val="000000" w:themeColor="text1"/>
          <w:sz w:val="28"/>
          <w:szCs w:val="28"/>
          <w:lang w:val="en-US"/>
        </w:rPr>
      </w:pPr>
      <w:r w:rsidRPr="00E91FA2">
        <w:rPr>
          <w:b w:val="0"/>
          <w:bCs w:val="0"/>
          <w:color w:val="000000" w:themeColor="text1"/>
          <w:sz w:val="28"/>
          <w:szCs w:val="28"/>
          <w:lang w:val="en-US"/>
        </w:rPr>
        <w:t>-</w:t>
      </w:r>
      <w:r w:rsidRPr="00E91FA2">
        <w:rPr>
          <w:b w:val="0"/>
          <w:bCs w:val="0"/>
          <w:color w:val="000000" w:themeColor="text1"/>
          <w:sz w:val="28"/>
          <w:szCs w:val="28"/>
          <w:lang w:val="en-US"/>
        </w:rPr>
        <w:tab/>
        <w:t>Microfinance can reach the goal of serving low-income populations in the case of integration into the country's financial system;</w:t>
      </w:r>
    </w:p>
    <w:p w14:paraId="246D8EEB" w14:textId="77777777" w:rsidR="00E91FA2" w:rsidRPr="00E91FA2" w:rsidRDefault="00E91FA2" w:rsidP="00E91FA2">
      <w:pPr>
        <w:pStyle w:val="2"/>
        <w:spacing w:before="75" w:after="375"/>
        <w:contextualSpacing/>
        <w:jc w:val="both"/>
        <w:rPr>
          <w:b w:val="0"/>
          <w:bCs w:val="0"/>
          <w:color w:val="000000" w:themeColor="text1"/>
          <w:sz w:val="28"/>
          <w:szCs w:val="28"/>
          <w:lang w:val="en-US"/>
        </w:rPr>
      </w:pPr>
      <w:r w:rsidRPr="00E91FA2">
        <w:rPr>
          <w:b w:val="0"/>
          <w:bCs w:val="0"/>
          <w:color w:val="000000" w:themeColor="text1"/>
          <w:sz w:val="28"/>
          <w:szCs w:val="28"/>
          <w:lang w:val="en-US"/>
        </w:rPr>
        <w:t>-</w:t>
      </w:r>
      <w:r w:rsidRPr="00E91FA2">
        <w:rPr>
          <w:b w:val="0"/>
          <w:bCs w:val="0"/>
          <w:color w:val="000000" w:themeColor="text1"/>
          <w:sz w:val="28"/>
          <w:szCs w:val="28"/>
          <w:lang w:val="en-US"/>
        </w:rPr>
        <w:tab/>
        <w:t>Microfinance can assist in creating local financial institutions, which attract deposits and reuse them for loans and provide other financial services.</w:t>
      </w:r>
    </w:p>
    <w:p w14:paraId="1A57CD7C" w14:textId="1A109515" w:rsidR="0027720E" w:rsidRPr="00D549EE" w:rsidRDefault="00E91FA2" w:rsidP="00E91FA2">
      <w:pPr>
        <w:pStyle w:val="2"/>
        <w:spacing w:before="75" w:beforeAutospacing="0" w:after="375" w:afterAutospacing="0"/>
        <w:contextualSpacing/>
        <w:jc w:val="both"/>
        <w:rPr>
          <w:bCs w:val="0"/>
          <w:color w:val="000000" w:themeColor="text1"/>
          <w:sz w:val="28"/>
          <w:szCs w:val="28"/>
          <w:shd w:val="clear" w:color="auto" w:fill="FFFFFF"/>
          <w:lang w:val="en-US"/>
        </w:rPr>
      </w:pPr>
      <w:r w:rsidRPr="00E91FA2">
        <w:rPr>
          <w:b w:val="0"/>
          <w:bCs w:val="0"/>
          <w:color w:val="000000" w:themeColor="text1"/>
          <w:sz w:val="28"/>
          <w:szCs w:val="28"/>
          <w:lang w:val="en-US"/>
        </w:rPr>
        <w:tab/>
        <w:t xml:space="preserve">The Islamic financial instruments for microenterprises are not based only on loans. There is a list of Islamic financial instruments that assist the development of microfinancing with different levels of risks and costs of capital.  </w:t>
      </w:r>
      <w:r w:rsidR="0027720E" w:rsidRPr="00D549EE">
        <w:rPr>
          <w:bCs w:val="0"/>
          <w:color w:val="000000" w:themeColor="text1"/>
          <w:sz w:val="28"/>
          <w:szCs w:val="28"/>
          <w:shd w:val="clear" w:color="auto" w:fill="FFFFFF"/>
          <w:lang w:val="en-US"/>
        </w:rPr>
        <w:t xml:space="preserve"> </w:t>
      </w:r>
    </w:p>
    <w:p w14:paraId="08AE695F" w14:textId="77777777" w:rsidR="008071A8" w:rsidRPr="00D549EE" w:rsidRDefault="008071A8" w:rsidP="00C9582F">
      <w:pPr>
        <w:pStyle w:val="2"/>
        <w:spacing w:before="75" w:beforeAutospacing="0" w:after="375" w:afterAutospacing="0"/>
        <w:contextualSpacing/>
        <w:jc w:val="both"/>
        <w:rPr>
          <w:b w:val="0"/>
          <w:color w:val="000000" w:themeColor="text1"/>
          <w:sz w:val="28"/>
          <w:szCs w:val="28"/>
          <w:lang w:val="en-US"/>
        </w:rPr>
      </w:pPr>
    </w:p>
    <w:p w14:paraId="459A3F2A" w14:textId="1FE1FD33" w:rsidR="00BE5ADE" w:rsidRPr="00D549EE" w:rsidRDefault="002C31EE" w:rsidP="00C9582F">
      <w:pPr>
        <w:contextualSpacing/>
        <w:jc w:val="both"/>
        <w:rPr>
          <w:color w:val="000000" w:themeColor="text1"/>
          <w:sz w:val="28"/>
          <w:szCs w:val="28"/>
          <w:lang w:val="en-US"/>
        </w:rPr>
      </w:pPr>
      <w:r w:rsidRPr="00D549EE">
        <w:rPr>
          <w:color w:val="000000" w:themeColor="text1"/>
          <w:sz w:val="28"/>
          <w:szCs w:val="28"/>
          <w:lang w:val="en-US"/>
        </w:rPr>
        <w:lastRenderedPageBreak/>
        <w:t xml:space="preserve">Table </w:t>
      </w:r>
      <w:r w:rsidR="00736E1B" w:rsidRPr="00D549EE">
        <w:rPr>
          <w:color w:val="000000" w:themeColor="text1"/>
          <w:sz w:val="28"/>
          <w:szCs w:val="28"/>
          <w:lang w:val="en-US"/>
        </w:rPr>
        <w:t>8</w:t>
      </w:r>
      <w:r w:rsidRPr="00D549EE">
        <w:rPr>
          <w:color w:val="000000" w:themeColor="text1"/>
          <w:sz w:val="28"/>
          <w:szCs w:val="28"/>
          <w:lang w:val="en-US"/>
        </w:rPr>
        <w:t xml:space="preserve"> </w:t>
      </w:r>
      <w:r w:rsidR="009769EE" w:rsidRPr="00D549EE">
        <w:rPr>
          <w:b/>
          <w:color w:val="000000" w:themeColor="text1"/>
          <w:lang w:val="en-US"/>
        </w:rPr>
        <w:t xml:space="preserve">– </w:t>
      </w:r>
      <w:r w:rsidRPr="00D549EE">
        <w:rPr>
          <w:color w:val="000000" w:themeColor="text1"/>
          <w:sz w:val="28"/>
          <w:szCs w:val="28"/>
          <w:lang w:val="en-US"/>
        </w:rPr>
        <w:t xml:space="preserve">Instruments of financing in Islamic microfinance </w:t>
      </w:r>
    </w:p>
    <w:p w14:paraId="7EC45E33" w14:textId="3D0E5E1D" w:rsidR="002C31EE" w:rsidRPr="00D549EE" w:rsidRDefault="002C31EE" w:rsidP="00C9582F">
      <w:pPr>
        <w:jc w:val="both"/>
        <w:rPr>
          <w:bCs/>
          <w:color w:val="202122"/>
          <w:sz w:val="28"/>
          <w:szCs w:val="28"/>
          <w:shd w:val="clear" w:color="auto" w:fill="FFFFFF"/>
          <w:lang w:val="en-US"/>
        </w:rPr>
      </w:pPr>
    </w:p>
    <w:tbl>
      <w:tblPr>
        <w:tblStyle w:val="a9"/>
        <w:tblW w:w="0" w:type="auto"/>
        <w:tblLook w:val="04A0" w:firstRow="1" w:lastRow="0" w:firstColumn="1" w:lastColumn="0" w:noHBand="0" w:noVBand="1"/>
      </w:tblPr>
      <w:tblGrid>
        <w:gridCol w:w="1311"/>
        <w:gridCol w:w="1680"/>
        <w:gridCol w:w="1021"/>
        <w:gridCol w:w="1042"/>
        <w:gridCol w:w="1098"/>
        <w:gridCol w:w="3471"/>
      </w:tblGrid>
      <w:tr w:rsidR="00E907BE" w:rsidRPr="00D549EE" w14:paraId="584CA47A" w14:textId="77777777" w:rsidTr="00E907BE">
        <w:tc>
          <w:tcPr>
            <w:tcW w:w="0" w:type="auto"/>
          </w:tcPr>
          <w:p w14:paraId="461A5A65" w14:textId="0AA28F7A" w:rsidR="00E907BE" w:rsidRPr="00D549EE" w:rsidRDefault="00E907BE" w:rsidP="00C9582F">
            <w:pPr>
              <w:pStyle w:val="a5"/>
              <w:rPr>
                <w:bCs/>
                <w:sz w:val="20"/>
                <w:szCs w:val="20"/>
              </w:rPr>
            </w:pPr>
            <w:r w:rsidRPr="00D549EE">
              <w:rPr>
                <w:bCs/>
                <w:sz w:val="20"/>
                <w:szCs w:val="20"/>
              </w:rPr>
              <w:t xml:space="preserve">Instrument </w:t>
            </w:r>
          </w:p>
        </w:tc>
        <w:tc>
          <w:tcPr>
            <w:tcW w:w="0" w:type="auto"/>
          </w:tcPr>
          <w:p w14:paraId="7C0AB63F" w14:textId="1CBA042E" w:rsidR="00E907BE" w:rsidRPr="00D549EE" w:rsidRDefault="00E907BE" w:rsidP="00C9582F">
            <w:pPr>
              <w:pStyle w:val="a5"/>
              <w:rPr>
                <w:bCs/>
                <w:sz w:val="20"/>
                <w:szCs w:val="20"/>
              </w:rPr>
            </w:pPr>
            <w:r w:rsidRPr="00D549EE">
              <w:rPr>
                <w:bCs/>
                <w:sz w:val="20"/>
                <w:szCs w:val="20"/>
              </w:rPr>
              <w:t xml:space="preserve">Suitable for </w:t>
            </w:r>
          </w:p>
        </w:tc>
        <w:tc>
          <w:tcPr>
            <w:tcW w:w="0" w:type="auto"/>
          </w:tcPr>
          <w:p w14:paraId="41FE7BC2" w14:textId="4DDF0941" w:rsidR="00E907BE" w:rsidRPr="00D549EE" w:rsidRDefault="00E907BE" w:rsidP="00C9582F">
            <w:pPr>
              <w:pStyle w:val="a5"/>
              <w:rPr>
                <w:bCs/>
                <w:sz w:val="20"/>
                <w:szCs w:val="20"/>
              </w:rPr>
            </w:pPr>
            <w:r w:rsidRPr="00D549EE">
              <w:rPr>
                <w:bCs/>
                <w:sz w:val="20"/>
                <w:szCs w:val="20"/>
              </w:rPr>
              <w:t xml:space="preserve">Cost of capital </w:t>
            </w:r>
          </w:p>
        </w:tc>
        <w:tc>
          <w:tcPr>
            <w:tcW w:w="0" w:type="auto"/>
          </w:tcPr>
          <w:p w14:paraId="5ADE9878" w14:textId="5AA39CB8" w:rsidR="00E907BE" w:rsidRPr="00D549EE" w:rsidRDefault="00E907BE" w:rsidP="00C9582F">
            <w:pPr>
              <w:pStyle w:val="a5"/>
              <w:rPr>
                <w:bCs/>
                <w:sz w:val="20"/>
                <w:szCs w:val="20"/>
              </w:rPr>
            </w:pPr>
            <w:r w:rsidRPr="00D549EE">
              <w:rPr>
                <w:bCs/>
                <w:sz w:val="20"/>
                <w:szCs w:val="20"/>
              </w:rPr>
              <w:t xml:space="preserve">Risk to Borrower </w:t>
            </w:r>
          </w:p>
        </w:tc>
        <w:tc>
          <w:tcPr>
            <w:tcW w:w="0" w:type="auto"/>
          </w:tcPr>
          <w:p w14:paraId="288C0904" w14:textId="4EE7CEE5" w:rsidR="00E907BE" w:rsidRPr="00D549EE" w:rsidRDefault="00E907BE" w:rsidP="00C9582F">
            <w:pPr>
              <w:pStyle w:val="a5"/>
              <w:rPr>
                <w:bCs/>
                <w:sz w:val="20"/>
                <w:szCs w:val="20"/>
              </w:rPr>
            </w:pPr>
            <w:r w:rsidRPr="00D549EE">
              <w:rPr>
                <w:bCs/>
                <w:sz w:val="20"/>
                <w:szCs w:val="20"/>
              </w:rPr>
              <w:t xml:space="preserve">Risk to Institution </w:t>
            </w:r>
          </w:p>
        </w:tc>
        <w:tc>
          <w:tcPr>
            <w:tcW w:w="0" w:type="auto"/>
          </w:tcPr>
          <w:p w14:paraId="1F4294A1" w14:textId="2875DA56" w:rsidR="00E907BE" w:rsidRPr="00D549EE" w:rsidRDefault="00E907BE" w:rsidP="00C9582F">
            <w:pPr>
              <w:pStyle w:val="a5"/>
              <w:rPr>
                <w:bCs/>
                <w:sz w:val="20"/>
                <w:szCs w:val="20"/>
              </w:rPr>
            </w:pPr>
            <w:r w:rsidRPr="00D549EE">
              <w:rPr>
                <w:bCs/>
                <w:sz w:val="20"/>
                <w:szCs w:val="20"/>
              </w:rPr>
              <w:t xml:space="preserve">Remarks </w:t>
            </w:r>
          </w:p>
        </w:tc>
      </w:tr>
      <w:tr w:rsidR="00E907BE" w:rsidRPr="00D74F7B" w14:paraId="3CDA8BB2" w14:textId="77777777" w:rsidTr="00E907BE">
        <w:trPr>
          <w:trHeight w:val="983"/>
        </w:trPr>
        <w:tc>
          <w:tcPr>
            <w:tcW w:w="0" w:type="auto"/>
          </w:tcPr>
          <w:p w14:paraId="329FF904" w14:textId="77777777" w:rsidR="00E907BE" w:rsidRPr="00D549EE" w:rsidRDefault="00E907BE" w:rsidP="00C9582F">
            <w:pPr>
              <w:pStyle w:val="a5"/>
              <w:shd w:val="clear" w:color="auto" w:fill="FFFFFF"/>
              <w:rPr>
                <w:sz w:val="20"/>
                <w:szCs w:val="20"/>
              </w:rPr>
            </w:pPr>
            <w:r w:rsidRPr="00D549EE">
              <w:rPr>
                <w:bCs/>
                <w:sz w:val="20"/>
                <w:szCs w:val="20"/>
              </w:rPr>
              <w:t xml:space="preserve">Mudaraba/ Musharaka </w:t>
            </w:r>
          </w:p>
          <w:p w14:paraId="0F4EBACF" w14:textId="77777777" w:rsidR="00E907BE" w:rsidRPr="00D549EE" w:rsidRDefault="00E907BE" w:rsidP="00C9582F">
            <w:pPr>
              <w:rPr>
                <w:bCs/>
                <w:color w:val="202122"/>
                <w:sz w:val="20"/>
                <w:szCs w:val="20"/>
                <w:shd w:val="clear" w:color="auto" w:fill="FFFFFF"/>
                <w:lang w:val="en-US"/>
              </w:rPr>
            </w:pPr>
          </w:p>
        </w:tc>
        <w:tc>
          <w:tcPr>
            <w:tcW w:w="0" w:type="auto"/>
          </w:tcPr>
          <w:p w14:paraId="5A614C8C" w14:textId="1D11D9E1" w:rsidR="00E907BE" w:rsidRPr="00D549EE" w:rsidRDefault="00E907BE" w:rsidP="00C9582F">
            <w:pPr>
              <w:pStyle w:val="a5"/>
              <w:shd w:val="clear" w:color="auto" w:fill="FFFFFF"/>
              <w:rPr>
                <w:sz w:val="20"/>
                <w:szCs w:val="20"/>
                <w:lang w:val="en-US"/>
              </w:rPr>
            </w:pPr>
            <w:r w:rsidRPr="00D549EE">
              <w:rPr>
                <w:sz w:val="20"/>
                <w:szCs w:val="20"/>
                <w:lang w:val="en-US"/>
              </w:rPr>
              <w:t xml:space="preserve">Fixed assets, working capital (Declining form suitable for housing and equipment finance) </w:t>
            </w:r>
          </w:p>
        </w:tc>
        <w:tc>
          <w:tcPr>
            <w:tcW w:w="0" w:type="auto"/>
          </w:tcPr>
          <w:p w14:paraId="3C2F2529" w14:textId="77777777" w:rsidR="00E907BE" w:rsidRPr="00D549EE" w:rsidRDefault="00E907BE" w:rsidP="00C9582F">
            <w:pPr>
              <w:pStyle w:val="a5"/>
              <w:shd w:val="clear" w:color="auto" w:fill="FFFFFF"/>
              <w:rPr>
                <w:sz w:val="20"/>
                <w:szCs w:val="20"/>
              </w:rPr>
            </w:pPr>
            <w:r w:rsidRPr="00D549EE">
              <w:rPr>
                <w:sz w:val="20"/>
                <w:szCs w:val="20"/>
              </w:rPr>
              <w:t xml:space="preserve">Very high </w:t>
            </w:r>
          </w:p>
          <w:p w14:paraId="61C27D49" w14:textId="77777777" w:rsidR="00E907BE" w:rsidRPr="00D549EE" w:rsidRDefault="00E907BE" w:rsidP="00C9582F">
            <w:pPr>
              <w:rPr>
                <w:bCs/>
                <w:color w:val="202122"/>
                <w:sz w:val="20"/>
                <w:szCs w:val="20"/>
                <w:shd w:val="clear" w:color="auto" w:fill="FFFFFF"/>
                <w:lang w:val="en-US"/>
              </w:rPr>
            </w:pPr>
          </w:p>
        </w:tc>
        <w:tc>
          <w:tcPr>
            <w:tcW w:w="0" w:type="auto"/>
          </w:tcPr>
          <w:p w14:paraId="2FECFCB4" w14:textId="77777777" w:rsidR="00E907BE" w:rsidRPr="00D549EE" w:rsidRDefault="00E907BE" w:rsidP="00C9582F">
            <w:pPr>
              <w:pStyle w:val="a5"/>
              <w:shd w:val="clear" w:color="auto" w:fill="FFFFFF"/>
              <w:rPr>
                <w:sz w:val="20"/>
                <w:szCs w:val="20"/>
              </w:rPr>
            </w:pPr>
            <w:r w:rsidRPr="00D549EE">
              <w:rPr>
                <w:sz w:val="20"/>
                <w:szCs w:val="20"/>
              </w:rPr>
              <w:t xml:space="preserve">Low </w:t>
            </w:r>
          </w:p>
          <w:p w14:paraId="7D4D3EF8" w14:textId="77777777" w:rsidR="00E907BE" w:rsidRPr="00D549EE" w:rsidRDefault="00E907BE" w:rsidP="00C9582F">
            <w:pPr>
              <w:rPr>
                <w:bCs/>
                <w:color w:val="202122"/>
                <w:sz w:val="20"/>
                <w:szCs w:val="20"/>
                <w:shd w:val="clear" w:color="auto" w:fill="FFFFFF"/>
                <w:lang w:val="en-US"/>
              </w:rPr>
            </w:pPr>
          </w:p>
        </w:tc>
        <w:tc>
          <w:tcPr>
            <w:tcW w:w="0" w:type="auto"/>
          </w:tcPr>
          <w:p w14:paraId="0C1389BE" w14:textId="77777777" w:rsidR="00E907BE" w:rsidRPr="00D549EE" w:rsidRDefault="00E907BE" w:rsidP="00C9582F">
            <w:pPr>
              <w:pStyle w:val="a5"/>
              <w:shd w:val="clear" w:color="auto" w:fill="FFFFFF"/>
              <w:rPr>
                <w:sz w:val="20"/>
                <w:szCs w:val="20"/>
              </w:rPr>
            </w:pPr>
            <w:r w:rsidRPr="00D549EE">
              <w:rPr>
                <w:sz w:val="20"/>
                <w:szCs w:val="20"/>
              </w:rPr>
              <w:t xml:space="preserve">Very high </w:t>
            </w:r>
          </w:p>
          <w:p w14:paraId="1775AE0D" w14:textId="77777777" w:rsidR="00E907BE" w:rsidRPr="00D549EE" w:rsidRDefault="00E907BE" w:rsidP="00C9582F">
            <w:pPr>
              <w:rPr>
                <w:bCs/>
                <w:color w:val="202122"/>
                <w:sz w:val="20"/>
                <w:szCs w:val="20"/>
                <w:shd w:val="clear" w:color="auto" w:fill="FFFFFF"/>
                <w:lang w:val="en-US"/>
              </w:rPr>
            </w:pPr>
          </w:p>
        </w:tc>
        <w:tc>
          <w:tcPr>
            <w:tcW w:w="0" w:type="auto"/>
          </w:tcPr>
          <w:p w14:paraId="18A2E93D" w14:textId="09C6720C" w:rsidR="00E907BE" w:rsidRPr="00D549EE" w:rsidRDefault="00E907BE" w:rsidP="00C9582F">
            <w:pPr>
              <w:pStyle w:val="a5"/>
              <w:shd w:val="clear" w:color="auto" w:fill="FFFFFF"/>
              <w:rPr>
                <w:sz w:val="20"/>
                <w:szCs w:val="20"/>
                <w:lang w:val="en-US"/>
              </w:rPr>
            </w:pPr>
            <w:r w:rsidRPr="00D549EE">
              <w:rPr>
                <w:sz w:val="20"/>
                <w:szCs w:val="20"/>
                <w:lang w:val="en-US"/>
              </w:rPr>
              <w:t xml:space="preserve">Costs of loan administration and monitoring are high given the complexity of the repayment schedule and lack of proper accounting; Perceived to be ideal but not popular in practice </w:t>
            </w:r>
          </w:p>
        </w:tc>
      </w:tr>
      <w:tr w:rsidR="00E907BE" w:rsidRPr="00D74F7B" w14:paraId="20217953" w14:textId="77777777" w:rsidTr="00E907BE">
        <w:tc>
          <w:tcPr>
            <w:tcW w:w="0" w:type="auto"/>
          </w:tcPr>
          <w:p w14:paraId="3C9B4539" w14:textId="77777777" w:rsidR="00E907BE" w:rsidRPr="00D549EE" w:rsidRDefault="00E907BE" w:rsidP="00C9582F">
            <w:pPr>
              <w:pStyle w:val="a5"/>
              <w:shd w:val="clear" w:color="auto" w:fill="FFFFFF"/>
              <w:rPr>
                <w:sz w:val="20"/>
                <w:szCs w:val="20"/>
              </w:rPr>
            </w:pPr>
            <w:r w:rsidRPr="00D549EE">
              <w:rPr>
                <w:bCs/>
                <w:sz w:val="20"/>
                <w:szCs w:val="20"/>
              </w:rPr>
              <w:t xml:space="preserve">Ijara </w:t>
            </w:r>
          </w:p>
          <w:p w14:paraId="272E10E5" w14:textId="77777777" w:rsidR="00E907BE" w:rsidRPr="00D549EE" w:rsidRDefault="00E907BE" w:rsidP="00C9582F">
            <w:pPr>
              <w:rPr>
                <w:bCs/>
                <w:color w:val="202122"/>
                <w:sz w:val="20"/>
                <w:szCs w:val="20"/>
                <w:shd w:val="clear" w:color="auto" w:fill="FFFFFF"/>
                <w:lang w:val="en-US"/>
              </w:rPr>
            </w:pPr>
          </w:p>
        </w:tc>
        <w:tc>
          <w:tcPr>
            <w:tcW w:w="0" w:type="auto"/>
          </w:tcPr>
          <w:p w14:paraId="42358A73" w14:textId="77777777" w:rsidR="00E907BE" w:rsidRPr="00D549EE" w:rsidRDefault="00E907BE" w:rsidP="00C9582F">
            <w:pPr>
              <w:pStyle w:val="a5"/>
              <w:shd w:val="clear" w:color="auto" w:fill="FFFFFF"/>
              <w:rPr>
                <w:sz w:val="20"/>
                <w:szCs w:val="20"/>
              </w:rPr>
            </w:pPr>
            <w:r w:rsidRPr="00D549EE">
              <w:rPr>
                <w:sz w:val="20"/>
                <w:szCs w:val="20"/>
              </w:rPr>
              <w:t xml:space="preserve">Fixed assets </w:t>
            </w:r>
          </w:p>
          <w:p w14:paraId="2D4AE3E1" w14:textId="77777777" w:rsidR="00E907BE" w:rsidRPr="00D549EE" w:rsidRDefault="00E907BE" w:rsidP="00C9582F">
            <w:pPr>
              <w:rPr>
                <w:bCs/>
                <w:color w:val="202122"/>
                <w:sz w:val="20"/>
                <w:szCs w:val="20"/>
                <w:shd w:val="clear" w:color="auto" w:fill="FFFFFF"/>
                <w:lang w:val="en-US"/>
              </w:rPr>
            </w:pPr>
          </w:p>
        </w:tc>
        <w:tc>
          <w:tcPr>
            <w:tcW w:w="0" w:type="auto"/>
          </w:tcPr>
          <w:p w14:paraId="20FD7628" w14:textId="77777777" w:rsidR="00E907BE" w:rsidRPr="00D549EE" w:rsidRDefault="00E907BE" w:rsidP="00C9582F">
            <w:pPr>
              <w:pStyle w:val="a5"/>
              <w:shd w:val="clear" w:color="auto" w:fill="FFFFFF"/>
              <w:rPr>
                <w:sz w:val="20"/>
                <w:szCs w:val="20"/>
              </w:rPr>
            </w:pPr>
            <w:r w:rsidRPr="00D549EE">
              <w:rPr>
                <w:sz w:val="20"/>
                <w:szCs w:val="20"/>
              </w:rPr>
              <w:t xml:space="preserve">Moderate </w:t>
            </w:r>
          </w:p>
          <w:p w14:paraId="2D14FB8B" w14:textId="77777777" w:rsidR="00E907BE" w:rsidRPr="00D549EE" w:rsidRDefault="00E907BE" w:rsidP="00C9582F">
            <w:pPr>
              <w:rPr>
                <w:bCs/>
                <w:color w:val="202122"/>
                <w:sz w:val="20"/>
                <w:szCs w:val="20"/>
                <w:shd w:val="clear" w:color="auto" w:fill="FFFFFF"/>
                <w:lang w:val="en-US"/>
              </w:rPr>
            </w:pPr>
          </w:p>
        </w:tc>
        <w:tc>
          <w:tcPr>
            <w:tcW w:w="0" w:type="auto"/>
          </w:tcPr>
          <w:p w14:paraId="134501F1" w14:textId="77777777" w:rsidR="00E907BE" w:rsidRPr="00D549EE" w:rsidRDefault="00E907BE" w:rsidP="00C9582F">
            <w:pPr>
              <w:pStyle w:val="a5"/>
              <w:shd w:val="clear" w:color="auto" w:fill="FFFFFF"/>
              <w:rPr>
                <w:sz w:val="20"/>
                <w:szCs w:val="20"/>
              </w:rPr>
            </w:pPr>
            <w:r w:rsidRPr="00D549EE">
              <w:rPr>
                <w:sz w:val="20"/>
                <w:szCs w:val="20"/>
              </w:rPr>
              <w:t xml:space="preserve">High </w:t>
            </w:r>
          </w:p>
          <w:p w14:paraId="1902BDF1" w14:textId="77777777" w:rsidR="00E907BE" w:rsidRPr="00D549EE" w:rsidRDefault="00E907BE" w:rsidP="00C9582F">
            <w:pPr>
              <w:rPr>
                <w:bCs/>
                <w:color w:val="202122"/>
                <w:sz w:val="20"/>
                <w:szCs w:val="20"/>
                <w:shd w:val="clear" w:color="auto" w:fill="FFFFFF"/>
                <w:lang w:val="en-US"/>
              </w:rPr>
            </w:pPr>
          </w:p>
        </w:tc>
        <w:tc>
          <w:tcPr>
            <w:tcW w:w="0" w:type="auto"/>
          </w:tcPr>
          <w:p w14:paraId="549F5824" w14:textId="77777777" w:rsidR="00E907BE" w:rsidRPr="00D549EE" w:rsidRDefault="00E907BE" w:rsidP="00C9582F">
            <w:pPr>
              <w:pStyle w:val="a5"/>
              <w:shd w:val="clear" w:color="auto" w:fill="FFFFFF"/>
              <w:rPr>
                <w:sz w:val="20"/>
                <w:szCs w:val="20"/>
              </w:rPr>
            </w:pPr>
            <w:r w:rsidRPr="00D549EE">
              <w:rPr>
                <w:sz w:val="20"/>
                <w:szCs w:val="20"/>
              </w:rPr>
              <w:t xml:space="preserve">Moderate </w:t>
            </w:r>
          </w:p>
          <w:p w14:paraId="193D941B" w14:textId="77777777" w:rsidR="00E907BE" w:rsidRPr="00D549EE" w:rsidRDefault="00E907BE" w:rsidP="00C9582F">
            <w:pPr>
              <w:rPr>
                <w:bCs/>
                <w:color w:val="202122"/>
                <w:sz w:val="20"/>
                <w:szCs w:val="20"/>
                <w:shd w:val="clear" w:color="auto" w:fill="FFFFFF"/>
                <w:lang w:val="en-US"/>
              </w:rPr>
            </w:pPr>
          </w:p>
        </w:tc>
        <w:tc>
          <w:tcPr>
            <w:tcW w:w="0" w:type="auto"/>
          </w:tcPr>
          <w:p w14:paraId="6A678335" w14:textId="5B80AE64" w:rsidR="00E907BE" w:rsidRPr="00D549EE" w:rsidRDefault="00E907BE" w:rsidP="00C9582F">
            <w:pPr>
              <w:pStyle w:val="a5"/>
              <w:shd w:val="clear" w:color="auto" w:fill="FFFFFF"/>
              <w:rPr>
                <w:sz w:val="20"/>
                <w:szCs w:val="20"/>
                <w:lang w:val="en-US"/>
              </w:rPr>
            </w:pPr>
            <w:r w:rsidRPr="00D549EE">
              <w:rPr>
                <w:bCs/>
                <w:color w:val="202122"/>
                <w:sz w:val="20"/>
                <w:szCs w:val="20"/>
                <w:shd w:val="clear" w:color="auto" w:fill="FFFFFF"/>
                <w:lang w:val="en-US"/>
              </w:rPr>
              <w:tab/>
            </w:r>
            <w:r w:rsidRPr="00D549EE">
              <w:rPr>
                <w:sz w:val="20"/>
                <w:szCs w:val="20"/>
                <w:lang w:val="en-US"/>
              </w:rPr>
              <w:t xml:space="preserve">Costs of loan administration and monitoring are low given simple repayment schedule allowing for flexibility and customization based on client preferences; Popular among Islamic Micro Financial Institutions and potential for easy adaptation by conventional MFIs </w:t>
            </w:r>
          </w:p>
        </w:tc>
      </w:tr>
      <w:tr w:rsidR="00E907BE" w:rsidRPr="00D74F7B" w14:paraId="12EE078A" w14:textId="77777777" w:rsidTr="00E907BE">
        <w:tc>
          <w:tcPr>
            <w:tcW w:w="0" w:type="auto"/>
          </w:tcPr>
          <w:p w14:paraId="4F5729EE" w14:textId="77777777" w:rsidR="00E907BE" w:rsidRPr="00D549EE" w:rsidRDefault="00E907BE" w:rsidP="00C9582F">
            <w:pPr>
              <w:pStyle w:val="a5"/>
              <w:shd w:val="clear" w:color="auto" w:fill="FFFFFF"/>
              <w:rPr>
                <w:sz w:val="20"/>
                <w:szCs w:val="20"/>
              </w:rPr>
            </w:pPr>
            <w:r w:rsidRPr="00D549EE">
              <w:rPr>
                <w:bCs/>
                <w:sz w:val="20"/>
                <w:szCs w:val="20"/>
              </w:rPr>
              <w:t xml:space="preserve">Murabaha </w:t>
            </w:r>
          </w:p>
          <w:p w14:paraId="3F381C4D" w14:textId="77777777" w:rsidR="00E907BE" w:rsidRPr="00D549EE" w:rsidRDefault="00E907BE" w:rsidP="00C9582F">
            <w:pPr>
              <w:rPr>
                <w:bCs/>
                <w:color w:val="202122"/>
                <w:sz w:val="20"/>
                <w:szCs w:val="20"/>
                <w:shd w:val="clear" w:color="auto" w:fill="FFFFFF"/>
                <w:lang w:val="en-US"/>
              </w:rPr>
            </w:pPr>
          </w:p>
        </w:tc>
        <w:tc>
          <w:tcPr>
            <w:tcW w:w="0" w:type="auto"/>
          </w:tcPr>
          <w:p w14:paraId="03BF9B42" w14:textId="77777777" w:rsidR="00E907BE" w:rsidRPr="00D549EE" w:rsidRDefault="00E907BE" w:rsidP="00C9582F">
            <w:pPr>
              <w:pStyle w:val="a5"/>
              <w:shd w:val="clear" w:color="auto" w:fill="FFFFFF"/>
              <w:rPr>
                <w:sz w:val="20"/>
                <w:szCs w:val="20"/>
              </w:rPr>
            </w:pPr>
            <w:r w:rsidRPr="00D549EE">
              <w:rPr>
                <w:sz w:val="20"/>
                <w:szCs w:val="20"/>
              </w:rPr>
              <w:t xml:space="preserve">Fixed assets and Working capital </w:t>
            </w:r>
          </w:p>
          <w:p w14:paraId="66A283D2" w14:textId="77777777" w:rsidR="00E907BE" w:rsidRPr="00D549EE" w:rsidRDefault="00E907BE" w:rsidP="00C9582F">
            <w:pPr>
              <w:rPr>
                <w:bCs/>
                <w:color w:val="202122"/>
                <w:sz w:val="20"/>
                <w:szCs w:val="20"/>
                <w:shd w:val="clear" w:color="auto" w:fill="FFFFFF"/>
                <w:lang w:val="en-US"/>
              </w:rPr>
            </w:pPr>
          </w:p>
        </w:tc>
        <w:tc>
          <w:tcPr>
            <w:tcW w:w="0" w:type="auto"/>
          </w:tcPr>
          <w:p w14:paraId="7ECE5117" w14:textId="77777777" w:rsidR="00E907BE" w:rsidRPr="00D549EE" w:rsidRDefault="00E907BE" w:rsidP="00C9582F">
            <w:pPr>
              <w:pStyle w:val="a5"/>
              <w:shd w:val="clear" w:color="auto" w:fill="FFFFFF"/>
              <w:rPr>
                <w:sz w:val="20"/>
                <w:szCs w:val="20"/>
              </w:rPr>
            </w:pPr>
            <w:r w:rsidRPr="00D549EE">
              <w:rPr>
                <w:sz w:val="20"/>
                <w:szCs w:val="20"/>
              </w:rPr>
              <w:t xml:space="preserve">Moderate </w:t>
            </w:r>
          </w:p>
          <w:p w14:paraId="03A804EE" w14:textId="77777777" w:rsidR="00E907BE" w:rsidRPr="00D549EE" w:rsidRDefault="00E907BE" w:rsidP="00C9582F">
            <w:pPr>
              <w:rPr>
                <w:bCs/>
                <w:color w:val="202122"/>
                <w:sz w:val="20"/>
                <w:szCs w:val="20"/>
                <w:shd w:val="clear" w:color="auto" w:fill="FFFFFF"/>
                <w:lang w:val="en-US"/>
              </w:rPr>
            </w:pPr>
          </w:p>
        </w:tc>
        <w:tc>
          <w:tcPr>
            <w:tcW w:w="0" w:type="auto"/>
          </w:tcPr>
          <w:p w14:paraId="1B3DC424" w14:textId="77777777" w:rsidR="00E907BE" w:rsidRPr="00D549EE" w:rsidRDefault="00E907BE" w:rsidP="00C9582F">
            <w:pPr>
              <w:pStyle w:val="a5"/>
              <w:shd w:val="clear" w:color="auto" w:fill="FFFFFF"/>
              <w:rPr>
                <w:sz w:val="20"/>
                <w:szCs w:val="20"/>
              </w:rPr>
            </w:pPr>
            <w:r w:rsidRPr="00D549EE">
              <w:rPr>
                <w:sz w:val="20"/>
                <w:szCs w:val="20"/>
              </w:rPr>
              <w:t xml:space="preserve">High </w:t>
            </w:r>
          </w:p>
          <w:p w14:paraId="5FD1D8AE" w14:textId="77777777" w:rsidR="00E907BE" w:rsidRPr="00D549EE" w:rsidRDefault="00E907BE" w:rsidP="00C9582F">
            <w:pPr>
              <w:rPr>
                <w:bCs/>
                <w:color w:val="202122"/>
                <w:sz w:val="20"/>
                <w:szCs w:val="20"/>
                <w:shd w:val="clear" w:color="auto" w:fill="FFFFFF"/>
                <w:lang w:val="en-US"/>
              </w:rPr>
            </w:pPr>
          </w:p>
        </w:tc>
        <w:tc>
          <w:tcPr>
            <w:tcW w:w="0" w:type="auto"/>
          </w:tcPr>
          <w:p w14:paraId="10726A39" w14:textId="659D07A0" w:rsidR="00E907BE" w:rsidRPr="00D549EE" w:rsidRDefault="00E907BE" w:rsidP="00C9582F">
            <w:pPr>
              <w:rPr>
                <w:bCs/>
                <w:color w:val="202122"/>
                <w:sz w:val="20"/>
                <w:szCs w:val="20"/>
                <w:shd w:val="clear" w:color="auto" w:fill="FFFFFF"/>
                <w:lang w:val="en-US"/>
              </w:rPr>
            </w:pPr>
            <w:r w:rsidRPr="00D549EE">
              <w:rPr>
                <w:sz w:val="20"/>
                <w:szCs w:val="20"/>
              </w:rPr>
              <w:t>Moderate</w:t>
            </w:r>
          </w:p>
        </w:tc>
        <w:tc>
          <w:tcPr>
            <w:tcW w:w="0" w:type="auto"/>
          </w:tcPr>
          <w:p w14:paraId="08B61DD8" w14:textId="77777777" w:rsidR="00E907BE" w:rsidRPr="00D549EE" w:rsidRDefault="00E907BE" w:rsidP="00C9582F">
            <w:pPr>
              <w:pStyle w:val="a5"/>
              <w:shd w:val="clear" w:color="auto" w:fill="FFFFFF"/>
              <w:rPr>
                <w:sz w:val="20"/>
                <w:szCs w:val="20"/>
                <w:lang w:val="en-US"/>
              </w:rPr>
            </w:pPr>
            <w:r w:rsidRPr="00D549EE">
              <w:rPr>
                <w:sz w:val="20"/>
                <w:szCs w:val="20"/>
                <w:lang w:val="en-US"/>
              </w:rPr>
              <w:t xml:space="preserve">Costs of loan administration and monitoring are low given simple repayment schedule; multiplicity of transactions in working capital financing can push up costs; </w:t>
            </w:r>
          </w:p>
          <w:p w14:paraId="1061CC79" w14:textId="5871CBE0" w:rsidR="00E907BE" w:rsidRPr="00D549EE" w:rsidRDefault="00E907BE" w:rsidP="00C9582F">
            <w:pPr>
              <w:pStyle w:val="a5"/>
              <w:shd w:val="clear" w:color="auto" w:fill="FFFFFF"/>
              <w:rPr>
                <w:sz w:val="20"/>
                <w:szCs w:val="20"/>
                <w:lang w:val="en-US"/>
              </w:rPr>
            </w:pPr>
            <w:r w:rsidRPr="00D549EE">
              <w:rPr>
                <w:sz w:val="20"/>
                <w:szCs w:val="20"/>
                <w:lang w:val="en-US"/>
              </w:rPr>
              <w:t xml:space="preserve">Highly popular in practice notwithstanding popular perception of it being a close substitute of riba-based lending </w:t>
            </w:r>
          </w:p>
        </w:tc>
      </w:tr>
      <w:tr w:rsidR="00E907BE" w:rsidRPr="00D74F7B" w14:paraId="528680D3" w14:textId="77777777" w:rsidTr="00E907BE">
        <w:tc>
          <w:tcPr>
            <w:tcW w:w="0" w:type="auto"/>
          </w:tcPr>
          <w:p w14:paraId="4162200A" w14:textId="77777777" w:rsidR="00E907BE" w:rsidRPr="00D549EE" w:rsidRDefault="00E907BE" w:rsidP="00C9582F">
            <w:pPr>
              <w:pStyle w:val="a5"/>
              <w:shd w:val="clear" w:color="auto" w:fill="FFFFFF"/>
              <w:rPr>
                <w:sz w:val="20"/>
                <w:szCs w:val="20"/>
              </w:rPr>
            </w:pPr>
            <w:r w:rsidRPr="00D549EE">
              <w:rPr>
                <w:bCs/>
                <w:sz w:val="20"/>
                <w:szCs w:val="20"/>
              </w:rPr>
              <w:t xml:space="preserve">Qard </w:t>
            </w:r>
          </w:p>
          <w:p w14:paraId="50A3FAD8" w14:textId="77777777" w:rsidR="00E907BE" w:rsidRPr="00D549EE" w:rsidRDefault="00E907BE" w:rsidP="00C9582F">
            <w:pPr>
              <w:rPr>
                <w:bCs/>
                <w:color w:val="202122"/>
                <w:sz w:val="20"/>
                <w:szCs w:val="20"/>
                <w:shd w:val="clear" w:color="auto" w:fill="FFFFFF"/>
                <w:lang w:val="en-US"/>
              </w:rPr>
            </w:pPr>
          </w:p>
        </w:tc>
        <w:tc>
          <w:tcPr>
            <w:tcW w:w="0" w:type="auto"/>
          </w:tcPr>
          <w:p w14:paraId="097B62B7" w14:textId="77777777" w:rsidR="00E907BE" w:rsidRPr="00D549EE" w:rsidRDefault="00E907BE" w:rsidP="00C9582F">
            <w:pPr>
              <w:pStyle w:val="a5"/>
              <w:shd w:val="clear" w:color="auto" w:fill="FFFFFF"/>
              <w:rPr>
                <w:sz w:val="20"/>
                <w:szCs w:val="20"/>
              </w:rPr>
            </w:pPr>
            <w:r w:rsidRPr="00D549EE">
              <w:rPr>
                <w:sz w:val="20"/>
                <w:szCs w:val="20"/>
              </w:rPr>
              <w:t xml:space="preserve">All-purpose </w:t>
            </w:r>
          </w:p>
          <w:p w14:paraId="3DDB15C6" w14:textId="77777777" w:rsidR="00E907BE" w:rsidRPr="00D549EE" w:rsidRDefault="00E907BE" w:rsidP="00C9582F">
            <w:pPr>
              <w:rPr>
                <w:bCs/>
                <w:color w:val="202122"/>
                <w:sz w:val="20"/>
                <w:szCs w:val="20"/>
                <w:shd w:val="clear" w:color="auto" w:fill="FFFFFF"/>
                <w:lang w:val="en-US"/>
              </w:rPr>
            </w:pPr>
          </w:p>
        </w:tc>
        <w:tc>
          <w:tcPr>
            <w:tcW w:w="0" w:type="auto"/>
          </w:tcPr>
          <w:p w14:paraId="2AFB2906" w14:textId="77777777" w:rsidR="00E907BE" w:rsidRPr="00D549EE" w:rsidRDefault="00E907BE" w:rsidP="00C9582F">
            <w:pPr>
              <w:pStyle w:val="a5"/>
              <w:shd w:val="clear" w:color="auto" w:fill="FFFFFF"/>
              <w:rPr>
                <w:sz w:val="20"/>
                <w:szCs w:val="20"/>
              </w:rPr>
            </w:pPr>
            <w:r w:rsidRPr="00D549EE">
              <w:rPr>
                <w:sz w:val="20"/>
                <w:szCs w:val="20"/>
              </w:rPr>
              <w:t xml:space="preserve">Very low </w:t>
            </w:r>
          </w:p>
          <w:p w14:paraId="18DF1696" w14:textId="77777777" w:rsidR="00E907BE" w:rsidRPr="00D549EE" w:rsidRDefault="00E907BE" w:rsidP="00C9582F">
            <w:pPr>
              <w:rPr>
                <w:bCs/>
                <w:color w:val="202122"/>
                <w:sz w:val="20"/>
                <w:szCs w:val="20"/>
                <w:shd w:val="clear" w:color="auto" w:fill="FFFFFF"/>
                <w:lang w:val="en-US"/>
              </w:rPr>
            </w:pPr>
          </w:p>
        </w:tc>
        <w:tc>
          <w:tcPr>
            <w:tcW w:w="0" w:type="auto"/>
          </w:tcPr>
          <w:p w14:paraId="58FC6347" w14:textId="77777777" w:rsidR="00E907BE" w:rsidRPr="00D549EE" w:rsidRDefault="00E907BE" w:rsidP="00C9582F">
            <w:pPr>
              <w:pStyle w:val="a5"/>
              <w:shd w:val="clear" w:color="auto" w:fill="FFFFFF"/>
              <w:rPr>
                <w:sz w:val="20"/>
                <w:szCs w:val="20"/>
              </w:rPr>
            </w:pPr>
            <w:r w:rsidRPr="00D549EE">
              <w:rPr>
                <w:sz w:val="20"/>
                <w:szCs w:val="20"/>
              </w:rPr>
              <w:t xml:space="preserve">Very low </w:t>
            </w:r>
          </w:p>
          <w:p w14:paraId="4172412C" w14:textId="77777777" w:rsidR="00E907BE" w:rsidRPr="00D549EE" w:rsidRDefault="00E907BE" w:rsidP="00C9582F">
            <w:pPr>
              <w:rPr>
                <w:bCs/>
                <w:color w:val="202122"/>
                <w:sz w:val="20"/>
                <w:szCs w:val="20"/>
                <w:shd w:val="clear" w:color="auto" w:fill="FFFFFF"/>
                <w:lang w:val="en-US"/>
              </w:rPr>
            </w:pPr>
          </w:p>
        </w:tc>
        <w:tc>
          <w:tcPr>
            <w:tcW w:w="0" w:type="auto"/>
          </w:tcPr>
          <w:p w14:paraId="573B162A" w14:textId="0C801C80" w:rsidR="00E907BE" w:rsidRPr="00D549EE" w:rsidRDefault="00E907BE" w:rsidP="00C9582F">
            <w:pPr>
              <w:rPr>
                <w:bCs/>
                <w:color w:val="202122"/>
                <w:sz w:val="20"/>
                <w:szCs w:val="20"/>
                <w:shd w:val="clear" w:color="auto" w:fill="FFFFFF"/>
                <w:lang w:val="en-US"/>
              </w:rPr>
            </w:pPr>
            <w:r w:rsidRPr="00D549EE">
              <w:rPr>
                <w:sz w:val="20"/>
                <w:szCs w:val="20"/>
              </w:rPr>
              <w:t>Moderate</w:t>
            </w:r>
          </w:p>
        </w:tc>
        <w:tc>
          <w:tcPr>
            <w:tcW w:w="0" w:type="auto"/>
          </w:tcPr>
          <w:p w14:paraId="5C436546" w14:textId="77777777" w:rsidR="00E907BE" w:rsidRPr="00D549EE" w:rsidRDefault="00E907BE" w:rsidP="00C9582F">
            <w:pPr>
              <w:pStyle w:val="a5"/>
              <w:shd w:val="clear" w:color="auto" w:fill="FFFFFF"/>
              <w:rPr>
                <w:sz w:val="20"/>
                <w:szCs w:val="20"/>
                <w:lang w:val="en-US"/>
              </w:rPr>
            </w:pPr>
            <w:r w:rsidRPr="00D549EE">
              <w:rPr>
                <w:sz w:val="20"/>
                <w:szCs w:val="20"/>
                <w:lang w:val="en-US"/>
              </w:rPr>
              <w:t>Charity-based usually combined with voluntarism; low overheads;</w:t>
            </w:r>
            <w:r w:rsidRPr="00D549EE">
              <w:rPr>
                <w:sz w:val="20"/>
                <w:szCs w:val="20"/>
                <w:lang w:val="en-US"/>
              </w:rPr>
              <w:br/>
              <w:t xml:space="preserve">Popular because perceived to be the purest form of financing </w:t>
            </w:r>
          </w:p>
          <w:p w14:paraId="10CE39A7" w14:textId="29D22453" w:rsidR="00E907BE" w:rsidRPr="00D549EE" w:rsidRDefault="00E907BE" w:rsidP="00C9582F">
            <w:pPr>
              <w:jc w:val="center"/>
              <w:rPr>
                <w:sz w:val="20"/>
                <w:szCs w:val="20"/>
                <w:lang w:val="en-US"/>
              </w:rPr>
            </w:pPr>
          </w:p>
        </w:tc>
      </w:tr>
      <w:tr w:rsidR="00E907BE" w:rsidRPr="00D74F7B" w14:paraId="4D37204B" w14:textId="77777777" w:rsidTr="00E907BE">
        <w:tc>
          <w:tcPr>
            <w:tcW w:w="0" w:type="auto"/>
          </w:tcPr>
          <w:p w14:paraId="0D0EBF59" w14:textId="77777777" w:rsidR="00E907BE" w:rsidRPr="00D549EE" w:rsidRDefault="00E907BE" w:rsidP="00C9582F">
            <w:pPr>
              <w:pStyle w:val="a5"/>
              <w:rPr>
                <w:sz w:val="20"/>
                <w:szCs w:val="20"/>
              </w:rPr>
            </w:pPr>
            <w:r w:rsidRPr="00D549EE">
              <w:rPr>
                <w:bCs/>
                <w:sz w:val="20"/>
                <w:szCs w:val="20"/>
              </w:rPr>
              <w:t xml:space="preserve">Salam </w:t>
            </w:r>
          </w:p>
          <w:p w14:paraId="0D091199" w14:textId="77777777" w:rsidR="00E907BE" w:rsidRPr="00D549EE" w:rsidRDefault="00E907BE" w:rsidP="00C9582F">
            <w:pPr>
              <w:rPr>
                <w:bCs/>
                <w:color w:val="202122"/>
                <w:sz w:val="20"/>
                <w:szCs w:val="20"/>
                <w:shd w:val="clear" w:color="auto" w:fill="FFFFFF"/>
                <w:lang w:val="en-US"/>
              </w:rPr>
            </w:pPr>
          </w:p>
        </w:tc>
        <w:tc>
          <w:tcPr>
            <w:tcW w:w="0" w:type="auto"/>
          </w:tcPr>
          <w:p w14:paraId="50A0DF0F" w14:textId="77777777" w:rsidR="00E907BE" w:rsidRPr="00D549EE" w:rsidRDefault="00E907BE" w:rsidP="00C9582F">
            <w:pPr>
              <w:pStyle w:val="a5"/>
              <w:rPr>
                <w:sz w:val="20"/>
                <w:szCs w:val="20"/>
              </w:rPr>
            </w:pPr>
            <w:r w:rsidRPr="00D549EE">
              <w:rPr>
                <w:sz w:val="20"/>
                <w:szCs w:val="20"/>
              </w:rPr>
              <w:t xml:space="preserve">Working capital </w:t>
            </w:r>
          </w:p>
          <w:p w14:paraId="2FF4C01F" w14:textId="77777777" w:rsidR="00E907BE" w:rsidRPr="00D549EE" w:rsidRDefault="00E907BE" w:rsidP="00C9582F">
            <w:pPr>
              <w:rPr>
                <w:bCs/>
                <w:color w:val="202122"/>
                <w:sz w:val="20"/>
                <w:szCs w:val="20"/>
                <w:shd w:val="clear" w:color="auto" w:fill="FFFFFF"/>
                <w:lang w:val="en-US"/>
              </w:rPr>
            </w:pPr>
          </w:p>
        </w:tc>
        <w:tc>
          <w:tcPr>
            <w:tcW w:w="0" w:type="auto"/>
          </w:tcPr>
          <w:p w14:paraId="233FB28F" w14:textId="77777777" w:rsidR="00E907BE" w:rsidRPr="00D549EE" w:rsidRDefault="00E907BE" w:rsidP="00C9582F">
            <w:pPr>
              <w:pStyle w:val="a5"/>
              <w:rPr>
                <w:sz w:val="20"/>
                <w:szCs w:val="20"/>
              </w:rPr>
            </w:pPr>
            <w:r w:rsidRPr="00D549EE">
              <w:rPr>
                <w:sz w:val="20"/>
                <w:szCs w:val="20"/>
              </w:rPr>
              <w:t xml:space="preserve">High </w:t>
            </w:r>
          </w:p>
          <w:p w14:paraId="5B7B3F2D" w14:textId="77777777" w:rsidR="00E907BE" w:rsidRPr="00D549EE" w:rsidRDefault="00E907BE" w:rsidP="00C9582F">
            <w:pPr>
              <w:rPr>
                <w:bCs/>
                <w:color w:val="202122"/>
                <w:sz w:val="20"/>
                <w:szCs w:val="20"/>
                <w:shd w:val="clear" w:color="auto" w:fill="FFFFFF"/>
                <w:lang w:val="en-US"/>
              </w:rPr>
            </w:pPr>
          </w:p>
        </w:tc>
        <w:tc>
          <w:tcPr>
            <w:tcW w:w="0" w:type="auto"/>
          </w:tcPr>
          <w:p w14:paraId="372B68A7" w14:textId="77777777" w:rsidR="00E907BE" w:rsidRPr="00D549EE" w:rsidRDefault="00E907BE" w:rsidP="00C9582F">
            <w:pPr>
              <w:pStyle w:val="a5"/>
              <w:rPr>
                <w:sz w:val="20"/>
                <w:szCs w:val="20"/>
              </w:rPr>
            </w:pPr>
            <w:r w:rsidRPr="00D549EE">
              <w:rPr>
                <w:sz w:val="20"/>
                <w:szCs w:val="20"/>
              </w:rPr>
              <w:t xml:space="preserve">High </w:t>
            </w:r>
          </w:p>
          <w:p w14:paraId="223379FD" w14:textId="77777777" w:rsidR="00E907BE" w:rsidRPr="00D549EE" w:rsidRDefault="00E907BE" w:rsidP="00C9582F">
            <w:pPr>
              <w:rPr>
                <w:bCs/>
                <w:color w:val="202122"/>
                <w:sz w:val="20"/>
                <w:szCs w:val="20"/>
                <w:shd w:val="clear" w:color="auto" w:fill="FFFFFF"/>
                <w:lang w:val="en-US"/>
              </w:rPr>
            </w:pPr>
          </w:p>
        </w:tc>
        <w:tc>
          <w:tcPr>
            <w:tcW w:w="0" w:type="auto"/>
          </w:tcPr>
          <w:p w14:paraId="4F128789" w14:textId="77777777" w:rsidR="00E907BE" w:rsidRPr="00D549EE" w:rsidRDefault="00E907BE" w:rsidP="00C9582F">
            <w:pPr>
              <w:pStyle w:val="a5"/>
              <w:rPr>
                <w:sz w:val="20"/>
                <w:szCs w:val="20"/>
              </w:rPr>
            </w:pPr>
            <w:r w:rsidRPr="00D549EE">
              <w:rPr>
                <w:sz w:val="20"/>
                <w:szCs w:val="20"/>
              </w:rPr>
              <w:t xml:space="preserve">High </w:t>
            </w:r>
          </w:p>
          <w:p w14:paraId="2BDBB42E" w14:textId="77777777" w:rsidR="00E907BE" w:rsidRPr="00D549EE" w:rsidRDefault="00E907BE" w:rsidP="00C9582F">
            <w:pPr>
              <w:rPr>
                <w:bCs/>
                <w:color w:val="202122"/>
                <w:sz w:val="20"/>
                <w:szCs w:val="20"/>
                <w:shd w:val="clear" w:color="auto" w:fill="FFFFFF"/>
                <w:lang w:val="en-US"/>
              </w:rPr>
            </w:pPr>
          </w:p>
        </w:tc>
        <w:tc>
          <w:tcPr>
            <w:tcW w:w="0" w:type="auto"/>
          </w:tcPr>
          <w:p w14:paraId="269C1750" w14:textId="0178BF27" w:rsidR="00E907BE" w:rsidRPr="00D549EE" w:rsidRDefault="00E907BE" w:rsidP="00C9582F">
            <w:pPr>
              <w:pStyle w:val="a5"/>
              <w:rPr>
                <w:sz w:val="20"/>
                <w:szCs w:val="20"/>
                <w:lang w:val="en-US"/>
              </w:rPr>
            </w:pPr>
            <w:r w:rsidRPr="00D549EE">
              <w:rPr>
                <w:sz w:val="20"/>
                <w:szCs w:val="20"/>
                <w:lang w:val="en-US"/>
              </w:rPr>
              <w:t xml:space="preserve">Back-to-back nature creates risk of lack of double coincidence; Untried </w:t>
            </w:r>
          </w:p>
        </w:tc>
      </w:tr>
      <w:tr w:rsidR="00E907BE" w:rsidRPr="00D74F7B" w14:paraId="42F9D193" w14:textId="77777777" w:rsidTr="00E907BE">
        <w:tc>
          <w:tcPr>
            <w:tcW w:w="0" w:type="auto"/>
          </w:tcPr>
          <w:p w14:paraId="107593F1" w14:textId="77777777" w:rsidR="00E907BE" w:rsidRPr="00D549EE" w:rsidRDefault="00E907BE" w:rsidP="00C9582F">
            <w:pPr>
              <w:pStyle w:val="a5"/>
              <w:rPr>
                <w:sz w:val="20"/>
                <w:szCs w:val="20"/>
              </w:rPr>
            </w:pPr>
            <w:r w:rsidRPr="00D549EE">
              <w:rPr>
                <w:bCs/>
                <w:sz w:val="20"/>
                <w:szCs w:val="20"/>
              </w:rPr>
              <w:t xml:space="preserve">Istisna </w:t>
            </w:r>
          </w:p>
          <w:p w14:paraId="56DEBAFB" w14:textId="77777777" w:rsidR="00E907BE" w:rsidRPr="00D549EE" w:rsidRDefault="00E907BE" w:rsidP="00C9582F">
            <w:pPr>
              <w:rPr>
                <w:bCs/>
                <w:color w:val="202122"/>
                <w:sz w:val="20"/>
                <w:szCs w:val="20"/>
                <w:shd w:val="clear" w:color="auto" w:fill="FFFFFF"/>
                <w:lang w:val="en-US"/>
              </w:rPr>
            </w:pPr>
          </w:p>
        </w:tc>
        <w:tc>
          <w:tcPr>
            <w:tcW w:w="0" w:type="auto"/>
          </w:tcPr>
          <w:p w14:paraId="726C652A" w14:textId="77777777" w:rsidR="00E907BE" w:rsidRPr="00D549EE" w:rsidRDefault="00E907BE" w:rsidP="00C9582F">
            <w:pPr>
              <w:pStyle w:val="a5"/>
              <w:rPr>
                <w:sz w:val="20"/>
                <w:szCs w:val="20"/>
              </w:rPr>
            </w:pPr>
            <w:r w:rsidRPr="00D549EE">
              <w:rPr>
                <w:sz w:val="20"/>
                <w:szCs w:val="20"/>
              </w:rPr>
              <w:t xml:space="preserve">Fixed assets </w:t>
            </w:r>
          </w:p>
          <w:p w14:paraId="39B811F1" w14:textId="77777777" w:rsidR="00E907BE" w:rsidRPr="00D549EE" w:rsidRDefault="00E907BE" w:rsidP="00C9582F">
            <w:pPr>
              <w:rPr>
                <w:bCs/>
                <w:color w:val="202122"/>
                <w:sz w:val="20"/>
                <w:szCs w:val="20"/>
                <w:shd w:val="clear" w:color="auto" w:fill="FFFFFF"/>
                <w:lang w:val="en-US"/>
              </w:rPr>
            </w:pPr>
          </w:p>
        </w:tc>
        <w:tc>
          <w:tcPr>
            <w:tcW w:w="0" w:type="auto"/>
          </w:tcPr>
          <w:p w14:paraId="6DB4D32C" w14:textId="77777777" w:rsidR="00E907BE" w:rsidRPr="00D549EE" w:rsidRDefault="00E907BE" w:rsidP="00C9582F">
            <w:pPr>
              <w:pStyle w:val="a5"/>
              <w:rPr>
                <w:sz w:val="20"/>
                <w:szCs w:val="20"/>
              </w:rPr>
            </w:pPr>
            <w:r w:rsidRPr="00D549EE">
              <w:rPr>
                <w:sz w:val="20"/>
                <w:szCs w:val="20"/>
              </w:rPr>
              <w:t xml:space="preserve">High </w:t>
            </w:r>
          </w:p>
          <w:p w14:paraId="65950D76" w14:textId="77777777" w:rsidR="00E907BE" w:rsidRPr="00D549EE" w:rsidRDefault="00E907BE" w:rsidP="00C9582F">
            <w:pPr>
              <w:rPr>
                <w:bCs/>
                <w:color w:val="202122"/>
                <w:sz w:val="20"/>
                <w:szCs w:val="20"/>
                <w:shd w:val="clear" w:color="auto" w:fill="FFFFFF"/>
                <w:lang w:val="en-US"/>
              </w:rPr>
            </w:pPr>
          </w:p>
        </w:tc>
        <w:tc>
          <w:tcPr>
            <w:tcW w:w="0" w:type="auto"/>
          </w:tcPr>
          <w:p w14:paraId="3FFBCF3E" w14:textId="77777777" w:rsidR="00E907BE" w:rsidRPr="00D549EE" w:rsidRDefault="00E907BE" w:rsidP="00C9582F">
            <w:pPr>
              <w:pStyle w:val="a5"/>
              <w:rPr>
                <w:sz w:val="20"/>
                <w:szCs w:val="20"/>
              </w:rPr>
            </w:pPr>
            <w:r w:rsidRPr="00D549EE">
              <w:rPr>
                <w:sz w:val="20"/>
                <w:szCs w:val="20"/>
              </w:rPr>
              <w:t xml:space="preserve">High </w:t>
            </w:r>
          </w:p>
          <w:p w14:paraId="22324993" w14:textId="77777777" w:rsidR="00E907BE" w:rsidRPr="00D549EE" w:rsidRDefault="00E907BE" w:rsidP="00C9582F">
            <w:pPr>
              <w:rPr>
                <w:bCs/>
                <w:color w:val="202122"/>
                <w:sz w:val="20"/>
                <w:szCs w:val="20"/>
                <w:shd w:val="clear" w:color="auto" w:fill="FFFFFF"/>
                <w:lang w:val="en-US"/>
              </w:rPr>
            </w:pPr>
          </w:p>
        </w:tc>
        <w:tc>
          <w:tcPr>
            <w:tcW w:w="0" w:type="auto"/>
          </w:tcPr>
          <w:p w14:paraId="5555F7A1" w14:textId="77777777" w:rsidR="00E907BE" w:rsidRPr="00D549EE" w:rsidRDefault="00E907BE" w:rsidP="00C9582F">
            <w:pPr>
              <w:pStyle w:val="a5"/>
              <w:rPr>
                <w:sz w:val="20"/>
                <w:szCs w:val="20"/>
              </w:rPr>
            </w:pPr>
            <w:r w:rsidRPr="00D549EE">
              <w:rPr>
                <w:sz w:val="20"/>
                <w:szCs w:val="20"/>
              </w:rPr>
              <w:t xml:space="preserve">High </w:t>
            </w:r>
          </w:p>
          <w:p w14:paraId="7E3D60D8" w14:textId="77777777" w:rsidR="00E907BE" w:rsidRPr="00D549EE" w:rsidRDefault="00E907BE" w:rsidP="00C9582F">
            <w:pPr>
              <w:rPr>
                <w:bCs/>
                <w:color w:val="202122"/>
                <w:sz w:val="20"/>
                <w:szCs w:val="20"/>
                <w:shd w:val="clear" w:color="auto" w:fill="FFFFFF"/>
                <w:lang w:val="en-US"/>
              </w:rPr>
            </w:pPr>
          </w:p>
        </w:tc>
        <w:tc>
          <w:tcPr>
            <w:tcW w:w="0" w:type="auto"/>
          </w:tcPr>
          <w:p w14:paraId="13B93383" w14:textId="62F44BE5" w:rsidR="00E907BE" w:rsidRPr="00D549EE" w:rsidRDefault="00E907BE" w:rsidP="00C9582F">
            <w:pPr>
              <w:pStyle w:val="a5"/>
              <w:rPr>
                <w:sz w:val="20"/>
                <w:szCs w:val="20"/>
                <w:lang w:val="en-US"/>
              </w:rPr>
            </w:pPr>
            <w:r w:rsidRPr="00D549EE">
              <w:rPr>
                <w:sz w:val="20"/>
                <w:szCs w:val="20"/>
                <w:lang w:val="en-US"/>
              </w:rPr>
              <w:t>Back-to-back nature creates risk of lack of double coincidence;</w:t>
            </w:r>
            <w:r w:rsidRPr="00D549EE">
              <w:rPr>
                <w:sz w:val="20"/>
                <w:szCs w:val="20"/>
                <w:lang w:val="en-US"/>
              </w:rPr>
              <w:br/>
              <w:t>Untried</w:t>
            </w:r>
          </w:p>
        </w:tc>
      </w:tr>
      <w:tr w:rsidR="00E907BE" w:rsidRPr="00D74F7B" w14:paraId="2845E891" w14:textId="77777777" w:rsidTr="00E907BE">
        <w:tc>
          <w:tcPr>
            <w:tcW w:w="0" w:type="auto"/>
          </w:tcPr>
          <w:p w14:paraId="50F1AEFE" w14:textId="3742F657" w:rsidR="00E907BE" w:rsidRPr="00D549EE" w:rsidRDefault="00E907BE" w:rsidP="00C9582F">
            <w:pPr>
              <w:pStyle w:val="a5"/>
              <w:contextualSpacing/>
              <w:rPr>
                <w:bCs/>
                <w:sz w:val="20"/>
                <w:szCs w:val="20"/>
                <w:lang w:val="en-US"/>
              </w:rPr>
            </w:pPr>
            <w:r w:rsidRPr="00D549EE">
              <w:rPr>
                <w:bCs/>
                <w:sz w:val="20"/>
                <w:szCs w:val="20"/>
                <w:lang w:val="en-US"/>
              </w:rPr>
              <w:t xml:space="preserve">Istijrar </w:t>
            </w:r>
          </w:p>
          <w:p w14:paraId="1EF1469E" w14:textId="3F2738AA" w:rsidR="000879B7" w:rsidRPr="00D549EE" w:rsidRDefault="000879B7" w:rsidP="00C9582F">
            <w:pPr>
              <w:pStyle w:val="a5"/>
              <w:contextualSpacing/>
              <w:rPr>
                <w:lang w:val="en-US"/>
              </w:rPr>
            </w:pPr>
            <w:r w:rsidRPr="00D549EE">
              <w:rPr>
                <w:bCs/>
                <w:sz w:val="20"/>
                <w:szCs w:val="20"/>
                <w:lang w:val="en-US"/>
              </w:rPr>
              <w:t>(</w:t>
            </w:r>
            <w:r w:rsidRPr="00D549EE">
              <w:rPr>
                <w:sz w:val="22"/>
                <w:szCs w:val="22"/>
                <w:lang w:val="en-US"/>
              </w:rPr>
              <w:t>Recurring sale or purchase)</w:t>
            </w:r>
          </w:p>
          <w:p w14:paraId="04E9DBF5" w14:textId="77777777" w:rsidR="00E907BE" w:rsidRPr="00D549EE" w:rsidRDefault="00E907BE" w:rsidP="00C9582F">
            <w:pPr>
              <w:rPr>
                <w:bCs/>
                <w:color w:val="202122"/>
                <w:sz w:val="20"/>
                <w:szCs w:val="20"/>
                <w:shd w:val="clear" w:color="auto" w:fill="FFFFFF"/>
                <w:lang w:val="en-US"/>
              </w:rPr>
            </w:pPr>
          </w:p>
        </w:tc>
        <w:tc>
          <w:tcPr>
            <w:tcW w:w="0" w:type="auto"/>
          </w:tcPr>
          <w:p w14:paraId="7C4086C8" w14:textId="77777777" w:rsidR="00E907BE" w:rsidRPr="00D549EE" w:rsidRDefault="00E907BE" w:rsidP="00C9582F">
            <w:pPr>
              <w:pStyle w:val="a5"/>
              <w:rPr>
                <w:sz w:val="20"/>
                <w:szCs w:val="20"/>
              </w:rPr>
            </w:pPr>
            <w:r w:rsidRPr="00D549EE">
              <w:rPr>
                <w:sz w:val="20"/>
                <w:szCs w:val="20"/>
              </w:rPr>
              <w:t xml:space="preserve">Working capital </w:t>
            </w:r>
          </w:p>
          <w:p w14:paraId="1AA7FA88" w14:textId="77777777" w:rsidR="00E907BE" w:rsidRPr="00D549EE" w:rsidRDefault="00E907BE" w:rsidP="00C9582F">
            <w:pPr>
              <w:rPr>
                <w:bCs/>
                <w:color w:val="202122"/>
                <w:sz w:val="20"/>
                <w:szCs w:val="20"/>
                <w:shd w:val="clear" w:color="auto" w:fill="FFFFFF"/>
                <w:lang w:val="en-US"/>
              </w:rPr>
            </w:pPr>
          </w:p>
        </w:tc>
        <w:tc>
          <w:tcPr>
            <w:tcW w:w="0" w:type="auto"/>
          </w:tcPr>
          <w:p w14:paraId="70E9318B" w14:textId="77777777" w:rsidR="00E907BE" w:rsidRPr="00D549EE" w:rsidRDefault="00E907BE" w:rsidP="00C9582F">
            <w:pPr>
              <w:pStyle w:val="a5"/>
              <w:rPr>
                <w:sz w:val="20"/>
                <w:szCs w:val="20"/>
              </w:rPr>
            </w:pPr>
            <w:r w:rsidRPr="00D549EE">
              <w:rPr>
                <w:sz w:val="20"/>
                <w:szCs w:val="20"/>
              </w:rPr>
              <w:t xml:space="preserve">Moderate </w:t>
            </w:r>
          </w:p>
          <w:p w14:paraId="3942F38C" w14:textId="77777777" w:rsidR="00E907BE" w:rsidRPr="00D549EE" w:rsidRDefault="00E907BE" w:rsidP="00C9582F">
            <w:pPr>
              <w:rPr>
                <w:bCs/>
                <w:color w:val="202122"/>
                <w:sz w:val="20"/>
                <w:szCs w:val="20"/>
                <w:shd w:val="clear" w:color="auto" w:fill="FFFFFF"/>
                <w:lang w:val="en-US"/>
              </w:rPr>
            </w:pPr>
          </w:p>
        </w:tc>
        <w:tc>
          <w:tcPr>
            <w:tcW w:w="0" w:type="auto"/>
          </w:tcPr>
          <w:p w14:paraId="2B7BB817" w14:textId="77777777" w:rsidR="00E907BE" w:rsidRPr="00D549EE" w:rsidRDefault="00E907BE" w:rsidP="00C9582F">
            <w:pPr>
              <w:pStyle w:val="a5"/>
              <w:rPr>
                <w:sz w:val="20"/>
                <w:szCs w:val="20"/>
              </w:rPr>
            </w:pPr>
            <w:r w:rsidRPr="00D549EE">
              <w:rPr>
                <w:sz w:val="20"/>
                <w:szCs w:val="20"/>
              </w:rPr>
              <w:t xml:space="preserve">Moderate </w:t>
            </w:r>
          </w:p>
          <w:p w14:paraId="588607EB" w14:textId="77777777" w:rsidR="00E907BE" w:rsidRPr="00D549EE" w:rsidRDefault="00E907BE" w:rsidP="00C9582F">
            <w:pPr>
              <w:rPr>
                <w:bCs/>
                <w:color w:val="202122"/>
                <w:sz w:val="20"/>
                <w:szCs w:val="20"/>
                <w:shd w:val="clear" w:color="auto" w:fill="FFFFFF"/>
                <w:lang w:val="en-US"/>
              </w:rPr>
            </w:pPr>
          </w:p>
        </w:tc>
        <w:tc>
          <w:tcPr>
            <w:tcW w:w="0" w:type="auto"/>
          </w:tcPr>
          <w:p w14:paraId="4124F30F" w14:textId="77777777" w:rsidR="00E907BE" w:rsidRPr="00D549EE" w:rsidRDefault="00E907BE" w:rsidP="00C9582F">
            <w:pPr>
              <w:pStyle w:val="a5"/>
              <w:rPr>
                <w:sz w:val="20"/>
                <w:szCs w:val="20"/>
              </w:rPr>
            </w:pPr>
            <w:r w:rsidRPr="00D549EE">
              <w:rPr>
                <w:sz w:val="20"/>
                <w:szCs w:val="20"/>
              </w:rPr>
              <w:t xml:space="preserve">Moderate </w:t>
            </w:r>
          </w:p>
          <w:p w14:paraId="28EA95D8" w14:textId="77777777" w:rsidR="00E907BE" w:rsidRPr="00D549EE" w:rsidRDefault="00E907BE" w:rsidP="00C9582F">
            <w:pPr>
              <w:rPr>
                <w:bCs/>
                <w:color w:val="202122"/>
                <w:sz w:val="20"/>
                <w:szCs w:val="20"/>
                <w:shd w:val="clear" w:color="auto" w:fill="FFFFFF"/>
                <w:lang w:val="en-US"/>
              </w:rPr>
            </w:pPr>
          </w:p>
        </w:tc>
        <w:tc>
          <w:tcPr>
            <w:tcW w:w="0" w:type="auto"/>
          </w:tcPr>
          <w:p w14:paraId="4A834048" w14:textId="1D7B5F51" w:rsidR="00E907BE" w:rsidRPr="00D549EE" w:rsidRDefault="00E907BE" w:rsidP="00C9582F">
            <w:pPr>
              <w:pStyle w:val="a5"/>
              <w:rPr>
                <w:sz w:val="20"/>
                <w:szCs w:val="20"/>
                <w:lang w:val="en-US"/>
              </w:rPr>
            </w:pPr>
            <w:r w:rsidRPr="00D549EE">
              <w:rPr>
                <w:sz w:val="20"/>
                <w:szCs w:val="20"/>
                <w:lang w:val="en-US"/>
              </w:rPr>
              <w:t xml:space="preserve">Ideal for micro repetitive transactions; Complexity not easily understood by parties; hence not a popular mechanism </w:t>
            </w:r>
          </w:p>
        </w:tc>
      </w:tr>
      <w:tr w:rsidR="00F62DE5" w:rsidRPr="00D549EE" w14:paraId="58D51CAF" w14:textId="77777777" w:rsidTr="006C26EF">
        <w:tc>
          <w:tcPr>
            <w:tcW w:w="0" w:type="auto"/>
            <w:gridSpan w:val="6"/>
          </w:tcPr>
          <w:p w14:paraId="4721054C" w14:textId="78EC6411" w:rsidR="00F62DE5" w:rsidRPr="00D549EE" w:rsidRDefault="00CC3F2C" w:rsidP="00C9582F">
            <w:pPr>
              <w:pStyle w:val="a5"/>
              <w:rPr>
                <w:lang w:val="en-US"/>
              </w:rPr>
            </w:pPr>
            <w:r w:rsidRPr="00D549EE">
              <w:rPr>
                <w:lang w:val="en-US"/>
              </w:rPr>
              <w:t xml:space="preserve">        </w:t>
            </w:r>
            <w:r w:rsidR="009769EE" w:rsidRPr="00D549EE">
              <w:rPr>
                <w:lang w:val="en-US"/>
              </w:rPr>
              <w:t xml:space="preserve">Note – </w:t>
            </w:r>
            <w:r w:rsidR="00F62DE5" w:rsidRPr="00D549EE">
              <w:rPr>
                <w:lang w:val="en-US"/>
              </w:rPr>
              <w:t xml:space="preserve">Source </w:t>
            </w:r>
            <w:r w:rsidR="00F62DE5" w:rsidRPr="00D549EE">
              <w:rPr>
                <w:lang w:val="en-US"/>
              </w:rPr>
              <w:fldChar w:fldCharType="begin" w:fldLock="1"/>
            </w:r>
            <w:r w:rsidR="00023147" w:rsidRPr="00D549EE">
              <w:rPr>
                <w:lang w:val="en-US"/>
              </w:rPr>
              <w:instrText>ADDIN CSL_CITATION {"citationItems":[{"id":"ITEM-1","itemData":{"author":[{"dropping-particle":"","family":"Islamic Financial Services Board","given":"","non-dropping-particle":"","parse-names":false,"suffix":""}],"id":"ITEM-1","issued":{"date-parts":[["2007"]]},"number-of-pages":"79","title":"FRAMEWORK AND STRATEGIES FOR DEVELOPMENT OF ISLAMIC MICROFINANCE SERVICES","type":"report"},"uris":["http://www.mendeley.com/documents/?uuid=4646e5f6-3689-4700-833b-cf5ed66f78cd"]}],"mendeley":{"formattedCitation":"[82]","plainTextFormattedCitation":"[82]","previouslyFormattedCitation":"[82]"},"properties":{"noteIndex":0},"schema":"https://github.com/citation-style-language/schema/raw/master/csl-citation.json"}</w:instrText>
            </w:r>
            <w:r w:rsidR="00F62DE5" w:rsidRPr="00D549EE">
              <w:rPr>
                <w:lang w:val="en-US"/>
              </w:rPr>
              <w:fldChar w:fldCharType="separate"/>
            </w:r>
            <w:r w:rsidR="009147BE" w:rsidRPr="00D549EE">
              <w:rPr>
                <w:noProof/>
                <w:lang w:val="en-US"/>
              </w:rPr>
              <w:t>[82]</w:t>
            </w:r>
            <w:r w:rsidR="00F62DE5" w:rsidRPr="00D549EE">
              <w:rPr>
                <w:lang w:val="en-US"/>
              </w:rPr>
              <w:fldChar w:fldCharType="end"/>
            </w:r>
          </w:p>
        </w:tc>
      </w:tr>
    </w:tbl>
    <w:p w14:paraId="6B3D56E0" w14:textId="4113433D" w:rsidR="00E907BE" w:rsidRPr="00D549EE" w:rsidRDefault="00E907BE" w:rsidP="00C9582F">
      <w:pPr>
        <w:jc w:val="both"/>
        <w:rPr>
          <w:bCs/>
          <w:color w:val="202122"/>
          <w:sz w:val="28"/>
          <w:szCs w:val="28"/>
          <w:shd w:val="clear" w:color="auto" w:fill="FFFFFF"/>
          <w:lang w:val="en-US"/>
        </w:rPr>
      </w:pPr>
    </w:p>
    <w:p w14:paraId="3A17481D" w14:textId="77777777" w:rsidR="00B1451D" w:rsidRPr="00B1451D" w:rsidRDefault="00A56DE2" w:rsidP="00B1451D">
      <w:pPr>
        <w:jc w:val="both"/>
        <w:rPr>
          <w:bCs/>
          <w:color w:val="202122"/>
          <w:sz w:val="28"/>
          <w:szCs w:val="28"/>
          <w:shd w:val="clear" w:color="auto" w:fill="FFFFFF"/>
          <w:lang w:val="en-US"/>
        </w:rPr>
      </w:pPr>
      <w:r w:rsidRPr="00D549EE">
        <w:rPr>
          <w:bCs/>
          <w:color w:val="202122"/>
          <w:sz w:val="28"/>
          <w:szCs w:val="28"/>
          <w:shd w:val="clear" w:color="auto" w:fill="FFFFFF"/>
          <w:lang w:val="en-US"/>
        </w:rPr>
        <w:tab/>
      </w:r>
      <w:r w:rsidR="00B1451D" w:rsidRPr="00B1451D">
        <w:rPr>
          <w:bCs/>
          <w:color w:val="202122"/>
          <w:sz w:val="28"/>
          <w:szCs w:val="28"/>
          <w:shd w:val="clear" w:color="auto" w:fill="FFFFFF"/>
          <w:lang w:val="en-US"/>
        </w:rPr>
        <w:t xml:space="preserve">As can be seen from Table 8, there are a number of Islamic financial instruments for microfinancing, and the level of the risk for borrowers and providers of the financial source varies depending on the type of instruments. Risk management is used based on the concept of guarantee that is kafala and collateral – damanah. </w:t>
      </w:r>
    </w:p>
    <w:p w14:paraId="4580CBF1" w14:textId="2A365E46" w:rsidR="00DA42B6" w:rsidRPr="00D549EE" w:rsidRDefault="00B1451D" w:rsidP="00B1451D">
      <w:pPr>
        <w:jc w:val="both"/>
        <w:rPr>
          <w:bCs/>
          <w:color w:val="000000" w:themeColor="text1"/>
          <w:sz w:val="28"/>
          <w:szCs w:val="28"/>
          <w:shd w:val="clear" w:color="auto" w:fill="FFFFFF"/>
          <w:lang w:val="en-US"/>
        </w:rPr>
      </w:pPr>
      <w:r w:rsidRPr="00B1451D">
        <w:rPr>
          <w:bCs/>
          <w:color w:val="202122"/>
          <w:sz w:val="28"/>
          <w:szCs w:val="28"/>
          <w:shd w:val="clear" w:color="auto" w:fill="FFFFFF"/>
          <w:lang w:val="en-US"/>
        </w:rPr>
        <w:tab/>
        <w:t xml:space="preserve">Islamic finance and microfinancing have common issues in driving concepts and principles. Microfinance gives particular importance and focuses attention on society’s good. Microfinance, as Islamic finance, supports the development of entrepreneurship </w:t>
      </w:r>
      <w:r w:rsidRPr="00B1451D">
        <w:rPr>
          <w:bCs/>
          <w:color w:val="202122"/>
          <w:sz w:val="28"/>
          <w:szCs w:val="28"/>
          <w:shd w:val="clear" w:color="auto" w:fill="FFFFFF"/>
          <w:lang w:val="en-US"/>
        </w:rPr>
        <w:lastRenderedPageBreak/>
        <w:t>and partnership with sharing of risk and profit and promotes the idea that the low-income population must be part of it as the unit of social equity goals. It is an essential fact that, unfortunately, contemporary Islamic finance has been disconnected from microfinance as a result of  Islamic banking domination in the Islamic financial system these days [83]</w:t>
      </w:r>
      <w:r w:rsidR="00B25838" w:rsidRPr="00D549EE">
        <w:rPr>
          <w:bCs/>
          <w:color w:val="000000" w:themeColor="text1"/>
          <w:sz w:val="28"/>
          <w:szCs w:val="28"/>
          <w:shd w:val="clear" w:color="auto" w:fill="FFFFFF"/>
          <w:lang w:val="en-US"/>
        </w:rPr>
        <w:t>.</w:t>
      </w:r>
    </w:p>
    <w:p w14:paraId="5C7E1B84" w14:textId="77777777" w:rsidR="008071A8" w:rsidRPr="00D549EE" w:rsidRDefault="008071A8" w:rsidP="00C9582F">
      <w:pPr>
        <w:jc w:val="both"/>
        <w:rPr>
          <w:bCs/>
          <w:color w:val="000000" w:themeColor="text1"/>
          <w:sz w:val="28"/>
          <w:szCs w:val="28"/>
          <w:shd w:val="clear" w:color="auto" w:fill="FFFFFF"/>
          <w:lang w:val="en-US"/>
        </w:rPr>
      </w:pPr>
    </w:p>
    <w:p w14:paraId="5B12A894" w14:textId="2CFDA21F" w:rsidR="00DA42B6" w:rsidRPr="00D549EE" w:rsidRDefault="00DA42B6" w:rsidP="00C9582F">
      <w:pPr>
        <w:jc w:val="both"/>
        <w:rPr>
          <w:bCs/>
          <w:color w:val="000000" w:themeColor="text1"/>
          <w:sz w:val="28"/>
          <w:szCs w:val="28"/>
          <w:shd w:val="clear" w:color="auto" w:fill="FFFFFF"/>
          <w:lang w:val="en-US"/>
        </w:rPr>
      </w:pPr>
      <w:r w:rsidRPr="00D549EE">
        <w:rPr>
          <w:noProof/>
          <w:sz w:val="28"/>
          <w:szCs w:val="28"/>
          <w:lang w:val="en-US"/>
        </w:rPr>
        <w:t>Table</w:t>
      </w:r>
      <w:r w:rsidR="00175E6F" w:rsidRPr="00D549EE">
        <w:rPr>
          <w:noProof/>
          <w:sz w:val="28"/>
          <w:szCs w:val="28"/>
          <w:lang w:val="en-US"/>
        </w:rPr>
        <w:t xml:space="preserve"> </w:t>
      </w:r>
      <w:r w:rsidR="00736E1B" w:rsidRPr="00D549EE">
        <w:rPr>
          <w:noProof/>
          <w:sz w:val="28"/>
          <w:szCs w:val="28"/>
          <w:lang w:val="en-US"/>
        </w:rPr>
        <w:t>9</w:t>
      </w:r>
      <w:r w:rsidR="00640D7C" w:rsidRPr="00D549EE">
        <w:rPr>
          <w:noProof/>
          <w:sz w:val="28"/>
          <w:szCs w:val="28"/>
          <w:lang w:val="en-US"/>
        </w:rPr>
        <w:t xml:space="preserve"> </w:t>
      </w:r>
      <w:r w:rsidR="00175E6F" w:rsidRPr="00D549EE">
        <w:rPr>
          <w:lang w:val="en-US"/>
        </w:rPr>
        <w:t xml:space="preserve">– </w:t>
      </w:r>
      <w:r w:rsidRPr="00D549EE">
        <w:rPr>
          <w:noProof/>
          <w:sz w:val="28"/>
          <w:szCs w:val="28"/>
          <w:lang w:val="en-US"/>
        </w:rPr>
        <w:t>The develo</w:t>
      </w:r>
      <w:r w:rsidRPr="00D549EE">
        <w:rPr>
          <w:noProof/>
          <w:w w:val="1"/>
          <w:sz w:val="28"/>
          <w:szCs w:val="28"/>
          <w:vertAlign w:val="superscript"/>
          <w:lang w:val="en-US"/>
        </w:rPr>
        <w:t> </w:t>
      </w:r>
      <w:r w:rsidRPr="00D549EE">
        <w:rPr>
          <w:noProof/>
          <w:sz w:val="28"/>
          <w:szCs w:val="28"/>
          <w:lang w:val="en-US"/>
        </w:rPr>
        <w:t>pment o</w:t>
      </w:r>
      <w:r w:rsidRPr="00D549EE">
        <w:rPr>
          <w:noProof/>
          <w:w w:val="1"/>
          <w:sz w:val="28"/>
          <w:szCs w:val="28"/>
          <w:vertAlign w:val="superscript"/>
          <w:lang w:val="en-US"/>
        </w:rPr>
        <w:t> </w:t>
      </w:r>
      <w:r w:rsidRPr="00D549EE">
        <w:rPr>
          <w:noProof/>
          <w:sz w:val="28"/>
          <w:szCs w:val="28"/>
          <w:lang w:val="en-US"/>
        </w:rPr>
        <w:t>f Isla</w:t>
      </w:r>
      <w:r w:rsidRPr="00D549EE">
        <w:rPr>
          <w:noProof/>
          <w:w w:val="1"/>
          <w:sz w:val="28"/>
          <w:szCs w:val="28"/>
          <w:vertAlign w:val="superscript"/>
          <w:lang w:val="en-US"/>
        </w:rPr>
        <w:t> </w:t>
      </w:r>
      <w:r w:rsidRPr="00D549EE">
        <w:rPr>
          <w:noProof/>
          <w:sz w:val="28"/>
          <w:szCs w:val="28"/>
          <w:lang w:val="en-US"/>
        </w:rPr>
        <w:t>mic micro</w:t>
      </w:r>
      <w:r w:rsidRPr="00D549EE">
        <w:rPr>
          <w:noProof/>
          <w:w w:val="1"/>
          <w:sz w:val="28"/>
          <w:szCs w:val="28"/>
          <w:vertAlign w:val="superscript"/>
          <w:lang w:val="en-US"/>
        </w:rPr>
        <w:t> </w:t>
      </w:r>
      <w:r w:rsidRPr="00D549EE">
        <w:rPr>
          <w:noProof/>
          <w:sz w:val="28"/>
          <w:szCs w:val="28"/>
          <w:lang w:val="en-US"/>
        </w:rPr>
        <w:t>fina</w:t>
      </w:r>
      <w:r w:rsidRPr="00D549EE">
        <w:rPr>
          <w:noProof/>
          <w:w w:val="1"/>
          <w:sz w:val="28"/>
          <w:szCs w:val="28"/>
          <w:vertAlign w:val="superscript"/>
          <w:lang w:val="en-US"/>
        </w:rPr>
        <w:t> </w:t>
      </w:r>
      <w:r w:rsidRPr="00D549EE">
        <w:rPr>
          <w:noProof/>
          <w:sz w:val="28"/>
          <w:szCs w:val="28"/>
          <w:lang w:val="en-US"/>
        </w:rPr>
        <w:t>nce institutio</w:t>
      </w:r>
      <w:r w:rsidRPr="00D549EE">
        <w:rPr>
          <w:noProof/>
          <w:w w:val="1"/>
          <w:sz w:val="28"/>
          <w:szCs w:val="28"/>
          <w:vertAlign w:val="superscript"/>
          <w:lang w:val="en-US"/>
        </w:rPr>
        <w:t> </w:t>
      </w:r>
      <w:r w:rsidRPr="00D549EE">
        <w:rPr>
          <w:noProof/>
          <w:sz w:val="28"/>
          <w:szCs w:val="28"/>
          <w:lang w:val="en-US"/>
        </w:rPr>
        <w:t>ns</w:t>
      </w:r>
    </w:p>
    <w:p w14:paraId="02C38019" w14:textId="2115E60C" w:rsidR="001D0A21" w:rsidRPr="00D549EE" w:rsidRDefault="001D0A21" w:rsidP="00C9582F">
      <w:pPr>
        <w:jc w:val="both"/>
        <w:rPr>
          <w:bCs/>
          <w:color w:val="FF0000"/>
          <w:sz w:val="28"/>
          <w:szCs w:val="28"/>
          <w:shd w:val="clear" w:color="auto" w:fill="FFFFFF"/>
          <w:lang w:val="en-US"/>
        </w:rPr>
      </w:pPr>
    </w:p>
    <w:tbl>
      <w:tblPr>
        <w:tblStyle w:val="a9"/>
        <w:tblW w:w="0" w:type="auto"/>
        <w:tblLook w:val="04A0" w:firstRow="1" w:lastRow="0" w:firstColumn="1" w:lastColumn="0" w:noHBand="0" w:noVBand="1"/>
      </w:tblPr>
      <w:tblGrid>
        <w:gridCol w:w="4281"/>
        <w:gridCol w:w="5342"/>
      </w:tblGrid>
      <w:tr w:rsidR="00C86EE4" w:rsidRPr="00D549EE" w14:paraId="64BB5C41" w14:textId="5FFD6D94" w:rsidTr="00175E6F">
        <w:trPr>
          <w:trHeight w:val="481"/>
        </w:trPr>
        <w:tc>
          <w:tcPr>
            <w:tcW w:w="0" w:type="auto"/>
            <w:vMerge w:val="restart"/>
          </w:tcPr>
          <w:p w14:paraId="57E5956A" w14:textId="77777777" w:rsidR="00C86EE4" w:rsidRPr="00D549EE" w:rsidRDefault="00C86EE4" w:rsidP="00C9582F">
            <w:pPr>
              <w:jc w:val="center"/>
              <w:rPr>
                <w:bCs/>
                <w:noProof/>
              </w:rPr>
            </w:pPr>
            <w:r w:rsidRPr="00D549EE">
              <w:rPr>
                <w:bCs/>
                <w:noProof/>
              </w:rPr>
              <w:t>Pro</w:t>
            </w:r>
            <w:r w:rsidRPr="00D549EE">
              <w:rPr>
                <w:bCs/>
                <w:noProof/>
                <w:w w:val="1"/>
                <w:vertAlign w:val="superscript"/>
              </w:rPr>
              <w:t> </w:t>
            </w:r>
            <w:r w:rsidRPr="00D549EE">
              <w:rPr>
                <w:bCs/>
                <w:noProof/>
              </w:rPr>
              <w:t>blems</w:t>
            </w:r>
          </w:p>
        </w:tc>
        <w:tc>
          <w:tcPr>
            <w:tcW w:w="0" w:type="auto"/>
            <w:vMerge w:val="restart"/>
          </w:tcPr>
          <w:p w14:paraId="1DA1D6D5" w14:textId="77777777" w:rsidR="00C86EE4" w:rsidRPr="00D549EE" w:rsidRDefault="00C86EE4" w:rsidP="00C9582F">
            <w:pPr>
              <w:jc w:val="center"/>
              <w:rPr>
                <w:bCs/>
                <w:noProof/>
              </w:rPr>
            </w:pPr>
            <w:r w:rsidRPr="00D549EE">
              <w:rPr>
                <w:bCs/>
                <w:noProof/>
              </w:rPr>
              <w:t>Benefits</w:t>
            </w:r>
          </w:p>
        </w:tc>
      </w:tr>
      <w:tr w:rsidR="00C86EE4" w:rsidRPr="00D549EE" w14:paraId="05E1569D" w14:textId="749B8CBE" w:rsidTr="00175E6F">
        <w:trPr>
          <w:trHeight w:val="276"/>
        </w:trPr>
        <w:tc>
          <w:tcPr>
            <w:tcW w:w="0" w:type="auto"/>
            <w:vMerge/>
          </w:tcPr>
          <w:p w14:paraId="79C7FDE3" w14:textId="77777777" w:rsidR="00C86EE4" w:rsidRPr="00D549EE" w:rsidRDefault="00C86EE4" w:rsidP="00C9582F">
            <w:pPr>
              <w:jc w:val="center"/>
              <w:rPr>
                <w:bCs/>
                <w:noProof/>
              </w:rPr>
            </w:pPr>
          </w:p>
        </w:tc>
        <w:tc>
          <w:tcPr>
            <w:tcW w:w="0" w:type="auto"/>
            <w:vMerge/>
          </w:tcPr>
          <w:p w14:paraId="0863E701" w14:textId="77777777" w:rsidR="00C86EE4" w:rsidRPr="00D549EE" w:rsidRDefault="00C86EE4" w:rsidP="00C9582F">
            <w:pPr>
              <w:jc w:val="center"/>
              <w:rPr>
                <w:bCs/>
                <w:noProof/>
              </w:rPr>
            </w:pPr>
          </w:p>
        </w:tc>
      </w:tr>
      <w:tr w:rsidR="00C86EE4" w:rsidRPr="00D74F7B" w14:paraId="607FA242" w14:textId="7957728E" w:rsidTr="00175E6F">
        <w:tc>
          <w:tcPr>
            <w:tcW w:w="0" w:type="auto"/>
          </w:tcPr>
          <w:p w14:paraId="02CF1045" w14:textId="72FC003A" w:rsidR="00C86EE4" w:rsidRPr="00D549EE" w:rsidRDefault="00C86EE4" w:rsidP="00C9582F">
            <w:pPr>
              <w:rPr>
                <w:noProof/>
                <w:lang w:val="en-US"/>
              </w:rPr>
            </w:pPr>
            <w:r w:rsidRPr="00D549EE">
              <w:rPr>
                <w:noProof/>
                <w:lang w:val="en-US"/>
              </w:rPr>
              <w:t>La</w:t>
            </w:r>
            <w:r w:rsidRPr="00D549EE">
              <w:rPr>
                <w:noProof/>
                <w:w w:val="1"/>
                <w:vertAlign w:val="superscript"/>
                <w:lang w:val="en-US"/>
              </w:rPr>
              <w:t> </w:t>
            </w:r>
            <w:r w:rsidRPr="00D549EE">
              <w:rPr>
                <w:noProof/>
                <w:lang w:val="en-US"/>
              </w:rPr>
              <w:t>ck o</w:t>
            </w:r>
            <w:r w:rsidRPr="00D549EE">
              <w:rPr>
                <w:noProof/>
                <w:w w:val="1"/>
                <w:vertAlign w:val="superscript"/>
                <w:lang w:val="en-US"/>
              </w:rPr>
              <w:t> </w:t>
            </w:r>
            <w:r w:rsidRPr="00D549EE">
              <w:rPr>
                <w:noProof/>
                <w:lang w:val="en-US"/>
              </w:rPr>
              <w:t>f lega</w:t>
            </w:r>
            <w:r w:rsidRPr="00D549EE">
              <w:rPr>
                <w:noProof/>
                <w:w w:val="1"/>
                <w:vertAlign w:val="superscript"/>
                <w:lang w:val="en-US"/>
              </w:rPr>
              <w:t> </w:t>
            </w:r>
            <w:r w:rsidRPr="00D549EE">
              <w:rPr>
                <w:noProof/>
                <w:lang w:val="en-US"/>
              </w:rPr>
              <w:t>l fra</w:t>
            </w:r>
            <w:r w:rsidRPr="00D549EE">
              <w:rPr>
                <w:noProof/>
                <w:w w:val="1"/>
                <w:vertAlign w:val="superscript"/>
                <w:lang w:val="en-US"/>
              </w:rPr>
              <w:t> </w:t>
            </w:r>
            <w:r w:rsidRPr="00D549EE">
              <w:rPr>
                <w:noProof/>
                <w:lang w:val="en-US"/>
              </w:rPr>
              <w:t>mewo</w:t>
            </w:r>
            <w:r w:rsidRPr="00D549EE">
              <w:rPr>
                <w:noProof/>
                <w:w w:val="1"/>
                <w:vertAlign w:val="superscript"/>
                <w:lang w:val="en-US"/>
              </w:rPr>
              <w:t> </w:t>
            </w:r>
            <w:r w:rsidRPr="00D549EE">
              <w:rPr>
                <w:noProof/>
                <w:lang w:val="en-US"/>
              </w:rPr>
              <w:t>rk (Kazakhstan)</w:t>
            </w:r>
          </w:p>
        </w:tc>
        <w:tc>
          <w:tcPr>
            <w:tcW w:w="0" w:type="auto"/>
          </w:tcPr>
          <w:p w14:paraId="5CAFD4B2" w14:textId="77777777" w:rsidR="00C86EE4" w:rsidRPr="00FC685D" w:rsidRDefault="00C86EE4" w:rsidP="00C9582F">
            <w:pPr>
              <w:rPr>
                <w:noProof/>
                <w:lang w:val="en-US"/>
              </w:rPr>
            </w:pPr>
            <w:r w:rsidRPr="00FC685D">
              <w:rPr>
                <w:noProof/>
                <w:lang w:val="en-US"/>
              </w:rPr>
              <w:t>Simplified Crea</w:t>
            </w:r>
            <w:r w:rsidRPr="00FC685D">
              <w:rPr>
                <w:noProof/>
                <w:w w:val="1"/>
                <w:vertAlign w:val="superscript"/>
                <w:lang w:val="en-US"/>
              </w:rPr>
              <w:t> </w:t>
            </w:r>
            <w:r w:rsidRPr="00FC685D">
              <w:rPr>
                <w:noProof/>
                <w:lang w:val="en-US"/>
              </w:rPr>
              <w:t>tio</w:t>
            </w:r>
            <w:r w:rsidRPr="00FC685D">
              <w:rPr>
                <w:noProof/>
                <w:w w:val="1"/>
                <w:vertAlign w:val="superscript"/>
                <w:lang w:val="en-US"/>
              </w:rPr>
              <w:t> </w:t>
            </w:r>
            <w:r w:rsidRPr="00FC685D">
              <w:rPr>
                <w:noProof/>
                <w:lang w:val="en-US"/>
              </w:rPr>
              <w:t>n Pro</w:t>
            </w:r>
            <w:r w:rsidRPr="00FC685D">
              <w:rPr>
                <w:noProof/>
                <w:w w:val="1"/>
                <w:vertAlign w:val="superscript"/>
                <w:lang w:val="en-US"/>
              </w:rPr>
              <w:t> </w:t>
            </w:r>
            <w:r w:rsidRPr="00FC685D">
              <w:rPr>
                <w:noProof/>
                <w:lang w:val="en-US"/>
              </w:rPr>
              <w:t>cedure</w:t>
            </w:r>
          </w:p>
        </w:tc>
      </w:tr>
      <w:tr w:rsidR="00C86EE4" w:rsidRPr="00D74F7B" w14:paraId="652304D4" w14:textId="71AA90BA" w:rsidTr="00175E6F">
        <w:tc>
          <w:tcPr>
            <w:tcW w:w="0" w:type="auto"/>
          </w:tcPr>
          <w:p w14:paraId="1B80968B" w14:textId="5F94CF29" w:rsidR="00C86EE4" w:rsidRPr="00D549EE" w:rsidRDefault="00C86EE4" w:rsidP="00C9582F">
            <w:pPr>
              <w:rPr>
                <w:noProof/>
                <w:lang w:val="en-US"/>
              </w:rPr>
            </w:pPr>
            <w:r w:rsidRPr="00FC685D">
              <w:rPr>
                <w:noProof/>
                <w:lang w:val="en-US"/>
              </w:rPr>
              <w:t>La</w:t>
            </w:r>
            <w:r w:rsidRPr="00FC685D">
              <w:rPr>
                <w:noProof/>
                <w:w w:val="1"/>
                <w:vertAlign w:val="superscript"/>
                <w:lang w:val="en-US"/>
              </w:rPr>
              <w:t> </w:t>
            </w:r>
            <w:r w:rsidRPr="00FC685D">
              <w:rPr>
                <w:noProof/>
                <w:lang w:val="en-US"/>
              </w:rPr>
              <w:t>ck o</w:t>
            </w:r>
            <w:r w:rsidRPr="00FC685D">
              <w:rPr>
                <w:noProof/>
                <w:w w:val="1"/>
                <w:vertAlign w:val="superscript"/>
                <w:lang w:val="en-US"/>
              </w:rPr>
              <w:t> </w:t>
            </w:r>
            <w:r w:rsidRPr="00FC685D">
              <w:rPr>
                <w:noProof/>
                <w:lang w:val="en-US"/>
              </w:rPr>
              <w:t>f licensing</w:t>
            </w:r>
            <w:r w:rsidRPr="00D549EE">
              <w:rPr>
                <w:noProof/>
                <w:lang w:val="en-US"/>
              </w:rPr>
              <w:t xml:space="preserve"> (Kazakhstan)</w:t>
            </w:r>
          </w:p>
        </w:tc>
        <w:tc>
          <w:tcPr>
            <w:tcW w:w="0" w:type="auto"/>
          </w:tcPr>
          <w:p w14:paraId="2F1C20CC" w14:textId="77777777" w:rsidR="00C86EE4" w:rsidRPr="00D549EE" w:rsidRDefault="00C86EE4" w:rsidP="00C9582F">
            <w:pPr>
              <w:rPr>
                <w:noProof/>
                <w:lang w:val="en-US"/>
              </w:rPr>
            </w:pPr>
            <w:r w:rsidRPr="00D549EE">
              <w:rPr>
                <w:noProof/>
                <w:lang w:val="en-US"/>
              </w:rPr>
              <w:t>Wide co</w:t>
            </w:r>
            <w:r w:rsidRPr="00D549EE">
              <w:rPr>
                <w:noProof/>
                <w:w w:val="1"/>
                <w:vertAlign w:val="superscript"/>
                <w:lang w:val="en-US"/>
              </w:rPr>
              <w:t> </w:t>
            </w:r>
            <w:r w:rsidRPr="00D549EE">
              <w:rPr>
                <w:noProof/>
                <w:lang w:val="en-US"/>
              </w:rPr>
              <w:t>vera</w:t>
            </w:r>
            <w:r w:rsidRPr="00D549EE">
              <w:rPr>
                <w:noProof/>
                <w:w w:val="1"/>
                <w:vertAlign w:val="superscript"/>
                <w:lang w:val="en-US"/>
              </w:rPr>
              <w:t> </w:t>
            </w:r>
            <w:r w:rsidRPr="00D549EE">
              <w:rPr>
                <w:noProof/>
                <w:lang w:val="en-US"/>
              </w:rPr>
              <w:t>ge o</w:t>
            </w:r>
            <w:r w:rsidRPr="00D549EE">
              <w:rPr>
                <w:noProof/>
                <w:w w:val="1"/>
                <w:vertAlign w:val="superscript"/>
                <w:lang w:val="en-US"/>
              </w:rPr>
              <w:t> </w:t>
            </w:r>
            <w:r w:rsidRPr="00D549EE">
              <w:rPr>
                <w:noProof/>
                <w:lang w:val="en-US"/>
              </w:rPr>
              <w:t>f sma</w:t>
            </w:r>
            <w:r w:rsidRPr="00D549EE">
              <w:rPr>
                <w:noProof/>
                <w:w w:val="1"/>
                <w:vertAlign w:val="superscript"/>
                <w:lang w:val="en-US"/>
              </w:rPr>
              <w:t> </w:t>
            </w:r>
            <w:r w:rsidRPr="00D549EE">
              <w:rPr>
                <w:noProof/>
                <w:lang w:val="en-US"/>
              </w:rPr>
              <w:t>ll, medium business a</w:t>
            </w:r>
            <w:r w:rsidRPr="00D549EE">
              <w:rPr>
                <w:noProof/>
                <w:w w:val="1"/>
                <w:vertAlign w:val="superscript"/>
                <w:lang w:val="en-US"/>
              </w:rPr>
              <w:t> </w:t>
            </w:r>
            <w:r w:rsidRPr="00D549EE">
              <w:rPr>
                <w:noProof/>
                <w:lang w:val="en-US"/>
              </w:rPr>
              <w:t>nd po</w:t>
            </w:r>
            <w:r w:rsidRPr="00D549EE">
              <w:rPr>
                <w:noProof/>
                <w:w w:val="1"/>
                <w:vertAlign w:val="superscript"/>
                <w:lang w:val="en-US"/>
              </w:rPr>
              <w:t> </w:t>
            </w:r>
            <w:r w:rsidRPr="00D549EE">
              <w:rPr>
                <w:noProof/>
                <w:lang w:val="en-US"/>
              </w:rPr>
              <w:t>pula</w:t>
            </w:r>
            <w:r w:rsidRPr="00D549EE">
              <w:rPr>
                <w:noProof/>
                <w:w w:val="1"/>
                <w:vertAlign w:val="superscript"/>
                <w:lang w:val="en-US"/>
              </w:rPr>
              <w:t> </w:t>
            </w:r>
            <w:r w:rsidRPr="00D549EE">
              <w:rPr>
                <w:noProof/>
                <w:lang w:val="en-US"/>
              </w:rPr>
              <w:t>tio</w:t>
            </w:r>
            <w:r w:rsidRPr="00D549EE">
              <w:rPr>
                <w:noProof/>
                <w:w w:val="1"/>
                <w:vertAlign w:val="superscript"/>
                <w:lang w:val="en-US"/>
              </w:rPr>
              <w:t> </w:t>
            </w:r>
            <w:r w:rsidRPr="00D549EE">
              <w:rPr>
                <w:noProof/>
                <w:lang w:val="en-US"/>
              </w:rPr>
              <w:t>n</w:t>
            </w:r>
          </w:p>
        </w:tc>
      </w:tr>
      <w:tr w:rsidR="00C86EE4" w:rsidRPr="00D74F7B" w14:paraId="35298C16" w14:textId="25ABECDA" w:rsidTr="00175E6F">
        <w:tc>
          <w:tcPr>
            <w:tcW w:w="0" w:type="auto"/>
          </w:tcPr>
          <w:p w14:paraId="0B7D273D" w14:textId="77777777" w:rsidR="00C86EE4" w:rsidRPr="00FC685D" w:rsidRDefault="00C86EE4" w:rsidP="00C9582F">
            <w:pPr>
              <w:rPr>
                <w:noProof/>
                <w:lang w:val="en-US"/>
              </w:rPr>
            </w:pPr>
            <w:r w:rsidRPr="00FC685D">
              <w:rPr>
                <w:noProof/>
                <w:lang w:val="en-US"/>
              </w:rPr>
              <w:t>Fra</w:t>
            </w:r>
            <w:r w:rsidRPr="00FC685D">
              <w:rPr>
                <w:noProof/>
                <w:w w:val="1"/>
                <w:vertAlign w:val="superscript"/>
                <w:lang w:val="en-US"/>
              </w:rPr>
              <w:t> </w:t>
            </w:r>
            <w:r w:rsidRPr="00FC685D">
              <w:rPr>
                <w:noProof/>
                <w:lang w:val="en-US"/>
              </w:rPr>
              <w:t>ud risk (fina</w:t>
            </w:r>
            <w:r w:rsidRPr="00FC685D">
              <w:rPr>
                <w:noProof/>
                <w:w w:val="1"/>
                <w:vertAlign w:val="superscript"/>
                <w:lang w:val="en-US"/>
              </w:rPr>
              <w:t> </w:t>
            </w:r>
            <w:r w:rsidRPr="00FC685D">
              <w:rPr>
                <w:noProof/>
                <w:lang w:val="en-US"/>
              </w:rPr>
              <w:t>ncia</w:t>
            </w:r>
            <w:r w:rsidRPr="00FC685D">
              <w:rPr>
                <w:noProof/>
                <w:w w:val="1"/>
                <w:vertAlign w:val="superscript"/>
                <w:lang w:val="en-US"/>
              </w:rPr>
              <w:t> </w:t>
            </w:r>
            <w:r w:rsidRPr="00FC685D">
              <w:rPr>
                <w:noProof/>
                <w:lang w:val="en-US"/>
              </w:rPr>
              <w:t>l pyra</w:t>
            </w:r>
            <w:r w:rsidRPr="00FC685D">
              <w:rPr>
                <w:noProof/>
                <w:w w:val="1"/>
                <w:vertAlign w:val="superscript"/>
                <w:lang w:val="en-US"/>
              </w:rPr>
              <w:t> </w:t>
            </w:r>
            <w:r w:rsidRPr="00FC685D">
              <w:rPr>
                <w:noProof/>
                <w:lang w:val="en-US"/>
              </w:rPr>
              <w:t>mids)</w:t>
            </w:r>
          </w:p>
        </w:tc>
        <w:tc>
          <w:tcPr>
            <w:tcW w:w="0" w:type="auto"/>
          </w:tcPr>
          <w:p w14:paraId="5B570A0D" w14:textId="77777777" w:rsidR="00C86EE4" w:rsidRPr="00FC685D" w:rsidRDefault="00C86EE4" w:rsidP="00C9582F">
            <w:pPr>
              <w:rPr>
                <w:noProof/>
                <w:lang w:val="en-US"/>
              </w:rPr>
            </w:pPr>
            <w:r w:rsidRPr="00FC685D">
              <w:rPr>
                <w:noProof/>
                <w:lang w:val="en-US"/>
              </w:rPr>
              <w:t>No</w:t>
            </w:r>
            <w:r w:rsidRPr="00FC685D">
              <w:rPr>
                <w:noProof/>
                <w:w w:val="1"/>
                <w:vertAlign w:val="superscript"/>
                <w:lang w:val="en-US"/>
              </w:rPr>
              <w:t> </w:t>
            </w:r>
            <w:r w:rsidRPr="00FC685D">
              <w:rPr>
                <w:noProof/>
                <w:lang w:val="en-US"/>
              </w:rPr>
              <w:t xml:space="preserve"> ba</w:t>
            </w:r>
            <w:r w:rsidRPr="00FC685D">
              <w:rPr>
                <w:noProof/>
                <w:w w:val="1"/>
                <w:vertAlign w:val="superscript"/>
                <w:lang w:val="en-US"/>
              </w:rPr>
              <w:t> </w:t>
            </w:r>
            <w:r w:rsidRPr="00FC685D">
              <w:rPr>
                <w:noProof/>
                <w:lang w:val="en-US"/>
              </w:rPr>
              <w:t>rriers to</w:t>
            </w:r>
            <w:r w:rsidRPr="00FC685D">
              <w:rPr>
                <w:noProof/>
                <w:w w:val="1"/>
                <w:vertAlign w:val="superscript"/>
                <w:lang w:val="en-US"/>
              </w:rPr>
              <w:t> </w:t>
            </w:r>
            <w:r w:rsidRPr="00FC685D">
              <w:rPr>
                <w:noProof/>
                <w:lang w:val="en-US"/>
              </w:rPr>
              <w:t xml:space="preserve"> entry</w:t>
            </w:r>
          </w:p>
        </w:tc>
      </w:tr>
      <w:tr w:rsidR="00C86EE4" w:rsidRPr="00D74F7B" w14:paraId="3280544E" w14:textId="50D2F059" w:rsidTr="00175E6F">
        <w:tc>
          <w:tcPr>
            <w:tcW w:w="0" w:type="auto"/>
          </w:tcPr>
          <w:p w14:paraId="15EFE908" w14:textId="77777777" w:rsidR="00C86EE4" w:rsidRPr="00D549EE" w:rsidRDefault="00C86EE4" w:rsidP="00C9582F">
            <w:pPr>
              <w:rPr>
                <w:noProof/>
                <w:lang w:val="en-US"/>
              </w:rPr>
            </w:pPr>
            <w:r w:rsidRPr="00D549EE">
              <w:rPr>
                <w:noProof/>
                <w:lang w:val="en-US"/>
              </w:rPr>
              <w:t>The ma</w:t>
            </w:r>
            <w:r w:rsidRPr="00D549EE">
              <w:rPr>
                <w:noProof/>
                <w:w w:val="1"/>
                <w:vertAlign w:val="superscript"/>
                <w:lang w:val="en-US"/>
              </w:rPr>
              <w:t> </w:t>
            </w:r>
            <w:r w:rsidRPr="00D549EE">
              <w:rPr>
                <w:noProof/>
                <w:lang w:val="en-US"/>
              </w:rPr>
              <w:t>in sha</w:t>
            </w:r>
            <w:r w:rsidRPr="00D549EE">
              <w:rPr>
                <w:noProof/>
                <w:w w:val="1"/>
                <w:vertAlign w:val="superscript"/>
                <w:lang w:val="en-US"/>
              </w:rPr>
              <w:t> </w:t>
            </w:r>
            <w:r w:rsidRPr="00D549EE">
              <w:rPr>
                <w:noProof/>
                <w:lang w:val="en-US"/>
              </w:rPr>
              <w:t>re o</w:t>
            </w:r>
            <w:r w:rsidRPr="00D549EE">
              <w:rPr>
                <w:noProof/>
                <w:w w:val="1"/>
                <w:vertAlign w:val="superscript"/>
                <w:lang w:val="en-US"/>
              </w:rPr>
              <w:t> </w:t>
            </w:r>
            <w:r w:rsidRPr="00D549EE">
              <w:rPr>
                <w:noProof/>
                <w:lang w:val="en-US"/>
              </w:rPr>
              <w:t>f fina</w:t>
            </w:r>
            <w:r w:rsidRPr="00D549EE">
              <w:rPr>
                <w:noProof/>
                <w:w w:val="1"/>
                <w:vertAlign w:val="superscript"/>
                <w:lang w:val="en-US"/>
              </w:rPr>
              <w:t> </w:t>
            </w:r>
            <w:r w:rsidRPr="00D549EE">
              <w:rPr>
                <w:noProof/>
                <w:lang w:val="en-US"/>
              </w:rPr>
              <w:t>ncing fa</w:t>
            </w:r>
            <w:r w:rsidRPr="00D549EE">
              <w:rPr>
                <w:noProof/>
                <w:w w:val="1"/>
                <w:vertAlign w:val="superscript"/>
                <w:lang w:val="en-US"/>
              </w:rPr>
              <w:t> </w:t>
            </w:r>
            <w:r w:rsidRPr="00D549EE">
              <w:rPr>
                <w:noProof/>
                <w:lang w:val="en-US"/>
              </w:rPr>
              <w:t>lls o</w:t>
            </w:r>
            <w:r w:rsidRPr="00D549EE">
              <w:rPr>
                <w:noProof/>
                <w:w w:val="1"/>
                <w:vertAlign w:val="superscript"/>
                <w:lang w:val="en-US"/>
              </w:rPr>
              <w:t> </w:t>
            </w:r>
            <w:r w:rsidRPr="00D549EE">
              <w:rPr>
                <w:noProof/>
                <w:lang w:val="en-US"/>
              </w:rPr>
              <w:t>n individua</w:t>
            </w:r>
            <w:r w:rsidRPr="00D549EE">
              <w:rPr>
                <w:noProof/>
                <w:w w:val="1"/>
                <w:vertAlign w:val="superscript"/>
                <w:lang w:val="en-US"/>
              </w:rPr>
              <w:t> </w:t>
            </w:r>
            <w:r w:rsidRPr="00D549EE">
              <w:rPr>
                <w:noProof/>
                <w:lang w:val="en-US"/>
              </w:rPr>
              <w:t>ls</w:t>
            </w:r>
          </w:p>
        </w:tc>
        <w:tc>
          <w:tcPr>
            <w:tcW w:w="0" w:type="auto"/>
          </w:tcPr>
          <w:p w14:paraId="2FCBA4DC" w14:textId="77777777" w:rsidR="00C86EE4" w:rsidRPr="00FC685D" w:rsidRDefault="00C86EE4" w:rsidP="00C9582F">
            <w:pPr>
              <w:rPr>
                <w:noProof/>
                <w:lang w:val="en-US"/>
              </w:rPr>
            </w:pPr>
            <w:r w:rsidRPr="00FC685D">
              <w:rPr>
                <w:noProof/>
                <w:lang w:val="en-US"/>
              </w:rPr>
              <w:t>Minimum ca</w:t>
            </w:r>
            <w:r w:rsidRPr="00FC685D">
              <w:rPr>
                <w:noProof/>
                <w:w w:val="1"/>
                <w:vertAlign w:val="superscript"/>
                <w:lang w:val="en-US"/>
              </w:rPr>
              <w:t> </w:t>
            </w:r>
            <w:r w:rsidRPr="00FC685D">
              <w:rPr>
                <w:noProof/>
                <w:lang w:val="en-US"/>
              </w:rPr>
              <w:t>pita</w:t>
            </w:r>
            <w:r w:rsidRPr="00FC685D">
              <w:rPr>
                <w:noProof/>
                <w:w w:val="1"/>
                <w:vertAlign w:val="superscript"/>
                <w:lang w:val="en-US"/>
              </w:rPr>
              <w:t> </w:t>
            </w:r>
            <w:r w:rsidRPr="00FC685D">
              <w:rPr>
                <w:noProof/>
                <w:lang w:val="en-US"/>
              </w:rPr>
              <w:t>l co</w:t>
            </w:r>
            <w:r w:rsidRPr="00FC685D">
              <w:rPr>
                <w:noProof/>
                <w:w w:val="1"/>
                <w:vertAlign w:val="superscript"/>
                <w:lang w:val="en-US"/>
              </w:rPr>
              <w:t> </w:t>
            </w:r>
            <w:r w:rsidRPr="00FC685D">
              <w:rPr>
                <w:noProof/>
                <w:lang w:val="en-US"/>
              </w:rPr>
              <w:t>sts</w:t>
            </w:r>
          </w:p>
        </w:tc>
      </w:tr>
      <w:tr w:rsidR="00C86EE4" w:rsidRPr="00D74F7B" w14:paraId="2573912B" w14:textId="175A2B99" w:rsidTr="00175E6F">
        <w:tc>
          <w:tcPr>
            <w:tcW w:w="0" w:type="auto"/>
          </w:tcPr>
          <w:p w14:paraId="002EF9A6" w14:textId="77777777" w:rsidR="00C86EE4" w:rsidRPr="00D549EE" w:rsidRDefault="00C86EE4" w:rsidP="00C9582F">
            <w:pPr>
              <w:rPr>
                <w:noProof/>
                <w:lang w:val="en-US"/>
              </w:rPr>
            </w:pPr>
            <w:r w:rsidRPr="00D549EE">
              <w:rPr>
                <w:noProof/>
                <w:lang w:val="en-US"/>
              </w:rPr>
              <w:t>Imperfectio</w:t>
            </w:r>
            <w:r w:rsidRPr="00D549EE">
              <w:rPr>
                <w:noProof/>
                <w:w w:val="1"/>
                <w:vertAlign w:val="superscript"/>
                <w:lang w:val="en-US"/>
              </w:rPr>
              <w:t> </w:t>
            </w:r>
            <w:r w:rsidRPr="00D549EE">
              <w:rPr>
                <w:noProof/>
                <w:lang w:val="en-US"/>
              </w:rPr>
              <w:t>n o</w:t>
            </w:r>
            <w:r w:rsidRPr="00D549EE">
              <w:rPr>
                <w:noProof/>
                <w:w w:val="1"/>
                <w:vertAlign w:val="superscript"/>
                <w:lang w:val="en-US"/>
              </w:rPr>
              <w:t> </w:t>
            </w:r>
            <w:r w:rsidRPr="00D549EE">
              <w:rPr>
                <w:noProof/>
                <w:lang w:val="en-US"/>
              </w:rPr>
              <w:t>f ta</w:t>
            </w:r>
            <w:r w:rsidRPr="00D549EE">
              <w:rPr>
                <w:noProof/>
                <w:w w:val="1"/>
                <w:vertAlign w:val="superscript"/>
                <w:lang w:val="en-US"/>
              </w:rPr>
              <w:t> </w:t>
            </w:r>
            <w:r w:rsidRPr="00D549EE">
              <w:rPr>
                <w:noProof/>
                <w:lang w:val="en-US"/>
              </w:rPr>
              <w:t>xa</w:t>
            </w:r>
            <w:r w:rsidRPr="00D549EE">
              <w:rPr>
                <w:noProof/>
                <w:w w:val="1"/>
                <w:vertAlign w:val="superscript"/>
                <w:lang w:val="en-US"/>
              </w:rPr>
              <w:t> </w:t>
            </w:r>
            <w:r w:rsidRPr="00D549EE">
              <w:rPr>
                <w:noProof/>
                <w:lang w:val="en-US"/>
              </w:rPr>
              <w:t>tio</w:t>
            </w:r>
            <w:r w:rsidRPr="00D549EE">
              <w:rPr>
                <w:noProof/>
                <w:w w:val="1"/>
                <w:vertAlign w:val="superscript"/>
                <w:lang w:val="en-US"/>
              </w:rPr>
              <w:t> </w:t>
            </w:r>
            <w:r w:rsidRPr="00D549EE">
              <w:rPr>
                <w:noProof/>
                <w:lang w:val="en-US"/>
              </w:rPr>
              <w:t>n, especia</w:t>
            </w:r>
            <w:r w:rsidRPr="00D549EE">
              <w:rPr>
                <w:noProof/>
                <w:w w:val="1"/>
                <w:vertAlign w:val="superscript"/>
                <w:lang w:val="en-US"/>
              </w:rPr>
              <w:t> </w:t>
            </w:r>
            <w:r w:rsidRPr="00D549EE">
              <w:rPr>
                <w:noProof/>
                <w:lang w:val="en-US"/>
              </w:rPr>
              <w:t>lly in terms o</w:t>
            </w:r>
            <w:r w:rsidRPr="00D549EE">
              <w:rPr>
                <w:noProof/>
                <w:w w:val="1"/>
                <w:vertAlign w:val="superscript"/>
                <w:lang w:val="en-US"/>
              </w:rPr>
              <w:t> </w:t>
            </w:r>
            <w:r w:rsidRPr="00D549EE">
              <w:rPr>
                <w:noProof/>
                <w:lang w:val="en-US"/>
              </w:rPr>
              <w:t>f va</w:t>
            </w:r>
            <w:r w:rsidRPr="00D549EE">
              <w:rPr>
                <w:noProof/>
                <w:w w:val="1"/>
                <w:vertAlign w:val="superscript"/>
                <w:lang w:val="en-US"/>
              </w:rPr>
              <w:t> </w:t>
            </w:r>
            <w:r w:rsidRPr="00D549EE">
              <w:rPr>
                <w:noProof/>
                <w:lang w:val="en-US"/>
              </w:rPr>
              <w:t>lue a</w:t>
            </w:r>
            <w:r w:rsidRPr="00D549EE">
              <w:rPr>
                <w:noProof/>
                <w:w w:val="1"/>
                <w:vertAlign w:val="superscript"/>
                <w:lang w:val="en-US"/>
              </w:rPr>
              <w:t> </w:t>
            </w:r>
            <w:r w:rsidRPr="00D549EE">
              <w:rPr>
                <w:noProof/>
                <w:lang w:val="en-US"/>
              </w:rPr>
              <w:t>dded ta</w:t>
            </w:r>
            <w:r w:rsidRPr="00D549EE">
              <w:rPr>
                <w:noProof/>
                <w:w w:val="1"/>
                <w:vertAlign w:val="superscript"/>
                <w:lang w:val="en-US"/>
              </w:rPr>
              <w:t> </w:t>
            </w:r>
            <w:r w:rsidRPr="00D549EE">
              <w:rPr>
                <w:noProof/>
                <w:lang w:val="en-US"/>
              </w:rPr>
              <w:t>x</w:t>
            </w:r>
          </w:p>
        </w:tc>
        <w:tc>
          <w:tcPr>
            <w:tcW w:w="0" w:type="auto"/>
          </w:tcPr>
          <w:p w14:paraId="252C0975" w14:textId="77777777" w:rsidR="00C86EE4" w:rsidRPr="00D549EE" w:rsidRDefault="00C86EE4" w:rsidP="00C9582F">
            <w:pPr>
              <w:rPr>
                <w:noProof/>
                <w:lang w:val="en-US"/>
              </w:rPr>
            </w:pPr>
            <w:r w:rsidRPr="00D549EE">
              <w:rPr>
                <w:noProof/>
                <w:lang w:val="en-US"/>
              </w:rPr>
              <w:t>In mo</w:t>
            </w:r>
            <w:r w:rsidRPr="00D549EE">
              <w:rPr>
                <w:noProof/>
                <w:w w:val="1"/>
                <w:vertAlign w:val="superscript"/>
                <w:lang w:val="en-US"/>
              </w:rPr>
              <w:t> </w:t>
            </w:r>
            <w:r w:rsidRPr="00D549EE">
              <w:rPr>
                <w:noProof/>
                <w:lang w:val="en-US"/>
              </w:rPr>
              <w:t>rtga</w:t>
            </w:r>
            <w:r w:rsidRPr="00D549EE">
              <w:rPr>
                <w:noProof/>
                <w:w w:val="1"/>
                <w:vertAlign w:val="superscript"/>
                <w:lang w:val="en-US"/>
              </w:rPr>
              <w:t> </w:t>
            </w:r>
            <w:r w:rsidRPr="00D549EE">
              <w:rPr>
                <w:noProof/>
                <w:lang w:val="en-US"/>
              </w:rPr>
              <w:t>ge fina</w:t>
            </w:r>
            <w:r w:rsidRPr="00D549EE">
              <w:rPr>
                <w:noProof/>
                <w:w w:val="1"/>
                <w:vertAlign w:val="superscript"/>
                <w:lang w:val="en-US"/>
              </w:rPr>
              <w:t> </w:t>
            </w:r>
            <w:r w:rsidRPr="00D549EE">
              <w:rPr>
                <w:noProof/>
                <w:lang w:val="en-US"/>
              </w:rPr>
              <w:t>ncing, there is the po</w:t>
            </w:r>
            <w:r w:rsidRPr="00D549EE">
              <w:rPr>
                <w:noProof/>
                <w:w w:val="1"/>
                <w:vertAlign w:val="superscript"/>
                <w:lang w:val="en-US"/>
              </w:rPr>
              <w:t> </w:t>
            </w:r>
            <w:r w:rsidRPr="00D549EE">
              <w:rPr>
                <w:noProof/>
                <w:lang w:val="en-US"/>
              </w:rPr>
              <w:t>ssibility o</w:t>
            </w:r>
            <w:r w:rsidRPr="00D549EE">
              <w:rPr>
                <w:noProof/>
                <w:w w:val="1"/>
                <w:vertAlign w:val="superscript"/>
                <w:lang w:val="en-US"/>
              </w:rPr>
              <w:t> </w:t>
            </w:r>
            <w:r w:rsidRPr="00D549EE">
              <w:rPr>
                <w:noProof/>
                <w:lang w:val="en-US"/>
              </w:rPr>
              <w:t>f ea</w:t>
            </w:r>
            <w:r w:rsidRPr="00D549EE">
              <w:rPr>
                <w:noProof/>
                <w:w w:val="1"/>
                <w:vertAlign w:val="superscript"/>
                <w:lang w:val="en-US"/>
              </w:rPr>
              <w:t> </w:t>
            </w:r>
            <w:r w:rsidRPr="00D549EE">
              <w:rPr>
                <w:noProof/>
                <w:lang w:val="en-US"/>
              </w:rPr>
              <w:t>rly redemptio</w:t>
            </w:r>
            <w:r w:rsidRPr="00D549EE">
              <w:rPr>
                <w:noProof/>
                <w:w w:val="1"/>
                <w:vertAlign w:val="superscript"/>
                <w:lang w:val="en-US"/>
              </w:rPr>
              <w:t> </w:t>
            </w:r>
            <w:r w:rsidRPr="00D549EE">
              <w:rPr>
                <w:noProof/>
                <w:lang w:val="en-US"/>
              </w:rPr>
              <w:t>n o</w:t>
            </w:r>
            <w:r w:rsidRPr="00D549EE">
              <w:rPr>
                <w:noProof/>
                <w:w w:val="1"/>
                <w:vertAlign w:val="superscript"/>
                <w:lang w:val="en-US"/>
              </w:rPr>
              <w:t> </w:t>
            </w:r>
            <w:r w:rsidRPr="00D549EE">
              <w:rPr>
                <w:noProof/>
                <w:lang w:val="en-US"/>
              </w:rPr>
              <w:t>f ho</w:t>
            </w:r>
            <w:r w:rsidRPr="00D549EE">
              <w:rPr>
                <w:noProof/>
                <w:w w:val="1"/>
                <w:vertAlign w:val="superscript"/>
                <w:lang w:val="en-US"/>
              </w:rPr>
              <w:t> </w:t>
            </w:r>
            <w:r w:rsidRPr="00D549EE">
              <w:rPr>
                <w:noProof/>
                <w:lang w:val="en-US"/>
              </w:rPr>
              <w:t>using a</w:t>
            </w:r>
            <w:r w:rsidRPr="00D549EE">
              <w:rPr>
                <w:noProof/>
                <w:w w:val="1"/>
                <w:vertAlign w:val="superscript"/>
                <w:lang w:val="en-US"/>
              </w:rPr>
              <w:t> </w:t>
            </w:r>
            <w:r w:rsidRPr="00D549EE">
              <w:rPr>
                <w:noProof/>
                <w:lang w:val="en-US"/>
              </w:rPr>
              <w:t>t a</w:t>
            </w:r>
            <w:r w:rsidRPr="00D549EE">
              <w:rPr>
                <w:noProof/>
                <w:w w:val="1"/>
                <w:vertAlign w:val="superscript"/>
                <w:lang w:val="en-US"/>
              </w:rPr>
              <w:t> </w:t>
            </w:r>
            <w:r w:rsidRPr="00D549EE">
              <w:rPr>
                <w:noProof/>
                <w:lang w:val="en-US"/>
              </w:rPr>
              <w:t xml:space="preserve"> lo</w:t>
            </w:r>
            <w:r w:rsidRPr="00D549EE">
              <w:rPr>
                <w:noProof/>
                <w:w w:val="1"/>
                <w:vertAlign w:val="superscript"/>
                <w:lang w:val="en-US"/>
              </w:rPr>
              <w:t> </w:t>
            </w:r>
            <w:r w:rsidRPr="00D549EE">
              <w:rPr>
                <w:noProof/>
                <w:lang w:val="en-US"/>
              </w:rPr>
              <w:t>wer price.</w:t>
            </w:r>
          </w:p>
        </w:tc>
      </w:tr>
      <w:tr w:rsidR="00C86EE4" w:rsidRPr="00D74F7B" w14:paraId="5E46EF4E" w14:textId="40E3C96B" w:rsidTr="00175E6F">
        <w:tc>
          <w:tcPr>
            <w:tcW w:w="0" w:type="auto"/>
          </w:tcPr>
          <w:p w14:paraId="5D94E14E" w14:textId="77777777" w:rsidR="00C86EE4" w:rsidRPr="00D549EE" w:rsidRDefault="00C86EE4" w:rsidP="00C9582F">
            <w:pPr>
              <w:rPr>
                <w:noProof/>
                <w:lang w:val="en-US"/>
              </w:rPr>
            </w:pPr>
            <w:r w:rsidRPr="00D549EE">
              <w:rPr>
                <w:noProof/>
                <w:lang w:val="en-US"/>
              </w:rPr>
              <w:t>High co</w:t>
            </w:r>
            <w:r w:rsidRPr="00D549EE">
              <w:rPr>
                <w:noProof/>
                <w:w w:val="1"/>
                <w:vertAlign w:val="superscript"/>
                <w:lang w:val="en-US"/>
              </w:rPr>
              <w:t> </w:t>
            </w:r>
            <w:r w:rsidRPr="00D549EE">
              <w:rPr>
                <w:noProof/>
                <w:lang w:val="en-US"/>
              </w:rPr>
              <w:t>sts lea</w:t>
            </w:r>
            <w:r w:rsidRPr="00D549EE">
              <w:rPr>
                <w:noProof/>
                <w:w w:val="1"/>
                <w:vertAlign w:val="superscript"/>
                <w:lang w:val="en-US"/>
              </w:rPr>
              <w:t> </w:t>
            </w:r>
            <w:r w:rsidRPr="00D549EE">
              <w:rPr>
                <w:noProof/>
                <w:lang w:val="en-US"/>
              </w:rPr>
              <w:t>d to</w:t>
            </w:r>
            <w:r w:rsidRPr="00D549EE">
              <w:rPr>
                <w:noProof/>
                <w:w w:val="1"/>
                <w:vertAlign w:val="superscript"/>
                <w:lang w:val="en-US"/>
              </w:rPr>
              <w:t> </w:t>
            </w:r>
            <w:r w:rsidRPr="00D549EE">
              <w:rPr>
                <w:noProof/>
                <w:lang w:val="en-US"/>
              </w:rPr>
              <w:t xml:space="preserve"> higher ra</w:t>
            </w:r>
            <w:r w:rsidRPr="00D549EE">
              <w:rPr>
                <w:noProof/>
                <w:w w:val="1"/>
                <w:vertAlign w:val="superscript"/>
                <w:lang w:val="en-US"/>
              </w:rPr>
              <w:t> </w:t>
            </w:r>
            <w:r w:rsidRPr="00D549EE">
              <w:rPr>
                <w:noProof/>
                <w:lang w:val="en-US"/>
              </w:rPr>
              <w:t>tes o</w:t>
            </w:r>
            <w:r w:rsidRPr="00D549EE">
              <w:rPr>
                <w:noProof/>
                <w:w w:val="1"/>
                <w:vertAlign w:val="superscript"/>
                <w:lang w:val="en-US"/>
              </w:rPr>
              <w:t> </w:t>
            </w:r>
            <w:r w:rsidRPr="00D549EE">
              <w:rPr>
                <w:noProof/>
                <w:lang w:val="en-US"/>
              </w:rPr>
              <w:t>f return a</w:t>
            </w:r>
            <w:r w:rsidRPr="00D549EE">
              <w:rPr>
                <w:noProof/>
                <w:w w:val="1"/>
                <w:vertAlign w:val="superscript"/>
                <w:lang w:val="en-US"/>
              </w:rPr>
              <w:t> </w:t>
            </w:r>
            <w:r w:rsidRPr="00D549EE">
              <w:rPr>
                <w:noProof/>
                <w:lang w:val="en-US"/>
              </w:rPr>
              <w:t>nd debt burden o</w:t>
            </w:r>
            <w:r w:rsidRPr="00D549EE">
              <w:rPr>
                <w:noProof/>
                <w:w w:val="1"/>
                <w:vertAlign w:val="superscript"/>
                <w:lang w:val="en-US"/>
              </w:rPr>
              <w:t> </w:t>
            </w:r>
            <w:r w:rsidRPr="00D549EE">
              <w:rPr>
                <w:noProof/>
                <w:lang w:val="en-US"/>
              </w:rPr>
              <w:t>n custo</w:t>
            </w:r>
            <w:r w:rsidRPr="00D549EE">
              <w:rPr>
                <w:noProof/>
                <w:w w:val="1"/>
                <w:vertAlign w:val="superscript"/>
                <w:lang w:val="en-US"/>
              </w:rPr>
              <w:t> </w:t>
            </w:r>
            <w:r w:rsidRPr="00D549EE">
              <w:rPr>
                <w:noProof/>
                <w:lang w:val="en-US"/>
              </w:rPr>
              <w:t>mers</w:t>
            </w:r>
          </w:p>
        </w:tc>
        <w:tc>
          <w:tcPr>
            <w:tcW w:w="0" w:type="auto"/>
          </w:tcPr>
          <w:p w14:paraId="33946080" w14:textId="77777777" w:rsidR="00C86EE4" w:rsidRPr="00FC685D" w:rsidRDefault="00C86EE4" w:rsidP="00C9582F">
            <w:pPr>
              <w:rPr>
                <w:noProof/>
                <w:lang w:val="en-US"/>
              </w:rPr>
            </w:pPr>
            <w:r w:rsidRPr="00FC685D">
              <w:rPr>
                <w:noProof/>
                <w:lang w:val="en-US"/>
              </w:rPr>
              <w:t>A</w:t>
            </w:r>
            <w:r w:rsidRPr="00FC685D">
              <w:rPr>
                <w:noProof/>
                <w:w w:val="1"/>
                <w:vertAlign w:val="superscript"/>
                <w:lang w:val="en-US"/>
              </w:rPr>
              <w:t> </w:t>
            </w:r>
            <w:r w:rsidRPr="00FC685D">
              <w:rPr>
                <w:noProof/>
                <w:lang w:val="en-US"/>
              </w:rPr>
              <w:t>lterna</w:t>
            </w:r>
            <w:r w:rsidRPr="00FC685D">
              <w:rPr>
                <w:noProof/>
                <w:w w:val="1"/>
                <w:vertAlign w:val="superscript"/>
                <w:lang w:val="en-US"/>
              </w:rPr>
              <w:t> </w:t>
            </w:r>
            <w:r w:rsidRPr="00FC685D">
              <w:rPr>
                <w:noProof/>
                <w:lang w:val="en-US"/>
              </w:rPr>
              <w:t>tive so</w:t>
            </w:r>
            <w:r w:rsidRPr="00FC685D">
              <w:rPr>
                <w:noProof/>
                <w:w w:val="1"/>
                <w:vertAlign w:val="superscript"/>
                <w:lang w:val="en-US"/>
              </w:rPr>
              <w:t> </w:t>
            </w:r>
            <w:r w:rsidRPr="00FC685D">
              <w:rPr>
                <w:noProof/>
                <w:lang w:val="en-US"/>
              </w:rPr>
              <w:t>urce o</w:t>
            </w:r>
            <w:r w:rsidRPr="00FC685D">
              <w:rPr>
                <w:noProof/>
                <w:w w:val="1"/>
                <w:vertAlign w:val="superscript"/>
                <w:lang w:val="en-US"/>
              </w:rPr>
              <w:t> </w:t>
            </w:r>
            <w:r w:rsidRPr="00FC685D">
              <w:rPr>
                <w:noProof/>
                <w:lang w:val="en-US"/>
              </w:rPr>
              <w:t>f funding</w:t>
            </w:r>
          </w:p>
        </w:tc>
      </w:tr>
      <w:tr w:rsidR="00C86EE4" w:rsidRPr="00D74F7B" w14:paraId="5981E028" w14:textId="53814203" w:rsidTr="00175E6F">
        <w:tc>
          <w:tcPr>
            <w:tcW w:w="0" w:type="auto"/>
          </w:tcPr>
          <w:p w14:paraId="62577740" w14:textId="77777777" w:rsidR="00C86EE4" w:rsidRPr="00D549EE" w:rsidRDefault="00C86EE4" w:rsidP="00C9582F">
            <w:pPr>
              <w:rPr>
                <w:noProof/>
                <w:lang w:val="en-US"/>
              </w:rPr>
            </w:pPr>
          </w:p>
        </w:tc>
        <w:tc>
          <w:tcPr>
            <w:tcW w:w="0" w:type="auto"/>
          </w:tcPr>
          <w:p w14:paraId="5086AC03" w14:textId="77777777" w:rsidR="00C86EE4" w:rsidRPr="00D549EE" w:rsidRDefault="00C86EE4" w:rsidP="00C9582F">
            <w:pPr>
              <w:rPr>
                <w:noProof/>
                <w:lang w:val="en-US"/>
              </w:rPr>
            </w:pPr>
            <w:r w:rsidRPr="00D549EE">
              <w:rPr>
                <w:noProof/>
                <w:lang w:val="en-US"/>
              </w:rPr>
              <w:t>Lo</w:t>
            </w:r>
            <w:r w:rsidRPr="00D549EE">
              <w:rPr>
                <w:noProof/>
                <w:w w:val="1"/>
                <w:vertAlign w:val="superscript"/>
                <w:lang w:val="en-US"/>
              </w:rPr>
              <w:t> </w:t>
            </w:r>
            <w:r w:rsidRPr="00D549EE">
              <w:rPr>
                <w:noProof/>
                <w:lang w:val="en-US"/>
              </w:rPr>
              <w:t>wer mo</w:t>
            </w:r>
            <w:r w:rsidRPr="00D549EE">
              <w:rPr>
                <w:noProof/>
                <w:w w:val="1"/>
                <w:vertAlign w:val="superscript"/>
                <w:lang w:val="en-US"/>
              </w:rPr>
              <w:t> </w:t>
            </w:r>
            <w:r w:rsidRPr="00D549EE">
              <w:rPr>
                <w:noProof/>
                <w:lang w:val="en-US"/>
              </w:rPr>
              <w:t>rtga</w:t>
            </w:r>
            <w:r w:rsidRPr="00D549EE">
              <w:rPr>
                <w:noProof/>
                <w:w w:val="1"/>
                <w:vertAlign w:val="superscript"/>
                <w:lang w:val="en-US"/>
              </w:rPr>
              <w:t> </w:t>
            </w:r>
            <w:r w:rsidRPr="00D549EE">
              <w:rPr>
                <w:noProof/>
                <w:lang w:val="en-US"/>
              </w:rPr>
              <w:t>ge fina</w:t>
            </w:r>
            <w:r w:rsidRPr="00D549EE">
              <w:rPr>
                <w:noProof/>
                <w:w w:val="1"/>
                <w:vertAlign w:val="superscript"/>
                <w:lang w:val="en-US"/>
              </w:rPr>
              <w:t> </w:t>
            </w:r>
            <w:r w:rsidRPr="00D549EE">
              <w:rPr>
                <w:noProof/>
                <w:lang w:val="en-US"/>
              </w:rPr>
              <w:t>nce co</w:t>
            </w:r>
            <w:r w:rsidRPr="00D549EE">
              <w:rPr>
                <w:noProof/>
                <w:w w:val="1"/>
                <w:vertAlign w:val="superscript"/>
                <w:lang w:val="en-US"/>
              </w:rPr>
              <w:t> </w:t>
            </w:r>
            <w:r w:rsidRPr="00D549EE">
              <w:rPr>
                <w:noProof/>
                <w:lang w:val="en-US"/>
              </w:rPr>
              <w:t>sts fo</w:t>
            </w:r>
            <w:r w:rsidRPr="00D549EE">
              <w:rPr>
                <w:noProof/>
                <w:w w:val="1"/>
                <w:vertAlign w:val="superscript"/>
                <w:lang w:val="en-US"/>
              </w:rPr>
              <w:t> </w:t>
            </w:r>
            <w:r w:rsidRPr="00D549EE">
              <w:rPr>
                <w:noProof/>
                <w:lang w:val="en-US"/>
              </w:rPr>
              <w:t>r clients</w:t>
            </w:r>
          </w:p>
        </w:tc>
      </w:tr>
      <w:tr w:rsidR="00C86EE4" w:rsidRPr="00D74F7B" w14:paraId="16FB6572" w14:textId="267DD360" w:rsidTr="00175E6F">
        <w:tc>
          <w:tcPr>
            <w:tcW w:w="0" w:type="auto"/>
            <w:gridSpan w:val="2"/>
          </w:tcPr>
          <w:p w14:paraId="33EC9ACC" w14:textId="31050B21" w:rsidR="00C86EE4" w:rsidRPr="00D549EE" w:rsidRDefault="00CC3F2C" w:rsidP="00C9582F">
            <w:pPr>
              <w:rPr>
                <w:noProof/>
                <w:lang w:val="en-US"/>
              </w:rPr>
            </w:pPr>
            <w:r w:rsidRPr="00D549EE">
              <w:rPr>
                <w:lang w:val="en-US"/>
              </w:rPr>
              <w:t xml:space="preserve">        </w:t>
            </w:r>
            <w:r w:rsidR="00C86EE4" w:rsidRPr="00D549EE">
              <w:rPr>
                <w:lang w:val="en-US"/>
              </w:rPr>
              <w:t xml:space="preserve">Note – Compiled by the author </w:t>
            </w:r>
          </w:p>
        </w:tc>
      </w:tr>
    </w:tbl>
    <w:p w14:paraId="60271F38" w14:textId="387BBEA2" w:rsidR="001D0A21" w:rsidRPr="00D549EE" w:rsidRDefault="001D0A21" w:rsidP="00C9582F">
      <w:pPr>
        <w:jc w:val="both"/>
        <w:rPr>
          <w:bCs/>
          <w:color w:val="FF0000"/>
          <w:sz w:val="28"/>
          <w:szCs w:val="28"/>
          <w:shd w:val="clear" w:color="auto" w:fill="FFFFFF"/>
          <w:lang w:val="en-US"/>
        </w:rPr>
      </w:pPr>
    </w:p>
    <w:p w14:paraId="7E4D268A" w14:textId="41098090" w:rsidR="00C86EE4" w:rsidRPr="00D549EE" w:rsidRDefault="00C86EE4" w:rsidP="00C9582F">
      <w:pPr>
        <w:jc w:val="both"/>
        <w:rPr>
          <w:bCs/>
          <w:color w:val="000000" w:themeColor="text1"/>
          <w:sz w:val="28"/>
          <w:szCs w:val="28"/>
          <w:shd w:val="clear" w:color="auto" w:fill="FFFFFF"/>
          <w:lang w:val="en-US"/>
        </w:rPr>
      </w:pPr>
      <w:r w:rsidRPr="00D549EE">
        <w:rPr>
          <w:bCs/>
          <w:color w:val="FF0000"/>
          <w:sz w:val="28"/>
          <w:szCs w:val="28"/>
          <w:shd w:val="clear" w:color="auto" w:fill="FFFFFF"/>
          <w:lang w:val="en-US"/>
        </w:rPr>
        <w:tab/>
      </w:r>
      <w:r w:rsidRPr="00D549EE">
        <w:rPr>
          <w:bCs/>
          <w:color w:val="000000" w:themeColor="text1"/>
          <w:sz w:val="28"/>
          <w:szCs w:val="28"/>
          <w:shd w:val="clear" w:color="auto" w:fill="FFFFFF"/>
          <w:lang w:val="en-US"/>
        </w:rPr>
        <w:t>In this term, there are number of problems which with</w:t>
      </w:r>
      <w:r w:rsidR="005D1FD7" w:rsidRPr="00D549EE">
        <w:rPr>
          <w:bCs/>
          <w:color w:val="000000" w:themeColor="text1"/>
          <w:sz w:val="28"/>
          <w:szCs w:val="28"/>
          <w:shd w:val="clear" w:color="auto" w:fill="FFFFFF"/>
          <w:lang w:val="en-US"/>
        </w:rPr>
        <w:t xml:space="preserve"> </w:t>
      </w:r>
      <w:r w:rsidRPr="00D549EE">
        <w:rPr>
          <w:bCs/>
          <w:color w:val="000000" w:themeColor="text1"/>
          <w:sz w:val="28"/>
          <w:szCs w:val="28"/>
          <w:shd w:val="clear" w:color="auto" w:fill="FFFFFF"/>
          <w:lang w:val="en-US"/>
        </w:rPr>
        <w:t>development of Islamic microfinancing faced to, but benefits are more and directed mainly to the solution social and economic issues for microfinance and population. There is given our analysis of the opportunities building by Islamic microfinancing</w:t>
      </w:r>
      <w:r w:rsidR="00B25838" w:rsidRPr="00D549EE">
        <w:rPr>
          <w:bCs/>
          <w:color w:val="000000" w:themeColor="text1"/>
          <w:sz w:val="28"/>
          <w:szCs w:val="28"/>
          <w:shd w:val="clear" w:color="auto" w:fill="FFFFFF"/>
          <w:lang w:val="en-US"/>
        </w:rPr>
        <w:t xml:space="preserve"> </w:t>
      </w:r>
      <w:r w:rsidR="00B25838" w:rsidRPr="00D549EE">
        <w:rPr>
          <w:bCs/>
          <w:color w:val="000000" w:themeColor="text1"/>
          <w:sz w:val="28"/>
          <w:szCs w:val="28"/>
          <w:shd w:val="clear" w:color="auto" w:fill="FFFFFF"/>
          <w:lang w:val="en-US"/>
        </w:rPr>
        <w:fldChar w:fldCharType="begin" w:fldLock="1"/>
      </w:r>
      <w:r w:rsidR="00CB6E54" w:rsidRPr="00D549EE">
        <w:rPr>
          <w:bCs/>
          <w:color w:val="000000" w:themeColor="text1"/>
          <w:sz w:val="28"/>
          <w:szCs w:val="28"/>
          <w:shd w:val="clear" w:color="auto" w:fill="FFFFFF"/>
          <w:lang w:val="en-US"/>
        </w:rPr>
        <w:instrText>ADDIN CSL_CITATION {"citationItems":[{"id":"ITEM-1","itemData":{"abstract":"The article discusses one of the most widely used by banks in the Muslim East tools of raising funds, called Murabaha. The authors give the different approaches of Sunni and Shiite law schools and reveal the essence of this concept. Special attention is paid to comparison of early medieval Muslim approach of the founders of economic theory to the problem of Murabaha with a modern interpretation of this instrument. The article provides a review of the scientific literature, in which, one way or another, addressed the issue. The authors argue that a revival in discussions of academic economists working on issues of Islamic banking and Murabaha in particular, we had 70-ies of the last century, due to the independence of many countries of the Muslim East. In the article detailed risk analysis is given to a modern Murabaha, which got quite a lot from modern banking operations, especially leasing. Key","author":[{"dropping-particle":"","family":"Kuanova","given":"Laura","non-dropping-particle":"","parse-names":false,"suffix":""},{"dropping-particle":"","family":"Kohakhmed","given":"Zh.","non-dropping-particle":"","parse-names":false,"suffix":""}],"container-title":"Kazakhstan in a Multipolar World: Economic Scenarios","id":"ITEM-1","issue":"April","issued":{"date-parts":[["2019"]]},"page":"333-337","publisher":"Qazaq Universitei","publisher-place":"Almaty","title":"RISK ANALYSIS OF MURABAHA FINANCING AND LEASING","type":"paper-conference"},"uris":["http://www.mendeley.com/documents/?uuid=a7ab8f58-b727-4ced-a4d1-249aea7865b1"]}],"mendeley":{"formattedCitation":"[84]","plainTextFormattedCitation":"[84]","previouslyFormattedCitation":"[84]"},"properties":{"noteIndex":0},"schema":"https://github.com/citation-style-language/schema/raw/master/csl-citation.json"}</w:instrText>
      </w:r>
      <w:r w:rsidR="00B25838" w:rsidRPr="00D549EE">
        <w:rPr>
          <w:bCs/>
          <w:color w:val="000000" w:themeColor="text1"/>
          <w:sz w:val="28"/>
          <w:szCs w:val="28"/>
          <w:shd w:val="clear" w:color="auto" w:fill="FFFFFF"/>
          <w:lang w:val="en-US"/>
        </w:rPr>
        <w:fldChar w:fldCharType="separate"/>
      </w:r>
      <w:r w:rsidR="00B25838" w:rsidRPr="00D549EE">
        <w:rPr>
          <w:bCs/>
          <w:noProof/>
          <w:color w:val="000000" w:themeColor="text1"/>
          <w:sz w:val="28"/>
          <w:szCs w:val="28"/>
          <w:shd w:val="clear" w:color="auto" w:fill="FFFFFF"/>
          <w:lang w:val="en-US"/>
        </w:rPr>
        <w:t>[84]</w:t>
      </w:r>
      <w:r w:rsidR="00B25838" w:rsidRPr="00D549EE">
        <w:rPr>
          <w:bCs/>
          <w:color w:val="000000" w:themeColor="text1"/>
          <w:sz w:val="28"/>
          <w:szCs w:val="28"/>
          <w:shd w:val="clear" w:color="auto" w:fill="FFFFFF"/>
          <w:lang w:val="en-US"/>
        </w:rPr>
        <w:fldChar w:fldCharType="end"/>
      </w:r>
      <w:r w:rsidRPr="00D549EE">
        <w:rPr>
          <w:bCs/>
          <w:color w:val="000000" w:themeColor="text1"/>
          <w:sz w:val="28"/>
          <w:szCs w:val="28"/>
          <w:shd w:val="clear" w:color="auto" w:fill="FFFFFF"/>
          <w:lang w:val="en-US"/>
        </w:rPr>
        <w:t xml:space="preserve">. </w:t>
      </w:r>
    </w:p>
    <w:p w14:paraId="43A419C6" w14:textId="77777777" w:rsidR="00175E6F" w:rsidRPr="00D549EE" w:rsidRDefault="00175E6F" w:rsidP="00C9582F">
      <w:pPr>
        <w:jc w:val="both"/>
        <w:rPr>
          <w:bCs/>
          <w:color w:val="000000" w:themeColor="text1"/>
          <w:sz w:val="28"/>
          <w:szCs w:val="28"/>
          <w:shd w:val="clear" w:color="auto" w:fill="FFFFFF"/>
          <w:lang w:val="en-US"/>
        </w:rPr>
      </w:pPr>
    </w:p>
    <w:p w14:paraId="2507C3DC" w14:textId="7ACA8EB3" w:rsidR="00C86EE4" w:rsidRPr="00D549EE" w:rsidRDefault="00C86EE4" w:rsidP="00C9582F">
      <w:pPr>
        <w:jc w:val="both"/>
        <w:rPr>
          <w:bCs/>
          <w:color w:val="000000" w:themeColor="text1"/>
          <w:sz w:val="28"/>
          <w:szCs w:val="28"/>
          <w:shd w:val="clear" w:color="auto" w:fill="FFFFFF"/>
          <w:lang w:val="en-US"/>
        </w:rPr>
      </w:pPr>
      <w:r w:rsidRPr="00D549EE">
        <w:rPr>
          <w:bCs/>
          <w:color w:val="000000" w:themeColor="text1"/>
          <w:sz w:val="28"/>
          <w:szCs w:val="28"/>
          <w:shd w:val="clear" w:color="auto" w:fill="FFFFFF"/>
          <w:lang w:val="en-US"/>
        </w:rPr>
        <w:t xml:space="preserve">Table </w:t>
      </w:r>
      <w:r w:rsidR="00736E1B" w:rsidRPr="00D549EE">
        <w:rPr>
          <w:noProof/>
          <w:sz w:val="28"/>
          <w:szCs w:val="28"/>
          <w:lang w:val="en-US"/>
        </w:rPr>
        <w:t>10</w:t>
      </w:r>
      <w:r w:rsidR="001A5702" w:rsidRPr="00D549EE">
        <w:rPr>
          <w:noProof/>
          <w:sz w:val="28"/>
          <w:szCs w:val="28"/>
          <w:lang w:val="en-US"/>
        </w:rPr>
        <w:t xml:space="preserve"> </w:t>
      </w:r>
      <w:r w:rsidR="00175E6F" w:rsidRPr="00D549EE">
        <w:rPr>
          <w:lang w:val="en-US"/>
        </w:rPr>
        <w:t>–</w:t>
      </w:r>
      <w:r w:rsidRPr="00D549EE">
        <w:rPr>
          <w:bCs/>
          <w:color w:val="000000" w:themeColor="text1"/>
          <w:sz w:val="28"/>
          <w:szCs w:val="28"/>
          <w:shd w:val="clear" w:color="auto" w:fill="FFFFFF"/>
          <w:lang w:val="en-US"/>
        </w:rPr>
        <w:t xml:space="preserve"> Comparison of the conventional and Islamic microfinancing.</w:t>
      </w:r>
    </w:p>
    <w:p w14:paraId="7ED600AC" w14:textId="77777777" w:rsidR="00C86EE4" w:rsidRPr="00D549EE" w:rsidRDefault="00C86EE4" w:rsidP="00C9582F">
      <w:pPr>
        <w:jc w:val="both"/>
        <w:rPr>
          <w:bCs/>
          <w:color w:val="FF0000"/>
          <w:sz w:val="28"/>
          <w:szCs w:val="28"/>
          <w:shd w:val="clear" w:color="auto" w:fill="FFFFFF"/>
          <w:lang w:val="en-US"/>
        </w:rPr>
      </w:pPr>
    </w:p>
    <w:tbl>
      <w:tblPr>
        <w:tblStyle w:val="a9"/>
        <w:tblW w:w="5000" w:type="pct"/>
        <w:tblLook w:val="04A0" w:firstRow="1" w:lastRow="0" w:firstColumn="1" w:lastColumn="0" w:noHBand="0" w:noVBand="1"/>
      </w:tblPr>
      <w:tblGrid>
        <w:gridCol w:w="5389"/>
        <w:gridCol w:w="4234"/>
      </w:tblGrid>
      <w:tr w:rsidR="00C86EE4" w:rsidRPr="00D549EE" w14:paraId="076A8E7B" w14:textId="77777777" w:rsidTr="00175E6F">
        <w:trPr>
          <w:trHeight w:val="325"/>
        </w:trPr>
        <w:tc>
          <w:tcPr>
            <w:tcW w:w="5000" w:type="pct"/>
            <w:gridSpan w:val="2"/>
          </w:tcPr>
          <w:p w14:paraId="254BCDDF" w14:textId="77777777" w:rsidR="00C86EE4" w:rsidRPr="00D549EE" w:rsidRDefault="00C86EE4" w:rsidP="00C9582F">
            <w:pPr>
              <w:jc w:val="center"/>
              <w:rPr>
                <w:bCs/>
                <w:noProof/>
              </w:rPr>
            </w:pPr>
            <w:r w:rsidRPr="00D549EE">
              <w:rPr>
                <w:bCs/>
                <w:noProof/>
                <w:lang w:val="en-US"/>
              </w:rPr>
              <w:t>O</w:t>
            </w:r>
            <w:r w:rsidRPr="00D549EE">
              <w:rPr>
                <w:bCs/>
                <w:noProof/>
              </w:rPr>
              <w:t>pportunities</w:t>
            </w:r>
          </w:p>
          <w:p w14:paraId="6825A652" w14:textId="77777777" w:rsidR="00C86EE4" w:rsidRPr="00D549EE" w:rsidRDefault="00C86EE4" w:rsidP="00C9582F">
            <w:pPr>
              <w:jc w:val="center"/>
              <w:rPr>
                <w:bCs/>
                <w:noProof/>
              </w:rPr>
            </w:pPr>
          </w:p>
        </w:tc>
      </w:tr>
      <w:tr w:rsidR="00C86EE4" w:rsidRPr="00D549EE" w14:paraId="4D7ED9CF" w14:textId="77777777" w:rsidTr="00C86EE4">
        <w:trPr>
          <w:trHeight w:val="220"/>
        </w:trPr>
        <w:tc>
          <w:tcPr>
            <w:tcW w:w="2800" w:type="pct"/>
          </w:tcPr>
          <w:p w14:paraId="1DE8AD5F" w14:textId="77777777" w:rsidR="00C86EE4" w:rsidRPr="00D549EE" w:rsidRDefault="00C86EE4" w:rsidP="00C9582F">
            <w:pPr>
              <w:jc w:val="center"/>
              <w:rPr>
                <w:bCs/>
                <w:noProof/>
                <w:lang w:val="en-US"/>
              </w:rPr>
            </w:pPr>
            <w:r w:rsidRPr="00D549EE">
              <w:rPr>
                <w:bCs/>
                <w:noProof/>
                <w:lang w:val="en-US"/>
              </w:rPr>
              <w:t>Islamic</w:t>
            </w:r>
          </w:p>
        </w:tc>
        <w:tc>
          <w:tcPr>
            <w:tcW w:w="2200" w:type="pct"/>
          </w:tcPr>
          <w:p w14:paraId="024FE132" w14:textId="77777777" w:rsidR="00C86EE4" w:rsidRPr="00D549EE" w:rsidRDefault="00C86EE4" w:rsidP="00C9582F">
            <w:pPr>
              <w:jc w:val="center"/>
              <w:rPr>
                <w:bCs/>
                <w:noProof/>
                <w:lang w:val="en-US"/>
              </w:rPr>
            </w:pPr>
            <w:r w:rsidRPr="00D549EE">
              <w:rPr>
                <w:bCs/>
                <w:noProof/>
                <w:lang w:val="en-US"/>
              </w:rPr>
              <w:t>Conventional</w:t>
            </w:r>
          </w:p>
        </w:tc>
      </w:tr>
      <w:tr w:rsidR="00C86EE4" w:rsidRPr="00D74F7B" w14:paraId="53D764BB" w14:textId="77777777" w:rsidTr="00C86EE4">
        <w:tc>
          <w:tcPr>
            <w:tcW w:w="2800" w:type="pct"/>
          </w:tcPr>
          <w:p w14:paraId="1676BF35" w14:textId="77777777" w:rsidR="00C86EE4" w:rsidRPr="00D549EE" w:rsidRDefault="00C86EE4" w:rsidP="00C9582F">
            <w:pPr>
              <w:rPr>
                <w:noProof/>
                <w:lang w:val="en-US"/>
              </w:rPr>
            </w:pPr>
            <w:r w:rsidRPr="00D549EE">
              <w:rPr>
                <w:noProof/>
                <w:lang w:val="en-US"/>
              </w:rPr>
              <w:t xml:space="preserve">Profit sharing </w:t>
            </w:r>
          </w:p>
        </w:tc>
        <w:tc>
          <w:tcPr>
            <w:tcW w:w="2200" w:type="pct"/>
          </w:tcPr>
          <w:p w14:paraId="64921909" w14:textId="77777777" w:rsidR="00C86EE4" w:rsidRPr="00D549EE" w:rsidRDefault="00C86EE4" w:rsidP="00C9582F">
            <w:pPr>
              <w:rPr>
                <w:noProof/>
                <w:lang w:val="en-US"/>
              </w:rPr>
            </w:pPr>
            <w:r w:rsidRPr="00D549EE">
              <w:rPr>
                <w:noProof/>
                <w:lang w:val="en-US"/>
              </w:rPr>
              <w:t>Interest payment in any case (defoult)</w:t>
            </w:r>
          </w:p>
        </w:tc>
      </w:tr>
      <w:tr w:rsidR="00C86EE4" w:rsidRPr="00D74F7B" w14:paraId="54AB319A" w14:textId="77777777" w:rsidTr="00C86EE4">
        <w:tc>
          <w:tcPr>
            <w:tcW w:w="2800" w:type="pct"/>
          </w:tcPr>
          <w:p w14:paraId="09403A72" w14:textId="65DFD466" w:rsidR="00C86EE4" w:rsidRPr="00D549EE" w:rsidRDefault="00C86EE4" w:rsidP="00C9582F">
            <w:pPr>
              <w:rPr>
                <w:noProof/>
                <w:lang w:val="en-US"/>
              </w:rPr>
            </w:pPr>
            <w:r w:rsidRPr="00D549EE">
              <w:rPr>
                <w:noProof/>
                <w:lang w:val="en-US"/>
              </w:rPr>
              <w:t>Result-oriented task for microorganozation and financier (bank)</w:t>
            </w:r>
          </w:p>
        </w:tc>
        <w:tc>
          <w:tcPr>
            <w:tcW w:w="2200" w:type="pct"/>
          </w:tcPr>
          <w:p w14:paraId="000ED919" w14:textId="7818A014" w:rsidR="00C86EE4" w:rsidRPr="00D549EE" w:rsidRDefault="00C86EE4" w:rsidP="00C9582F">
            <w:pPr>
              <w:rPr>
                <w:noProof/>
                <w:lang w:val="en-US"/>
              </w:rPr>
            </w:pPr>
            <w:r w:rsidRPr="00D549EE">
              <w:rPr>
                <w:noProof/>
                <w:lang w:val="en-US"/>
              </w:rPr>
              <w:t>Financier (bank) is indifferent to the result</w:t>
            </w:r>
          </w:p>
        </w:tc>
      </w:tr>
      <w:tr w:rsidR="00C86EE4" w:rsidRPr="00D74F7B" w14:paraId="37FDB672" w14:textId="77777777" w:rsidTr="00C86EE4">
        <w:tc>
          <w:tcPr>
            <w:tcW w:w="2800" w:type="pct"/>
          </w:tcPr>
          <w:p w14:paraId="469AD084" w14:textId="77777777" w:rsidR="00C86EE4" w:rsidRPr="00D549EE" w:rsidRDefault="00C86EE4" w:rsidP="00C9582F">
            <w:pPr>
              <w:rPr>
                <w:noProof/>
                <w:lang w:val="en-US"/>
              </w:rPr>
            </w:pPr>
            <w:r w:rsidRPr="00D549EE">
              <w:rPr>
                <w:noProof/>
                <w:lang w:val="en-US"/>
              </w:rPr>
              <w:t xml:space="preserve">Risk sharing </w:t>
            </w:r>
          </w:p>
        </w:tc>
        <w:tc>
          <w:tcPr>
            <w:tcW w:w="2200" w:type="pct"/>
          </w:tcPr>
          <w:p w14:paraId="3C3E2AD3" w14:textId="77777777" w:rsidR="00C86EE4" w:rsidRPr="00D549EE" w:rsidRDefault="00C86EE4" w:rsidP="00C9582F">
            <w:pPr>
              <w:rPr>
                <w:noProof/>
                <w:lang w:val="en-US"/>
              </w:rPr>
            </w:pPr>
            <w:r w:rsidRPr="00D549EE">
              <w:rPr>
                <w:noProof/>
                <w:lang w:val="en-US"/>
              </w:rPr>
              <w:t>Bank hedges risk by shifting to the client</w:t>
            </w:r>
          </w:p>
        </w:tc>
      </w:tr>
      <w:tr w:rsidR="00C86EE4" w:rsidRPr="00D74F7B" w14:paraId="1395651D" w14:textId="77777777" w:rsidTr="00C86EE4">
        <w:tc>
          <w:tcPr>
            <w:tcW w:w="2800" w:type="pct"/>
          </w:tcPr>
          <w:p w14:paraId="1B4D0C6E" w14:textId="53BAC205" w:rsidR="00C86EE4" w:rsidRPr="00D549EE" w:rsidRDefault="00C86EE4" w:rsidP="00C9582F">
            <w:pPr>
              <w:rPr>
                <w:noProof/>
                <w:lang w:val="en-US"/>
              </w:rPr>
            </w:pPr>
            <w:r w:rsidRPr="00D549EE">
              <w:rPr>
                <w:noProof/>
                <w:lang w:val="en-US"/>
              </w:rPr>
              <w:t>Qard-h</w:t>
            </w:r>
            <w:r w:rsidR="00736E1B" w:rsidRPr="00D549EE">
              <w:rPr>
                <w:noProof/>
                <w:lang w:val="en-US"/>
              </w:rPr>
              <w:t>a</w:t>
            </w:r>
            <w:r w:rsidRPr="00D549EE">
              <w:rPr>
                <w:noProof/>
                <w:lang w:val="en-US"/>
              </w:rPr>
              <w:t>san provides financing small and start-up business</w:t>
            </w:r>
          </w:p>
        </w:tc>
        <w:tc>
          <w:tcPr>
            <w:tcW w:w="2200" w:type="pct"/>
          </w:tcPr>
          <w:p w14:paraId="75E2A9B4" w14:textId="77777777" w:rsidR="00C86EE4" w:rsidRPr="00D549EE" w:rsidRDefault="00C86EE4" w:rsidP="00C9582F">
            <w:pPr>
              <w:rPr>
                <w:noProof/>
                <w:lang w:val="en-US"/>
              </w:rPr>
            </w:pPr>
            <w:r w:rsidRPr="00D549EE">
              <w:rPr>
                <w:noProof/>
                <w:lang w:val="en-US"/>
              </w:rPr>
              <w:t>Financing is interest based and must be serving</w:t>
            </w:r>
          </w:p>
        </w:tc>
      </w:tr>
      <w:tr w:rsidR="00C86EE4" w:rsidRPr="00D549EE" w14:paraId="7CC2E9FD" w14:textId="77777777" w:rsidTr="00C86EE4">
        <w:tc>
          <w:tcPr>
            <w:tcW w:w="2800" w:type="pct"/>
          </w:tcPr>
          <w:p w14:paraId="6554D3CA" w14:textId="77777777" w:rsidR="00C86EE4" w:rsidRPr="00D549EE" w:rsidRDefault="00C86EE4" w:rsidP="00C9582F">
            <w:pPr>
              <w:rPr>
                <w:noProof/>
                <w:lang w:val="en-US"/>
              </w:rPr>
            </w:pPr>
            <w:r w:rsidRPr="00D549EE">
              <w:rPr>
                <w:noProof/>
                <w:lang w:val="en-US"/>
              </w:rPr>
              <w:t>Socialy orientated by providing financing to the development business in rural area</w:t>
            </w:r>
          </w:p>
        </w:tc>
        <w:tc>
          <w:tcPr>
            <w:tcW w:w="2200" w:type="pct"/>
          </w:tcPr>
          <w:p w14:paraId="024DC673" w14:textId="77777777" w:rsidR="00C86EE4" w:rsidRPr="00D549EE" w:rsidRDefault="00C86EE4" w:rsidP="00C9582F">
            <w:pPr>
              <w:rPr>
                <w:noProof/>
              </w:rPr>
            </w:pPr>
            <w:r w:rsidRPr="00D549EE">
              <w:rPr>
                <w:noProof/>
                <w:lang w:val="en-US"/>
              </w:rPr>
              <w:t>Financing depends on solvency</w:t>
            </w:r>
          </w:p>
        </w:tc>
      </w:tr>
      <w:tr w:rsidR="00C86EE4" w:rsidRPr="00D549EE" w14:paraId="1F8BF083" w14:textId="77777777" w:rsidTr="00C86EE4">
        <w:tc>
          <w:tcPr>
            <w:tcW w:w="2800" w:type="pct"/>
          </w:tcPr>
          <w:p w14:paraId="5C97824D" w14:textId="77777777" w:rsidR="00C86EE4" w:rsidRPr="00D549EE" w:rsidRDefault="00C86EE4" w:rsidP="00C9582F">
            <w:pPr>
              <w:rPr>
                <w:noProof/>
                <w:lang w:val="en-US"/>
              </w:rPr>
            </w:pPr>
            <w:r w:rsidRPr="00D549EE">
              <w:rPr>
                <w:noProof/>
                <w:lang w:val="en-US"/>
              </w:rPr>
              <w:t xml:space="preserve">Assistance to the business development for needy and poor (qard-hasan, special accounts for charity, zakat) </w:t>
            </w:r>
          </w:p>
        </w:tc>
        <w:tc>
          <w:tcPr>
            <w:tcW w:w="2200" w:type="pct"/>
          </w:tcPr>
          <w:p w14:paraId="3B6EAA66" w14:textId="3BCE2906" w:rsidR="00C86EE4" w:rsidRPr="00D549EE" w:rsidRDefault="005A1EE9" w:rsidP="00C9582F">
            <w:pPr>
              <w:jc w:val="center"/>
              <w:rPr>
                <w:noProof/>
                <w:lang w:val="en-US"/>
              </w:rPr>
            </w:pPr>
            <w:r w:rsidRPr="00D549EE">
              <w:rPr>
                <w:noProof/>
                <w:lang w:val="en-US"/>
              </w:rPr>
              <w:t>No</w:t>
            </w:r>
          </w:p>
        </w:tc>
      </w:tr>
      <w:tr w:rsidR="00C86EE4" w:rsidRPr="00D549EE" w14:paraId="22AF2B81" w14:textId="77777777" w:rsidTr="00C86EE4">
        <w:tc>
          <w:tcPr>
            <w:tcW w:w="2800" w:type="pct"/>
          </w:tcPr>
          <w:p w14:paraId="569682D1" w14:textId="66E74589" w:rsidR="00C86EE4" w:rsidRPr="00D549EE" w:rsidRDefault="00C86EE4" w:rsidP="00C9582F">
            <w:pPr>
              <w:rPr>
                <w:noProof/>
                <w:lang w:val="en-US"/>
              </w:rPr>
            </w:pPr>
            <w:r w:rsidRPr="00D549EE">
              <w:rPr>
                <w:noProof/>
                <w:lang w:val="en-US"/>
              </w:rPr>
              <w:t>Real-asset based finance cerculation</w:t>
            </w:r>
          </w:p>
        </w:tc>
        <w:tc>
          <w:tcPr>
            <w:tcW w:w="2200" w:type="pct"/>
          </w:tcPr>
          <w:p w14:paraId="672572BA" w14:textId="7D53EB7B" w:rsidR="00C86EE4" w:rsidRPr="00D549EE" w:rsidRDefault="00C86EE4" w:rsidP="00C9582F">
            <w:pPr>
              <w:jc w:val="center"/>
              <w:rPr>
                <w:noProof/>
                <w:lang w:val="en-US"/>
              </w:rPr>
            </w:pPr>
            <w:r w:rsidRPr="00D549EE">
              <w:rPr>
                <w:noProof/>
                <w:lang w:val="en-US"/>
              </w:rPr>
              <w:t xml:space="preserve">Debt trading </w:t>
            </w:r>
          </w:p>
        </w:tc>
      </w:tr>
      <w:tr w:rsidR="00C86EE4" w:rsidRPr="00D74F7B" w14:paraId="416705FD" w14:textId="77777777" w:rsidTr="00C86EE4">
        <w:tc>
          <w:tcPr>
            <w:tcW w:w="5000" w:type="pct"/>
            <w:gridSpan w:val="2"/>
          </w:tcPr>
          <w:p w14:paraId="47BD3A01" w14:textId="77B92887" w:rsidR="00C86EE4" w:rsidRPr="00D549EE" w:rsidRDefault="00CC3F2C" w:rsidP="00C9582F">
            <w:pPr>
              <w:jc w:val="left"/>
              <w:rPr>
                <w:noProof/>
                <w:lang w:val="en-US"/>
              </w:rPr>
            </w:pPr>
            <w:r w:rsidRPr="00D549EE">
              <w:rPr>
                <w:noProof/>
                <w:lang w:val="en-US"/>
              </w:rPr>
              <w:t xml:space="preserve">       </w:t>
            </w:r>
            <w:r w:rsidR="00C86EE4" w:rsidRPr="00D549EE">
              <w:rPr>
                <w:noProof/>
                <w:lang w:val="en-US"/>
              </w:rPr>
              <w:t xml:space="preserve">Note </w:t>
            </w:r>
            <w:r w:rsidR="005D1FD7" w:rsidRPr="00D549EE">
              <w:rPr>
                <w:noProof/>
                <w:lang w:val="en-US"/>
              </w:rPr>
              <w:t>–</w:t>
            </w:r>
            <w:r w:rsidR="00C86EE4" w:rsidRPr="00D549EE">
              <w:rPr>
                <w:noProof/>
                <w:lang w:val="en-US"/>
              </w:rPr>
              <w:t xml:space="preserve"> </w:t>
            </w:r>
            <w:r w:rsidR="005D1FD7" w:rsidRPr="00D549EE">
              <w:rPr>
                <w:noProof/>
                <w:lang w:val="en-US"/>
              </w:rPr>
              <w:t>Compiled by the author</w:t>
            </w:r>
          </w:p>
        </w:tc>
      </w:tr>
    </w:tbl>
    <w:p w14:paraId="6E32935A" w14:textId="77777777" w:rsidR="00C86EE4" w:rsidRPr="00D549EE" w:rsidRDefault="00C86EE4" w:rsidP="00C9582F">
      <w:pPr>
        <w:jc w:val="both"/>
        <w:rPr>
          <w:bCs/>
          <w:color w:val="FF0000"/>
          <w:sz w:val="28"/>
          <w:szCs w:val="28"/>
          <w:shd w:val="clear" w:color="auto" w:fill="FFFFFF"/>
          <w:lang w:val="en-US"/>
        </w:rPr>
      </w:pPr>
    </w:p>
    <w:p w14:paraId="54FADB9F" w14:textId="77777777" w:rsidR="00600B59" w:rsidRPr="00600B59" w:rsidRDefault="00E00DF5" w:rsidP="00600B59">
      <w:pPr>
        <w:pStyle w:val="2"/>
        <w:snapToGrid w:val="0"/>
        <w:spacing w:before="75" w:after="375"/>
        <w:contextualSpacing/>
        <w:jc w:val="both"/>
        <w:rPr>
          <w:b w:val="0"/>
          <w:color w:val="000000" w:themeColor="text1"/>
          <w:sz w:val="28"/>
          <w:szCs w:val="28"/>
          <w:lang w:val="en-US"/>
        </w:rPr>
      </w:pPr>
      <w:r w:rsidRPr="00D549EE">
        <w:rPr>
          <w:b w:val="0"/>
          <w:color w:val="000000" w:themeColor="text1"/>
          <w:sz w:val="28"/>
          <w:szCs w:val="28"/>
          <w:lang w:val="en-US"/>
        </w:rPr>
        <w:lastRenderedPageBreak/>
        <w:tab/>
      </w:r>
      <w:r w:rsidR="00600B59" w:rsidRPr="00600B59">
        <w:rPr>
          <w:b w:val="0"/>
          <w:color w:val="000000" w:themeColor="text1"/>
          <w:sz w:val="28"/>
          <w:szCs w:val="28"/>
          <w:lang w:val="en-US"/>
        </w:rPr>
        <w:t xml:space="preserve">Even though Islamic social financial tools and the social component of Islamic finance have been the instruments of poverty and hunger alleviation and the fair wealth distribution in society for a long time, the research and study of the considering issue are limited. Despite that the first Islamic financial contracts were used many years ago, research on Islamic finance became popular only after the financial crisis in 2008, which followed other crises in almost all markets and all countries of the World. It was realized after a literature review of the authors in English, Russian and Kazakh languages from different databases. Most research in this field aims to explore the issues of the Islamic banking area, as an alternative area to the conventional financial industry, the issues of the historical development of Islamic finance in the Muslim and non-Muslim countries. However, research from the social perspectives of Islamic finance, the role of Islamic financial instruments for hanger and poverty alleviation, and the role of Islamic finance in the United Nations Sustainable Development Goals is limited. There are several directions and questions for future development and study.  </w:t>
      </w:r>
    </w:p>
    <w:p w14:paraId="36C83F86" w14:textId="77777777" w:rsidR="00600B59" w:rsidRPr="00600B59" w:rsidRDefault="00600B59" w:rsidP="00600B59">
      <w:pPr>
        <w:pStyle w:val="2"/>
        <w:snapToGrid w:val="0"/>
        <w:spacing w:before="75" w:after="375"/>
        <w:contextualSpacing/>
        <w:jc w:val="both"/>
        <w:rPr>
          <w:b w:val="0"/>
          <w:color w:val="000000" w:themeColor="text1"/>
          <w:sz w:val="28"/>
          <w:szCs w:val="28"/>
          <w:lang w:val="en-US"/>
        </w:rPr>
      </w:pPr>
      <w:r w:rsidRPr="00600B59">
        <w:rPr>
          <w:b w:val="0"/>
          <w:color w:val="000000" w:themeColor="text1"/>
          <w:sz w:val="28"/>
          <w:szCs w:val="28"/>
          <w:lang w:val="en-US"/>
        </w:rPr>
        <w:tab/>
        <w:t>During this study, for classification of the main research in Islamic social finance and finding the future research directions, more than a hundred main research works of scientists studying the issues of Islamic social finance, Waqf, Zakat, and microfinance were analyzed, 31 of which were analyzed by content analysis.</w:t>
      </w:r>
    </w:p>
    <w:p w14:paraId="3B39CC93" w14:textId="77777777" w:rsidR="00600B59" w:rsidRPr="00600B59" w:rsidRDefault="00600B59" w:rsidP="00600B59">
      <w:pPr>
        <w:pStyle w:val="2"/>
        <w:snapToGrid w:val="0"/>
        <w:spacing w:before="75" w:after="375"/>
        <w:contextualSpacing/>
        <w:jc w:val="both"/>
        <w:rPr>
          <w:b w:val="0"/>
          <w:color w:val="000000" w:themeColor="text1"/>
          <w:sz w:val="28"/>
          <w:szCs w:val="28"/>
          <w:lang w:val="en-US"/>
        </w:rPr>
      </w:pPr>
      <w:r w:rsidRPr="00600B59">
        <w:rPr>
          <w:b w:val="0"/>
          <w:color w:val="000000" w:themeColor="text1"/>
          <w:sz w:val="28"/>
          <w:szCs w:val="28"/>
          <w:lang w:val="en-US"/>
        </w:rPr>
        <w:tab/>
        <w:t>According to the content analysis of this research from 1979 to 2020 in the field of Islamic social finance, the authors' focus on the research problem has changed. So, until 2006, the subject of research focused on the description of the basic concepts of Islamic social finance and comparative analysis of the Islamic and traditional economy and financial system. Since 2006, attempts have been made to calculate the potential volume of Islamic Social Finance and the prospects for combating poverty using Islamic social financing tools.</w:t>
      </w:r>
    </w:p>
    <w:p w14:paraId="0992B817" w14:textId="3369F586" w:rsidR="008C7A49" w:rsidRPr="00D549EE" w:rsidRDefault="00600B59" w:rsidP="00600B59">
      <w:pPr>
        <w:pStyle w:val="2"/>
        <w:snapToGrid w:val="0"/>
        <w:spacing w:before="75" w:beforeAutospacing="0" w:after="375" w:afterAutospacing="0"/>
        <w:contextualSpacing/>
        <w:jc w:val="both"/>
        <w:rPr>
          <w:b w:val="0"/>
          <w:color w:val="000000" w:themeColor="text1"/>
          <w:sz w:val="28"/>
          <w:szCs w:val="28"/>
          <w:lang w:val="en-US"/>
        </w:rPr>
      </w:pPr>
      <w:r w:rsidRPr="00600B59">
        <w:rPr>
          <w:b w:val="0"/>
          <w:color w:val="000000" w:themeColor="text1"/>
          <w:sz w:val="28"/>
          <w:szCs w:val="28"/>
          <w:lang w:val="en-US"/>
        </w:rPr>
        <w:tab/>
        <w:t>Our analysis revealed that methodological approaches have changed over time. Studies of an earlier period were based on a historical review and methods of critical review of theoretical materials while studying the modern period using methods of collecting primary and secondary data for empirical research and methods of technical processing and model construction. In addition, research issues have been modernized over time, moving from interpreting the principles and features of Islamic finance and Islamic social finance to overcoming and promoting problems in the economy by Islamic social finance. Since 2006, research has focused on quantifying the potential of Islamic social finance in poverty reduction. The studies conducted from 2011 to 2015 cover the processes of improving the institutional framework for the functioning of Islamic finance. In 2016-2019, along with a critical analysis of Islamic finance, research using modern mathematical modeling tools was increasingly conducted [31, p. 719]. However, it should be considered that attempts to assess the effectiveness of Islamic finance considering the social component have not been made before.</w:t>
      </w:r>
    </w:p>
    <w:p w14:paraId="4B19C893" w14:textId="15772411" w:rsidR="00CE23AC" w:rsidRDefault="00CE23AC" w:rsidP="00C9582F">
      <w:pPr>
        <w:pStyle w:val="2"/>
        <w:snapToGrid w:val="0"/>
        <w:spacing w:before="75" w:beforeAutospacing="0" w:after="375" w:afterAutospacing="0"/>
        <w:contextualSpacing/>
        <w:jc w:val="both"/>
        <w:rPr>
          <w:b w:val="0"/>
          <w:color w:val="000000" w:themeColor="text1"/>
          <w:sz w:val="28"/>
          <w:szCs w:val="28"/>
          <w:lang w:val="en-US"/>
        </w:rPr>
      </w:pPr>
    </w:p>
    <w:p w14:paraId="16AF5886" w14:textId="5FE3D6EF" w:rsidR="00E9221E" w:rsidRDefault="00E9221E" w:rsidP="00C9582F">
      <w:pPr>
        <w:pStyle w:val="2"/>
        <w:snapToGrid w:val="0"/>
        <w:spacing w:before="75" w:beforeAutospacing="0" w:after="375" w:afterAutospacing="0"/>
        <w:contextualSpacing/>
        <w:jc w:val="both"/>
        <w:rPr>
          <w:b w:val="0"/>
          <w:color w:val="000000" w:themeColor="text1"/>
          <w:sz w:val="28"/>
          <w:szCs w:val="28"/>
          <w:lang w:val="en-US"/>
        </w:rPr>
      </w:pPr>
    </w:p>
    <w:p w14:paraId="42B968E3" w14:textId="77777777" w:rsidR="00E9221E" w:rsidRPr="00D549EE" w:rsidRDefault="00E9221E" w:rsidP="00C9582F">
      <w:pPr>
        <w:pStyle w:val="2"/>
        <w:snapToGrid w:val="0"/>
        <w:spacing w:before="75" w:beforeAutospacing="0" w:after="375" w:afterAutospacing="0"/>
        <w:contextualSpacing/>
        <w:jc w:val="both"/>
        <w:rPr>
          <w:b w:val="0"/>
          <w:color w:val="000000" w:themeColor="text1"/>
          <w:sz w:val="28"/>
          <w:szCs w:val="28"/>
          <w:lang w:val="en-US"/>
        </w:rPr>
      </w:pPr>
    </w:p>
    <w:p w14:paraId="5B084CF6" w14:textId="77777777" w:rsidR="00CE23AC" w:rsidRPr="00D549EE" w:rsidRDefault="00CE23AC" w:rsidP="00C9582F">
      <w:pPr>
        <w:pStyle w:val="2"/>
        <w:snapToGrid w:val="0"/>
        <w:spacing w:before="75" w:beforeAutospacing="0" w:after="375" w:afterAutospacing="0"/>
        <w:contextualSpacing/>
        <w:jc w:val="both"/>
        <w:rPr>
          <w:b w:val="0"/>
          <w:color w:val="000000" w:themeColor="text1"/>
          <w:sz w:val="28"/>
          <w:szCs w:val="28"/>
          <w:lang w:val="en-US"/>
        </w:rPr>
      </w:pPr>
    </w:p>
    <w:p w14:paraId="43EF4647" w14:textId="2BE74EC7" w:rsidR="008C7A49" w:rsidRPr="00D549EE" w:rsidRDefault="008C7A49" w:rsidP="00C9582F">
      <w:pPr>
        <w:contextualSpacing/>
        <w:jc w:val="both"/>
        <w:rPr>
          <w:color w:val="000000" w:themeColor="text1"/>
          <w:sz w:val="28"/>
          <w:szCs w:val="28"/>
          <w:lang w:val="en-US"/>
        </w:rPr>
      </w:pPr>
      <w:r w:rsidRPr="00D549EE">
        <w:rPr>
          <w:bCs/>
          <w:color w:val="202122"/>
          <w:sz w:val="28"/>
          <w:szCs w:val="28"/>
          <w:shd w:val="clear" w:color="auto" w:fill="FFFFFF"/>
          <w:lang w:val="en-US"/>
        </w:rPr>
        <w:lastRenderedPageBreak/>
        <w:t>Table</w:t>
      </w:r>
      <w:r w:rsidR="000C72CB" w:rsidRPr="00D549EE">
        <w:rPr>
          <w:noProof/>
          <w:sz w:val="28"/>
          <w:szCs w:val="28"/>
          <w:lang w:val="en-US"/>
        </w:rPr>
        <w:t xml:space="preserve"> </w:t>
      </w:r>
      <w:r w:rsidR="001C5A38" w:rsidRPr="00D549EE">
        <w:rPr>
          <w:noProof/>
          <w:sz w:val="28"/>
          <w:szCs w:val="28"/>
          <w:lang w:val="en-US"/>
        </w:rPr>
        <w:t>1</w:t>
      </w:r>
      <w:r w:rsidR="00736E1B" w:rsidRPr="00D549EE">
        <w:rPr>
          <w:noProof/>
          <w:sz w:val="28"/>
          <w:szCs w:val="28"/>
          <w:lang w:val="en-US"/>
        </w:rPr>
        <w:t>1</w:t>
      </w:r>
      <w:r w:rsidR="000C72CB" w:rsidRPr="00D549EE">
        <w:rPr>
          <w:noProof/>
          <w:sz w:val="28"/>
          <w:szCs w:val="28"/>
          <w:lang w:val="en-US"/>
        </w:rPr>
        <w:t xml:space="preserve"> </w:t>
      </w:r>
      <w:r w:rsidR="000C72CB" w:rsidRPr="00D549EE">
        <w:rPr>
          <w:sz w:val="28"/>
          <w:szCs w:val="28"/>
          <w:lang w:val="en-US"/>
        </w:rPr>
        <w:t xml:space="preserve">– </w:t>
      </w:r>
      <w:r w:rsidRPr="00D549EE">
        <w:rPr>
          <w:color w:val="000000" w:themeColor="text1"/>
          <w:sz w:val="28"/>
          <w:szCs w:val="28"/>
          <w:lang w:val="en-US"/>
        </w:rPr>
        <w:t xml:space="preserve">The methodological approach and main findings overview of the selected studies </w:t>
      </w:r>
      <w:r w:rsidR="0036380C" w:rsidRPr="00D549EE">
        <w:rPr>
          <w:color w:val="000000" w:themeColor="text1"/>
          <w:sz w:val="28"/>
          <w:szCs w:val="28"/>
          <w:lang w:val="en-US"/>
        </w:rPr>
        <w:t>(full version see Appendix</w:t>
      </w:r>
      <w:r w:rsidR="00401772" w:rsidRPr="00D549EE">
        <w:rPr>
          <w:color w:val="000000" w:themeColor="text1"/>
          <w:sz w:val="28"/>
          <w:szCs w:val="28"/>
          <w:lang w:val="en-US"/>
        </w:rPr>
        <w:t xml:space="preserve"> B</w:t>
      </w:r>
      <w:r w:rsidR="0036380C" w:rsidRPr="00D549EE">
        <w:rPr>
          <w:color w:val="000000" w:themeColor="text1"/>
          <w:sz w:val="28"/>
          <w:szCs w:val="28"/>
          <w:lang w:val="en-US"/>
        </w:rPr>
        <w:t>)</w:t>
      </w:r>
    </w:p>
    <w:p w14:paraId="4D67E50A" w14:textId="77777777" w:rsidR="008C7A49" w:rsidRPr="00D549EE" w:rsidRDefault="008C7A49" w:rsidP="00C9582F">
      <w:pPr>
        <w:contextualSpacing/>
        <w:jc w:val="both"/>
        <w:rPr>
          <w:color w:val="000000" w:themeColor="text1"/>
          <w:lang w:val="en-US"/>
        </w:rPr>
      </w:pPr>
    </w:p>
    <w:tbl>
      <w:tblPr>
        <w:tblStyle w:val="a9"/>
        <w:tblW w:w="5000" w:type="pct"/>
        <w:tblLook w:val="04A0" w:firstRow="1" w:lastRow="0" w:firstColumn="1" w:lastColumn="0" w:noHBand="0" w:noVBand="1"/>
      </w:tblPr>
      <w:tblGrid>
        <w:gridCol w:w="1220"/>
        <w:gridCol w:w="1574"/>
        <w:gridCol w:w="3326"/>
        <w:gridCol w:w="3503"/>
      </w:tblGrid>
      <w:tr w:rsidR="0036380C" w:rsidRPr="00D549EE" w14:paraId="7499A718" w14:textId="77777777" w:rsidTr="00BB0268">
        <w:tc>
          <w:tcPr>
            <w:tcW w:w="634" w:type="pct"/>
          </w:tcPr>
          <w:p w14:paraId="25CA82E8"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Amount of research</w:t>
            </w:r>
          </w:p>
        </w:tc>
        <w:tc>
          <w:tcPr>
            <w:tcW w:w="818" w:type="pct"/>
          </w:tcPr>
          <w:p w14:paraId="650CC2B0"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Period</w:t>
            </w:r>
          </w:p>
          <w:p w14:paraId="4FEFD37C" w14:textId="77777777" w:rsidR="0036380C" w:rsidRPr="00D549EE" w:rsidRDefault="0036380C" w:rsidP="00C9582F">
            <w:pPr>
              <w:contextualSpacing/>
              <w:rPr>
                <w:bCs/>
                <w:color w:val="000000" w:themeColor="text1"/>
                <w:sz w:val="20"/>
                <w:szCs w:val="20"/>
                <w:lang w:val="en-US"/>
              </w:rPr>
            </w:pPr>
          </w:p>
        </w:tc>
        <w:tc>
          <w:tcPr>
            <w:tcW w:w="1728" w:type="pct"/>
          </w:tcPr>
          <w:p w14:paraId="5E749D79"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Research methodology</w:t>
            </w:r>
          </w:p>
        </w:tc>
        <w:tc>
          <w:tcPr>
            <w:tcW w:w="1820" w:type="pct"/>
          </w:tcPr>
          <w:p w14:paraId="3ACA0E76"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 xml:space="preserve">Main finding </w:t>
            </w:r>
          </w:p>
        </w:tc>
      </w:tr>
      <w:tr w:rsidR="0036380C" w:rsidRPr="00D549EE" w14:paraId="48E57FC5" w14:textId="77777777" w:rsidTr="00BB0268">
        <w:trPr>
          <w:trHeight w:val="1184"/>
        </w:trPr>
        <w:tc>
          <w:tcPr>
            <w:tcW w:w="634" w:type="pct"/>
          </w:tcPr>
          <w:p w14:paraId="45AC48F1"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7</w:t>
            </w:r>
          </w:p>
        </w:tc>
        <w:tc>
          <w:tcPr>
            <w:tcW w:w="818" w:type="pct"/>
          </w:tcPr>
          <w:p w14:paraId="7D771DE3"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1979-2000</w:t>
            </w:r>
          </w:p>
          <w:p w14:paraId="0CA4C0BB" w14:textId="77777777" w:rsidR="0036380C" w:rsidRPr="00D549EE" w:rsidRDefault="0036380C" w:rsidP="00C9582F">
            <w:pPr>
              <w:contextualSpacing/>
              <w:rPr>
                <w:color w:val="000000" w:themeColor="text1"/>
                <w:sz w:val="20"/>
                <w:szCs w:val="20"/>
                <w:lang w:val="en-US"/>
              </w:rPr>
            </w:pPr>
          </w:p>
          <w:p w14:paraId="2782743E" w14:textId="77777777" w:rsidR="0036380C" w:rsidRPr="00D549EE" w:rsidRDefault="0036380C" w:rsidP="00C9582F">
            <w:pPr>
              <w:contextualSpacing/>
              <w:rPr>
                <w:color w:val="000000" w:themeColor="text1"/>
                <w:sz w:val="20"/>
                <w:szCs w:val="20"/>
                <w:lang w:val="en-US"/>
              </w:rPr>
            </w:pPr>
          </w:p>
          <w:p w14:paraId="52B22BBD" w14:textId="77777777" w:rsidR="0036380C" w:rsidRPr="00D549EE" w:rsidRDefault="0036380C" w:rsidP="00C9582F">
            <w:pPr>
              <w:contextualSpacing/>
              <w:rPr>
                <w:color w:val="000000" w:themeColor="text1"/>
                <w:sz w:val="20"/>
                <w:szCs w:val="20"/>
                <w:lang w:val="en-US"/>
              </w:rPr>
            </w:pPr>
          </w:p>
          <w:p w14:paraId="3900C769" w14:textId="77777777" w:rsidR="0036380C" w:rsidRPr="00D549EE" w:rsidRDefault="0036380C" w:rsidP="00C9582F">
            <w:pPr>
              <w:contextualSpacing/>
              <w:rPr>
                <w:color w:val="000000" w:themeColor="text1"/>
                <w:sz w:val="20"/>
                <w:szCs w:val="20"/>
                <w:lang w:val="en-US"/>
              </w:rPr>
            </w:pPr>
          </w:p>
        </w:tc>
        <w:tc>
          <w:tcPr>
            <w:tcW w:w="1728" w:type="pct"/>
          </w:tcPr>
          <w:p w14:paraId="21462CB3"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Reviewing the literature of the rationalization, explanations and justification of the Islamic Finance</w:t>
            </w:r>
          </w:p>
          <w:p w14:paraId="1E1FE7B8" w14:textId="058D4C40"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Estimation of Zakat potential (z1, z2, z3) for 8 Muslim countries</w:t>
            </w:r>
          </w:p>
        </w:tc>
        <w:tc>
          <w:tcPr>
            <w:tcW w:w="1820" w:type="pct"/>
          </w:tcPr>
          <w:p w14:paraId="4909306C" w14:textId="3ED4ABFF"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The diversified nature of the Islamic financing principles</w:t>
            </w:r>
            <w:r w:rsidR="00BB0268" w:rsidRPr="00D549EE">
              <w:rPr>
                <w:color w:val="000000" w:themeColor="text1"/>
                <w:sz w:val="20"/>
                <w:szCs w:val="20"/>
                <w:lang w:val="en-US"/>
              </w:rPr>
              <w:t>.</w:t>
            </w:r>
          </w:p>
          <w:p w14:paraId="3256D992" w14:textId="20FCCE3F" w:rsidR="0036380C" w:rsidRPr="00D549EE" w:rsidRDefault="00BB0268" w:rsidP="00C9582F">
            <w:pPr>
              <w:contextualSpacing/>
              <w:rPr>
                <w:color w:val="000000" w:themeColor="text1"/>
                <w:sz w:val="20"/>
                <w:szCs w:val="20"/>
                <w:lang w:val="en-US"/>
              </w:rPr>
            </w:pPr>
            <w:r w:rsidRPr="00D549EE">
              <w:rPr>
                <w:color w:val="000000" w:themeColor="text1"/>
                <w:sz w:val="20"/>
                <w:szCs w:val="20"/>
                <w:lang w:val="en-US"/>
              </w:rPr>
              <w:t>P</w:t>
            </w:r>
            <w:r w:rsidR="0036380C" w:rsidRPr="00D549EE">
              <w:rPr>
                <w:color w:val="000000" w:themeColor="text1"/>
                <w:sz w:val="20"/>
                <w:szCs w:val="20"/>
                <w:lang w:val="en-US"/>
              </w:rPr>
              <w:t xml:space="preserve">otential zakat collection amount </w:t>
            </w:r>
          </w:p>
        </w:tc>
      </w:tr>
      <w:tr w:rsidR="0036380C" w:rsidRPr="00D74F7B" w14:paraId="45503067" w14:textId="77777777" w:rsidTr="00BB0268">
        <w:tc>
          <w:tcPr>
            <w:tcW w:w="634" w:type="pct"/>
          </w:tcPr>
          <w:p w14:paraId="276383B8"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5</w:t>
            </w:r>
          </w:p>
        </w:tc>
        <w:tc>
          <w:tcPr>
            <w:tcW w:w="818" w:type="pct"/>
          </w:tcPr>
          <w:p w14:paraId="2FC0EF3B"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2001-2005</w:t>
            </w:r>
          </w:p>
          <w:p w14:paraId="17A6658E" w14:textId="3E67D07E" w:rsidR="00BB0268" w:rsidRPr="00D549EE" w:rsidRDefault="00BB0268" w:rsidP="00C9582F">
            <w:pPr>
              <w:contextualSpacing/>
              <w:rPr>
                <w:color w:val="000000" w:themeColor="text1"/>
                <w:sz w:val="20"/>
                <w:szCs w:val="20"/>
                <w:lang w:val="en-US"/>
              </w:rPr>
            </w:pPr>
          </w:p>
          <w:p w14:paraId="4F4FAEAD" w14:textId="7789C0C9" w:rsidR="0036380C" w:rsidRPr="00D549EE" w:rsidRDefault="0036380C" w:rsidP="00C9582F">
            <w:pPr>
              <w:contextualSpacing/>
              <w:rPr>
                <w:color w:val="000000" w:themeColor="text1"/>
                <w:sz w:val="20"/>
                <w:szCs w:val="20"/>
                <w:lang w:val="en-US"/>
              </w:rPr>
            </w:pPr>
          </w:p>
        </w:tc>
        <w:tc>
          <w:tcPr>
            <w:tcW w:w="1728" w:type="pct"/>
          </w:tcPr>
          <w:p w14:paraId="41206F59"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The historical method of issues analysis of the Waqf system</w:t>
            </w:r>
          </w:p>
          <w:p w14:paraId="2509CA48" w14:textId="3E296DAB"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 xml:space="preserve">Comparative analysis of the Western and Middle Eastern economic system development over time   </w:t>
            </w:r>
          </w:p>
        </w:tc>
        <w:tc>
          <w:tcPr>
            <w:tcW w:w="1820" w:type="pct"/>
          </w:tcPr>
          <w:p w14:paraId="77F56E84" w14:textId="36B06B3E" w:rsidR="0036380C" w:rsidRPr="00D549EE" w:rsidRDefault="00BB0268" w:rsidP="00C9582F">
            <w:pPr>
              <w:contextualSpacing/>
              <w:rPr>
                <w:color w:val="000000" w:themeColor="text1"/>
                <w:sz w:val="20"/>
                <w:szCs w:val="20"/>
                <w:lang w:val="en-US"/>
              </w:rPr>
            </w:pPr>
            <w:r w:rsidRPr="00D549EE">
              <w:rPr>
                <w:color w:val="000000" w:themeColor="text1"/>
                <w:sz w:val="20"/>
                <w:szCs w:val="20"/>
                <w:lang w:val="en-US"/>
              </w:rPr>
              <w:t>R</w:t>
            </w:r>
            <w:r w:rsidR="0036380C" w:rsidRPr="00D549EE">
              <w:rPr>
                <w:color w:val="000000" w:themeColor="text1"/>
                <w:sz w:val="20"/>
                <w:szCs w:val="20"/>
                <w:lang w:val="en-US"/>
              </w:rPr>
              <w:t>ecommendations for overcoming the challenges in the waqf system</w:t>
            </w:r>
            <w:r w:rsidRPr="00D549EE">
              <w:rPr>
                <w:color w:val="000000" w:themeColor="text1"/>
                <w:sz w:val="20"/>
                <w:szCs w:val="20"/>
                <w:lang w:val="en-US"/>
              </w:rPr>
              <w:t xml:space="preserve">, and </w:t>
            </w:r>
            <w:r w:rsidR="0036380C" w:rsidRPr="00D549EE">
              <w:rPr>
                <w:color w:val="000000" w:themeColor="text1"/>
                <w:sz w:val="20"/>
                <w:szCs w:val="20"/>
                <w:lang w:val="en-US"/>
              </w:rPr>
              <w:t>for modernization of economics</w:t>
            </w:r>
          </w:p>
          <w:p w14:paraId="1D9DAF06" w14:textId="290EF713" w:rsidR="0036380C" w:rsidRPr="00D549EE" w:rsidRDefault="0036380C" w:rsidP="00C9582F">
            <w:pPr>
              <w:contextualSpacing/>
              <w:rPr>
                <w:color w:val="000000" w:themeColor="text1"/>
                <w:sz w:val="20"/>
                <w:szCs w:val="20"/>
                <w:lang w:val="en-US"/>
              </w:rPr>
            </w:pPr>
          </w:p>
        </w:tc>
      </w:tr>
      <w:tr w:rsidR="0036380C" w:rsidRPr="00D74F7B" w14:paraId="0106AD05" w14:textId="77777777" w:rsidTr="00BB0268">
        <w:tc>
          <w:tcPr>
            <w:tcW w:w="634" w:type="pct"/>
          </w:tcPr>
          <w:p w14:paraId="305DB43D"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12</w:t>
            </w:r>
          </w:p>
        </w:tc>
        <w:tc>
          <w:tcPr>
            <w:tcW w:w="818" w:type="pct"/>
          </w:tcPr>
          <w:p w14:paraId="15D85351"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2006-2010</w:t>
            </w:r>
          </w:p>
          <w:p w14:paraId="2C7F9DE6" w14:textId="77777777" w:rsidR="0036380C" w:rsidRPr="00D549EE" w:rsidRDefault="0036380C" w:rsidP="00C9582F">
            <w:pPr>
              <w:contextualSpacing/>
              <w:rPr>
                <w:color w:val="000000" w:themeColor="text1"/>
                <w:sz w:val="20"/>
                <w:szCs w:val="20"/>
                <w:lang w:val="en-US"/>
              </w:rPr>
            </w:pPr>
          </w:p>
          <w:p w14:paraId="36D93C59" w14:textId="77777777" w:rsidR="0036380C" w:rsidRPr="00D549EE" w:rsidRDefault="0036380C" w:rsidP="00C9582F">
            <w:pPr>
              <w:contextualSpacing/>
              <w:rPr>
                <w:color w:val="000000" w:themeColor="text1"/>
                <w:sz w:val="20"/>
                <w:szCs w:val="20"/>
                <w:lang w:val="en-US"/>
              </w:rPr>
            </w:pPr>
          </w:p>
        </w:tc>
        <w:tc>
          <w:tcPr>
            <w:tcW w:w="1728" w:type="pct"/>
          </w:tcPr>
          <w:p w14:paraId="06636341" w14:textId="566103D3"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 xml:space="preserve">Estimation of the resource shortfalls and Zakat potential collection </w:t>
            </w:r>
          </w:p>
          <w:p w14:paraId="2DE37AD3" w14:textId="77777777" w:rsidR="0036380C" w:rsidRPr="00D549EE" w:rsidRDefault="0036380C" w:rsidP="00C9582F">
            <w:pPr>
              <w:rPr>
                <w:color w:val="000000" w:themeColor="text1"/>
                <w:sz w:val="20"/>
                <w:szCs w:val="20"/>
                <w:lang w:val="en-US"/>
              </w:rPr>
            </w:pPr>
          </w:p>
          <w:p w14:paraId="454FDCB9" w14:textId="62DC9329" w:rsidR="0036380C" w:rsidRPr="00D549EE" w:rsidRDefault="0036380C" w:rsidP="00C9582F">
            <w:pPr>
              <w:rPr>
                <w:color w:val="000000" w:themeColor="text1"/>
                <w:sz w:val="20"/>
                <w:szCs w:val="20"/>
                <w:lang w:val="en-US"/>
              </w:rPr>
            </w:pPr>
            <w:r w:rsidRPr="00D549EE">
              <w:rPr>
                <w:color w:val="000000" w:themeColor="text1"/>
                <w:sz w:val="20"/>
                <w:szCs w:val="20"/>
                <w:lang w:val="en-US"/>
              </w:rPr>
              <w:t xml:space="preserve">Analytical approach to the growth of Syariah-compliant finance </w:t>
            </w:r>
          </w:p>
        </w:tc>
        <w:tc>
          <w:tcPr>
            <w:tcW w:w="1820" w:type="pct"/>
          </w:tcPr>
          <w:p w14:paraId="05D468FB" w14:textId="79A89D02"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 xml:space="preserve"> Z collection cannot be enough for poverty reducing in the last 16 poorest countries</w:t>
            </w:r>
            <w:r w:rsidR="00BB0268" w:rsidRPr="00D549EE">
              <w:rPr>
                <w:color w:val="000000" w:themeColor="text1"/>
                <w:sz w:val="20"/>
                <w:szCs w:val="20"/>
                <w:lang w:val="en-US"/>
              </w:rPr>
              <w:t>.</w:t>
            </w:r>
          </w:p>
          <w:p w14:paraId="59E9FFC9" w14:textId="549C3E2D"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Development a triadic model of religiously-inspired charity</w:t>
            </w:r>
          </w:p>
        </w:tc>
      </w:tr>
      <w:tr w:rsidR="0036380C" w:rsidRPr="00D74F7B" w14:paraId="265E2CC8" w14:textId="77777777" w:rsidTr="00BB0268">
        <w:tc>
          <w:tcPr>
            <w:tcW w:w="634" w:type="pct"/>
          </w:tcPr>
          <w:p w14:paraId="78285AFA"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54</w:t>
            </w:r>
          </w:p>
        </w:tc>
        <w:tc>
          <w:tcPr>
            <w:tcW w:w="818" w:type="pct"/>
          </w:tcPr>
          <w:p w14:paraId="3F371192"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2011-2015</w:t>
            </w:r>
          </w:p>
          <w:p w14:paraId="0E96C0E9" w14:textId="77777777" w:rsidR="0036380C" w:rsidRPr="00D549EE" w:rsidRDefault="0036380C" w:rsidP="00C9582F">
            <w:pPr>
              <w:contextualSpacing/>
              <w:rPr>
                <w:color w:val="000000" w:themeColor="text1"/>
                <w:sz w:val="20"/>
                <w:szCs w:val="20"/>
                <w:lang w:val="en-US"/>
              </w:rPr>
            </w:pPr>
          </w:p>
        </w:tc>
        <w:tc>
          <w:tcPr>
            <w:tcW w:w="1728" w:type="pct"/>
          </w:tcPr>
          <w:p w14:paraId="0F3CA310" w14:textId="69A96169" w:rsidR="0036380C" w:rsidRPr="00D549EE" w:rsidRDefault="00BB0268" w:rsidP="00C9582F">
            <w:pPr>
              <w:contextualSpacing/>
              <w:rPr>
                <w:color w:val="000000" w:themeColor="text1"/>
                <w:sz w:val="20"/>
                <w:szCs w:val="20"/>
                <w:lang w:val="en-US"/>
              </w:rPr>
            </w:pPr>
            <w:r w:rsidRPr="00D549EE">
              <w:rPr>
                <w:color w:val="000000" w:themeColor="text1"/>
                <w:sz w:val="20"/>
                <w:szCs w:val="20"/>
                <w:lang w:val="en-US"/>
              </w:rPr>
              <w:t>I</w:t>
            </w:r>
            <w:r w:rsidR="0036380C" w:rsidRPr="00D549EE">
              <w:rPr>
                <w:color w:val="000000" w:themeColor="text1"/>
                <w:sz w:val="20"/>
                <w:szCs w:val="20"/>
                <w:lang w:val="en-US"/>
              </w:rPr>
              <w:t>nternational regulatory framework for the Islamic finance construction, assessment, and regulation</w:t>
            </w:r>
          </w:p>
        </w:tc>
        <w:tc>
          <w:tcPr>
            <w:tcW w:w="1820" w:type="pct"/>
          </w:tcPr>
          <w:p w14:paraId="1963D7E5" w14:textId="220AEB7D"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Identification of the new perspectives on IF from the latter's encounter with social constructivism</w:t>
            </w:r>
          </w:p>
        </w:tc>
      </w:tr>
      <w:tr w:rsidR="0036380C" w:rsidRPr="00D74F7B" w14:paraId="6CA4A8C5" w14:textId="77777777" w:rsidTr="00BB0268">
        <w:tc>
          <w:tcPr>
            <w:tcW w:w="634" w:type="pct"/>
          </w:tcPr>
          <w:p w14:paraId="05E8BE2A"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46</w:t>
            </w:r>
          </w:p>
        </w:tc>
        <w:tc>
          <w:tcPr>
            <w:tcW w:w="818" w:type="pct"/>
          </w:tcPr>
          <w:p w14:paraId="4CD40C00"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2016</w:t>
            </w:r>
          </w:p>
          <w:p w14:paraId="3B9CC191" w14:textId="77777777" w:rsidR="0036380C" w:rsidRPr="00D549EE" w:rsidRDefault="0036380C" w:rsidP="00C9582F">
            <w:pPr>
              <w:contextualSpacing/>
              <w:rPr>
                <w:color w:val="000000" w:themeColor="text1"/>
                <w:sz w:val="20"/>
                <w:szCs w:val="20"/>
                <w:lang w:val="en-US"/>
              </w:rPr>
            </w:pPr>
          </w:p>
          <w:p w14:paraId="07BAB03F" w14:textId="17F8D4EF" w:rsidR="0036380C" w:rsidRPr="00D549EE" w:rsidRDefault="0036380C" w:rsidP="00C9582F">
            <w:pPr>
              <w:contextualSpacing/>
              <w:rPr>
                <w:color w:val="000000" w:themeColor="text1"/>
                <w:sz w:val="20"/>
                <w:szCs w:val="20"/>
                <w:lang w:val="en-US"/>
              </w:rPr>
            </w:pPr>
          </w:p>
        </w:tc>
        <w:tc>
          <w:tcPr>
            <w:tcW w:w="1728" w:type="pct"/>
          </w:tcPr>
          <w:p w14:paraId="6FBA8674" w14:textId="3239CEB5" w:rsidR="0036380C" w:rsidRPr="00D549EE" w:rsidRDefault="0036380C" w:rsidP="00C9582F">
            <w:pPr>
              <w:rPr>
                <w:color w:val="000000" w:themeColor="text1"/>
                <w:sz w:val="20"/>
                <w:szCs w:val="20"/>
                <w:lang w:val="en-US"/>
              </w:rPr>
            </w:pPr>
            <w:r w:rsidRPr="00D549EE">
              <w:rPr>
                <w:color w:val="000000" w:themeColor="text1"/>
                <w:sz w:val="20"/>
                <w:szCs w:val="20"/>
                <w:lang w:val="en-US"/>
              </w:rPr>
              <w:t>Qualitative analysis of the links between financial inclusion and the Islamic financial services industry in Muslim countries</w:t>
            </w:r>
          </w:p>
        </w:tc>
        <w:tc>
          <w:tcPr>
            <w:tcW w:w="1820" w:type="pct"/>
          </w:tcPr>
          <w:p w14:paraId="639BD76F" w14:textId="3B010C18"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An inclusive IFP framework identification by using the notion of a hierarchy of needs and a financial planning model</w:t>
            </w:r>
          </w:p>
        </w:tc>
      </w:tr>
      <w:tr w:rsidR="0036380C" w:rsidRPr="00D74F7B" w14:paraId="2CA21E9D" w14:textId="77777777" w:rsidTr="00BB0268">
        <w:tc>
          <w:tcPr>
            <w:tcW w:w="634" w:type="pct"/>
          </w:tcPr>
          <w:p w14:paraId="03EB798B"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69</w:t>
            </w:r>
          </w:p>
        </w:tc>
        <w:tc>
          <w:tcPr>
            <w:tcW w:w="818" w:type="pct"/>
          </w:tcPr>
          <w:p w14:paraId="7BA2733A"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2017</w:t>
            </w:r>
          </w:p>
          <w:p w14:paraId="5AD782D9" w14:textId="77777777" w:rsidR="0036380C" w:rsidRPr="00D549EE" w:rsidRDefault="0036380C" w:rsidP="00C9582F">
            <w:pPr>
              <w:contextualSpacing/>
              <w:rPr>
                <w:color w:val="000000" w:themeColor="text1"/>
                <w:sz w:val="20"/>
                <w:szCs w:val="20"/>
                <w:lang w:val="en-US"/>
              </w:rPr>
            </w:pPr>
          </w:p>
          <w:p w14:paraId="18C3A5C9" w14:textId="77777777" w:rsidR="0036380C" w:rsidRPr="00D549EE" w:rsidRDefault="0036380C" w:rsidP="00C9582F">
            <w:pPr>
              <w:contextualSpacing/>
              <w:rPr>
                <w:color w:val="000000" w:themeColor="text1"/>
                <w:sz w:val="20"/>
                <w:szCs w:val="20"/>
                <w:lang w:val="en-US"/>
              </w:rPr>
            </w:pPr>
          </w:p>
          <w:p w14:paraId="24BBD987" w14:textId="77777777" w:rsidR="0036380C" w:rsidRPr="00D549EE" w:rsidRDefault="0036380C" w:rsidP="00C9582F">
            <w:pPr>
              <w:contextualSpacing/>
              <w:rPr>
                <w:color w:val="000000" w:themeColor="text1"/>
                <w:sz w:val="20"/>
                <w:szCs w:val="20"/>
                <w:lang w:val="en-US"/>
              </w:rPr>
            </w:pPr>
          </w:p>
          <w:p w14:paraId="5594CAC9" w14:textId="77777777" w:rsidR="0036380C" w:rsidRPr="00D549EE" w:rsidRDefault="0036380C" w:rsidP="00C9582F">
            <w:pPr>
              <w:contextualSpacing/>
              <w:rPr>
                <w:color w:val="000000" w:themeColor="text1"/>
                <w:sz w:val="20"/>
                <w:szCs w:val="20"/>
                <w:lang w:val="en-US"/>
              </w:rPr>
            </w:pPr>
          </w:p>
          <w:p w14:paraId="5D5E58DD" w14:textId="77777777" w:rsidR="0036380C" w:rsidRPr="00D549EE" w:rsidRDefault="0036380C" w:rsidP="00C9582F">
            <w:pPr>
              <w:contextualSpacing/>
              <w:rPr>
                <w:color w:val="000000" w:themeColor="text1"/>
                <w:sz w:val="20"/>
                <w:szCs w:val="20"/>
                <w:lang w:val="en-US"/>
              </w:rPr>
            </w:pPr>
          </w:p>
        </w:tc>
        <w:tc>
          <w:tcPr>
            <w:tcW w:w="1728" w:type="pct"/>
          </w:tcPr>
          <w:p w14:paraId="36F4146D" w14:textId="27F6A4DA" w:rsidR="0036380C" w:rsidRPr="00D549EE" w:rsidRDefault="0036380C" w:rsidP="00C9582F">
            <w:pPr>
              <w:rPr>
                <w:color w:val="000000" w:themeColor="text1"/>
                <w:lang w:val="en-US"/>
              </w:rPr>
            </w:pPr>
            <w:r w:rsidRPr="00D549EE">
              <w:rPr>
                <w:color w:val="000000" w:themeColor="text1"/>
                <w:sz w:val="20"/>
                <w:szCs w:val="20"/>
                <w:shd w:val="clear" w:color="auto" w:fill="FFFFFF"/>
                <w:lang w:val="en-US"/>
              </w:rPr>
              <w:t>A multivariate data analysis (1806), a clustered regression (82 banks), and unbiased t-statistics</w:t>
            </w:r>
          </w:p>
        </w:tc>
        <w:tc>
          <w:tcPr>
            <w:tcW w:w="1820" w:type="pct"/>
          </w:tcPr>
          <w:p w14:paraId="0B649483" w14:textId="3C1F046E" w:rsidR="0036380C" w:rsidRPr="00D549EE" w:rsidRDefault="0036380C" w:rsidP="00C9582F">
            <w:pPr>
              <w:rPr>
                <w:color w:val="000000" w:themeColor="text1"/>
                <w:sz w:val="20"/>
                <w:szCs w:val="20"/>
                <w:shd w:val="clear" w:color="auto" w:fill="FFFFFF"/>
                <w:lang w:val="en-US"/>
              </w:rPr>
            </w:pPr>
            <w:r w:rsidRPr="00D549EE">
              <w:rPr>
                <w:color w:val="000000" w:themeColor="text1"/>
                <w:sz w:val="20"/>
                <w:szCs w:val="20"/>
                <w:shd w:val="clear" w:color="auto" w:fill="FFFFFF"/>
                <w:lang w:val="en-US"/>
              </w:rPr>
              <w:t>The large corporate boards and large SSBs are more efficient in dealing with different monitoring and advisory roles than small SSBs</w:t>
            </w:r>
          </w:p>
        </w:tc>
      </w:tr>
      <w:tr w:rsidR="0036380C" w:rsidRPr="00D74F7B" w14:paraId="2F41748B" w14:textId="77777777" w:rsidTr="00BB0268">
        <w:tc>
          <w:tcPr>
            <w:tcW w:w="634" w:type="pct"/>
          </w:tcPr>
          <w:p w14:paraId="627D2947"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91</w:t>
            </w:r>
          </w:p>
        </w:tc>
        <w:tc>
          <w:tcPr>
            <w:tcW w:w="818" w:type="pct"/>
          </w:tcPr>
          <w:p w14:paraId="76A56421"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2018</w:t>
            </w:r>
          </w:p>
          <w:p w14:paraId="75DEDE08" w14:textId="77777777" w:rsidR="0036380C" w:rsidRPr="00D549EE" w:rsidRDefault="0036380C" w:rsidP="00C9582F">
            <w:pPr>
              <w:contextualSpacing/>
              <w:rPr>
                <w:color w:val="000000" w:themeColor="text1"/>
                <w:sz w:val="20"/>
                <w:szCs w:val="20"/>
                <w:lang w:val="en-US"/>
              </w:rPr>
            </w:pPr>
          </w:p>
          <w:p w14:paraId="01F8BC91" w14:textId="77777777" w:rsidR="0036380C" w:rsidRPr="00D549EE" w:rsidRDefault="0036380C" w:rsidP="00C9582F">
            <w:pPr>
              <w:contextualSpacing/>
              <w:rPr>
                <w:color w:val="000000" w:themeColor="text1"/>
                <w:sz w:val="20"/>
                <w:szCs w:val="20"/>
                <w:lang w:val="en-US"/>
              </w:rPr>
            </w:pPr>
          </w:p>
          <w:p w14:paraId="3E66AA44" w14:textId="77777777" w:rsidR="0036380C" w:rsidRPr="00D549EE" w:rsidRDefault="0036380C" w:rsidP="00C9582F">
            <w:pPr>
              <w:contextualSpacing/>
              <w:rPr>
                <w:color w:val="000000" w:themeColor="text1"/>
                <w:sz w:val="20"/>
                <w:szCs w:val="20"/>
                <w:lang w:val="en-US"/>
              </w:rPr>
            </w:pPr>
          </w:p>
          <w:p w14:paraId="039ED743" w14:textId="77777777" w:rsidR="0036380C" w:rsidRPr="00D549EE" w:rsidRDefault="0036380C" w:rsidP="00C9582F">
            <w:pPr>
              <w:contextualSpacing/>
              <w:rPr>
                <w:color w:val="000000" w:themeColor="text1"/>
                <w:sz w:val="20"/>
                <w:szCs w:val="20"/>
                <w:lang w:val="en-US"/>
              </w:rPr>
            </w:pPr>
          </w:p>
          <w:p w14:paraId="5507D8F2" w14:textId="63CCDF10" w:rsidR="0036380C" w:rsidRPr="00D549EE" w:rsidRDefault="0036380C" w:rsidP="00C9582F">
            <w:pPr>
              <w:contextualSpacing/>
              <w:rPr>
                <w:color w:val="000000" w:themeColor="text1"/>
                <w:sz w:val="20"/>
                <w:szCs w:val="20"/>
                <w:lang w:val="en-US"/>
              </w:rPr>
            </w:pPr>
          </w:p>
        </w:tc>
        <w:tc>
          <w:tcPr>
            <w:tcW w:w="1728" w:type="pct"/>
          </w:tcPr>
          <w:p w14:paraId="71166B3A" w14:textId="21172E8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Assessment of the SBs issues related to competence, effectiveness and independence by Malaysian Shariah Governance Framework (SGF), qualitative analysis by interviewing SB members.</w:t>
            </w:r>
          </w:p>
        </w:tc>
        <w:tc>
          <w:tcPr>
            <w:tcW w:w="1820" w:type="pct"/>
          </w:tcPr>
          <w:p w14:paraId="041C7454"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The necessity to the establishment of external religious auditors to render compliance assurance</w:t>
            </w:r>
          </w:p>
          <w:p w14:paraId="52A76F7D" w14:textId="77777777" w:rsidR="0036380C" w:rsidRPr="00D549EE" w:rsidRDefault="0036380C" w:rsidP="00C9582F">
            <w:pPr>
              <w:contextualSpacing/>
              <w:rPr>
                <w:color w:val="000000" w:themeColor="text1"/>
                <w:sz w:val="20"/>
                <w:szCs w:val="20"/>
                <w:lang w:val="en-US"/>
              </w:rPr>
            </w:pPr>
          </w:p>
          <w:p w14:paraId="7C6CF85B" w14:textId="77777777" w:rsidR="0036380C" w:rsidRPr="00D549EE" w:rsidRDefault="0036380C" w:rsidP="00C9582F">
            <w:pPr>
              <w:contextualSpacing/>
              <w:rPr>
                <w:color w:val="000000" w:themeColor="text1"/>
                <w:sz w:val="20"/>
                <w:szCs w:val="20"/>
                <w:lang w:val="en-US"/>
              </w:rPr>
            </w:pPr>
          </w:p>
          <w:p w14:paraId="7B80B51D" w14:textId="77777777" w:rsidR="0036380C" w:rsidRPr="00D549EE" w:rsidRDefault="0036380C" w:rsidP="00C9582F">
            <w:pPr>
              <w:contextualSpacing/>
              <w:rPr>
                <w:color w:val="000000" w:themeColor="text1"/>
                <w:sz w:val="20"/>
                <w:szCs w:val="20"/>
                <w:lang w:val="en-US"/>
              </w:rPr>
            </w:pPr>
          </w:p>
          <w:p w14:paraId="4DF44680" w14:textId="77777777" w:rsidR="0036380C" w:rsidRPr="00D549EE" w:rsidRDefault="0036380C" w:rsidP="00C9582F">
            <w:pPr>
              <w:contextualSpacing/>
              <w:rPr>
                <w:color w:val="000000" w:themeColor="text1"/>
                <w:sz w:val="20"/>
                <w:szCs w:val="20"/>
                <w:lang w:val="en-US"/>
              </w:rPr>
            </w:pPr>
          </w:p>
        </w:tc>
      </w:tr>
      <w:tr w:rsidR="0036380C" w:rsidRPr="00D74F7B" w14:paraId="37FA3E11" w14:textId="77777777" w:rsidTr="00BB0268">
        <w:tc>
          <w:tcPr>
            <w:tcW w:w="634" w:type="pct"/>
          </w:tcPr>
          <w:p w14:paraId="7D20BC61" w14:textId="77777777" w:rsidR="0036380C" w:rsidRPr="00D549EE" w:rsidRDefault="0036380C" w:rsidP="00C9582F">
            <w:pPr>
              <w:contextualSpacing/>
              <w:rPr>
                <w:bCs/>
                <w:color w:val="000000" w:themeColor="text1"/>
                <w:sz w:val="20"/>
                <w:szCs w:val="20"/>
                <w:lang w:val="en-US"/>
              </w:rPr>
            </w:pPr>
            <w:r w:rsidRPr="00D549EE">
              <w:rPr>
                <w:bCs/>
                <w:color w:val="000000" w:themeColor="text1"/>
                <w:sz w:val="20"/>
                <w:szCs w:val="20"/>
                <w:lang w:val="en-US"/>
              </w:rPr>
              <w:t>70</w:t>
            </w:r>
          </w:p>
        </w:tc>
        <w:tc>
          <w:tcPr>
            <w:tcW w:w="818" w:type="pct"/>
          </w:tcPr>
          <w:p w14:paraId="6BE7C4CE" w14:textId="7777777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2019</w:t>
            </w:r>
          </w:p>
          <w:p w14:paraId="6592D750" w14:textId="1160BE26" w:rsidR="0036380C" w:rsidRPr="00D549EE" w:rsidRDefault="0036380C" w:rsidP="00C9582F">
            <w:pPr>
              <w:contextualSpacing/>
              <w:rPr>
                <w:color w:val="000000" w:themeColor="text1"/>
                <w:sz w:val="20"/>
                <w:szCs w:val="20"/>
                <w:lang w:val="en-US"/>
              </w:rPr>
            </w:pPr>
          </w:p>
        </w:tc>
        <w:tc>
          <w:tcPr>
            <w:tcW w:w="1728" w:type="pct"/>
          </w:tcPr>
          <w:p w14:paraId="78DC73B1" w14:textId="476B67C2" w:rsidR="0036380C" w:rsidRPr="00D549EE" w:rsidRDefault="0036380C" w:rsidP="00C9582F">
            <w:pPr>
              <w:rPr>
                <w:color w:val="000000" w:themeColor="text1"/>
                <w:sz w:val="20"/>
                <w:szCs w:val="20"/>
                <w:shd w:val="clear" w:color="auto" w:fill="FFFFFF"/>
                <w:lang w:val="en-US"/>
              </w:rPr>
            </w:pPr>
            <w:r w:rsidRPr="00D549EE">
              <w:rPr>
                <w:color w:val="000000" w:themeColor="text1"/>
                <w:sz w:val="20"/>
                <w:szCs w:val="20"/>
                <w:shd w:val="clear" w:color="auto" w:fill="FFFFFF"/>
                <w:lang w:val="en-US"/>
              </w:rPr>
              <w:t>The structural equation modelling for analyzing the surveying bank customers living in UAE</w:t>
            </w:r>
          </w:p>
          <w:p w14:paraId="3C4F45F0" w14:textId="647EF183" w:rsidR="0036380C" w:rsidRPr="00D549EE" w:rsidRDefault="0036380C" w:rsidP="00C9582F">
            <w:pPr>
              <w:rPr>
                <w:color w:val="000000" w:themeColor="text1"/>
                <w:sz w:val="20"/>
                <w:szCs w:val="20"/>
                <w:lang w:val="en-US"/>
              </w:rPr>
            </w:pPr>
            <w:r w:rsidRPr="00D549EE">
              <w:rPr>
                <w:color w:val="000000" w:themeColor="text1"/>
                <w:sz w:val="20"/>
                <w:szCs w:val="20"/>
                <w:lang w:val="en-US"/>
              </w:rPr>
              <w:t>Analysis of ISF perspectives for achieving SDG.</w:t>
            </w:r>
          </w:p>
          <w:p w14:paraId="750AB66B" w14:textId="77777777" w:rsidR="0036380C" w:rsidRPr="00D549EE" w:rsidRDefault="0036380C" w:rsidP="00C9582F">
            <w:pPr>
              <w:contextualSpacing/>
              <w:rPr>
                <w:color w:val="000000" w:themeColor="text1"/>
                <w:sz w:val="20"/>
                <w:szCs w:val="20"/>
                <w:lang w:val="en-US"/>
              </w:rPr>
            </w:pPr>
          </w:p>
        </w:tc>
        <w:tc>
          <w:tcPr>
            <w:tcW w:w="1820" w:type="pct"/>
          </w:tcPr>
          <w:p w14:paraId="0DBA1D14" w14:textId="7E7860E7" w:rsidR="0036380C" w:rsidRPr="00D549EE" w:rsidRDefault="0036380C" w:rsidP="00C9582F">
            <w:pPr>
              <w:contextualSpacing/>
              <w:rPr>
                <w:color w:val="000000" w:themeColor="text1"/>
                <w:sz w:val="20"/>
                <w:szCs w:val="20"/>
                <w:lang w:val="en-US"/>
              </w:rPr>
            </w:pPr>
            <w:r w:rsidRPr="00D549EE">
              <w:rPr>
                <w:color w:val="000000" w:themeColor="text1"/>
                <w:sz w:val="20"/>
                <w:szCs w:val="20"/>
                <w:lang w:val="en-US"/>
              </w:rPr>
              <w:t>Identification of affection attitude and awareness to intention directly. Identification of ISF (inqaf, zakat, waqf) amount as alternative funding for covering the annual average global SDG's investment gap</w:t>
            </w:r>
          </w:p>
        </w:tc>
      </w:tr>
      <w:tr w:rsidR="00A450AF" w:rsidRPr="00D549EE" w14:paraId="280E6615" w14:textId="77777777" w:rsidTr="00A450AF">
        <w:tc>
          <w:tcPr>
            <w:tcW w:w="5000" w:type="pct"/>
            <w:gridSpan w:val="4"/>
          </w:tcPr>
          <w:p w14:paraId="1891AFB5" w14:textId="4ECDB9D3" w:rsidR="00A450AF" w:rsidRPr="00D549EE" w:rsidRDefault="00A450AF" w:rsidP="00C9582F">
            <w:pPr>
              <w:contextualSpacing/>
              <w:rPr>
                <w:color w:val="000000" w:themeColor="text1"/>
                <w:sz w:val="20"/>
                <w:szCs w:val="20"/>
                <w:lang w:val="en-US"/>
              </w:rPr>
            </w:pPr>
            <w:r w:rsidRPr="00D549EE">
              <w:rPr>
                <w:color w:val="000000" w:themeColor="text1"/>
                <w:sz w:val="20"/>
                <w:szCs w:val="20"/>
                <w:lang w:val="en-US"/>
              </w:rPr>
              <w:t xml:space="preserve">              Note – Compiled by the author, Source </w:t>
            </w:r>
            <w:r w:rsidRPr="00D549EE">
              <w:rPr>
                <w:color w:val="000000" w:themeColor="text1"/>
                <w:sz w:val="20"/>
                <w:szCs w:val="20"/>
                <w:lang w:val="en-US"/>
              </w:rPr>
              <w:fldChar w:fldCharType="begin" w:fldLock="1"/>
            </w:r>
            <w:r w:rsidR="00785182" w:rsidRPr="00D549EE">
              <w:rPr>
                <w:color w:val="000000" w:themeColor="text1"/>
                <w:sz w:val="20"/>
                <w:szCs w:val="20"/>
                <w:lang w:val="en-US"/>
              </w:rPr>
              <w:instrText>ADDIN CSL_CITATION {"citationItems":[{"id":"ITEM-1","itemData":{"DOI":"10.1108/JIABR-11-2020-0356","ISSN":"17590825","abstract":"Purpose: This paper aims to study the main trends of scientific research in Islamic finance’s social aspects to clarify place, role and functions, especially in the context of increasing social problems. To achieve this goal, this paper focuses on the social component of Islamic finance, analyzes publications on social Islamic finance in the Web of Science database, covering the period from 1979 to 2020, specify the geographical localization of research networks, determines the most cited authors and their scientific position. Design/methodology/approach: The authors have applied several literature review techniques, a bibliometric citation and co-citation analysis, a co-authorship analysis and a review of the most cited papers. The analyzes’ results allow us to offer five future questions in Islamic social finance, zakat and waqf, which have not been investigated before and could influence Islamic social finance and Islamic finance research. Findings: The authors also derive and summarize five leading future research questions. Research limitations/implications: This is a limitation of using only the Web of Science Core Collection database as the premier resource and the most trusted citation index for the world’s scientific and scholarly research. Further study might expand the types of analyzed units, include more keywords and include other databases, such as Scopus. Originality/value: This paper can be considered as an inspirational one to future researchers and policymakers in Islamic social finance.","author":[{"dropping-particle":"","family":"Kuanova","given":"Laura Aibolovna","non-dropping-particle":"","parse-names":false,"suffix":""},{"dropping-particle":"","family":"Sagiyeva","given":"Rimma","non-dropping-particle":"","parse-names":false,"suffix":""},{"dropping-particle":"","family":"Shirazi","given":"Nasim Shah","non-dropping-particle":"","parse-names":false,"suffix":""}],"container-title":"Journal of Islamic Accounting and Business Research","id":"ITEM-1","issue":"5","issued":{"date-parts":[["2021"]]},"page":"707-728","title":"Islamic social finance: a literature review and future research directions","type":"article-journal","volume":"12"},"uris":["http://www.mendeley.com/documents/?uuid=b7e98f21-7195-4529-ab89-09f972d1ec0a"]}],"mendeley":{"formattedCitation":"[31]","plainTextFormattedCitation":"[31]","previouslyFormattedCitation":"[31]"},"properties":{"noteIndex":0},"schema":"https://github.com/citation-style-language/schema/raw/master/csl-citation.json"}</w:instrText>
            </w:r>
            <w:r w:rsidRPr="00D549EE">
              <w:rPr>
                <w:color w:val="000000" w:themeColor="text1"/>
                <w:sz w:val="20"/>
                <w:szCs w:val="20"/>
                <w:lang w:val="en-US"/>
              </w:rPr>
              <w:fldChar w:fldCharType="separate"/>
            </w:r>
            <w:r w:rsidR="00785182" w:rsidRPr="00D549EE">
              <w:rPr>
                <w:noProof/>
                <w:color w:val="000000" w:themeColor="text1"/>
                <w:sz w:val="20"/>
                <w:szCs w:val="20"/>
                <w:lang w:val="en-US"/>
              </w:rPr>
              <w:t>[31]</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DOI":"10.1080/00263208308700535","ISSN":"17437881","author":[{"dropping-particle":"","family":"Kahf","given":"Monzer","non-dropping-particle":"","parse-names":false,"suffix":""},{"dropping-particle":"","family":"Khan","given":"Tariqullah","non-dropping-particle":"","parse-names":false,"suffix":""}],"container-title":"Middle Eastern Studies","id":"ITEM-1","issue":"1","issued":{"date-parts":[["1983"]]},"page":"93-103","title":"Principles of Islamic Economics","type":"article-journal","volume":"19"},"uris":["http://www.mendeley.com/documents/?uuid=f461db53-8278-44c0-9d11-c235b1758f5f"]}],"mendeley":{"formattedCitation":"[85]","plainTextFormattedCitation":"[85]","previouslyFormattedCitation":"[85]"},"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[85]</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023147" w:rsidRPr="00D549EE">
              <w:rPr>
                <w:color w:val="000000" w:themeColor="text1"/>
                <w:sz w:val="20"/>
                <w:szCs w:val="20"/>
                <w:lang w:val="en-US"/>
              </w:rPr>
              <w:instrText>ADDIN CSL_CITATION {"citationItems":[{"id":"ITEM-1","itemData":{"DOI":"10.1257/0895330042162421","ISSN":"08953309","author":[{"dropping-particle":"","family":"Kuran","given":"Timur","non-dropping-particle":"","parse-names":false,"suffix":""}],"container-title":"Journal of Economic Perspectives","id":"ITEM-1","issue":"3","issued":{"date-parts":[["2004"]]},"page":"71-90","title":"Why the Middle East is economically underdeveloped: Historical mechanisms of institutional stagnation","type":"article-journal","volume":"18"},"uris":["http://www.mendeley.com/documents/?uuid=1df986f4-3230-4eed-9f93-7d11e3f98fdb"]}],"mendeley":{"formattedCitation":"[77]","plainTextFormattedCitation":"[77]","previouslyFormattedCitation":"[77]"},"properties":{"noteIndex":0},"schema":"https://github.com/citation-style-language/schema/raw/master/csl-citation.json"}</w:instrText>
            </w:r>
            <w:r w:rsidRPr="00D549EE">
              <w:rPr>
                <w:color w:val="000000" w:themeColor="text1"/>
                <w:sz w:val="20"/>
                <w:szCs w:val="20"/>
                <w:lang w:val="en-US"/>
              </w:rPr>
              <w:fldChar w:fldCharType="separate"/>
            </w:r>
            <w:r w:rsidR="009147BE" w:rsidRPr="00D549EE">
              <w:rPr>
                <w:noProof/>
                <w:color w:val="000000" w:themeColor="text1"/>
                <w:sz w:val="20"/>
                <w:szCs w:val="20"/>
                <w:lang w:val="en-US"/>
              </w:rPr>
              <w:t>[77]</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{"citationItems":[{"id":"ITEM-1","itemData":{"DOI":"10.30541/v48i4iipp.739-754","ISSN":"00309729","abstract":"This paper is the extended and updated version of Shirazi (2006), which covers 38 OIC-member countries. The paper estimates the resource required and potential zakat collection for poverty elimination. The paper employed the poverty gap index based on US $1.25 a day and US $2.0 a day estimated by the World Bank (2009). Zakat potential has been estimated by employing Kahf (1989) method of estimation with some modifications. The paper finds that half of the sample countries not only meet their resource shortfall by potential zakat collection but also generate surplus funds which are sufficient for the resource deficit countries. The paper suggests pooling of zakat funds from the zakat surplus countries and providing for the resource deficit countries to eliminate the poverty.","author":[{"dropping-particle":"","family":"Shirazi","given":"Nasim Shah","non-dropping-particle":"","parse-names":false,"suffix":""},{"dropping-particle":"","family":"Amin","given":"Md Fouad","non-dropping-particle":"Bin","parse-names":false,"suffix":""}],"container-title":"Pakistan Development Review","id":"ITEM-1","issue":"4","issued":{"date-parts":[["2009"]]},"page":"739-753","title":"Poverty elimination through potential zakat collection in the OIC-member countries: Revisited","type":"article-journal","volume":"48"},"uris":["http://www.mendeley.com/documents/?uuid=2ad38256-f6cf-4b3a-872e-0d9b79691f48"]}],"mendeley":{"formattedCitation":"[86]","plainTextFormattedCitation":"[86]","previouslyFormattedCitation":"[86]"},"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[86]</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DOI":"doi.org/10.1080/14747731003593315","author":[{"dropping-particle":"","family":"Karim","given":"Wazir","non-dropping-particle":"","parse-names":false,"suffix":""}],"container-title":"Globalizations","id":"ITEM-1","issue":"1-2","issued":{"date-parts":[["2010"]]},"page":"105-125","title":"The Economic Crisis, Capitalism and Islam: The Making of a New Economic Order?","type":"article-journal","volume":"7"},"uris":["http://www.mendeley.com/documents/?uuid=5a5b99dc-d275-43bd-be59-d57383b50837"]}],"mendeley":{"formattedCitation":"[87]","plainTextFormattedCitation":"[87]","previouslyFormattedCitation":"[87]"},"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[87]</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{"citationItems":[{"id":"ITEM-1","itemData":{"DOI":"10.1080/09692290902983999","ISSN":"09692290","abstract":"Islamic finance is a fast growing segment of international financial markets. Deriving its core principles from the Quran and the Sharia, the objective of Islamic finance is to install a more equitable financial and economic order that at the same time is transaction-friendly. Thus, Islam could be seen as a foundation for the inclusion of the ethical and moral dimensions of economics andmarkets. This coincides with rising demand for Islamic financial products. Indeed, recent years have witnessed increasing efforts to develop and to institutionalise Islamic capitalmarkets and above all, to make Islamic finance acceptable (and thus investable) to the mainstream. In this article, I use the question of legitimacy to explore whether Islamic finance offers an alternative to the existing international financial order. To this end, I take a closer look at the knowledge base from which Islamic financial products are constructed and assessed as well as the emerging international regulatory framework for Islamic financial markets. I conclude that efforts to expand the social constituency of Islamic finance to the transnational sphere of global finance are overly focused on its epistemic legitimation as normal financial activity. As a consequence, the currently emerging power, knowledge and governance structures for Islamic finance tend to emulate, and therefore largely reproduce, the existing global financial order. © 2011 Taylor &amp; Francis.","author":[{"dropping-particle":"","family":"Rethel","given":"Lena","non-dropping-particle":"","parse-names":false,"suffix":""}],"container-title":"Review of International Political Economy","id":"ITEM-1","issue":"1","issued":{"date-parts":[["2011"]]},"page":"75-98","title":"Whose legitimacy? Islamic finance and the global financial order","type":"article-journal","volume":"18"},"uris":["http://www.mendeley.com/documents/?uuid=f6569c66-79b3-4774-a2b9-b36ff7df29f1"]}],"mendeley":{"formattedCitation":"[88]","plainTextFormattedCitation":"[88]","previouslyFormattedCitation":"[88]"},"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[88]</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{"citationItems":[{"id":"ITEM-1","itemData":{"DOI":"10.1108/AAAJ-03-2013-1268","ISSN":"09513574","abstract":"Purpose: This study examines social reporting by Islamic banks with special emphasis on themes related to social justice. By using critical theory and \"immanent critique\", the study attempts to explain and delineate reasons for disclosures and silences in Islamic banks' annual reports and web sites vis-à-vis social justice. Design/methodology/approach: The approach taken was a content analysis of annual reports and web sites of 19 Islamic banks. Findings: Islamic banks' disclosures emphasise their religious character through claims that they adhere to Sharia's teachings. Their disclosures, however, lack specific or detailed information regarding schemes or initiatives vis-à-vis poverty eradication or enhancing social justice. Research limitations/implications: Limitations associated with content analysis of annual reports and internet web sites apply. This study focuses on Islamic banks' social roles. Further studies of banks' social roles in society in general are of interest. Practical implications: Drawing attention of Islamic banks and other stakeholders to the gap between the rhetorical religious and ethical claims of Islamic banks and their activities (as depicted through their disclosures) opens up the possibility of a positive change in Islamic banks' actual social roles. Originality/value: The study fills a gap in both social accounting and Islamic accounting literatures with its emphasis on social justice and poverty eradication. The study contributes to the very scarce literature linking religion (especially Islam), critical theory, social accounting and Islamic accounting. It goes beyond previous research in Islamic accounting literature by exposing contradictions in the Islamic banking industry's rhetoric regarding their social role in society. © Emerald Group Publishing Limited.","author":[{"dropping-particle":"","family":"Kamla","given":"Rania","non-dropping-particle":"","parse-names":false,"suffix":""},{"dropping-particle":"","family":"Rammal","given":"Hussain G.","non-dropping-particle":"","parse-names":false,"suffix":""}],"container-title":"Accounting, Auditing and Accountability Journal","id":"ITEM-1","issue":"6","issued":{"date-parts":[["2013"]]},"page":"911-945","title":"Social reporting by Islamic banks: Does social justice matter?","type":"article-journal","volume":"26"},"uris":["http://www.mendeley.com/documents/?uuid=05d6a1b6-c465-4a9f-8493-4c9da02158e7"]}],"mendeley":{"formattedCitation":"[89]","plainTextFormattedCitation":"[89]","previouslyFormattedCitation":"[89]"},"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[89]</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{"citationItems":[{"id":"ITEM-1","itemData":{"DOI":"doi.org/10.1080/17520843.2016.1173716","author":[{"dropping-particle":"","family":"Zulkhibri","given":"Muhamed","non-dropping-particle":"","parse-names":false,"suffix":""}],"container-title":"Macroeconomics and Finance in Emerging Market Economies","id":"ITEM-1","issue":"3","issued":{"date-parts":[["2016"]]},"page":"303-320","title":"Financial inclusion, financial inclusion policy and Islamic finance","type":"article-journal","volume":"9"},"uris":["http://www.mendeley.com/documents/?uuid=e25b98c0-c6fc-467f-8de0-5a896e13c7c7"]}],"mendeley":{"formattedCitation":"[90]","plainTextFormattedCitation":"[90]","previouslyFormattedCitation":"[90]"},"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[90]</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{"citationItems":[{"id":"ITEM-1","itemData":{"DOI":"10.1080/1540496X.2016.1262761","ISSN":"15580938","abstract":"This study reviews literature on the Islamic banking sustainability and presents directions for future research. The article discourses scholars’ and practitioners’ views on the two perspectives of sustainability in relation to the objectives of Islamic banking and finance. That there are limited studies on Islamic banking sustainability is one of the major issues presented in the article. The study highlights essential issues on the sustainability without in-depth empirical analysis. The needs for long-term economic, social, and environmental sustainability are not a compromising issue. Therefore, Islamic banks must strike a balance between the institutional, societal, and environmental sustainability in order to achieve the objective of Sharia.","author":[{"dropping-particle":"","family":"Aliyu","given":"Sirajo","non-dropping-particle":"","parse-names":false,"suffix":""},{"dropping-particle":"","family":"Hassan","given":"M. Kabir","non-dropping-particle":"","parse-names":false,"suffix":""},{"dropping-particle":"","family":"Mohd Yusof","given":"Rosylin","non-dropping-particle":"","parse-names":false,"suffix":""},{"dropping-particle":"","family":"Naiimi","given":"Nasri","non-dropping-particle":"","parse-names":false,"suffix":""}],"container-title":"Emerging Markets Finance and Trade","id":"ITEM-1","issue":"2","issued":{"date-parts":[["2017"]]},"page":"440-470","title":"Islamic Banking Sustainability: A Review of Literature and Directions for Future Research","type":"article-journal","volume":"53"},"uris":["http://www.mendeley.com/documents/?uuid=21478f20-a3fa-46e5-87ce-4c669f0c2c92"]}],"mendeley":{"formattedCitation":"[91]","plainTextFormattedCitation":"[91]","previouslyFormattedCitation":"[91]"},"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[91]</w:t>
            </w:r>
            <w:r w:rsidRPr="00D549EE">
              <w:rPr>
                <w:color w:val="000000" w:themeColor="text1"/>
                <w:sz w:val="20"/>
                <w:szCs w:val="20"/>
                <w:lang w:val="en-US"/>
              </w:rPr>
              <w:fldChar w:fldCharType="end"/>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{"citationItems":[{"id":"ITEM-1","itemData":{"DOI":"10.1007/s10997-018-9418-8","ISSN":"1572-963X","author":[{"dropping-particle":"","family":"Haridan","given":"Nurfarahin M","non-dropping-particle":"","parse-names":false,"suffix":""},{"dropping-particle":"","family":"Hassan","given":"Ahmad F S","non-dropping-particle":"","parse-names":false,"suffix":""},{"dropping-particle":"","family":"Karbhari","given":"Yusuf","non-dropping-particle":"","parse-names":false,"suffix":""}],"container-title":"Journal of Management and Governance","id":"ITEM-1","issue":"4","issued":{"date-parts":[["2018"]]},"page":"1015-1043","publisher":"Springer US","title":"Governance , religious assurance and Islamic banks : Do Shariah boards effectively serve ?","type":"article-journal","volume":"22"},"uris":["http://www.mendeley.com/documents/?uuid=83cdf45f-27db-459f-a73b-376600d4c00e"]}],"mendeley":{"formattedCitation":"[92]","plainTextFormattedCitation":"[92]","previouslyFormattedCitation":"[92]"},"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[92]</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{"citationItems":[{"id":"ITEM-1","itemData":{"abstract":"Purpose The purpose of this paper is to investigate the effects of the following factors: image, awareness, Shariah compliance and individualism, on the attitude and intention of customers to use Islamic banking among Bank customers in UAE, and the mediating role of attitude in that model, using a theoretical model based on the multi-attribute attitude model, the theory of reasoned actions and the theory of planned behaviour.","author":[{"dropping-particle":"","family":"Abdulkader Kaakeh, M. Kabir Hassan","given":"Stefan F. Van Hemmen Almazor","non-dropping-particle":"","parse-names":false,"suffix":""}],"container-title":"International Journal of Emerging Markets","id":"ITEM-1","issue":"4","issued":{"date-parts":[["2019"]]},"title":"Factors affecting customers’ attitude towards Islamic banking in UAE","type":"article-journal","volume":"14"},"uris":["http://www.mendeley.com/documents/?uuid=6c58a380-76d7-4234-9693-10de81877f53"]}],"mendeley":{"formattedCitation":"[93]","plainTextFormattedCitation":"[93]","previouslyFormattedCitation":"[93]"},"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[93]</w:t>
            </w:r>
            <w:r w:rsidRPr="00D549EE">
              <w:rPr>
                <w:color w:val="000000" w:themeColor="text1"/>
                <w:sz w:val="20"/>
                <w:szCs w:val="20"/>
                <w:lang w:val="en-US"/>
              </w:rPr>
              <w:fldChar w:fldCharType="end"/>
            </w:r>
            <w:r w:rsidRPr="00D549EE">
              <w:rPr>
                <w:color w:val="000000" w:themeColor="text1"/>
                <w:sz w:val="20"/>
                <w:szCs w:val="20"/>
                <w:lang w:val="en-US"/>
              </w:rPr>
              <w:t xml:space="preserve"> </w:t>
            </w:r>
            <w:r w:rsidRPr="00D549EE">
              <w:rPr>
                <w:color w:val="000000" w:themeColor="text1"/>
                <w:sz w:val="20"/>
                <w:szCs w:val="20"/>
                <w:lang w:val="en-US"/>
              </w:rPr>
              <w:fldChar w:fldCharType="begin" w:fldLock="1"/>
            </w:r>
            <w:r w:rsidR="00CB6E54" w:rsidRPr="00D549EE">
              <w:rPr>
                <w:color w:val="000000" w:themeColor="text1"/>
                <w:sz w:val="20"/>
                <w:szCs w:val="20"/>
                <w:lang w:val="en-US"/>
              </w:rPr>
              <w:instrText>ADDIN CSL_CITATION {"citationItems":[{"id":"ITEM-1","itemData":{"DOI":"doi.org/10.1108/JIABR-08-2016-0097","abstract":"The purpose of this paper is to identify the factors influencing intention of Muslim Filipinos to give zakat on employment income.","author":[{"dropping-particle":"","family":"Abdullah Campong Andam","given":"Ahmad Zamri Osman","non-dropping-particle":"","parse-names":false,"suffix":""}],"container-title":"Journal of Islamic Accounting and Business Research","id":"ITEM-1","issue":"4","issued":{"date-parts":[["2019"]]},"page":"528-545","title":"Determinants of intention to give zakat on employment income","type":"article-journal","volume":"10"},"uris":["http://www.mendeley.com/documents/?uuid=2db8662b-8520-4e3c-aa87-8e0ee3b5aa3b"]}],"mendeley":{"formattedCitation":"[94]","plainTextFormattedCitation":"[94]","previouslyFormattedCitation":"[94]"},"properties":{"noteIndex":0},"schema":"https://github.com/citation-style-language/schema/raw/master/csl-citation.json"}</w:instrText>
            </w:r>
            <w:r w:rsidRPr="00D549EE">
              <w:rPr>
                <w:color w:val="000000" w:themeColor="text1"/>
                <w:sz w:val="20"/>
                <w:szCs w:val="20"/>
                <w:lang w:val="en-US"/>
              </w:rPr>
              <w:fldChar w:fldCharType="separate"/>
            </w:r>
            <w:r w:rsidR="00B25838" w:rsidRPr="00D549EE">
              <w:rPr>
                <w:noProof/>
                <w:color w:val="000000" w:themeColor="text1"/>
                <w:sz w:val="20"/>
                <w:szCs w:val="20"/>
                <w:lang w:val="en-US"/>
              </w:rPr>
              <w:t>[94]</w:t>
            </w:r>
            <w:r w:rsidRPr="00D549EE">
              <w:rPr>
                <w:color w:val="000000" w:themeColor="text1"/>
                <w:sz w:val="20"/>
                <w:szCs w:val="20"/>
                <w:lang w:val="en-US"/>
              </w:rPr>
              <w:fldChar w:fldCharType="end"/>
            </w:r>
          </w:p>
        </w:tc>
      </w:tr>
    </w:tbl>
    <w:p w14:paraId="162BD5B0" w14:textId="77777777" w:rsidR="008C7A49" w:rsidRPr="00D549EE" w:rsidRDefault="008C7A49" w:rsidP="00C9582F">
      <w:pPr>
        <w:contextualSpacing/>
        <w:jc w:val="both"/>
        <w:rPr>
          <w:color w:val="000000" w:themeColor="text1"/>
          <w:lang w:val="en-US"/>
        </w:rPr>
      </w:pPr>
    </w:p>
    <w:p w14:paraId="73D6F23D" w14:textId="77777777" w:rsidR="006879D4" w:rsidRPr="006879D4" w:rsidRDefault="0005359B" w:rsidP="006879D4">
      <w:pPr>
        <w:pStyle w:val="2"/>
        <w:snapToGrid w:val="0"/>
        <w:spacing w:before="75" w:after="375"/>
        <w:contextualSpacing/>
        <w:jc w:val="both"/>
        <w:rPr>
          <w:b w:val="0"/>
          <w:color w:val="000000" w:themeColor="text1"/>
          <w:sz w:val="28"/>
          <w:szCs w:val="28"/>
          <w:lang w:val="en-US"/>
        </w:rPr>
      </w:pPr>
      <w:r w:rsidRPr="00D549EE">
        <w:rPr>
          <w:b w:val="0"/>
          <w:color w:val="000000" w:themeColor="text1"/>
          <w:sz w:val="28"/>
          <w:szCs w:val="28"/>
          <w:lang w:val="en-US"/>
        </w:rPr>
        <w:tab/>
      </w:r>
      <w:r w:rsidR="006879D4" w:rsidRPr="006879D4">
        <w:rPr>
          <w:b w:val="0"/>
          <w:color w:val="000000" w:themeColor="text1"/>
          <w:sz w:val="28"/>
          <w:szCs w:val="28"/>
          <w:lang w:val="en-US"/>
        </w:rPr>
        <w:t xml:space="preserve">As can be seen from table 11, scientific interest in studying the issue of Islamic social finance increased after the financial crisis of 2008 since Islamic financial institutions have shown resilience to crises and stability. Thus, the number of scientific papers before the crisis period sharply increased by 3 times immediately after the crisis and increased in subsequent years. </w:t>
      </w:r>
    </w:p>
    <w:p w14:paraId="181816AF" w14:textId="1B0F3ED7" w:rsidR="006879D4" w:rsidRPr="006879D4" w:rsidRDefault="006879D4" w:rsidP="006879D4">
      <w:pPr>
        <w:pStyle w:val="2"/>
        <w:snapToGrid w:val="0"/>
        <w:spacing w:before="75" w:after="375"/>
        <w:contextualSpacing/>
        <w:jc w:val="both"/>
        <w:rPr>
          <w:b w:val="0"/>
          <w:color w:val="000000" w:themeColor="text1"/>
          <w:sz w:val="28"/>
          <w:szCs w:val="28"/>
          <w:lang w:val="en-US"/>
        </w:rPr>
      </w:pPr>
      <w:r w:rsidRPr="006879D4">
        <w:rPr>
          <w:b w:val="0"/>
          <w:color w:val="000000" w:themeColor="text1"/>
          <w:sz w:val="28"/>
          <w:szCs w:val="28"/>
          <w:lang w:val="en-US"/>
        </w:rPr>
        <w:tab/>
        <w:t xml:space="preserve">In the conclusion of the section, it is necessary to underline the summary of Islamic social financial instruments research. As an economic category, zakat carries out functions of contributing to equalization of living standards of the population, </w:t>
      </w:r>
      <w:r w:rsidRPr="006879D4">
        <w:rPr>
          <w:b w:val="0"/>
          <w:color w:val="000000" w:themeColor="text1"/>
          <w:sz w:val="28"/>
          <w:szCs w:val="28"/>
          <w:lang w:val="en-US"/>
        </w:rPr>
        <w:lastRenderedPageBreak/>
        <w:t>stimulating investment activity, stimulating the production and favorable allocative effects in the economy, and stimulating economic growth of the country. During the study, the institutional structure of zakat management in different countries has been illustrated, and the zakat's form and system in countries with dual financial systems (conventional and Islamic) have been analyzed. The results conclude that the institutional zakat management structure in the main considered countries is based on the principle of a single</w:t>
      </w:r>
      <w:r w:rsidR="00DC0700">
        <w:rPr>
          <w:b w:val="0"/>
          <w:color w:val="000000" w:themeColor="text1"/>
          <w:sz w:val="28"/>
          <w:szCs w:val="28"/>
          <w:lang w:val="en-US"/>
        </w:rPr>
        <w:t>-</w:t>
      </w:r>
      <w:r w:rsidRPr="006879D4">
        <w:rPr>
          <w:b w:val="0"/>
          <w:color w:val="000000" w:themeColor="text1"/>
          <w:sz w:val="28"/>
          <w:szCs w:val="28"/>
          <w:lang w:val="en-US"/>
        </w:rPr>
        <w:t>stage system and reports directly to the president or the specific Ministry. Considering that the potential global amount of zakat collection is from 200 billion to 1 trillion US dollars, it is essential to develop an effective institutional mechanism in the country where the big Muslim society can perform third of the five main religious pillars.</w:t>
      </w:r>
    </w:p>
    <w:p w14:paraId="6F2AF6E3" w14:textId="5E2756C1" w:rsidR="006879D4" w:rsidRPr="006879D4" w:rsidRDefault="006879D4" w:rsidP="006879D4">
      <w:pPr>
        <w:pStyle w:val="2"/>
        <w:snapToGrid w:val="0"/>
        <w:spacing w:before="75" w:after="375"/>
        <w:contextualSpacing/>
        <w:jc w:val="both"/>
        <w:rPr>
          <w:b w:val="0"/>
          <w:color w:val="000000" w:themeColor="text1"/>
          <w:sz w:val="28"/>
          <w:szCs w:val="28"/>
          <w:lang w:val="en-US"/>
        </w:rPr>
      </w:pPr>
      <w:r w:rsidRPr="006879D4">
        <w:rPr>
          <w:b w:val="0"/>
          <w:color w:val="000000" w:themeColor="text1"/>
          <w:sz w:val="28"/>
          <w:szCs w:val="28"/>
          <w:lang w:val="en-US"/>
        </w:rPr>
        <w:tab/>
        <w:t>The waqf, in turn, has its mechanisms of implementation and becomes the system for solving social problems. Key among them are enhancing economic progress, eradicating poverty, restoring income distribution, preventing deficit financing, and reducing government expenditure. The analysis of waqf models used and developed in Muslim countries and secular European countries, and the US has shown the implementation mechanism in the form of an endowment, where non-obligatory charity funds are invested in Islamic projects with stable projects profit. The generated profit is directed to charity by creating a source of income (business) for the needy, making it possible to raise the standard of living of the socially vulnerable population and economic activity in double volume.</w:t>
      </w:r>
    </w:p>
    <w:p w14:paraId="5E4E4EF6" w14:textId="5F6002C0" w:rsidR="006879D4" w:rsidRPr="006879D4" w:rsidRDefault="006879D4" w:rsidP="006879D4">
      <w:pPr>
        <w:pStyle w:val="2"/>
        <w:snapToGrid w:val="0"/>
        <w:spacing w:before="75" w:after="375"/>
        <w:contextualSpacing/>
        <w:jc w:val="both"/>
        <w:rPr>
          <w:b w:val="0"/>
          <w:color w:val="000000" w:themeColor="text1"/>
          <w:sz w:val="28"/>
          <w:szCs w:val="28"/>
          <w:lang w:val="en-US"/>
        </w:rPr>
      </w:pPr>
      <w:r w:rsidRPr="006879D4">
        <w:rPr>
          <w:b w:val="0"/>
          <w:color w:val="000000" w:themeColor="text1"/>
          <w:sz w:val="28"/>
          <w:szCs w:val="28"/>
          <w:lang w:val="en-US"/>
        </w:rPr>
        <w:tab/>
        <w:t>The comparison analysis of Islamic microfinancing and conventional microfinancing allows claiming about benefits of Islamic microfinancing. The benefits are profit and risk-sharing between financial institutions and microbusinesses, the result-oriented task for micro</w:t>
      </w:r>
      <w:r w:rsidR="003F139C">
        <w:rPr>
          <w:b w:val="0"/>
          <w:color w:val="000000" w:themeColor="text1"/>
          <w:sz w:val="28"/>
          <w:szCs w:val="28"/>
          <w:lang w:val="en-US"/>
        </w:rPr>
        <w:t xml:space="preserve"> </w:t>
      </w:r>
      <w:r w:rsidRPr="006879D4">
        <w:rPr>
          <w:b w:val="0"/>
          <w:color w:val="000000" w:themeColor="text1"/>
          <w:sz w:val="28"/>
          <w:szCs w:val="28"/>
          <w:lang w:val="en-US"/>
        </w:rPr>
        <w:t xml:space="preserve">organization and financiers of Qard-Hasan, which provides financing to small and start-up businesses, and socially orientated by providing financing to the development business in rural areas. These findings underline the social specifics of Islamic microfinancing, which also play a role in stimulating economic growth. </w:t>
      </w:r>
    </w:p>
    <w:p w14:paraId="7D380DCD" w14:textId="77777777" w:rsidR="006879D4" w:rsidRPr="006879D4" w:rsidRDefault="006879D4" w:rsidP="006879D4">
      <w:pPr>
        <w:pStyle w:val="2"/>
        <w:snapToGrid w:val="0"/>
        <w:spacing w:before="75" w:after="375"/>
        <w:contextualSpacing/>
        <w:jc w:val="both"/>
        <w:rPr>
          <w:b w:val="0"/>
          <w:color w:val="000000" w:themeColor="text1"/>
          <w:sz w:val="28"/>
          <w:szCs w:val="28"/>
          <w:lang w:val="en-US"/>
        </w:rPr>
      </w:pPr>
      <w:r w:rsidRPr="006879D4">
        <w:rPr>
          <w:b w:val="0"/>
          <w:color w:val="000000" w:themeColor="text1"/>
          <w:sz w:val="28"/>
          <w:szCs w:val="28"/>
          <w:lang w:val="en-US"/>
        </w:rPr>
        <w:tab/>
        <w:t>Also, a literature review of hundreds of studies in this area shows that research is limited, and attempts to assess the effectiveness of Islamic finance considering the social component have not been made before.</w:t>
      </w:r>
    </w:p>
    <w:p w14:paraId="69F3D881" w14:textId="6A767AE4" w:rsidR="00973E67" w:rsidRPr="00D549EE" w:rsidRDefault="006879D4" w:rsidP="006879D4">
      <w:pPr>
        <w:pStyle w:val="2"/>
        <w:snapToGrid w:val="0"/>
        <w:spacing w:before="75" w:beforeAutospacing="0" w:after="375" w:afterAutospacing="0"/>
        <w:contextualSpacing/>
        <w:jc w:val="both"/>
        <w:rPr>
          <w:b w:val="0"/>
          <w:color w:val="000000" w:themeColor="text1"/>
          <w:sz w:val="28"/>
          <w:szCs w:val="28"/>
          <w:lang w:val="en-US"/>
        </w:rPr>
      </w:pPr>
      <w:r w:rsidRPr="006879D4">
        <w:rPr>
          <w:b w:val="0"/>
          <w:color w:val="000000" w:themeColor="text1"/>
          <w:sz w:val="28"/>
          <w:szCs w:val="28"/>
          <w:lang w:val="en-US"/>
        </w:rPr>
        <w:tab/>
        <w:t>The following section of the study investigates the possible way to measure the social effectiveness of Islamic finance and methodological approaches for achieving this goal.</w:t>
      </w:r>
      <w:r w:rsidR="007E6106" w:rsidRPr="00D549EE">
        <w:rPr>
          <w:b w:val="0"/>
          <w:color w:val="000000" w:themeColor="text1"/>
          <w:sz w:val="28"/>
          <w:szCs w:val="28"/>
          <w:lang w:val="en-US"/>
        </w:rPr>
        <w:t xml:space="preserve"> </w:t>
      </w:r>
    </w:p>
    <w:p w14:paraId="1D1D279B" w14:textId="687D7080" w:rsidR="00973E67" w:rsidRPr="00D549EE" w:rsidRDefault="00973E67" w:rsidP="00C9582F">
      <w:pPr>
        <w:pStyle w:val="2"/>
        <w:snapToGrid w:val="0"/>
        <w:spacing w:before="75" w:beforeAutospacing="0" w:after="375" w:afterAutospacing="0"/>
        <w:contextualSpacing/>
        <w:jc w:val="both"/>
        <w:rPr>
          <w:b w:val="0"/>
          <w:sz w:val="28"/>
          <w:szCs w:val="28"/>
          <w:lang w:val="en-US"/>
        </w:rPr>
      </w:pPr>
    </w:p>
    <w:p w14:paraId="2F51D75C" w14:textId="71BFBDBC" w:rsidR="00CE23AC" w:rsidRPr="00D549EE" w:rsidRDefault="00CE23AC" w:rsidP="00C9582F">
      <w:pPr>
        <w:pStyle w:val="2"/>
        <w:snapToGrid w:val="0"/>
        <w:spacing w:before="75" w:beforeAutospacing="0" w:after="375" w:afterAutospacing="0"/>
        <w:contextualSpacing/>
        <w:jc w:val="both"/>
        <w:rPr>
          <w:b w:val="0"/>
          <w:sz w:val="28"/>
          <w:szCs w:val="28"/>
          <w:lang w:val="en-US"/>
        </w:rPr>
      </w:pPr>
    </w:p>
    <w:p w14:paraId="63DEC2EA" w14:textId="5E555BC3" w:rsidR="00CE23AC" w:rsidRDefault="00CE23AC" w:rsidP="00C9582F">
      <w:pPr>
        <w:pStyle w:val="2"/>
        <w:snapToGrid w:val="0"/>
        <w:spacing w:before="75" w:beforeAutospacing="0" w:after="375" w:afterAutospacing="0"/>
        <w:contextualSpacing/>
        <w:jc w:val="both"/>
        <w:rPr>
          <w:b w:val="0"/>
          <w:sz w:val="28"/>
          <w:szCs w:val="28"/>
          <w:lang w:val="en-US"/>
        </w:rPr>
      </w:pPr>
    </w:p>
    <w:p w14:paraId="0BAE2701" w14:textId="77777777" w:rsidR="006879D4" w:rsidRPr="00D549EE" w:rsidRDefault="006879D4" w:rsidP="00C9582F">
      <w:pPr>
        <w:pStyle w:val="2"/>
        <w:snapToGrid w:val="0"/>
        <w:spacing w:before="75" w:beforeAutospacing="0" w:after="375" w:afterAutospacing="0"/>
        <w:contextualSpacing/>
        <w:jc w:val="both"/>
        <w:rPr>
          <w:b w:val="0"/>
          <w:sz w:val="28"/>
          <w:szCs w:val="28"/>
          <w:lang w:val="en-US"/>
        </w:rPr>
      </w:pPr>
    </w:p>
    <w:p w14:paraId="39B5F95C" w14:textId="152C1EDC" w:rsidR="00CE23AC" w:rsidRPr="00D549EE" w:rsidRDefault="00CE23AC" w:rsidP="00C9582F">
      <w:pPr>
        <w:pStyle w:val="2"/>
        <w:snapToGrid w:val="0"/>
        <w:spacing w:before="75" w:beforeAutospacing="0" w:after="375" w:afterAutospacing="0"/>
        <w:contextualSpacing/>
        <w:jc w:val="both"/>
        <w:rPr>
          <w:b w:val="0"/>
          <w:sz w:val="28"/>
          <w:szCs w:val="28"/>
          <w:lang w:val="en-US"/>
        </w:rPr>
      </w:pPr>
    </w:p>
    <w:p w14:paraId="58A888A1" w14:textId="548E76DB" w:rsidR="00CE23AC" w:rsidRPr="00D549EE" w:rsidRDefault="00CE23AC" w:rsidP="00C9582F">
      <w:pPr>
        <w:pStyle w:val="2"/>
        <w:snapToGrid w:val="0"/>
        <w:spacing w:before="75" w:beforeAutospacing="0" w:after="375" w:afterAutospacing="0"/>
        <w:contextualSpacing/>
        <w:jc w:val="both"/>
        <w:rPr>
          <w:b w:val="0"/>
          <w:sz w:val="28"/>
          <w:szCs w:val="28"/>
          <w:lang w:val="en-US"/>
        </w:rPr>
      </w:pPr>
    </w:p>
    <w:p w14:paraId="78729EC0" w14:textId="60411ADE" w:rsidR="00CE23AC" w:rsidRPr="00D549EE" w:rsidRDefault="00CE23AC" w:rsidP="00C9582F">
      <w:pPr>
        <w:pStyle w:val="2"/>
        <w:snapToGrid w:val="0"/>
        <w:spacing w:before="75" w:beforeAutospacing="0" w:after="375" w:afterAutospacing="0"/>
        <w:contextualSpacing/>
        <w:jc w:val="both"/>
        <w:rPr>
          <w:b w:val="0"/>
          <w:sz w:val="28"/>
          <w:szCs w:val="28"/>
          <w:lang w:val="en-US"/>
        </w:rPr>
      </w:pPr>
    </w:p>
    <w:p w14:paraId="3CB09EE0" w14:textId="5ECBC440" w:rsidR="00CE23AC" w:rsidRPr="00D549EE" w:rsidRDefault="00CE23AC" w:rsidP="00C9582F">
      <w:pPr>
        <w:pStyle w:val="2"/>
        <w:snapToGrid w:val="0"/>
        <w:spacing w:before="75" w:beforeAutospacing="0" w:after="375" w:afterAutospacing="0"/>
        <w:contextualSpacing/>
        <w:jc w:val="both"/>
        <w:rPr>
          <w:b w:val="0"/>
          <w:sz w:val="28"/>
          <w:szCs w:val="28"/>
          <w:lang w:val="en-US"/>
        </w:rPr>
      </w:pPr>
    </w:p>
    <w:p w14:paraId="4A34B306" w14:textId="77777777" w:rsidR="00CE23AC" w:rsidRPr="00D549EE" w:rsidRDefault="00CE23AC" w:rsidP="00C9582F">
      <w:pPr>
        <w:pStyle w:val="2"/>
        <w:snapToGrid w:val="0"/>
        <w:spacing w:before="75" w:beforeAutospacing="0" w:after="375" w:afterAutospacing="0"/>
        <w:contextualSpacing/>
        <w:jc w:val="both"/>
        <w:rPr>
          <w:b w:val="0"/>
          <w:sz w:val="28"/>
          <w:szCs w:val="28"/>
          <w:lang w:val="en-US"/>
        </w:rPr>
      </w:pPr>
    </w:p>
    <w:p w14:paraId="1C9681DF" w14:textId="1D4ABABA" w:rsidR="00C20E82" w:rsidRPr="00D549EE" w:rsidRDefault="00973E67" w:rsidP="00C9582F">
      <w:pPr>
        <w:pStyle w:val="2"/>
        <w:snapToGrid w:val="0"/>
        <w:spacing w:before="75" w:beforeAutospacing="0" w:after="375" w:afterAutospacing="0"/>
        <w:contextualSpacing/>
        <w:jc w:val="both"/>
        <w:rPr>
          <w:sz w:val="28"/>
          <w:szCs w:val="28"/>
          <w:lang w:val="en-US"/>
        </w:rPr>
      </w:pPr>
      <w:r w:rsidRPr="00D549EE">
        <w:rPr>
          <w:b w:val="0"/>
          <w:sz w:val="28"/>
          <w:szCs w:val="28"/>
          <w:lang w:val="en-US"/>
        </w:rPr>
        <w:lastRenderedPageBreak/>
        <w:tab/>
      </w:r>
      <w:r w:rsidR="00DE3535" w:rsidRPr="00D549EE">
        <w:rPr>
          <w:sz w:val="28"/>
          <w:szCs w:val="28"/>
          <w:lang w:val="en-US"/>
        </w:rPr>
        <w:t xml:space="preserve">1.3 </w:t>
      </w:r>
      <w:r w:rsidRPr="00D549EE">
        <w:rPr>
          <w:sz w:val="28"/>
          <w:szCs w:val="28"/>
          <w:lang w:val="en-US"/>
        </w:rPr>
        <w:t>Methodological approaches to the social effectiveness</w:t>
      </w:r>
      <w:r w:rsidR="00E94D6A" w:rsidRPr="00D549EE">
        <w:rPr>
          <w:sz w:val="28"/>
          <w:szCs w:val="28"/>
          <w:lang w:val="en-US"/>
        </w:rPr>
        <w:t xml:space="preserve"> </w:t>
      </w:r>
      <w:r w:rsidRPr="00D549EE">
        <w:rPr>
          <w:sz w:val="28"/>
          <w:szCs w:val="28"/>
          <w:lang w:val="en-US"/>
        </w:rPr>
        <w:t>assessment of Islamic finance</w:t>
      </w:r>
    </w:p>
    <w:p w14:paraId="0AE459D7" w14:textId="77777777" w:rsidR="00DC0700" w:rsidRPr="00DC0700" w:rsidRDefault="00C20E82" w:rsidP="00DC0700">
      <w:pPr>
        <w:pStyle w:val="2"/>
        <w:snapToGrid w:val="0"/>
        <w:spacing w:before="75" w:after="375"/>
        <w:contextualSpacing/>
        <w:jc w:val="both"/>
        <w:rPr>
          <w:b w:val="0"/>
          <w:color w:val="000000" w:themeColor="text1"/>
          <w:sz w:val="28"/>
          <w:szCs w:val="28"/>
          <w:shd w:val="clear" w:color="auto" w:fill="FFFFFF"/>
          <w:lang w:val="en-US"/>
        </w:rPr>
      </w:pPr>
      <w:r w:rsidRPr="00D549EE">
        <w:rPr>
          <w:color w:val="222C31"/>
          <w:sz w:val="28"/>
          <w:szCs w:val="28"/>
          <w:shd w:val="clear" w:color="auto" w:fill="FFFFFF"/>
          <w:lang w:val="en-US"/>
        </w:rPr>
        <w:tab/>
      </w:r>
      <w:r w:rsidR="00DC0700" w:rsidRPr="00DC0700">
        <w:rPr>
          <w:b w:val="0"/>
          <w:color w:val="000000" w:themeColor="text1"/>
          <w:sz w:val="28"/>
          <w:szCs w:val="28"/>
          <w:shd w:val="clear" w:color="auto" w:fill="FFFFFF"/>
          <w:lang w:val="en-US"/>
        </w:rPr>
        <w:t>The integration of Islamic social finance into a country's financial system presupposes the development of new institutions that are considered as successful, provided that transaction costs for the interaction of economic agents are minimized. One of the most critical features of transaction costs is that they allow significant economies of scale. When information on transaction costs is collected and standardized, many economic agents can use it. Meanwhile, the Shariah, as a set of Islamic values that defines the principles of the functioning of Islamic finance, offers not only a clearly defined institutional field of activity that reduces the uncertainty of the future and asymmetric distribution of information (at the will of Allah) but also increases the level of trust between contractors.</w:t>
      </w:r>
    </w:p>
    <w:p w14:paraId="75574796"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The famous political economist of the theory of postindustrial society, Francis Fukuyama, defines trust as the expectation within a particular community that members of this community will behave normally and honestly, showing a willingness to mutual assistance under generally accepted norms [95]. The trustee relies on the fact that the partner will not try to take advantage of his vulnerability if possible.</w:t>
      </w:r>
    </w:p>
    <w:p w14:paraId="306229B6"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In the economic literature, there are several aspects of the influence of a high level of trust on economic development:</w:t>
      </w:r>
    </w:p>
    <w:p w14:paraId="40E6EFAD"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w:t>
      </w:r>
      <w:r w:rsidRPr="00DC0700">
        <w:rPr>
          <w:b w:val="0"/>
          <w:color w:val="000000" w:themeColor="text1"/>
          <w:sz w:val="28"/>
          <w:szCs w:val="28"/>
          <w:shd w:val="clear" w:color="auto" w:fill="FFFFFF"/>
          <w:lang w:val="en-US"/>
        </w:rPr>
        <w:tab/>
        <w:t>facilitating the coordination of interests of participants in economic interactions;</w:t>
      </w:r>
    </w:p>
    <w:p w14:paraId="7685A167"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b)</w:t>
      </w:r>
      <w:r w:rsidRPr="00DC0700">
        <w:rPr>
          <w:b w:val="0"/>
          <w:color w:val="000000" w:themeColor="text1"/>
          <w:sz w:val="28"/>
          <w:szCs w:val="28"/>
          <w:shd w:val="clear" w:color="auto" w:fill="FFFFFF"/>
          <w:lang w:val="en-US"/>
        </w:rPr>
        <w:tab/>
        <w:t>activation of information exchanges and cooperation in the innovation sphere;</w:t>
      </w:r>
    </w:p>
    <w:p w14:paraId="7F8DD949"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c)</w:t>
      </w:r>
      <w:r w:rsidRPr="00DC0700">
        <w:rPr>
          <w:b w:val="0"/>
          <w:color w:val="000000" w:themeColor="text1"/>
          <w:sz w:val="28"/>
          <w:szCs w:val="28"/>
          <w:shd w:val="clear" w:color="auto" w:fill="FFFFFF"/>
          <w:lang w:val="en-US"/>
        </w:rPr>
        <w:tab/>
        <w:t>reduction of investment risks of significant investment projects by reducing the uncertainty of the future;</w:t>
      </w:r>
    </w:p>
    <w:p w14:paraId="7FD5C2DF"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d)</w:t>
      </w:r>
      <w:r w:rsidRPr="00DC0700">
        <w:rPr>
          <w:b w:val="0"/>
          <w:color w:val="000000" w:themeColor="text1"/>
          <w:sz w:val="28"/>
          <w:szCs w:val="28"/>
          <w:shd w:val="clear" w:color="auto" w:fill="FFFFFF"/>
          <w:lang w:val="en-US"/>
        </w:rPr>
        <w:tab/>
        <w:t>reducing the costs of monitoring and controlling the actions of contractors, the costs of protecting property rights, and reducing the pressure on the legal system.</w:t>
      </w:r>
    </w:p>
    <w:p w14:paraId="46A1E0DE"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 xml:space="preserve">There is a value (Islamic) basis for cooperation within the company between owners, between employees and employers, as well as within society (market relations, relations with state and legislative authorities, relations with political and judicial institutions, etc.). With the asymmetric distribution of information, a common consequence is an adverse selection - distortion of private information by an informed agent for a more beneficial contract, which leads to the ineffective functioning of the entire market. The less informed party has to spend resources for additional information on developing more complex contracts on transaction insurance. Trust reduces the need for this type of expense. Therefore, an unshakable commitment to Shariah during the use of Islamic financial tools increases the confidence factor of all interacting agents. </w:t>
      </w:r>
    </w:p>
    <w:p w14:paraId="4B3C883A"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In contrast to the objective natural laws of physics, chemistry, biology, and others, in economics, a person (government) has the opportunity to choose between alternative options for his behavior. Moreover, accordingly, it should carry his decisions' material and moral responsibility. In this context, economic decisions made following Shariah's values on the joint separation of potential benefits and risks turn out to be adequate for real business practice. Since the counterparties jointly determine the choice of an economic decision option, the responsibility for the results of this decision is shared.</w:t>
      </w:r>
    </w:p>
    <w:p w14:paraId="6C430244"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lastRenderedPageBreak/>
        <w:tab/>
        <w:t>Since the phenomenon of Islamic finance cannot be evaluated ex-post due to its underdevelopment in the country, the predictive analysis would determine the economic consequences of the broad expansion of Islamic finance. According to Tambovtsev, the economic consequences should be understood as the ratio of benefits and costs those various individuals (groups of individuals) and organizations (including the totality of state authorities and administrations) will receive for a certain period.</w:t>
      </w:r>
    </w:p>
    <w:p w14:paraId="61BAEBCE"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Evaluation of the economic consequences of implementing Islamic finance implies two main procedures: identification of groups that benefit and/or bear costs; assessment of costs for each of the identified groups.</w:t>
      </w:r>
    </w:p>
    <w:p w14:paraId="5AF5167A"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The starting point of identifying interested groups is a set of individuals, the regulation of which is directly indicated in the law, acting on the principles of Shariah. This list can be supplemented by individuals whose activities are indirectly associated with the use of Islamic finance.</w:t>
      </w:r>
    </w:p>
    <w:p w14:paraId="076C1B98"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 xml:space="preserve">Even though there are many methods of assessing social efficiency in research sources, the assessment of social efficiency is still one of the unsolved theoretical issues because of the difference in influenced factors of social effects. The social effect is an absolute indicator of the quality of the change, and it is defined as economic or statistical, as well as sociological indicators. [96] The leading indicators are improving people's quality of life from investment activities, such as household budget ratios from consumption to savings, the growth of education and health quality, and others. </w:t>
      </w:r>
    </w:p>
    <w:p w14:paraId="596B3E74"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Without pretending to develop a final methodology for assessing the social effectiveness of Islamic finance, we will outline possible directions for further reflection. The assessment and evaluation of the benefits and losses can be considered as the result of the following sequence of analysis stages:</w:t>
      </w:r>
    </w:p>
    <w:p w14:paraId="0247D6BD"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w:t>
      </w:r>
      <w:r w:rsidRPr="00DC0700">
        <w:rPr>
          <w:b w:val="0"/>
          <w:color w:val="000000" w:themeColor="text1"/>
          <w:sz w:val="28"/>
          <w:szCs w:val="28"/>
          <w:shd w:val="clear" w:color="auto" w:fill="FFFFFF"/>
          <w:lang w:val="en-US"/>
        </w:rPr>
        <w:tab/>
        <w:t>identifying the composition of specific benefits and losses for each of the considered groups and the causes (sources) of these expected gains and losses;</w:t>
      </w:r>
    </w:p>
    <w:p w14:paraId="1905C809"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w:t>
      </w:r>
      <w:r w:rsidRPr="00DC0700">
        <w:rPr>
          <w:b w:val="0"/>
          <w:color w:val="000000" w:themeColor="text1"/>
          <w:sz w:val="28"/>
          <w:szCs w:val="28"/>
          <w:shd w:val="clear" w:color="auto" w:fill="FFFFFF"/>
          <w:lang w:val="en-US"/>
        </w:rPr>
        <w:tab/>
        <w:t>the actual assessment of the values of positive and negative changes in the assumption that Shariah principles are fully operational and the remaining factors affecting the efficiency of resource use remain unchanged.</w:t>
      </w:r>
    </w:p>
    <w:p w14:paraId="0DD7BDAB"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As the author of the proposed method notes, a quantitative assessment is often tricky and may be limited to a qualitative assessment, determining the sign of a change in results and costs. Even though this circumstance makes the general conclusions of the predictive analysis less reliable, it nevertheless allows for forming essential judgments about the normative act (Shariah).</w:t>
      </w:r>
    </w:p>
    <w:p w14:paraId="2893FCAC" w14:textId="77777777" w:rsidR="00DC0700" w:rsidRPr="00DC0700" w:rsidRDefault="00DC0700" w:rsidP="00DC0700">
      <w:pPr>
        <w:pStyle w:val="2"/>
        <w:snapToGrid w:val="0"/>
        <w:spacing w:before="75" w:after="375"/>
        <w:contextualSpacing/>
        <w:jc w:val="both"/>
        <w:rPr>
          <w:b w:val="0"/>
          <w:color w:val="000000" w:themeColor="text1"/>
          <w:sz w:val="28"/>
          <w:szCs w:val="28"/>
          <w:shd w:val="clear" w:color="auto" w:fill="FFFFFF"/>
          <w:lang w:val="en-US"/>
        </w:rPr>
      </w:pPr>
      <w:r w:rsidRPr="00DC0700">
        <w:rPr>
          <w:b w:val="0"/>
          <w:color w:val="000000" w:themeColor="text1"/>
          <w:sz w:val="28"/>
          <w:szCs w:val="28"/>
          <w:shd w:val="clear" w:color="auto" w:fill="FFFFFF"/>
          <w:lang w:val="en-US"/>
        </w:rPr>
        <w:tab/>
        <w:t xml:space="preserve">According to P. Samuelson and W. Nordhaus, economic efficiency produces the highest combination of quantity and quality of goods and services given its technology and scarce resources, constantly correlating the benefits and costs, while it is necessary to behave rationally. The producer and consumer of goods strive for the highest efficiency at the same time by maximizing benefits and minimizing costs [97]. </w:t>
      </w:r>
    </w:p>
    <w:p w14:paraId="11E165C9" w14:textId="50512B20" w:rsidR="001579E4" w:rsidRDefault="00DC0700" w:rsidP="00DC0700">
      <w:pPr>
        <w:pStyle w:val="2"/>
        <w:snapToGrid w:val="0"/>
        <w:spacing w:before="75" w:after="375"/>
        <w:contextualSpacing/>
        <w:jc w:val="both"/>
        <w:rPr>
          <w:b w:val="0"/>
          <w:color w:val="000000" w:themeColor="text1"/>
          <w:sz w:val="28"/>
          <w:szCs w:val="28"/>
          <w:lang w:val="en-US"/>
        </w:rPr>
      </w:pPr>
      <w:r w:rsidRPr="00DC0700">
        <w:rPr>
          <w:b w:val="0"/>
          <w:color w:val="000000" w:themeColor="text1"/>
          <w:sz w:val="28"/>
          <w:szCs w:val="28"/>
          <w:shd w:val="clear" w:color="auto" w:fill="FFFFFF"/>
          <w:lang w:val="en-US"/>
        </w:rPr>
        <w:tab/>
        <w:t>The table below provides the results of the possible expansion of Islamic finance.</w:t>
      </w:r>
    </w:p>
    <w:p w14:paraId="4775FE3E" w14:textId="14A76E90" w:rsidR="00E4396A" w:rsidRDefault="00E4396A" w:rsidP="008920D3">
      <w:pPr>
        <w:pStyle w:val="2"/>
        <w:spacing w:before="75" w:beforeAutospacing="0" w:after="375" w:afterAutospacing="0"/>
        <w:contextualSpacing/>
        <w:jc w:val="both"/>
        <w:rPr>
          <w:b w:val="0"/>
          <w:color w:val="000000" w:themeColor="text1"/>
          <w:sz w:val="28"/>
          <w:szCs w:val="28"/>
          <w:lang w:val="en-US"/>
        </w:rPr>
      </w:pPr>
    </w:p>
    <w:p w14:paraId="76493C36" w14:textId="77777777" w:rsidR="00E4396A" w:rsidRPr="00D549EE" w:rsidRDefault="00E4396A" w:rsidP="008920D3">
      <w:pPr>
        <w:pStyle w:val="2"/>
        <w:spacing w:before="75" w:beforeAutospacing="0" w:after="375" w:afterAutospacing="0"/>
        <w:contextualSpacing/>
        <w:jc w:val="both"/>
        <w:rPr>
          <w:b w:val="0"/>
          <w:color w:val="000000" w:themeColor="text1"/>
          <w:sz w:val="28"/>
          <w:szCs w:val="28"/>
          <w:lang w:val="en-US"/>
        </w:rPr>
      </w:pPr>
    </w:p>
    <w:p w14:paraId="2F36937E" w14:textId="2F94A369" w:rsidR="002607A6" w:rsidRPr="00D549EE" w:rsidRDefault="002607A6" w:rsidP="00C9582F">
      <w:pPr>
        <w:jc w:val="both"/>
        <w:rPr>
          <w:color w:val="000000" w:themeColor="text1"/>
          <w:sz w:val="28"/>
          <w:szCs w:val="28"/>
          <w:lang w:val="en-US"/>
        </w:rPr>
      </w:pPr>
      <w:r w:rsidRPr="00D549EE">
        <w:rPr>
          <w:color w:val="000000" w:themeColor="text1"/>
          <w:sz w:val="28"/>
          <w:szCs w:val="28"/>
          <w:lang w:val="en-US"/>
        </w:rPr>
        <w:lastRenderedPageBreak/>
        <w:t xml:space="preserve">Table </w:t>
      </w:r>
      <w:r w:rsidR="00845693" w:rsidRPr="00D549EE">
        <w:rPr>
          <w:color w:val="000000" w:themeColor="text1"/>
          <w:sz w:val="28"/>
          <w:szCs w:val="28"/>
          <w:lang w:val="en-US"/>
        </w:rPr>
        <w:t>1</w:t>
      </w:r>
      <w:r w:rsidR="00736E1B" w:rsidRPr="00D549EE">
        <w:rPr>
          <w:color w:val="000000" w:themeColor="text1"/>
          <w:sz w:val="28"/>
          <w:szCs w:val="28"/>
          <w:lang w:val="en-US"/>
        </w:rPr>
        <w:t>2</w:t>
      </w:r>
      <w:r w:rsidR="009769EE" w:rsidRPr="00D549EE">
        <w:rPr>
          <w:color w:val="000000" w:themeColor="text1"/>
          <w:sz w:val="28"/>
          <w:szCs w:val="28"/>
          <w:lang w:val="en-US"/>
        </w:rPr>
        <w:t xml:space="preserve"> </w:t>
      </w:r>
      <w:r w:rsidR="009769EE" w:rsidRPr="00D549EE">
        <w:rPr>
          <w:b/>
          <w:color w:val="000000" w:themeColor="text1"/>
          <w:lang w:val="en-US"/>
        </w:rPr>
        <w:t>–</w:t>
      </w:r>
      <w:r w:rsidR="00E00DF5" w:rsidRPr="00D549EE">
        <w:rPr>
          <w:color w:val="000000" w:themeColor="text1"/>
          <w:sz w:val="28"/>
          <w:szCs w:val="28"/>
          <w:lang w:val="en-US"/>
        </w:rPr>
        <w:t xml:space="preserve"> </w:t>
      </w:r>
      <w:r w:rsidRPr="00D549EE">
        <w:rPr>
          <w:color w:val="000000" w:themeColor="text1"/>
          <w:sz w:val="28"/>
          <w:szCs w:val="28"/>
          <w:lang w:val="en-US"/>
        </w:rPr>
        <w:t>Distribution of losses and benefits from the promotion of Islamic finance among special interest groups</w:t>
      </w:r>
    </w:p>
    <w:p w14:paraId="5BC52336" w14:textId="77777777" w:rsidR="002607A6" w:rsidRPr="00D549EE" w:rsidRDefault="002607A6" w:rsidP="00C9582F">
      <w:pPr>
        <w:jc w:val="both"/>
        <w:rPr>
          <w:sz w:val="28"/>
          <w:szCs w:val="28"/>
          <w:lang w:val="en-US"/>
        </w:rPr>
      </w:pPr>
    </w:p>
    <w:tbl>
      <w:tblPr>
        <w:tblStyle w:val="a9"/>
        <w:tblW w:w="0" w:type="auto"/>
        <w:tblInd w:w="-180" w:type="dxa"/>
        <w:tblLook w:val="04A0" w:firstRow="1" w:lastRow="0" w:firstColumn="1" w:lastColumn="0" w:noHBand="0" w:noVBand="1"/>
      </w:tblPr>
      <w:tblGrid>
        <w:gridCol w:w="3149"/>
        <w:gridCol w:w="3149"/>
        <w:gridCol w:w="3149"/>
      </w:tblGrid>
      <w:tr w:rsidR="002607A6" w:rsidRPr="00D549EE" w14:paraId="6C5976D3" w14:textId="77777777" w:rsidTr="00205F37">
        <w:trPr>
          <w:trHeight w:val="552"/>
        </w:trPr>
        <w:tc>
          <w:tcPr>
            <w:tcW w:w="3149" w:type="dxa"/>
          </w:tcPr>
          <w:p w14:paraId="34E4B1AC" w14:textId="77777777" w:rsidR="002607A6" w:rsidRPr="00D549EE" w:rsidRDefault="002607A6" w:rsidP="00C9582F">
            <w:pPr>
              <w:contextualSpacing/>
              <w:rPr>
                <w:lang w:val="en-US"/>
              </w:rPr>
            </w:pPr>
            <w:r w:rsidRPr="00D549EE">
              <w:t>Group name</w:t>
            </w:r>
          </w:p>
        </w:tc>
        <w:tc>
          <w:tcPr>
            <w:tcW w:w="3149" w:type="dxa"/>
          </w:tcPr>
          <w:p w14:paraId="4480F245" w14:textId="77777777" w:rsidR="002607A6" w:rsidRPr="00D549EE" w:rsidRDefault="002607A6" w:rsidP="00C9582F">
            <w:pPr>
              <w:contextualSpacing/>
              <w:rPr>
                <w:lang w:val="en-US"/>
              </w:rPr>
            </w:pPr>
            <w:r w:rsidRPr="00D549EE">
              <w:rPr>
                <w:lang w:val="en-US"/>
              </w:rPr>
              <w:t>Benefits</w:t>
            </w:r>
          </w:p>
        </w:tc>
        <w:tc>
          <w:tcPr>
            <w:tcW w:w="3149" w:type="dxa"/>
          </w:tcPr>
          <w:p w14:paraId="21DB124A" w14:textId="77777777" w:rsidR="002607A6" w:rsidRPr="00D549EE" w:rsidRDefault="002607A6" w:rsidP="00C9582F">
            <w:pPr>
              <w:contextualSpacing/>
              <w:rPr>
                <w:lang w:val="en-US"/>
              </w:rPr>
            </w:pPr>
            <w:r w:rsidRPr="00D549EE">
              <w:rPr>
                <w:lang w:val="en-US"/>
              </w:rPr>
              <w:t>Losses</w:t>
            </w:r>
          </w:p>
        </w:tc>
      </w:tr>
      <w:tr w:rsidR="002607A6" w:rsidRPr="00D549EE" w14:paraId="25430354" w14:textId="77777777" w:rsidTr="00205F37">
        <w:trPr>
          <w:trHeight w:val="325"/>
        </w:trPr>
        <w:tc>
          <w:tcPr>
            <w:tcW w:w="3149" w:type="dxa"/>
          </w:tcPr>
          <w:p w14:paraId="3F30639B" w14:textId="77777777" w:rsidR="002607A6" w:rsidRPr="00D549EE" w:rsidRDefault="002607A6" w:rsidP="00C9582F">
            <w:pPr>
              <w:contextualSpacing/>
            </w:pPr>
            <w:r w:rsidRPr="00D549EE">
              <w:t>The state budget</w:t>
            </w:r>
          </w:p>
        </w:tc>
        <w:tc>
          <w:tcPr>
            <w:tcW w:w="3149" w:type="dxa"/>
          </w:tcPr>
          <w:p w14:paraId="3E69FAF7" w14:textId="77777777" w:rsidR="002607A6" w:rsidRPr="00D549EE" w:rsidRDefault="002607A6" w:rsidP="00C9582F">
            <w:pPr>
              <w:contextualSpacing/>
              <w:jc w:val="center"/>
            </w:pPr>
            <w:r w:rsidRPr="00D549EE">
              <w:t>+</w:t>
            </w:r>
          </w:p>
        </w:tc>
        <w:tc>
          <w:tcPr>
            <w:tcW w:w="3149" w:type="dxa"/>
          </w:tcPr>
          <w:p w14:paraId="02CD9E6A" w14:textId="77777777" w:rsidR="002607A6" w:rsidRPr="00D549EE" w:rsidRDefault="002607A6" w:rsidP="00C9582F">
            <w:pPr>
              <w:contextualSpacing/>
              <w:jc w:val="center"/>
              <w:rPr>
                <w:lang w:val="en-US"/>
              </w:rPr>
            </w:pPr>
            <w:r w:rsidRPr="00D549EE">
              <w:rPr>
                <w:lang w:val="en-US"/>
              </w:rPr>
              <w:t>+</w:t>
            </w:r>
          </w:p>
        </w:tc>
      </w:tr>
      <w:tr w:rsidR="002607A6" w:rsidRPr="00D549EE" w14:paraId="64E9DA07" w14:textId="77777777" w:rsidTr="00205F37">
        <w:trPr>
          <w:trHeight w:val="274"/>
        </w:trPr>
        <w:tc>
          <w:tcPr>
            <w:tcW w:w="3149" w:type="dxa"/>
          </w:tcPr>
          <w:p w14:paraId="16E3778D" w14:textId="77777777" w:rsidR="002607A6" w:rsidRPr="00D549EE" w:rsidRDefault="002607A6" w:rsidP="00C9582F">
            <w:pPr>
              <w:contextualSpacing/>
            </w:pPr>
            <w:r w:rsidRPr="00D549EE">
              <w:t>Muslim population</w:t>
            </w:r>
          </w:p>
        </w:tc>
        <w:tc>
          <w:tcPr>
            <w:tcW w:w="3149" w:type="dxa"/>
          </w:tcPr>
          <w:p w14:paraId="2F6E1206" w14:textId="77777777" w:rsidR="002607A6" w:rsidRPr="00D549EE" w:rsidRDefault="002607A6" w:rsidP="00C9582F">
            <w:pPr>
              <w:contextualSpacing/>
              <w:jc w:val="center"/>
            </w:pPr>
            <w:r w:rsidRPr="00D549EE">
              <w:t>+</w:t>
            </w:r>
          </w:p>
        </w:tc>
        <w:tc>
          <w:tcPr>
            <w:tcW w:w="3149" w:type="dxa"/>
          </w:tcPr>
          <w:p w14:paraId="2CB633B1" w14:textId="77777777" w:rsidR="002607A6" w:rsidRPr="00D549EE" w:rsidRDefault="002607A6" w:rsidP="00C9582F">
            <w:pPr>
              <w:contextualSpacing/>
            </w:pPr>
          </w:p>
        </w:tc>
      </w:tr>
      <w:tr w:rsidR="002607A6" w:rsidRPr="00D549EE" w14:paraId="6DDC0541" w14:textId="77777777" w:rsidTr="00205F37">
        <w:trPr>
          <w:trHeight w:val="277"/>
        </w:trPr>
        <w:tc>
          <w:tcPr>
            <w:tcW w:w="3149" w:type="dxa"/>
          </w:tcPr>
          <w:p w14:paraId="7A5E1861" w14:textId="77777777" w:rsidR="002607A6" w:rsidRPr="00D549EE" w:rsidRDefault="002607A6" w:rsidP="00C9582F">
            <w:pPr>
              <w:contextualSpacing/>
            </w:pPr>
            <w:r w:rsidRPr="00D549EE">
              <w:t>Non-Muslim population</w:t>
            </w:r>
          </w:p>
        </w:tc>
        <w:tc>
          <w:tcPr>
            <w:tcW w:w="3149" w:type="dxa"/>
          </w:tcPr>
          <w:p w14:paraId="06DA3947" w14:textId="77777777" w:rsidR="002607A6" w:rsidRPr="00D549EE" w:rsidRDefault="002607A6" w:rsidP="00C9582F">
            <w:pPr>
              <w:contextualSpacing/>
              <w:jc w:val="center"/>
            </w:pPr>
            <w:r w:rsidRPr="00D549EE">
              <w:t>+</w:t>
            </w:r>
          </w:p>
        </w:tc>
        <w:tc>
          <w:tcPr>
            <w:tcW w:w="3149" w:type="dxa"/>
          </w:tcPr>
          <w:p w14:paraId="7CD40BF7" w14:textId="77777777" w:rsidR="002607A6" w:rsidRPr="00D549EE" w:rsidRDefault="002607A6" w:rsidP="00C9582F">
            <w:pPr>
              <w:contextualSpacing/>
              <w:jc w:val="center"/>
            </w:pPr>
          </w:p>
        </w:tc>
      </w:tr>
      <w:tr w:rsidR="002607A6" w:rsidRPr="00D549EE" w14:paraId="55D9FB8E" w14:textId="77777777" w:rsidTr="00205F37">
        <w:trPr>
          <w:trHeight w:val="268"/>
        </w:trPr>
        <w:tc>
          <w:tcPr>
            <w:tcW w:w="3149" w:type="dxa"/>
          </w:tcPr>
          <w:p w14:paraId="2CC278A3" w14:textId="77777777" w:rsidR="002607A6" w:rsidRPr="00D549EE" w:rsidRDefault="002607A6" w:rsidP="00C9582F">
            <w:pPr>
              <w:contextualSpacing/>
            </w:pPr>
            <w:r w:rsidRPr="00D549EE">
              <w:t>Islamic banks</w:t>
            </w:r>
          </w:p>
        </w:tc>
        <w:tc>
          <w:tcPr>
            <w:tcW w:w="3149" w:type="dxa"/>
          </w:tcPr>
          <w:p w14:paraId="3B9ADFF4" w14:textId="77777777" w:rsidR="002607A6" w:rsidRPr="00D549EE" w:rsidRDefault="002607A6" w:rsidP="00C9582F">
            <w:pPr>
              <w:contextualSpacing/>
              <w:jc w:val="center"/>
            </w:pPr>
            <w:r w:rsidRPr="00D549EE">
              <w:t>+</w:t>
            </w:r>
          </w:p>
        </w:tc>
        <w:tc>
          <w:tcPr>
            <w:tcW w:w="3149" w:type="dxa"/>
          </w:tcPr>
          <w:p w14:paraId="3F8E6C35" w14:textId="77777777" w:rsidR="002607A6" w:rsidRPr="00D549EE" w:rsidRDefault="002607A6" w:rsidP="00C9582F">
            <w:pPr>
              <w:contextualSpacing/>
            </w:pPr>
          </w:p>
        </w:tc>
      </w:tr>
      <w:tr w:rsidR="002607A6" w:rsidRPr="00D549EE" w14:paraId="226D3278" w14:textId="77777777" w:rsidTr="00205F37">
        <w:trPr>
          <w:trHeight w:val="273"/>
        </w:trPr>
        <w:tc>
          <w:tcPr>
            <w:tcW w:w="3149" w:type="dxa"/>
          </w:tcPr>
          <w:p w14:paraId="2694494F" w14:textId="77777777" w:rsidR="002607A6" w:rsidRPr="00D549EE" w:rsidRDefault="002607A6" w:rsidP="00C9582F">
            <w:pPr>
              <w:contextualSpacing/>
            </w:pPr>
            <w:r w:rsidRPr="00D549EE">
              <w:rPr>
                <w:lang w:val="en-US"/>
              </w:rPr>
              <w:t>Conventional</w:t>
            </w:r>
            <w:r w:rsidRPr="00D549EE">
              <w:t xml:space="preserve"> banks</w:t>
            </w:r>
          </w:p>
        </w:tc>
        <w:tc>
          <w:tcPr>
            <w:tcW w:w="3149" w:type="dxa"/>
          </w:tcPr>
          <w:p w14:paraId="21CD238F" w14:textId="77777777" w:rsidR="002607A6" w:rsidRPr="00D549EE" w:rsidRDefault="002607A6" w:rsidP="00C9582F">
            <w:pPr>
              <w:contextualSpacing/>
              <w:jc w:val="center"/>
              <w:rPr>
                <w:lang w:val="en-US"/>
              </w:rPr>
            </w:pPr>
            <w:r w:rsidRPr="00D549EE">
              <w:rPr>
                <w:lang w:val="en-US"/>
              </w:rPr>
              <w:t>+</w:t>
            </w:r>
          </w:p>
        </w:tc>
        <w:tc>
          <w:tcPr>
            <w:tcW w:w="3149" w:type="dxa"/>
          </w:tcPr>
          <w:p w14:paraId="55D9DFD8" w14:textId="77777777" w:rsidR="002607A6" w:rsidRPr="00D549EE" w:rsidRDefault="002607A6" w:rsidP="00C9582F">
            <w:pPr>
              <w:contextualSpacing/>
              <w:jc w:val="center"/>
            </w:pPr>
            <w:r w:rsidRPr="00D549EE">
              <w:t>+</w:t>
            </w:r>
          </w:p>
        </w:tc>
      </w:tr>
      <w:tr w:rsidR="002607A6" w:rsidRPr="00D549EE" w14:paraId="199B3DCE" w14:textId="77777777" w:rsidTr="00205F37">
        <w:trPr>
          <w:trHeight w:val="273"/>
        </w:trPr>
        <w:tc>
          <w:tcPr>
            <w:tcW w:w="3149" w:type="dxa"/>
          </w:tcPr>
          <w:p w14:paraId="5235E6A1" w14:textId="77777777" w:rsidR="002607A6" w:rsidRPr="00D549EE" w:rsidRDefault="002607A6" w:rsidP="00C9582F">
            <w:pPr>
              <w:contextualSpacing/>
            </w:pPr>
            <w:r w:rsidRPr="00D549EE">
              <w:t>Islamic business</w:t>
            </w:r>
          </w:p>
        </w:tc>
        <w:tc>
          <w:tcPr>
            <w:tcW w:w="3149" w:type="dxa"/>
          </w:tcPr>
          <w:p w14:paraId="78DDA1CD" w14:textId="77777777" w:rsidR="002607A6" w:rsidRPr="00D549EE" w:rsidRDefault="002607A6" w:rsidP="00C9582F">
            <w:pPr>
              <w:contextualSpacing/>
              <w:jc w:val="center"/>
            </w:pPr>
            <w:r w:rsidRPr="00D549EE">
              <w:t>+</w:t>
            </w:r>
          </w:p>
        </w:tc>
        <w:tc>
          <w:tcPr>
            <w:tcW w:w="3149" w:type="dxa"/>
          </w:tcPr>
          <w:p w14:paraId="69952437" w14:textId="77777777" w:rsidR="002607A6" w:rsidRPr="00D549EE" w:rsidRDefault="002607A6" w:rsidP="00C9582F">
            <w:pPr>
              <w:contextualSpacing/>
            </w:pPr>
          </w:p>
        </w:tc>
      </w:tr>
      <w:tr w:rsidR="002607A6" w:rsidRPr="00D549EE" w14:paraId="40B15B93" w14:textId="77777777" w:rsidTr="00205F37">
        <w:trPr>
          <w:trHeight w:val="273"/>
        </w:trPr>
        <w:tc>
          <w:tcPr>
            <w:tcW w:w="3149" w:type="dxa"/>
          </w:tcPr>
          <w:p w14:paraId="739EC9EB" w14:textId="77777777" w:rsidR="002607A6" w:rsidRPr="00D549EE" w:rsidRDefault="002607A6" w:rsidP="00C9582F">
            <w:pPr>
              <w:contextualSpacing/>
            </w:pPr>
            <w:r w:rsidRPr="00D549EE">
              <w:t>Non-</w:t>
            </w:r>
            <w:r w:rsidRPr="00D549EE">
              <w:rPr>
                <w:lang w:val="en-US"/>
              </w:rPr>
              <w:t>I</w:t>
            </w:r>
            <w:r w:rsidRPr="00D549EE">
              <w:t>slamic business</w:t>
            </w:r>
          </w:p>
        </w:tc>
        <w:tc>
          <w:tcPr>
            <w:tcW w:w="3149" w:type="dxa"/>
          </w:tcPr>
          <w:p w14:paraId="2DB54484" w14:textId="77777777" w:rsidR="002607A6" w:rsidRPr="00D549EE" w:rsidRDefault="002607A6" w:rsidP="00C9582F">
            <w:pPr>
              <w:contextualSpacing/>
            </w:pPr>
          </w:p>
        </w:tc>
        <w:tc>
          <w:tcPr>
            <w:tcW w:w="3149" w:type="dxa"/>
          </w:tcPr>
          <w:p w14:paraId="1E125771" w14:textId="77777777" w:rsidR="002607A6" w:rsidRPr="00D549EE" w:rsidRDefault="002607A6" w:rsidP="00C9582F">
            <w:pPr>
              <w:contextualSpacing/>
              <w:jc w:val="center"/>
            </w:pPr>
            <w:r w:rsidRPr="00D549EE">
              <w:t>+</w:t>
            </w:r>
          </w:p>
        </w:tc>
      </w:tr>
      <w:tr w:rsidR="002607A6" w:rsidRPr="00D549EE" w14:paraId="3F1FF59F" w14:textId="77777777" w:rsidTr="00205F37">
        <w:trPr>
          <w:trHeight w:val="276"/>
        </w:trPr>
        <w:tc>
          <w:tcPr>
            <w:tcW w:w="3149" w:type="dxa"/>
          </w:tcPr>
          <w:p w14:paraId="6F12E1DA" w14:textId="77777777" w:rsidR="002607A6" w:rsidRPr="00D549EE" w:rsidRDefault="002607A6" w:rsidP="00C9582F">
            <w:pPr>
              <w:contextualSpacing/>
            </w:pPr>
            <w:r w:rsidRPr="00D549EE">
              <w:t>Stock Market Entities</w:t>
            </w:r>
          </w:p>
        </w:tc>
        <w:tc>
          <w:tcPr>
            <w:tcW w:w="3149" w:type="dxa"/>
          </w:tcPr>
          <w:p w14:paraId="426F6507" w14:textId="77777777" w:rsidR="002607A6" w:rsidRPr="00D549EE" w:rsidRDefault="002607A6" w:rsidP="00C9582F">
            <w:pPr>
              <w:contextualSpacing/>
              <w:jc w:val="center"/>
            </w:pPr>
            <w:r w:rsidRPr="00D549EE">
              <w:t>+</w:t>
            </w:r>
          </w:p>
        </w:tc>
        <w:tc>
          <w:tcPr>
            <w:tcW w:w="3149" w:type="dxa"/>
          </w:tcPr>
          <w:p w14:paraId="468388B2" w14:textId="77777777" w:rsidR="002607A6" w:rsidRPr="00D549EE" w:rsidRDefault="002607A6" w:rsidP="00C9582F">
            <w:pPr>
              <w:contextualSpacing/>
              <w:jc w:val="center"/>
            </w:pPr>
          </w:p>
        </w:tc>
      </w:tr>
      <w:tr w:rsidR="002607A6" w:rsidRPr="00D549EE" w14:paraId="20ABD912" w14:textId="77777777" w:rsidTr="00205F37">
        <w:trPr>
          <w:trHeight w:val="267"/>
        </w:trPr>
        <w:tc>
          <w:tcPr>
            <w:tcW w:w="3149" w:type="dxa"/>
          </w:tcPr>
          <w:p w14:paraId="481EB040" w14:textId="77777777" w:rsidR="002607A6" w:rsidRPr="00D549EE" w:rsidRDefault="002607A6" w:rsidP="00C9582F">
            <w:pPr>
              <w:contextualSpacing/>
              <w:rPr>
                <w:lang w:val="en-US"/>
              </w:rPr>
            </w:pPr>
            <w:r w:rsidRPr="00D549EE">
              <w:rPr>
                <w:lang w:val="en-US"/>
              </w:rPr>
              <w:t>Insurance market entities</w:t>
            </w:r>
          </w:p>
        </w:tc>
        <w:tc>
          <w:tcPr>
            <w:tcW w:w="3149" w:type="dxa"/>
          </w:tcPr>
          <w:p w14:paraId="5C5C58C5" w14:textId="77777777" w:rsidR="002607A6" w:rsidRPr="00D549EE" w:rsidRDefault="002607A6" w:rsidP="00C9582F">
            <w:pPr>
              <w:contextualSpacing/>
              <w:jc w:val="center"/>
            </w:pPr>
            <w:r w:rsidRPr="00D549EE">
              <w:t>+</w:t>
            </w:r>
          </w:p>
        </w:tc>
        <w:tc>
          <w:tcPr>
            <w:tcW w:w="3149" w:type="dxa"/>
          </w:tcPr>
          <w:p w14:paraId="5DC66F62" w14:textId="77777777" w:rsidR="002607A6" w:rsidRPr="00D549EE" w:rsidRDefault="002607A6" w:rsidP="00C9582F">
            <w:pPr>
              <w:contextualSpacing/>
              <w:jc w:val="center"/>
              <w:rPr>
                <w:lang w:val="en-US"/>
              </w:rPr>
            </w:pPr>
            <w:r w:rsidRPr="00D549EE">
              <w:rPr>
                <w:lang w:val="en-US"/>
              </w:rPr>
              <w:t>+</w:t>
            </w:r>
          </w:p>
        </w:tc>
      </w:tr>
      <w:tr w:rsidR="002607A6" w:rsidRPr="00D549EE" w14:paraId="26AEE259" w14:textId="77777777" w:rsidTr="00205F37">
        <w:trPr>
          <w:trHeight w:val="270"/>
        </w:trPr>
        <w:tc>
          <w:tcPr>
            <w:tcW w:w="3149" w:type="dxa"/>
          </w:tcPr>
          <w:p w14:paraId="7BB3528A" w14:textId="77777777" w:rsidR="002607A6" w:rsidRPr="00D549EE" w:rsidRDefault="002607A6" w:rsidP="00C9582F">
            <w:pPr>
              <w:contextualSpacing/>
            </w:pPr>
            <w:r w:rsidRPr="00D549EE">
              <w:t>Pension market entities</w:t>
            </w:r>
          </w:p>
        </w:tc>
        <w:tc>
          <w:tcPr>
            <w:tcW w:w="3149" w:type="dxa"/>
          </w:tcPr>
          <w:p w14:paraId="29727185" w14:textId="77777777" w:rsidR="002607A6" w:rsidRPr="00D549EE" w:rsidRDefault="002607A6" w:rsidP="00C9582F">
            <w:pPr>
              <w:contextualSpacing/>
              <w:jc w:val="center"/>
            </w:pPr>
            <w:r w:rsidRPr="00D549EE">
              <w:t>+</w:t>
            </w:r>
          </w:p>
        </w:tc>
        <w:tc>
          <w:tcPr>
            <w:tcW w:w="3149" w:type="dxa"/>
          </w:tcPr>
          <w:p w14:paraId="2679B8AF" w14:textId="77777777" w:rsidR="002607A6" w:rsidRPr="00D549EE" w:rsidRDefault="002607A6" w:rsidP="00C9582F">
            <w:pPr>
              <w:contextualSpacing/>
              <w:jc w:val="center"/>
            </w:pPr>
          </w:p>
        </w:tc>
      </w:tr>
      <w:tr w:rsidR="002607A6" w:rsidRPr="00D549EE" w14:paraId="06145AAB" w14:textId="77777777" w:rsidTr="00205F37">
        <w:trPr>
          <w:trHeight w:val="552"/>
        </w:trPr>
        <w:tc>
          <w:tcPr>
            <w:tcW w:w="3149" w:type="dxa"/>
          </w:tcPr>
          <w:p w14:paraId="1E2E42D5" w14:textId="77777777" w:rsidR="002607A6" w:rsidRPr="00D549EE" w:rsidRDefault="002607A6" w:rsidP="00C9582F">
            <w:pPr>
              <w:contextualSpacing/>
            </w:pPr>
            <w:r w:rsidRPr="00D549EE">
              <w:rPr>
                <w:lang w:val="en-US"/>
              </w:rPr>
              <w:t>F</w:t>
            </w:r>
            <w:r w:rsidRPr="00D549EE">
              <w:t>oreign exchange market entities</w:t>
            </w:r>
          </w:p>
        </w:tc>
        <w:tc>
          <w:tcPr>
            <w:tcW w:w="3149" w:type="dxa"/>
          </w:tcPr>
          <w:p w14:paraId="6FC69854" w14:textId="77777777" w:rsidR="002607A6" w:rsidRPr="00D549EE" w:rsidRDefault="002607A6" w:rsidP="00C9582F">
            <w:pPr>
              <w:contextualSpacing/>
            </w:pPr>
          </w:p>
        </w:tc>
        <w:tc>
          <w:tcPr>
            <w:tcW w:w="3149" w:type="dxa"/>
          </w:tcPr>
          <w:p w14:paraId="30CEBC23" w14:textId="77777777" w:rsidR="002607A6" w:rsidRPr="00D549EE" w:rsidRDefault="002607A6" w:rsidP="00C9582F">
            <w:pPr>
              <w:contextualSpacing/>
              <w:jc w:val="center"/>
            </w:pPr>
            <w:r w:rsidRPr="00D549EE">
              <w:t>+</w:t>
            </w:r>
          </w:p>
        </w:tc>
      </w:tr>
      <w:tr w:rsidR="009769EE" w:rsidRPr="00D74F7B" w14:paraId="3CD2D1A7" w14:textId="77777777" w:rsidTr="009769EE">
        <w:trPr>
          <w:trHeight w:val="229"/>
        </w:trPr>
        <w:tc>
          <w:tcPr>
            <w:tcW w:w="9447" w:type="dxa"/>
            <w:gridSpan w:val="3"/>
          </w:tcPr>
          <w:p w14:paraId="357DF954" w14:textId="35078E87" w:rsidR="009769EE" w:rsidRPr="00D549EE" w:rsidRDefault="00CC3F2C" w:rsidP="00C9582F">
            <w:pPr>
              <w:contextualSpacing/>
              <w:jc w:val="left"/>
              <w:rPr>
                <w:lang w:val="en-US"/>
              </w:rPr>
            </w:pPr>
            <w:r w:rsidRPr="00D549EE">
              <w:rPr>
                <w:lang w:val="en-US"/>
              </w:rPr>
              <w:t xml:space="preserve">      </w:t>
            </w:r>
            <w:r w:rsidR="009769EE" w:rsidRPr="00D549EE">
              <w:rPr>
                <w:lang w:val="en-US"/>
              </w:rPr>
              <w:t xml:space="preserve">Note </w:t>
            </w:r>
            <w:r w:rsidR="009769EE" w:rsidRPr="00D549EE">
              <w:rPr>
                <w:sz w:val="28"/>
                <w:szCs w:val="28"/>
                <w:lang w:val="en-US"/>
              </w:rPr>
              <w:t>–</w:t>
            </w:r>
            <w:r w:rsidR="009769EE" w:rsidRPr="00D549EE">
              <w:rPr>
                <w:lang w:val="en-US"/>
              </w:rPr>
              <w:t xml:space="preserve"> Compiled by the author</w:t>
            </w:r>
            <w:r w:rsidRPr="00D549EE">
              <w:rPr>
                <w:lang w:val="en-US"/>
              </w:rPr>
              <w:t>, S</w:t>
            </w:r>
            <w:r w:rsidR="000B3D32" w:rsidRPr="00D549EE">
              <w:rPr>
                <w:lang w:val="en-US"/>
              </w:rPr>
              <w:t xml:space="preserve">ource </w:t>
            </w:r>
            <w:r w:rsidR="000B3D32" w:rsidRPr="00D549EE">
              <w:rPr>
                <w:lang w:val="en-US"/>
              </w:rPr>
              <w:fldChar w:fldCharType="begin" w:fldLock="1"/>
            </w:r>
            <w:r w:rsidR="00FA7152" w:rsidRPr="00D549EE">
              <w:rPr>
                <w:lang w:val="en-US"/>
              </w:rPr>
              <w:instrText>ADDIN CSL_CITATION {"citationItems":[{"id":"ITEM-1","itemData":{"DOI":"https://doi.org/10.1108/QRFM-03-2020-0023","abstract":"Purpose This paper aims to take stock of the Islamic finance experience and aims to identify an approach for further development in Kazakhstan, using qualitative and quantitative assessments. Design/methodology/approach The paper presents a conceptual framework based on literature review and content analysis. Furthermore, the study uses a survey-based methodology to collect data and determine the prospects, challenges and possible remedies. The quantitative parameters of the potential of Islamic finance in Kazakhstan are based on the assessment of funds on bank deposits, which can be considered potential resources for Islamic financial instruments.","author":[{"dropping-particle":"","family":"Shirazi","given":"Nasim","non-dropping-particle":"","parse-names":false,"suffix":""},{"dropping-particle":"","family":"Kuanova","given":"Laura","non-dropping-particle":"","parse-names":false,"suffix":""},{"dropping-particle":"","family":"Ryskulov","given":"Adilbek","non-dropping-particle":"","parse-names":false,"suffix":""},{"dropping-particle":"","family":"Mukusheva","given":"Aziya","non-dropping-particle":"","parse-names":false,"suffix":""}],"container-title":"Qualitative Research in Financial Markets","id":"ITEM-1","issued":{"date-parts":[["2021"]]},"title":"The experience and the prospects of Islamic finance in Kazakhstan","type":"article-journal"},"uris":["http://www.mendeley.com/documents/?uuid=44f0af57-3208-471b-868a-248de1a742d4"]}],"mendeley":{"formattedCitation":"[42]","plainTextFormattedCitation":"[42]","previouslyFormattedCitation":"[42]"},"properties":{"noteIndex":0},"schema":"https://github.com/citation-style-language/schema/raw/master/csl-citation.json"}</w:instrText>
            </w:r>
            <w:r w:rsidR="000B3D32" w:rsidRPr="00D549EE">
              <w:rPr>
                <w:lang w:val="en-US"/>
              </w:rPr>
              <w:fldChar w:fldCharType="separate"/>
            </w:r>
            <w:r w:rsidR="00785182" w:rsidRPr="00D549EE">
              <w:rPr>
                <w:noProof/>
                <w:lang w:val="en-US"/>
              </w:rPr>
              <w:t>[42]</w:t>
            </w:r>
            <w:r w:rsidR="000B3D32" w:rsidRPr="00D549EE">
              <w:rPr>
                <w:lang w:val="en-US"/>
              </w:rPr>
              <w:fldChar w:fldCharType="end"/>
            </w:r>
            <w:r w:rsidR="00520144" w:rsidRPr="00D549EE">
              <w:rPr>
                <w:color w:val="FFFFFF" w:themeColor="background1"/>
                <w:lang w:val="en-US"/>
              </w:rPr>
              <w:t>scopus)</w:t>
            </w:r>
          </w:p>
        </w:tc>
      </w:tr>
    </w:tbl>
    <w:p w14:paraId="55E6FE54" w14:textId="77777777" w:rsidR="002607A6" w:rsidRPr="00D549EE" w:rsidRDefault="002607A6" w:rsidP="00C9582F">
      <w:pPr>
        <w:jc w:val="both"/>
        <w:rPr>
          <w:sz w:val="28"/>
          <w:szCs w:val="28"/>
          <w:lang w:val="en-US"/>
        </w:rPr>
      </w:pPr>
    </w:p>
    <w:p w14:paraId="19B7BCCD" w14:textId="0146FE43" w:rsidR="002607A6" w:rsidRPr="00D549EE" w:rsidRDefault="002607A6" w:rsidP="00C9582F">
      <w:pPr>
        <w:jc w:val="both"/>
        <w:rPr>
          <w:sz w:val="28"/>
          <w:szCs w:val="28"/>
          <w:lang w:val="en-US"/>
        </w:rPr>
      </w:pPr>
      <w:r w:rsidRPr="00D549EE">
        <w:rPr>
          <w:sz w:val="28"/>
          <w:szCs w:val="28"/>
          <w:lang w:val="en-US"/>
        </w:rPr>
        <w:tab/>
        <w:t>In the context of the study, there is some clarification on special interest groups that will be affected by the promotion of Islamic finance:</w:t>
      </w:r>
    </w:p>
    <w:p w14:paraId="1B94EFE3" w14:textId="3BC39D00" w:rsidR="006468CA" w:rsidRPr="00D549EE" w:rsidRDefault="006468CA" w:rsidP="00C9582F">
      <w:pPr>
        <w:jc w:val="both"/>
        <w:rPr>
          <w:sz w:val="28"/>
          <w:szCs w:val="28"/>
          <w:lang w:val="en-US"/>
        </w:rPr>
      </w:pPr>
    </w:p>
    <w:p w14:paraId="5A6ADD8E" w14:textId="32533B9C" w:rsidR="006468CA" w:rsidRPr="00D549EE" w:rsidRDefault="006468CA" w:rsidP="00C9582F">
      <w:pPr>
        <w:jc w:val="both"/>
        <w:rPr>
          <w:color w:val="000000" w:themeColor="text1"/>
          <w:sz w:val="28"/>
          <w:szCs w:val="28"/>
          <w:lang w:val="en-US"/>
        </w:rPr>
      </w:pPr>
      <w:r w:rsidRPr="00D549EE">
        <w:rPr>
          <w:color w:val="000000" w:themeColor="text1"/>
          <w:sz w:val="28"/>
          <w:szCs w:val="28"/>
          <w:lang w:val="en-US"/>
        </w:rPr>
        <w:t>Table 1</w:t>
      </w:r>
      <w:r w:rsidR="00736E1B" w:rsidRPr="00D549EE">
        <w:rPr>
          <w:color w:val="000000" w:themeColor="text1"/>
          <w:sz w:val="28"/>
          <w:szCs w:val="28"/>
          <w:lang w:val="en-US"/>
        </w:rPr>
        <w:t>3</w:t>
      </w:r>
      <w:r w:rsidRPr="00D549EE">
        <w:rPr>
          <w:color w:val="000000" w:themeColor="text1"/>
          <w:sz w:val="28"/>
          <w:szCs w:val="28"/>
          <w:lang w:val="en-US"/>
        </w:rPr>
        <w:t xml:space="preserve"> </w:t>
      </w:r>
      <w:r w:rsidRPr="00D549EE">
        <w:rPr>
          <w:b/>
          <w:color w:val="000000" w:themeColor="text1"/>
          <w:lang w:val="en-US"/>
        </w:rPr>
        <w:t>–</w:t>
      </w:r>
      <w:r w:rsidRPr="00D549EE">
        <w:rPr>
          <w:color w:val="000000" w:themeColor="text1"/>
          <w:sz w:val="28"/>
          <w:szCs w:val="28"/>
          <w:lang w:val="en-US"/>
        </w:rPr>
        <w:t xml:space="preserve"> Islamic finance development benefits and losses among special interest groups </w:t>
      </w:r>
    </w:p>
    <w:p w14:paraId="435A2CDD" w14:textId="77777777" w:rsidR="001051D0" w:rsidRPr="00D549EE" w:rsidRDefault="001051D0" w:rsidP="00C9582F">
      <w:pPr>
        <w:jc w:val="both"/>
        <w:rPr>
          <w:sz w:val="28"/>
          <w:szCs w:val="28"/>
          <w:lang w:val="en-US"/>
        </w:rPr>
      </w:pPr>
    </w:p>
    <w:tbl>
      <w:tblPr>
        <w:tblStyle w:val="a9"/>
        <w:tblW w:w="0" w:type="auto"/>
        <w:tblInd w:w="-5" w:type="dxa"/>
        <w:tblLook w:val="04A0" w:firstRow="1" w:lastRow="0" w:firstColumn="1" w:lastColumn="0" w:noHBand="0" w:noVBand="1"/>
      </w:tblPr>
      <w:tblGrid>
        <w:gridCol w:w="2974"/>
        <w:gridCol w:w="6382"/>
      </w:tblGrid>
      <w:tr w:rsidR="001051D0" w:rsidRPr="00D549EE" w14:paraId="413BF0FF" w14:textId="77777777" w:rsidTr="005A1EE9">
        <w:trPr>
          <w:trHeight w:val="552"/>
        </w:trPr>
        <w:tc>
          <w:tcPr>
            <w:tcW w:w="2974" w:type="dxa"/>
          </w:tcPr>
          <w:p w14:paraId="4CA415A0" w14:textId="77777777" w:rsidR="001051D0" w:rsidRPr="00D549EE" w:rsidRDefault="001051D0" w:rsidP="00C9582F">
            <w:pPr>
              <w:contextualSpacing/>
              <w:rPr>
                <w:lang w:val="en-US"/>
              </w:rPr>
            </w:pPr>
            <w:r w:rsidRPr="00D549EE">
              <w:t>Group name</w:t>
            </w:r>
          </w:p>
        </w:tc>
        <w:tc>
          <w:tcPr>
            <w:tcW w:w="6382" w:type="dxa"/>
          </w:tcPr>
          <w:p w14:paraId="4DDE7843" w14:textId="6F7A44FA" w:rsidR="001051D0" w:rsidRPr="00D549EE" w:rsidRDefault="001051D0" w:rsidP="00C9582F">
            <w:pPr>
              <w:contextualSpacing/>
              <w:rPr>
                <w:lang w:val="en-US"/>
              </w:rPr>
            </w:pPr>
            <w:r w:rsidRPr="00D549EE">
              <w:rPr>
                <w:lang w:val="en-US"/>
              </w:rPr>
              <w:t>Description</w:t>
            </w:r>
          </w:p>
        </w:tc>
      </w:tr>
      <w:tr w:rsidR="001051D0" w:rsidRPr="00D74F7B" w14:paraId="45792B2A" w14:textId="77777777" w:rsidTr="005A1EE9">
        <w:trPr>
          <w:trHeight w:val="325"/>
        </w:trPr>
        <w:tc>
          <w:tcPr>
            <w:tcW w:w="2974" w:type="dxa"/>
          </w:tcPr>
          <w:p w14:paraId="33994559" w14:textId="77777777" w:rsidR="001051D0" w:rsidRPr="00D549EE" w:rsidRDefault="001051D0" w:rsidP="00C9582F">
            <w:pPr>
              <w:contextualSpacing/>
            </w:pPr>
            <w:r w:rsidRPr="00D549EE">
              <w:t>The state budget</w:t>
            </w:r>
          </w:p>
        </w:tc>
        <w:tc>
          <w:tcPr>
            <w:tcW w:w="6382" w:type="dxa"/>
          </w:tcPr>
          <w:p w14:paraId="5E57986E" w14:textId="0177012F" w:rsidR="001051D0" w:rsidRPr="00D549EE" w:rsidRDefault="001051D0" w:rsidP="00C9582F">
            <w:pPr>
              <w:pStyle w:val="a3"/>
              <w:spacing w:after="0" w:line="240" w:lineRule="auto"/>
              <w:ind w:left="-105"/>
              <w:rPr>
                <w:rFonts w:ascii="Times New Roman" w:hAnsi="Times New Roman"/>
                <w:sz w:val="24"/>
                <w:szCs w:val="24"/>
                <w:lang w:val="en-US"/>
              </w:rPr>
            </w:pPr>
            <w:r w:rsidRPr="00D549EE">
              <w:rPr>
                <w:rFonts w:ascii="Times New Roman" w:hAnsi="Times New Roman"/>
                <w:sz w:val="24"/>
                <w:szCs w:val="24"/>
                <w:lang w:val="en-US"/>
              </w:rPr>
              <w:t xml:space="preserve">“+” The positive effect from an increase in taxable Islamic entities, and from a reduction in the cost of paying social benefits by activating traditional Muslim donations (zakat). The new channels of attracting foreign investors from the Middle East and Malaysia. </w:t>
            </w:r>
          </w:p>
          <w:p w14:paraId="1A063197" w14:textId="43E8441E" w:rsidR="001051D0" w:rsidRPr="00D549EE" w:rsidRDefault="001051D0" w:rsidP="00C9582F">
            <w:pPr>
              <w:pStyle w:val="a3"/>
              <w:spacing w:after="0" w:line="240" w:lineRule="auto"/>
              <w:ind w:left="-105"/>
              <w:rPr>
                <w:rFonts w:ascii="Times New Roman" w:hAnsi="Times New Roman"/>
                <w:sz w:val="24"/>
                <w:szCs w:val="24"/>
                <w:lang w:val="en-US"/>
              </w:rPr>
            </w:pPr>
            <w:r w:rsidRPr="00D549EE">
              <w:rPr>
                <w:rFonts w:ascii="Times New Roman" w:hAnsi="Times New Roman"/>
                <w:sz w:val="24"/>
                <w:szCs w:val="24"/>
                <w:lang w:val="en-US"/>
              </w:rPr>
              <w:t xml:space="preserve">“-“ The development of the legal framework of Islamic finance, the training of relevant specialists and the functioning of the Shariah </w:t>
            </w:r>
            <w:r w:rsidRPr="00D549EE">
              <w:rPr>
                <w:rFonts w:ascii="Times New Roman" w:hAnsi="Times New Roman"/>
                <w:color w:val="000000" w:themeColor="text1"/>
                <w:sz w:val="24"/>
                <w:szCs w:val="24"/>
                <w:lang w:val="en-US"/>
              </w:rPr>
              <w:t xml:space="preserve">board require </w:t>
            </w:r>
            <w:r w:rsidRPr="00D549EE">
              <w:rPr>
                <w:rFonts w:ascii="Times New Roman" w:hAnsi="Times New Roman"/>
                <w:sz w:val="24"/>
                <w:szCs w:val="24"/>
                <w:lang w:val="en-US"/>
              </w:rPr>
              <w:t>state spending</w:t>
            </w:r>
          </w:p>
        </w:tc>
      </w:tr>
      <w:tr w:rsidR="001051D0" w:rsidRPr="00D74F7B" w14:paraId="39AF559E" w14:textId="77777777" w:rsidTr="005A1EE9">
        <w:trPr>
          <w:trHeight w:val="274"/>
        </w:trPr>
        <w:tc>
          <w:tcPr>
            <w:tcW w:w="2974" w:type="dxa"/>
          </w:tcPr>
          <w:p w14:paraId="5479B75C" w14:textId="77777777" w:rsidR="001051D0" w:rsidRPr="00D549EE" w:rsidRDefault="001051D0" w:rsidP="00C9582F">
            <w:pPr>
              <w:contextualSpacing/>
            </w:pPr>
            <w:r w:rsidRPr="00D549EE">
              <w:t>Muslim population</w:t>
            </w:r>
          </w:p>
        </w:tc>
        <w:tc>
          <w:tcPr>
            <w:tcW w:w="6382" w:type="dxa"/>
          </w:tcPr>
          <w:p w14:paraId="5C7C1ABD" w14:textId="4A18E9A9" w:rsidR="001051D0" w:rsidRPr="00D549EE" w:rsidRDefault="001051D0" w:rsidP="00C9582F">
            <w:pPr>
              <w:contextualSpacing/>
              <w:rPr>
                <w:lang w:val="en-US"/>
              </w:rPr>
            </w:pPr>
            <w:r w:rsidRPr="00D549EE">
              <w:rPr>
                <w:lang w:val="en-US"/>
              </w:rPr>
              <w:t>“+” Additional financial tools guaranteed by Shariah values</w:t>
            </w:r>
          </w:p>
        </w:tc>
      </w:tr>
      <w:tr w:rsidR="001051D0" w:rsidRPr="00D74F7B" w14:paraId="10882588" w14:textId="77777777" w:rsidTr="005A1EE9">
        <w:trPr>
          <w:trHeight w:val="277"/>
        </w:trPr>
        <w:tc>
          <w:tcPr>
            <w:tcW w:w="2974" w:type="dxa"/>
          </w:tcPr>
          <w:p w14:paraId="16747162" w14:textId="77777777" w:rsidR="001051D0" w:rsidRPr="00D549EE" w:rsidRDefault="001051D0" w:rsidP="00C9582F">
            <w:pPr>
              <w:contextualSpacing/>
            </w:pPr>
            <w:r w:rsidRPr="00D549EE">
              <w:t>Non-Muslim population</w:t>
            </w:r>
          </w:p>
        </w:tc>
        <w:tc>
          <w:tcPr>
            <w:tcW w:w="6382" w:type="dxa"/>
          </w:tcPr>
          <w:p w14:paraId="0C2E6E0F" w14:textId="56DC94C3" w:rsidR="001051D0" w:rsidRPr="00D549EE" w:rsidRDefault="001051D0" w:rsidP="00C9582F">
            <w:pPr>
              <w:contextualSpacing/>
              <w:rPr>
                <w:lang w:val="en-US"/>
              </w:rPr>
            </w:pPr>
            <w:r w:rsidRPr="00D549EE">
              <w:rPr>
                <w:lang w:val="en-US"/>
              </w:rPr>
              <w:t>“+” Additional financial tools guaranteed by Shariah values</w:t>
            </w:r>
          </w:p>
        </w:tc>
      </w:tr>
      <w:tr w:rsidR="001051D0" w:rsidRPr="00D549EE" w14:paraId="4D389682" w14:textId="77777777" w:rsidTr="005A1EE9">
        <w:trPr>
          <w:trHeight w:val="268"/>
        </w:trPr>
        <w:tc>
          <w:tcPr>
            <w:tcW w:w="2974" w:type="dxa"/>
          </w:tcPr>
          <w:p w14:paraId="521496AA" w14:textId="77777777" w:rsidR="001051D0" w:rsidRPr="00D549EE" w:rsidRDefault="001051D0" w:rsidP="00C9582F">
            <w:pPr>
              <w:contextualSpacing/>
            </w:pPr>
            <w:r w:rsidRPr="00D549EE">
              <w:t>Islamic banks</w:t>
            </w:r>
          </w:p>
        </w:tc>
        <w:tc>
          <w:tcPr>
            <w:tcW w:w="6382" w:type="dxa"/>
          </w:tcPr>
          <w:p w14:paraId="7AE4E3CD" w14:textId="209815D6" w:rsidR="001051D0" w:rsidRPr="00D549EE" w:rsidRDefault="001051D0" w:rsidP="00C9582F">
            <w:pPr>
              <w:pStyle w:val="a3"/>
              <w:spacing w:after="0" w:line="240" w:lineRule="auto"/>
              <w:ind w:left="37"/>
              <w:rPr>
                <w:rFonts w:ascii="Times New Roman" w:hAnsi="Times New Roman"/>
                <w:sz w:val="24"/>
                <w:szCs w:val="24"/>
                <w:lang w:val="en-US"/>
              </w:rPr>
            </w:pPr>
            <w:r w:rsidRPr="00D549EE">
              <w:rPr>
                <w:rFonts w:ascii="Times New Roman" w:hAnsi="Times New Roman"/>
                <w:sz w:val="24"/>
                <w:szCs w:val="24"/>
                <w:lang w:val="en-US"/>
              </w:rPr>
              <w:t>“+” Expanding the range of banking products and services, and deposit base. New external funding sources, attracting capital from Islamic countries.</w:t>
            </w:r>
          </w:p>
        </w:tc>
      </w:tr>
      <w:tr w:rsidR="001051D0" w:rsidRPr="00D74F7B" w14:paraId="42480D17" w14:textId="77777777" w:rsidTr="007B0840">
        <w:trPr>
          <w:trHeight w:val="273"/>
        </w:trPr>
        <w:tc>
          <w:tcPr>
            <w:tcW w:w="2974" w:type="dxa"/>
            <w:tcBorders>
              <w:bottom w:val="single" w:sz="4" w:space="0" w:color="auto"/>
            </w:tcBorders>
          </w:tcPr>
          <w:p w14:paraId="0EF2DCBC" w14:textId="77777777" w:rsidR="001051D0" w:rsidRPr="00D549EE" w:rsidRDefault="001051D0" w:rsidP="00C9582F">
            <w:pPr>
              <w:contextualSpacing/>
            </w:pPr>
            <w:r w:rsidRPr="00D549EE">
              <w:rPr>
                <w:lang w:val="en-US"/>
              </w:rPr>
              <w:t>Conventional</w:t>
            </w:r>
            <w:r w:rsidRPr="00D549EE">
              <w:t xml:space="preserve"> banks</w:t>
            </w:r>
          </w:p>
        </w:tc>
        <w:tc>
          <w:tcPr>
            <w:tcW w:w="6382" w:type="dxa"/>
            <w:tcBorders>
              <w:bottom w:val="single" w:sz="4" w:space="0" w:color="auto"/>
            </w:tcBorders>
          </w:tcPr>
          <w:p w14:paraId="6CB8873A" w14:textId="291D394D" w:rsidR="001051D0" w:rsidRPr="00D549EE" w:rsidRDefault="001051D0" w:rsidP="00C9582F">
            <w:pPr>
              <w:contextualSpacing/>
              <w:rPr>
                <w:lang w:val="en-US"/>
              </w:rPr>
            </w:pPr>
            <w:r w:rsidRPr="00D549EE">
              <w:rPr>
                <w:lang w:val="en-US"/>
              </w:rPr>
              <w:t>“+”conventional banks expand</w:t>
            </w:r>
            <w:r w:rsidR="00D916DF" w:rsidRPr="00D549EE">
              <w:rPr>
                <w:lang w:val="en-US"/>
              </w:rPr>
              <w:t>ing</w:t>
            </w:r>
            <w:r w:rsidRPr="00D549EE">
              <w:rPr>
                <w:lang w:val="en-US"/>
              </w:rPr>
              <w:t xml:space="preserve"> products line</w:t>
            </w:r>
            <w:r w:rsidR="00D916DF" w:rsidRPr="00D549EE">
              <w:rPr>
                <w:lang w:val="en-US"/>
              </w:rPr>
              <w:t xml:space="preserve"> From implementing “Islamic windows”. </w:t>
            </w:r>
            <w:r w:rsidRPr="00D549EE">
              <w:rPr>
                <w:lang w:val="en-US"/>
              </w:rPr>
              <w:t>New external funding sources, attracting capital from Islamic countries</w:t>
            </w:r>
            <w:r w:rsidR="004B7BD9" w:rsidRPr="00D549EE">
              <w:rPr>
                <w:lang w:val="en-US"/>
              </w:rPr>
              <w:t>.</w:t>
            </w:r>
          </w:p>
          <w:p w14:paraId="160AD42B" w14:textId="5DD2C1A4" w:rsidR="004B7BD9" w:rsidRPr="00D549EE" w:rsidRDefault="004B7BD9" w:rsidP="00C9582F">
            <w:pPr>
              <w:contextualSpacing/>
              <w:rPr>
                <w:lang w:val="en-US"/>
              </w:rPr>
            </w:pPr>
            <w:r w:rsidRPr="00D549EE">
              <w:rPr>
                <w:lang w:val="en-US"/>
              </w:rPr>
              <w:t>“-</w:t>
            </w:r>
            <w:r w:rsidR="00475BE6" w:rsidRPr="00D549EE">
              <w:rPr>
                <w:lang w:val="en-US"/>
              </w:rPr>
              <w:t xml:space="preserve">“ </w:t>
            </w:r>
            <w:r w:rsidRPr="00D549EE">
              <w:rPr>
                <w:lang w:val="en-US"/>
              </w:rPr>
              <w:t>Increasing competition in the financial market imposes losses for conventional banks</w:t>
            </w:r>
          </w:p>
        </w:tc>
      </w:tr>
      <w:tr w:rsidR="001051D0" w:rsidRPr="00D74F7B" w14:paraId="1763DFE2" w14:textId="77777777" w:rsidTr="007B0840">
        <w:trPr>
          <w:trHeight w:val="273"/>
        </w:trPr>
        <w:tc>
          <w:tcPr>
            <w:tcW w:w="2974" w:type="dxa"/>
            <w:tcBorders>
              <w:bottom w:val="nil"/>
            </w:tcBorders>
          </w:tcPr>
          <w:p w14:paraId="612AFD2D" w14:textId="77777777" w:rsidR="001051D0" w:rsidRPr="00D549EE" w:rsidRDefault="001051D0" w:rsidP="00C9582F">
            <w:pPr>
              <w:contextualSpacing/>
            </w:pPr>
            <w:r w:rsidRPr="00D549EE">
              <w:t>Islamic business</w:t>
            </w:r>
          </w:p>
        </w:tc>
        <w:tc>
          <w:tcPr>
            <w:tcW w:w="6382" w:type="dxa"/>
            <w:tcBorders>
              <w:bottom w:val="nil"/>
            </w:tcBorders>
          </w:tcPr>
          <w:p w14:paraId="7725EE30" w14:textId="4A5A10DB" w:rsidR="00475BE6" w:rsidRPr="00D549EE" w:rsidRDefault="00475BE6" w:rsidP="00C9582F">
            <w:pPr>
              <w:pStyle w:val="a3"/>
              <w:spacing w:after="0" w:line="240" w:lineRule="auto"/>
              <w:ind w:left="0"/>
              <w:rPr>
                <w:rFonts w:ascii="Times New Roman" w:hAnsi="Times New Roman"/>
                <w:sz w:val="24"/>
                <w:szCs w:val="24"/>
                <w:lang w:val="en-US"/>
              </w:rPr>
            </w:pPr>
            <w:r w:rsidRPr="00D549EE">
              <w:rPr>
                <w:rFonts w:ascii="Times New Roman" w:hAnsi="Times New Roman"/>
                <w:sz w:val="24"/>
                <w:szCs w:val="24"/>
                <w:lang w:val="en-US"/>
              </w:rPr>
              <w:t>“+” Islamic business entities receive reliable investment tools, including “long money”.</w:t>
            </w:r>
          </w:p>
          <w:p w14:paraId="493F8EAC" w14:textId="142C00C3" w:rsidR="001051D0" w:rsidRPr="00D549EE" w:rsidRDefault="001051D0" w:rsidP="00C9582F">
            <w:pPr>
              <w:contextualSpacing/>
              <w:rPr>
                <w:lang w:val="en-US"/>
              </w:rPr>
            </w:pPr>
          </w:p>
        </w:tc>
      </w:tr>
    </w:tbl>
    <w:p w14:paraId="0F0A8CB7" w14:textId="0E4BE22F" w:rsidR="001579E4" w:rsidRDefault="001579E4">
      <w:pPr>
        <w:rPr>
          <w:lang w:val="en-US"/>
        </w:rPr>
      </w:pPr>
    </w:p>
    <w:p w14:paraId="1030EBF6" w14:textId="3FD8E966" w:rsidR="00F54B46" w:rsidRDefault="00F54B46">
      <w:pPr>
        <w:rPr>
          <w:lang w:val="en-US"/>
        </w:rPr>
      </w:pPr>
    </w:p>
    <w:p w14:paraId="7F7ECE42" w14:textId="42108FE9" w:rsidR="00F54B46" w:rsidRDefault="00F54B46">
      <w:pPr>
        <w:rPr>
          <w:lang w:val="en-US"/>
        </w:rPr>
      </w:pPr>
      <w:r w:rsidRPr="00F54B46">
        <w:rPr>
          <w:lang w:val="en-US"/>
        </w:rPr>
        <w:lastRenderedPageBreak/>
        <w:t>Continuation of table 1</w:t>
      </w:r>
    </w:p>
    <w:p w14:paraId="106DB756" w14:textId="77777777" w:rsidR="00F54B46" w:rsidRPr="00D549EE" w:rsidRDefault="00F54B46">
      <w:pPr>
        <w:rPr>
          <w:lang w:val="en-US"/>
        </w:rPr>
      </w:pPr>
    </w:p>
    <w:tbl>
      <w:tblPr>
        <w:tblStyle w:val="a9"/>
        <w:tblW w:w="0" w:type="auto"/>
        <w:tblInd w:w="-5" w:type="dxa"/>
        <w:tblLook w:val="04A0" w:firstRow="1" w:lastRow="0" w:firstColumn="1" w:lastColumn="0" w:noHBand="0" w:noVBand="1"/>
      </w:tblPr>
      <w:tblGrid>
        <w:gridCol w:w="2974"/>
        <w:gridCol w:w="6382"/>
      </w:tblGrid>
      <w:tr w:rsidR="001579E4" w:rsidRPr="00D549EE" w14:paraId="6B1FFAF0" w14:textId="77777777" w:rsidTr="005A1EE9">
        <w:trPr>
          <w:trHeight w:val="273"/>
        </w:trPr>
        <w:tc>
          <w:tcPr>
            <w:tcW w:w="2974" w:type="dxa"/>
          </w:tcPr>
          <w:p w14:paraId="43748E05" w14:textId="44EACC89" w:rsidR="001579E4" w:rsidRPr="00D549EE" w:rsidRDefault="001579E4" w:rsidP="00C9582F">
            <w:pPr>
              <w:contextualSpacing/>
              <w:rPr>
                <w:lang w:val="en-US"/>
              </w:rPr>
            </w:pPr>
            <w:r w:rsidRPr="00D549EE">
              <w:rPr>
                <w:lang w:val="en-US"/>
              </w:rPr>
              <w:t>1</w:t>
            </w:r>
          </w:p>
        </w:tc>
        <w:tc>
          <w:tcPr>
            <w:tcW w:w="6382" w:type="dxa"/>
          </w:tcPr>
          <w:p w14:paraId="69793CD7" w14:textId="7EB58DA4" w:rsidR="001579E4" w:rsidRPr="00D549EE" w:rsidRDefault="001579E4" w:rsidP="00C9582F">
            <w:pPr>
              <w:contextualSpacing/>
              <w:rPr>
                <w:lang w:val="en-US"/>
              </w:rPr>
            </w:pPr>
            <w:r w:rsidRPr="00D549EE">
              <w:rPr>
                <w:lang w:val="en-US"/>
              </w:rPr>
              <w:t>2</w:t>
            </w:r>
          </w:p>
        </w:tc>
      </w:tr>
      <w:tr w:rsidR="001051D0" w:rsidRPr="00D74F7B" w14:paraId="5487A19B" w14:textId="77777777" w:rsidTr="005A1EE9">
        <w:trPr>
          <w:trHeight w:val="273"/>
        </w:trPr>
        <w:tc>
          <w:tcPr>
            <w:tcW w:w="2974" w:type="dxa"/>
          </w:tcPr>
          <w:p w14:paraId="6D90A608" w14:textId="77777777" w:rsidR="001051D0" w:rsidRPr="00D549EE" w:rsidRDefault="001051D0" w:rsidP="00C9582F">
            <w:pPr>
              <w:contextualSpacing/>
            </w:pPr>
            <w:r w:rsidRPr="00D549EE">
              <w:t>Non-</w:t>
            </w:r>
            <w:r w:rsidRPr="00D549EE">
              <w:rPr>
                <w:lang w:val="en-US"/>
              </w:rPr>
              <w:t>I</w:t>
            </w:r>
            <w:r w:rsidRPr="00D549EE">
              <w:t>slamic business</w:t>
            </w:r>
          </w:p>
        </w:tc>
        <w:tc>
          <w:tcPr>
            <w:tcW w:w="6382" w:type="dxa"/>
          </w:tcPr>
          <w:p w14:paraId="613E854E" w14:textId="0693F0E0" w:rsidR="001051D0" w:rsidRPr="00D549EE" w:rsidRDefault="00475BE6" w:rsidP="00C9582F">
            <w:pPr>
              <w:contextualSpacing/>
              <w:rPr>
                <w:lang w:val="en-US"/>
              </w:rPr>
            </w:pPr>
            <w:r w:rsidRPr="00D549EE">
              <w:rPr>
                <w:lang w:val="en-US"/>
              </w:rPr>
              <w:t>“-“ Non-Islamic business entities suffer losses only in the segment of production of products and services prohibited by the Shariah</w:t>
            </w:r>
            <w:r w:rsidRPr="00D549EE">
              <w:rPr>
                <w:sz w:val="28"/>
                <w:szCs w:val="28"/>
                <w:lang w:val="en-US"/>
              </w:rPr>
              <w:t>.</w:t>
            </w:r>
          </w:p>
        </w:tc>
      </w:tr>
      <w:tr w:rsidR="001051D0" w:rsidRPr="00D74F7B" w14:paraId="0C50AF9D" w14:textId="77777777" w:rsidTr="005A1EE9">
        <w:trPr>
          <w:trHeight w:val="276"/>
        </w:trPr>
        <w:tc>
          <w:tcPr>
            <w:tcW w:w="2974" w:type="dxa"/>
          </w:tcPr>
          <w:p w14:paraId="724F9664" w14:textId="77777777" w:rsidR="001051D0" w:rsidRPr="00D549EE" w:rsidRDefault="001051D0" w:rsidP="00C9582F">
            <w:pPr>
              <w:contextualSpacing/>
            </w:pPr>
            <w:r w:rsidRPr="00D549EE">
              <w:t>Stock Market Entities</w:t>
            </w:r>
          </w:p>
        </w:tc>
        <w:tc>
          <w:tcPr>
            <w:tcW w:w="6382" w:type="dxa"/>
          </w:tcPr>
          <w:p w14:paraId="7249676C" w14:textId="296D3191" w:rsidR="001051D0" w:rsidRPr="00D549EE" w:rsidRDefault="00475BE6" w:rsidP="00C9582F">
            <w:pPr>
              <w:contextualSpacing/>
              <w:rPr>
                <w:lang w:val="en-US"/>
              </w:rPr>
            </w:pPr>
            <w:r w:rsidRPr="00D549EE">
              <w:rPr>
                <w:lang w:val="en-US"/>
              </w:rPr>
              <w:t>“+” Additional financial tools guaranteed by Shariah values.</w:t>
            </w:r>
          </w:p>
        </w:tc>
      </w:tr>
      <w:tr w:rsidR="00475BE6" w:rsidRPr="00D74F7B" w14:paraId="7E2BEF81" w14:textId="77777777" w:rsidTr="005A1EE9">
        <w:trPr>
          <w:trHeight w:val="267"/>
        </w:trPr>
        <w:tc>
          <w:tcPr>
            <w:tcW w:w="2974" w:type="dxa"/>
          </w:tcPr>
          <w:p w14:paraId="0E6DDC6D" w14:textId="02CD415A" w:rsidR="00475BE6" w:rsidRPr="00D549EE" w:rsidRDefault="00475BE6" w:rsidP="00C9582F">
            <w:pPr>
              <w:contextualSpacing/>
              <w:rPr>
                <w:lang w:val="en-US"/>
              </w:rPr>
            </w:pPr>
            <w:r w:rsidRPr="00D549EE">
              <w:rPr>
                <w:lang w:val="en-US"/>
              </w:rPr>
              <w:t>Insurance and Pension markets entities</w:t>
            </w:r>
          </w:p>
        </w:tc>
        <w:tc>
          <w:tcPr>
            <w:tcW w:w="6382" w:type="dxa"/>
          </w:tcPr>
          <w:p w14:paraId="27ADF287" w14:textId="5237C05C" w:rsidR="00475BE6" w:rsidRPr="00D549EE" w:rsidRDefault="00475BE6" w:rsidP="00C9582F">
            <w:pPr>
              <w:contextualSpacing/>
              <w:rPr>
                <w:lang w:val="en-US"/>
              </w:rPr>
            </w:pPr>
            <w:r w:rsidRPr="00D549EE">
              <w:rPr>
                <w:lang w:val="en-US"/>
              </w:rPr>
              <w:t>“+” Additional financial tools guaranteed by Shariah values. Competition between insurance and takaful companies in the insurance market.</w:t>
            </w:r>
          </w:p>
        </w:tc>
      </w:tr>
      <w:tr w:rsidR="00475BE6" w:rsidRPr="00D74F7B" w14:paraId="64A3C9B6" w14:textId="77777777" w:rsidTr="005A1EE9">
        <w:trPr>
          <w:trHeight w:val="552"/>
        </w:trPr>
        <w:tc>
          <w:tcPr>
            <w:tcW w:w="2974" w:type="dxa"/>
          </w:tcPr>
          <w:p w14:paraId="5B2037E0" w14:textId="77777777" w:rsidR="00475BE6" w:rsidRPr="00D549EE" w:rsidRDefault="00475BE6" w:rsidP="00C9582F">
            <w:pPr>
              <w:contextualSpacing/>
            </w:pPr>
            <w:r w:rsidRPr="00D549EE">
              <w:rPr>
                <w:lang w:val="en-US"/>
              </w:rPr>
              <w:t>F</w:t>
            </w:r>
            <w:r w:rsidRPr="00D549EE">
              <w:t>oreign exchange market entities</w:t>
            </w:r>
          </w:p>
        </w:tc>
        <w:tc>
          <w:tcPr>
            <w:tcW w:w="6382" w:type="dxa"/>
          </w:tcPr>
          <w:p w14:paraId="7E0C672F" w14:textId="3245A53B" w:rsidR="00475BE6" w:rsidRPr="00D549EE" w:rsidRDefault="00475BE6" w:rsidP="00C9582F">
            <w:pPr>
              <w:pStyle w:val="a3"/>
              <w:spacing w:after="0" w:line="240" w:lineRule="auto"/>
              <w:ind w:left="0"/>
              <w:rPr>
                <w:rFonts w:ascii="Times New Roman" w:hAnsi="Times New Roman"/>
                <w:sz w:val="24"/>
                <w:szCs w:val="24"/>
                <w:lang w:val="en-US"/>
              </w:rPr>
            </w:pPr>
            <w:r w:rsidRPr="00D549EE">
              <w:rPr>
                <w:rFonts w:ascii="Times New Roman" w:hAnsi="Times New Roman"/>
                <w:sz w:val="24"/>
                <w:szCs w:val="24"/>
                <w:lang w:val="en-US"/>
              </w:rPr>
              <w:t xml:space="preserve">“-“ Increased competition in the financial market of the country imposes losses for foreign exchange market entities. </w:t>
            </w:r>
          </w:p>
        </w:tc>
      </w:tr>
      <w:tr w:rsidR="00475BE6" w:rsidRPr="00D74F7B" w14:paraId="0BEFB7CB" w14:textId="77777777" w:rsidTr="00CC3F2C">
        <w:trPr>
          <w:trHeight w:val="451"/>
        </w:trPr>
        <w:tc>
          <w:tcPr>
            <w:tcW w:w="9356" w:type="dxa"/>
            <w:gridSpan w:val="2"/>
          </w:tcPr>
          <w:p w14:paraId="53735E26" w14:textId="39C80106" w:rsidR="00475BE6" w:rsidRPr="00D549EE" w:rsidRDefault="00CC3F2C" w:rsidP="00C9582F">
            <w:pPr>
              <w:contextualSpacing/>
              <w:rPr>
                <w:lang w:val="en-US"/>
              </w:rPr>
            </w:pPr>
            <w:r w:rsidRPr="00D549EE">
              <w:rPr>
                <w:lang w:val="en-US"/>
              </w:rPr>
              <w:t xml:space="preserve">      </w:t>
            </w:r>
            <w:r w:rsidR="00475BE6" w:rsidRPr="00D549EE">
              <w:rPr>
                <w:lang w:val="en-US"/>
              </w:rPr>
              <w:t>Note – Compiled by the author</w:t>
            </w:r>
          </w:p>
        </w:tc>
      </w:tr>
    </w:tbl>
    <w:p w14:paraId="61FBD2AD" w14:textId="77777777" w:rsidR="00106C8A" w:rsidRPr="00106C8A" w:rsidRDefault="00C62CBB" w:rsidP="00106C8A">
      <w:pPr>
        <w:pStyle w:val="a5"/>
        <w:snapToGrid w:val="0"/>
        <w:contextualSpacing/>
        <w:jc w:val="both"/>
        <w:rPr>
          <w:rFonts w:eastAsiaTheme="minorHAnsi"/>
          <w:color w:val="000000" w:themeColor="text1"/>
          <w:sz w:val="28"/>
          <w:szCs w:val="28"/>
          <w:lang w:val="en-US"/>
        </w:rPr>
      </w:pPr>
      <w:r w:rsidRPr="00D549EE">
        <w:rPr>
          <w:color w:val="000000" w:themeColor="text1"/>
          <w:sz w:val="28"/>
          <w:szCs w:val="28"/>
          <w:lang w:val="en-US"/>
        </w:rPr>
        <w:tab/>
      </w:r>
      <w:r w:rsidR="00106C8A" w:rsidRPr="00106C8A">
        <w:rPr>
          <w:rFonts w:eastAsiaTheme="minorHAnsi"/>
          <w:color w:val="000000" w:themeColor="text1"/>
          <w:sz w:val="28"/>
          <w:szCs w:val="28"/>
          <w:lang w:val="en-US"/>
        </w:rPr>
        <w:t xml:space="preserve">As can be seen from the analysis, the benefits for the local players are more than the losses. If to take into account the social benefits in an extended period, such as decreasing financing prohibited by Shariah businesses, which have effected negatively for generations (alcohol, tobacco, casino, and others), it is clear that interested groups of the country's society affected by promotion and improvement are wider than financial market participants and state. </w:t>
      </w:r>
      <w:r w:rsidR="00106C8A" w:rsidRPr="00106C8A">
        <w:rPr>
          <w:rFonts w:eastAsiaTheme="minorHAnsi"/>
          <w:color w:val="000000" w:themeColor="text1"/>
          <w:sz w:val="28"/>
          <w:szCs w:val="28"/>
          <w:lang w:val="en-US"/>
        </w:rPr>
        <w:tab/>
        <w:t xml:space="preserve"> </w:t>
      </w:r>
    </w:p>
    <w:p w14:paraId="14CE19AE" w14:textId="1E831CA2" w:rsidR="00106C8A" w:rsidRPr="00106C8A" w:rsidRDefault="00106C8A" w:rsidP="00106C8A">
      <w:pPr>
        <w:pStyle w:val="a5"/>
        <w:snapToGrid w:val="0"/>
        <w:contextualSpacing/>
        <w:jc w:val="both"/>
        <w:rPr>
          <w:rFonts w:eastAsiaTheme="minorHAnsi"/>
          <w:color w:val="000000" w:themeColor="text1"/>
          <w:sz w:val="28"/>
          <w:szCs w:val="28"/>
          <w:lang w:val="en-US"/>
        </w:rPr>
      </w:pPr>
      <w:r w:rsidRPr="00106C8A">
        <w:rPr>
          <w:rFonts w:eastAsiaTheme="minorHAnsi"/>
          <w:color w:val="000000" w:themeColor="text1"/>
          <w:sz w:val="28"/>
          <w:szCs w:val="28"/>
          <w:lang w:val="en-US"/>
        </w:rPr>
        <w:tab/>
        <w:t xml:space="preserve">The effectiveness of the economic system depends on the efficiency of production, the social sphere (education, health, culture), and the effectiveness of public administration. </w:t>
      </w:r>
      <w:r w:rsidR="004A223A" w:rsidRPr="004A223A">
        <w:rPr>
          <w:rFonts w:eastAsiaTheme="minorHAnsi"/>
          <w:color w:val="000000" w:themeColor="text1"/>
          <w:sz w:val="28"/>
          <w:szCs w:val="28"/>
          <w:lang w:val="en-US"/>
        </w:rPr>
        <w:t>The effectiveness of each area is determined by the results to costs ratio and is measured by quantitative indicators combination</w:t>
      </w:r>
      <w:r w:rsidRPr="00106C8A">
        <w:rPr>
          <w:rFonts w:eastAsiaTheme="minorHAnsi"/>
          <w:color w:val="000000" w:themeColor="text1"/>
          <w:sz w:val="28"/>
          <w:szCs w:val="28"/>
          <w:lang w:val="en-US"/>
        </w:rPr>
        <w:t>.</w:t>
      </w:r>
    </w:p>
    <w:p w14:paraId="41BBF217" w14:textId="77777777" w:rsidR="00106C8A" w:rsidRPr="00106C8A" w:rsidRDefault="00106C8A" w:rsidP="00106C8A">
      <w:pPr>
        <w:pStyle w:val="a5"/>
        <w:snapToGrid w:val="0"/>
        <w:contextualSpacing/>
        <w:jc w:val="both"/>
        <w:rPr>
          <w:rFonts w:eastAsiaTheme="minorHAnsi"/>
          <w:color w:val="000000" w:themeColor="text1"/>
          <w:sz w:val="28"/>
          <w:szCs w:val="28"/>
          <w:lang w:val="en-US"/>
        </w:rPr>
      </w:pPr>
      <w:r w:rsidRPr="00106C8A">
        <w:rPr>
          <w:rFonts w:eastAsiaTheme="minorHAnsi"/>
          <w:color w:val="000000" w:themeColor="text1"/>
          <w:sz w:val="28"/>
          <w:szCs w:val="28"/>
          <w:lang w:val="en-US"/>
        </w:rPr>
        <w:tab/>
        <w:t>As can be seen, social effects, as a criterion of population satisfaction with the quality of life, are very diverse and challenging to measure but can also differ significantly at the country and individual levels. Accordingly, as a ratio of the received social effects and the implemented financial costs, social effectiveness is also challenging to assess and often cannot correspond with economic effectiveness, which involves maximizing profits while minimizing costs. Furthermore, accumulated in a global economy, the problems deriving from the mismatch of economic and social efficiency of resource use were intended to be addressed at the global level. The United Nations formulated 2015 as 17 global sustainable development goals, among which the first is marked: widespread eradication of poverty in all its forms and eradicating hunger, ensuring food security and improved nutrition, and promoting sustainable agriculture. Although all UN 17 global goals are complex and indivisible and ensure a balance of all three components of sustainable development: economic, social, and environmental, we believe that the elimination of hunger and poverty should become a priority for the social effectiveness of Islamic finance since there are words from Quran which are given for making distribution of the wealth equitably, "And surely, We gave you an authority on the earth and appointed you therein provisions (for your life). Little thanks do give." 7:10) "And those in whose wealth there is recognized right, For the beggar who asks, and for the unlucky who has lost his wealth" (70:24-25) [7, p.473].</w:t>
      </w:r>
    </w:p>
    <w:p w14:paraId="624339F0" w14:textId="77777777" w:rsidR="00106C8A" w:rsidRPr="00106C8A" w:rsidRDefault="00106C8A" w:rsidP="00106C8A">
      <w:pPr>
        <w:pStyle w:val="a5"/>
        <w:snapToGrid w:val="0"/>
        <w:contextualSpacing/>
        <w:jc w:val="both"/>
        <w:rPr>
          <w:rFonts w:eastAsiaTheme="minorHAnsi"/>
          <w:color w:val="000000" w:themeColor="text1"/>
          <w:sz w:val="28"/>
          <w:szCs w:val="28"/>
          <w:lang w:val="en-US"/>
        </w:rPr>
      </w:pPr>
      <w:r w:rsidRPr="00106C8A">
        <w:rPr>
          <w:rFonts w:eastAsiaTheme="minorHAnsi"/>
          <w:color w:val="000000" w:themeColor="text1"/>
          <w:sz w:val="28"/>
          <w:szCs w:val="28"/>
          <w:lang w:val="en-US"/>
        </w:rPr>
        <w:tab/>
        <w:t xml:space="preserve">The social impact is the type, form, and content of the positive or negative social change [98]. According to the experts of the Support and Development of the </w:t>
      </w:r>
      <w:r w:rsidRPr="00106C8A">
        <w:rPr>
          <w:rFonts w:eastAsiaTheme="minorHAnsi"/>
          <w:color w:val="000000" w:themeColor="text1"/>
          <w:sz w:val="28"/>
          <w:szCs w:val="28"/>
          <w:lang w:val="en-US"/>
        </w:rPr>
        <w:lastRenderedPageBreak/>
        <w:t xml:space="preserve">Philanthropy Foundation "KAF," there are about 300 different approaches and models of the world's social effects and impact assessment. At the international level, various indicators are used to assess social performance, among which the most well-known indicators are (1) the Human Development index from the 1990s, which included a number of criteria such as a long and healthy life; being knowledgeable; and have a decent standard of living, the (2) Quality-of-life Index – environment (natural, built, socio-political, local economic, cultural, public policy) [99], (3) Multidimensional Poverty Index from 2010, which assumes non-income measurements of poverty, and shows of health, education and living standards of Multidimensional poor people [100]. The official statistics also use such indicators as GDP per capita and food consumption per capita, the ratio of income and expenditure, the subsistence minimum and income of the population, and others. </w:t>
      </w:r>
    </w:p>
    <w:p w14:paraId="4812A75F" w14:textId="77777777" w:rsidR="00106C8A" w:rsidRPr="00106C8A" w:rsidRDefault="00106C8A" w:rsidP="00106C8A">
      <w:pPr>
        <w:pStyle w:val="a5"/>
        <w:snapToGrid w:val="0"/>
        <w:contextualSpacing/>
        <w:jc w:val="both"/>
        <w:rPr>
          <w:rFonts w:eastAsiaTheme="minorHAnsi"/>
          <w:color w:val="000000" w:themeColor="text1"/>
          <w:sz w:val="28"/>
          <w:szCs w:val="28"/>
          <w:lang w:val="en-US"/>
        </w:rPr>
      </w:pPr>
      <w:r w:rsidRPr="00106C8A">
        <w:rPr>
          <w:rFonts w:eastAsiaTheme="minorHAnsi"/>
          <w:color w:val="000000" w:themeColor="text1"/>
          <w:sz w:val="28"/>
          <w:szCs w:val="28"/>
          <w:lang w:val="en-US"/>
        </w:rPr>
        <w:tab/>
        <w:t>Meanwhile, in our opinion, the average indicators of income and consumption used in official statistical reporting cannot entirely reflect the basic living standard of an individual. In this regard, we believe that the increased use of social Islamic Finance in combination with financial technologies will make it possible to significantly improve the situation in solving the problems mentioned above and, in particular, reduce poverty.</w:t>
      </w:r>
    </w:p>
    <w:p w14:paraId="1D7D0E34" w14:textId="6BF204B6" w:rsidR="00C438E8" w:rsidRDefault="00106C8A" w:rsidP="00106C8A">
      <w:pPr>
        <w:pStyle w:val="a5"/>
        <w:snapToGrid w:val="0"/>
        <w:contextualSpacing/>
        <w:jc w:val="both"/>
        <w:rPr>
          <w:rFonts w:eastAsiaTheme="minorHAnsi"/>
          <w:color w:val="000000" w:themeColor="text1"/>
          <w:sz w:val="28"/>
          <w:szCs w:val="28"/>
          <w:lang w:val="en-US"/>
        </w:rPr>
      </w:pPr>
      <w:r w:rsidRPr="00106C8A">
        <w:rPr>
          <w:rFonts w:eastAsiaTheme="minorHAnsi"/>
          <w:color w:val="000000" w:themeColor="text1"/>
          <w:sz w:val="28"/>
          <w:szCs w:val="28"/>
          <w:lang w:val="en-US"/>
        </w:rPr>
        <w:tab/>
        <w:t>It must be considered there the difference of meaning "effectiveness" and efficiency," as the two definitions are confused by some authors and specialists of economics. According to Y.Zibande and N.Olson the meaning of effectiveness is more expansive than "efficiency" and shows the result after implementation all processes of obtaining "efficiency." Schematically, this statement looks like the following illustration:</w:t>
      </w:r>
    </w:p>
    <w:p w14:paraId="3EABBBF8" w14:textId="77777777" w:rsidR="00106C8A" w:rsidRPr="00D549EE" w:rsidRDefault="00106C8A" w:rsidP="00106C8A">
      <w:pPr>
        <w:pStyle w:val="a5"/>
        <w:snapToGrid w:val="0"/>
        <w:contextualSpacing/>
        <w:jc w:val="both"/>
        <w:rPr>
          <w:sz w:val="28"/>
          <w:szCs w:val="28"/>
          <w:lang w:val="en-US"/>
        </w:rPr>
      </w:pPr>
    </w:p>
    <w:p w14:paraId="698FE2C4" w14:textId="19B29839" w:rsidR="00C438E8" w:rsidRPr="00D549EE" w:rsidRDefault="00972E89" w:rsidP="00C9582F">
      <w:pPr>
        <w:pStyle w:val="a5"/>
        <w:snapToGrid w:val="0"/>
        <w:contextualSpacing/>
        <w:jc w:val="both"/>
        <w:rPr>
          <w:lang w:val="en-US"/>
        </w:rPr>
      </w:pPr>
      <w:r w:rsidRPr="00D549EE">
        <w:rPr>
          <w:noProof/>
          <w:sz w:val="28"/>
          <w:szCs w:val="28"/>
        </w:rPr>
        <mc:AlternateContent>
          <mc:Choice Requires="wps">
            <w:drawing>
              <wp:anchor distT="0" distB="0" distL="114300" distR="114300" simplePos="0" relativeHeight="251691008" behindDoc="0" locked="0" layoutInCell="1" allowOverlap="1" wp14:anchorId="30611A32" wp14:editId="6857B9BA">
                <wp:simplePos x="0" y="0"/>
                <wp:positionH relativeFrom="column">
                  <wp:posOffset>2318673</wp:posOffset>
                </wp:positionH>
                <wp:positionV relativeFrom="paragraph">
                  <wp:posOffset>73456</wp:posOffset>
                </wp:positionV>
                <wp:extent cx="1483743" cy="301925"/>
                <wp:effectExtent l="0" t="0" r="15240" b="15875"/>
                <wp:wrapNone/>
                <wp:docPr id="40" name="Прямоугольник 40"/>
                <wp:cNvGraphicFramePr/>
                <a:graphic xmlns:a="http://schemas.openxmlformats.org/drawingml/2006/main">
                  <a:graphicData uri="http://schemas.microsoft.com/office/word/2010/wordprocessingShape">
                    <wps:wsp>
                      <wps:cNvSpPr/>
                      <wps:spPr>
                        <a:xfrm>
                          <a:off x="0" y="0"/>
                          <a:ext cx="1483743" cy="30192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5BD122E" w14:textId="6C692FC4" w:rsidR="00AC0BEF" w:rsidRPr="00972E89" w:rsidRDefault="00AC0BEF" w:rsidP="00972E89">
                            <w:pPr>
                              <w:jc w:val="center"/>
                              <w:rPr>
                                <w:lang w:val="en-US"/>
                              </w:rPr>
                            </w:pPr>
                            <w:r>
                              <w:rPr>
                                <w:lang w:val="en-US"/>
                              </w:rPr>
                              <w:t xml:space="preserve">Effectiveness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611A32" id="Прямоугольник 40" o:spid="_x0000_s1026" style="position:absolute;left:0;text-align:left;margin-left:182.55pt;margin-top:5.8pt;width:116.85pt;height:23.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" fillcolor="white [3201]" strokecolor="black [3213]" strokeweight="1pt">
                <v:textbox>
                  <w:txbxContent>
                    <w:p w14:paraId="35BD122E" w14:textId="6C692FC4" w:rsidR="00AC0BEF" w:rsidRPr="00972E89" w:rsidRDefault="00AC0BEF" w:rsidP="00972E89">
                      <w:pPr>
                        <w:jc w:val="center"/>
                        <w:rPr>
                          <w:lang w:val="en-US"/>
                        </w:rPr>
                      </w:pPr>
                      <w:r>
                        <w:rPr>
                          <w:lang w:val="en-US"/>
                        </w:rPr>
                        <w:t xml:space="preserve">Effectiveness </w:t>
                      </w:r>
                    </w:p>
                  </w:txbxContent>
                </v:textbox>
              </v:rect>
            </w:pict>
          </mc:Fallback>
        </mc:AlternateContent>
      </w:r>
      <w:r w:rsidRPr="00D549EE">
        <w:rPr>
          <w:sz w:val="28"/>
          <w:szCs w:val="28"/>
          <w:lang w:val="en-US"/>
        </w:rPr>
        <w:t xml:space="preserve">           </w:t>
      </w:r>
      <w:r w:rsidRPr="00D549EE">
        <w:rPr>
          <w:lang w:val="en-US"/>
        </w:rPr>
        <w:t>Will it work?                                                                                       Does it work?</w:t>
      </w:r>
    </w:p>
    <w:p w14:paraId="7A5F7FA0" w14:textId="581AD21F" w:rsidR="00C438E8" w:rsidRPr="00D549EE" w:rsidRDefault="00972E89" w:rsidP="00C9582F">
      <w:pPr>
        <w:pStyle w:val="a5"/>
        <w:snapToGrid w:val="0"/>
        <w:contextualSpacing/>
        <w:jc w:val="both"/>
        <w:rPr>
          <w:sz w:val="28"/>
          <w:szCs w:val="28"/>
          <w:lang w:val="en-US"/>
        </w:rPr>
      </w:pPr>
      <w:r w:rsidRPr="00D549EE">
        <w:rPr>
          <w:noProof/>
          <w:sz w:val="28"/>
          <w:szCs w:val="28"/>
        </w:rPr>
        <mc:AlternateContent>
          <mc:Choice Requires="wps">
            <w:drawing>
              <wp:anchor distT="0" distB="0" distL="114300" distR="114300" simplePos="0" relativeHeight="251709440" behindDoc="0" locked="0" layoutInCell="1" allowOverlap="1" wp14:anchorId="17FBE055" wp14:editId="54745B89">
                <wp:simplePos x="0" y="0"/>
                <wp:positionH relativeFrom="column">
                  <wp:posOffset>507125</wp:posOffset>
                </wp:positionH>
                <wp:positionV relativeFrom="paragraph">
                  <wp:posOffset>24262</wp:posOffset>
                </wp:positionV>
                <wp:extent cx="0" cy="1811020"/>
                <wp:effectExtent l="63500" t="0" r="38100" b="30480"/>
                <wp:wrapNone/>
                <wp:docPr id="65" name="Прямая со стрелкой 65"/>
                <wp:cNvGraphicFramePr/>
                <a:graphic xmlns:a="http://schemas.openxmlformats.org/drawingml/2006/main">
                  <a:graphicData uri="http://schemas.microsoft.com/office/word/2010/wordprocessingShape">
                    <wps:wsp>
                      <wps:cNvCnPr/>
                      <wps:spPr>
                        <a:xfrm>
                          <a:off x="0" y="0"/>
                          <a:ext cx="0" cy="1811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0BD4A46B" id="_x0000_t32" coordsize="21600,21600" o:spt="32" o:oned="t" path="m,l21600,21600e" filled="f">
                <v:path arrowok="t" fillok="f" o:connecttype="none"/>
                <o:lock v:ext="edit" shapetype="t"/>
              </v:shapetype>
              <v:shape id="Прямая со стрелкой 65" o:spid="_x0000_s1026" type="#_x0000_t32" style="position:absolute;margin-left:39.95pt;margin-top:1.9pt;width:0;height:142.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" strokecolor="black [3200]" strokeweight=".5pt">
                <v:stroke endarrow="block" joinstyle="miter"/>
              </v:shape>
            </w:pict>
          </mc:Fallback>
        </mc:AlternateContent>
      </w:r>
      <w:r w:rsidRPr="00D549EE">
        <w:rPr>
          <w:noProof/>
          <w:sz w:val="28"/>
          <w:szCs w:val="28"/>
        </w:rPr>
        <mc:AlternateContent>
          <mc:Choice Requires="wps">
            <w:drawing>
              <wp:anchor distT="0" distB="0" distL="114300" distR="114300" simplePos="0" relativeHeight="251708416" behindDoc="0" locked="0" layoutInCell="1" allowOverlap="1" wp14:anchorId="03CA8B1C" wp14:editId="6DB94425">
                <wp:simplePos x="0" y="0"/>
                <wp:positionH relativeFrom="column">
                  <wp:posOffset>507125</wp:posOffset>
                </wp:positionH>
                <wp:positionV relativeFrom="paragraph">
                  <wp:posOffset>24262</wp:posOffset>
                </wp:positionV>
                <wp:extent cx="1811548" cy="0"/>
                <wp:effectExtent l="0" t="0" r="17780" b="12700"/>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18115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37F7DB2" id="Прямая соединительная линия 64"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39.95pt,1.9pt" to="182.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" strokecolor="black [3200]" strokeweight=".5pt">
                <v:stroke joinstyle="miter"/>
              </v:line>
            </w:pict>
          </mc:Fallback>
        </mc:AlternateContent>
      </w:r>
      <w:r w:rsidRPr="00D549EE">
        <w:rPr>
          <w:noProof/>
          <w:sz w:val="28"/>
          <w:szCs w:val="28"/>
        </w:rPr>
        <mc:AlternateContent>
          <mc:Choice Requires="wps">
            <w:drawing>
              <wp:anchor distT="0" distB="0" distL="114300" distR="114300" simplePos="0" relativeHeight="251707392" behindDoc="0" locked="0" layoutInCell="1" allowOverlap="1" wp14:anchorId="016ACC97" wp14:editId="1652EE72">
                <wp:simplePos x="0" y="0"/>
                <wp:positionH relativeFrom="column">
                  <wp:posOffset>3802416</wp:posOffset>
                </wp:positionH>
                <wp:positionV relativeFrom="paragraph">
                  <wp:posOffset>24262</wp:posOffset>
                </wp:positionV>
                <wp:extent cx="1647645" cy="0"/>
                <wp:effectExtent l="25400" t="63500" r="0" b="76200"/>
                <wp:wrapNone/>
                <wp:docPr id="63" name="Прямая со стрелкой 63"/>
                <wp:cNvGraphicFramePr/>
                <a:graphic xmlns:a="http://schemas.openxmlformats.org/drawingml/2006/main">
                  <a:graphicData uri="http://schemas.microsoft.com/office/word/2010/wordprocessingShape">
                    <wps:wsp>
                      <wps:cNvCnPr/>
                      <wps:spPr>
                        <a:xfrm flipH="1">
                          <a:off x="0" y="0"/>
                          <a:ext cx="1647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F44C4D3" id="Прямая со стрелкой 63" o:spid="_x0000_s1026" type="#_x0000_t32" style="position:absolute;margin-left:299.4pt;margin-top:1.9pt;width:129.7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" strokecolor="black [3200]" strokeweight=".5pt">
                <v:stroke endarrow="block" joinstyle="miter"/>
              </v:shape>
            </w:pict>
          </mc:Fallback>
        </mc:AlternateContent>
      </w:r>
      <w:r w:rsidRPr="00D549EE">
        <w:rPr>
          <w:noProof/>
          <w:sz w:val="28"/>
          <w:szCs w:val="28"/>
        </w:rPr>
        <mc:AlternateContent>
          <mc:Choice Requires="wps">
            <w:drawing>
              <wp:anchor distT="0" distB="0" distL="114300" distR="114300" simplePos="0" relativeHeight="251706368" behindDoc="0" locked="0" layoutInCell="1" allowOverlap="1" wp14:anchorId="45592BB4" wp14:editId="5A307669">
                <wp:simplePos x="0" y="0"/>
                <wp:positionH relativeFrom="column">
                  <wp:posOffset>5450061</wp:posOffset>
                </wp:positionH>
                <wp:positionV relativeFrom="paragraph">
                  <wp:posOffset>24262</wp:posOffset>
                </wp:positionV>
                <wp:extent cx="0" cy="1811044"/>
                <wp:effectExtent l="0" t="0" r="12700" b="17780"/>
                <wp:wrapNone/>
                <wp:docPr id="61" name="Прямая соединительная линия 61"/>
                <wp:cNvGraphicFramePr/>
                <a:graphic xmlns:a="http://schemas.openxmlformats.org/drawingml/2006/main">
                  <a:graphicData uri="http://schemas.microsoft.com/office/word/2010/wordprocessingShape">
                    <wps:wsp>
                      <wps:cNvCnPr/>
                      <wps:spPr>
                        <a:xfrm flipH="1" flipV="1">
                          <a:off x="0" y="0"/>
                          <a:ext cx="0" cy="18110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2473B35" id="Прямая соединительная линия 61"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15pt,1.9pt" to="429.1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" strokecolor="black [3200]" strokeweight=".5pt">
                <v:stroke joinstyle="miter"/>
              </v:line>
            </w:pict>
          </mc:Fallback>
        </mc:AlternateContent>
      </w:r>
    </w:p>
    <w:p w14:paraId="4C92A38E" w14:textId="14859AF6" w:rsidR="00C438E8" w:rsidRPr="00D549EE" w:rsidRDefault="00C438E8" w:rsidP="00C9582F">
      <w:pPr>
        <w:pStyle w:val="a5"/>
        <w:snapToGrid w:val="0"/>
        <w:contextualSpacing/>
        <w:jc w:val="both"/>
        <w:rPr>
          <w:sz w:val="28"/>
          <w:szCs w:val="28"/>
          <w:lang w:val="en-US"/>
        </w:rPr>
      </w:pPr>
    </w:p>
    <w:p w14:paraId="04A30DA1" w14:textId="3579E227" w:rsidR="00C438E8" w:rsidRPr="00D549EE" w:rsidRDefault="00972E89" w:rsidP="00C9582F">
      <w:pPr>
        <w:pStyle w:val="a5"/>
        <w:snapToGrid w:val="0"/>
        <w:contextualSpacing/>
        <w:jc w:val="both"/>
        <w:rPr>
          <w:lang w:val="en-US"/>
        </w:rPr>
      </w:pPr>
      <w:r w:rsidRPr="00D549EE">
        <w:rPr>
          <w:noProof/>
          <w:sz w:val="28"/>
          <w:szCs w:val="28"/>
        </w:rPr>
        <mc:AlternateContent>
          <mc:Choice Requires="wps">
            <w:drawing>
              <wp:anchor distT="0" distB="0" distL="114300" distR="114300" simplePos="0" relativeHeight="251713536" behindDoc="0" locked="0" layoutInCell="1" allowOverlap="1" wp14:anchorId="35FF3E9C" wp14:editId="7BB2D9F2">
                <wp:simplePos x="0" y="0"/>
                <wp:positionH relativeFrom="column">
                  <wp:posOffset>1007457</wp:posOffset>
                </wp:positionH>
                <wp:positionV relativeFrom="paragraph">
                  <wp:posOffset>196621</wp:posOffset>
                </wp:positionV>
                <wp:extent cx="0" cy="1173193"/>
                <wp:effectExtent l="63500" t="0" r="38100" b="33655"/>
                <wp:wrapNone/>
                <wp:docPr id="70" name="Прямая со стрелкой 70"/>
                <wp:cNvGraphicFramePr/>
                <a:graphic xmlns:a="http://schemas.openxmlformats.org/drawingml/2006/main">
                  <a:graphicData uri="http://schemas.microsoft.com/office/word/2010/wordprocessingShape">
                    <wps:wsp>
                      <wps:cNvCnPr/>
                      <wps:spPr>
                        <a:xfrm>
                          <a:off x="0" y="0"/>
                          <a:ext cx="0" cy="11731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A9DDB60" id="Прямая со стрелкой 70" o:spid="_x0000_s1026" type="#_x0000_t32" style="position:absolute;margin-left:79.35pt;margin-top:15.5pt;width:0;height:92.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" strokecolor="#4472c4 [3204]" strokeweight=".5pt">
                <v:stroke endarrow="block" joinstyle="miter"/>
              </v:shape>
            </w:pict>
          </mc:Fallback>
        </mc:AlternateContent>
      </w:r>
      <w:r w:rsidRPr="00D549EE">
        <w:rPr>
          <w:noProof/>
          <w:sz w:val="28"/>
          <w:szCs w:val="28"/>
        </w:rPr>
        <mc:AlternateContent>
          <mc:Choice Requires="wps">
            <w:drawing>
              <wp:anchor distT="0" distB="0" distL="114300" distR="114300" simplePos="0" relativeHeight="251712512" behindDoc="0" locked="0" layoutInCell="1" allowOverlap="1" wp14:anchorId="55968F22" wp14:editId="3C061B73">
                <wp:simplePos x="0" y="0"/>
                <wp:positionH relativeFrom="column">
                  <wp:posOffset>1007457</wp:posOffset>
                </wp:positionH>
                <wp:positionV relativeFrom="paragraph">
                  <wp:posOffset>196622</wp:posOffset>
                </wp:positionV>
                <wp:extent cx="1526816" cy="0"/>
                <wp:effectExtent l="0" t="0" r="10160" b="12700"/>
                <wp:wrapNone/>
                <wp:docPr id="68" name="Прямая соединительная линия 68"/>
                <wp:cNvGraphicFramePr/>
                <a:graphic xmlns:a="http://schemas.openxmlformats.org/drawingml/2006/main">
                  <a:graphicData uri="http://schemas.microsoft.com/office/word/2010/wordprocessingShape">
                    <wps:wsp>
                      <wps:cNvCnPr/>
                      <wps:spPr>
                        <a:xfrm flipH="1">
                          <a:off x="0" y="0"/>
                          <a:ext cx="15268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646E90D9" id="Прямая соединительная линия 68" o:spid="_x0000_s1026" style="position:absolute;flip:x;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35pt,15.5pt" to="199.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" strokecolor="#4472c4 [3204]" strokeweight=".5pt">
                <v:stroke joinstyle="miter"/>
              </v:line>
            </w:pict>
          </mc:Fallback>
        </mc:AlternateContent>
      </w:r>
      <w:r w:rsidRPr="00D549EE">
        <w:rPr>
          <w:noProof/>
          <w:sz w:val="28"/>
          <w:szCs w:val="28"/>
        </w:rPr>
        <mc:AlternateContent>
          <mc:Choice Requires="wps">
            <w:drawing>
              <wp:anchor distT="0" distB="0" distL="114300" distR="114300" simplePos="0" relativeHeight="251711488" behindDoc="0" locked="0" layoutInCell="1" allowOverlap="1" wp14:anchorId="1B4FD7A7" wp14:editId="5CD21C04">
                <wp:simplePos x="0" y="0"/>
                <wp:positionH relativeFrom="column">
                  <wp:posOffset>3655743</wp:posOffset>
                </wp:positionH>
                <wp:positionV relativeFrom="paragraph">
                  <wp:posOffset>196622</wp:posOffset>
                </wp:positionV>
                <wp:extent cx="672884" cy="0"/>
                <wp:effectExtent l="25400" t="63500" r="0" b="76200"/>
                <wp:wrapNone/>
                <wp:docPr id="67" name="Прямая со стрелкой 67"/>
                <wp:cNvGraphicFramePr/>
                <a:graphic xmlns:a="http://schemas.openxmlformats.org/drawingml/2006/main">
                  <a:graphicData uri="http://schemas.microsoft.com/office/word/2010/wordprocessingShape">
                    <wps:wsp>
                      <wps:cNvCnPr/>
                      <wps:spPr>
                        <a:xfrm flipH="1">
                          <a:off x="0" y="0"/>
                          <a:ext cx="6728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6B03BE8" id="Прямая со стрелкой 67" o:spid="_x0000_s1026" type="#_x0000_t32" style="position:absolute;margin-left:287.85pt;margin-top:15.5pt;width:53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" strokecolor="#4472c4 [3204]" strokeweight=".5pt">
                <v:stroke endarrow="block" joinstyle="miter"/>
              </v:shape>
            </w:pict>
          </mc:Fallback>
        </mc:AlternateContent>
      </w:r>
      <w:r w:rsidRPr="00D549EE">
        <w:rPr>
          <w:noProof/>
          <w:sz w:val="28"/>
          <w:szCs w:val="28"/>
        </w:rPr>
        <mc:AlternateContent>
          <mc:Choice Requires="wps">
            <w:drawing>
              <wp:anchor distT="0" distB="0" distL="114300" distR="114300" simplePos="0" relativeHeight="251710464" behindDoc="0" locked="0" layoutInCell="1" allowOverlap="1" wp14:anchorId="3CF52F73" wp14:editId="508F4F8D">
                <wp:simplePos x="0" y="0"/>
                <wp:positionH relativeFrom="column">
                  <wp:posOffset>4328627</wp:posOffset>
                </wp:positionH>
                <wp:positionV relativeFrom="paragraph">
                  <wp:posOffset>196622</wp:posOffset>
                </wp:positionV>
                <wp:extent cx="0" cy="1233578"/>
                <wp:effectExtent l="0" t="0" r="12700" b="11430"/>
                <wp:wrapNone/>
                <wp:docPr id="66" name="Прямая соединительная линия 66"/>
                <wp:cNvGraphicFramePr/>
                <a:graphic xmlns:a="http://schemas.openxmlformats.org/drawingml/2006/main">
                  <a:graphicData uri="http://schemas.microsoft.com/office/word/2010/wordprocessingShape">
                    <wps:wsp>
                      <wps:cNvCnPr/>
                      <wps:spPr>
                        <a:xfrm flipV="1">
                          <a:off x="0" y="0"/>
                          <a:ext cx="0" cy="12335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79812A8" id="Прямая соединительная линия 66"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340.85pt,15.5pt" to="340.8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" strokecolor="#4472c4 [3204]" strokeweight=".5pt">
                <v:stroke joinstyle="miter"/>
              </v:line>
            </w:pict>
          </mc:Fallback>
        </mc:AlternateContent>
      </w:r>
      <w:r w:rsidRPr="00D549EE">
        <w:rPr>
          <w:noProof/>
          <w:sz w:val="28"/>
          <w:szCs w:val="28"/>
        </w:rPr>
        <mc:AlternateContent>
          <mc:Choice Requires="wps">
            <w:drawing>
              <wp:anchor distT="0" distB="0" distL="114300" distR="114300" simplePos="0" relativeHeight="251693056" behindDoc="0" locked="0" layoutInCell="1" allowOverlap="1" wp14:anchorId="2E35B0D2" wp14:editId="27437070">
                <wp:simplePos x="0" y="0"/>
                <wp:positionH relativeFrom="column">
                  <wp:posOffset>2534333</wp:posOffset>
                </wp:positionH>
                <wp:positionV relativeFrom="paragraph">
                  <wp:posOffset>80645</wp:posOffset>
                </wp:positionV>
                <wp:extent cx="1121434" cy="301925"/>
                <wp:effectExtent l="0" t="0" r="8890" b="15875"/>
                <wp:wrapNone/>
                <wp:docPr id="44" name="Прямоугольник 44"/>
                <wp:cNvGraphicFramePr/>
                <a:graphic xmlns:a="http://schemas.openxmlformats.org/drawingml/2006/main">
                  <a:graphicData uri="http://schemas.microsoft.com/office/word/2010/wordprocessingShape">
                    <wps:wsp>
                      <wps:cNvSpPr/>
                      <wps:spPr>
                        <a:xfrm>
                          <a:off x="0" y="0"/>
                          <a:ext cx="1121434" cy="30192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40C688D" w14:textId="5116DC98" w:rsidR="00AC0BEF" w:rsidRPr="00972E89" w:rsidRDefault="00AC0BEF" w:rsidP="00972E89">
                            <w:pPr>
                              <w:jc w:val="center"/>
                              <w:rPr>
                                <w:lang w:val="en-US"/>
                              </w:rPr>
                            </w:pPr>
                            <w:r>
                              <w:rPr>
                                <w:lang w:val="en-US"/>
                              </w:rPr>
                              <w:t>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35B0D2" id="Прямоугольник 44" o:spid="_x0000_s1027" style="position:absolute;left:0;text-align:left;margin-left:199.55pt;margin-top:6.35pt;width:88.3pt;height:23.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" fillcolor="white [3201]" strokecolor="black [3213]" strokeweight="1pt">
                <v:textbox>
                  <w:txbxContent>
                    <w:p w14:paraId="040C688D" w14:textId="5116DC98" w:rsidR="00AC0BEF" w:rsidRPr="00972E89" w:rsidRDefault="00AC0BEF" w:rsidP="00972E89">
                      <w:pPr>
                        <w:jc w:val="center"/>
                        <w:rPr>
                          <w:lang w:val="en-US"/>
                        </w:rPr>
                      </w:pPr>
                      <w:r>
                        <w:rPr>
                          <w:lang w:val="en-US"/>
                        </w:rPr>
                        <w:t>Efficacy</w:t>
                      </w:r>
                    </w:p>
                  </w:txbxContent>
                </v:textbox>
              </v:rect>
            </w:pict>
          </mc:Fallback>
        </mc:AlternateContent>
      </w:r>
      <w:r w:rsidRPr="00D549EE">
        <w:rPr>
          <w:sz w:val="28"/>
          <w:szCs w:val="28"/>
          <w:lang w:val="en-US"/>
        </w:rPr>
        <w:t xml:space="preserve">                       </w:t>
      </w:r>
      <w:r w:rsidRPr="00D549EE">
        <w:rPr>
          <w:lang w:val="en-US"/>
        </w:rPr>
        <w:t>Will it still work?                                            Can it work?</w:t>
      </w:r>
    </w:p>
    <w:p w14:paraId="36AB6C3F" w14:textId="7008EE03" w:rsidR="00C438E8" w:rsidRPr="00D549EE" w:rsidRDefault="00C438E8" w:rsidP="00C9582F">
      <w:pPr>
        <w:pStyle w:val="a5"/>
        <w:snapToGrid w:val="0"/>
        <w:contextualSpacing/>
        <w:jc w:val="both"/>
        <w:rPr>
          <w:sz w:val="28"/>
          <w:szCs w:val="28"/>
          <w:lang w:val="en-US"/>
        </w:rPr>
      </w:pPr>
      <w:r w:rsidRPr="00D549EE">
        <w:rPr>
          <w:sz w:val="28"/>
          <w:szCs w:val="28"/>
          <w:lang w:val="en-US"/>
        </w:rPr>
        <w:t xml:space="preserve"> </w:t>
      </w:r>
    </w:p>
    <w:p w14:paraId="63E5DDD5" w14:textId="75AD6956" w:rsidR="00972E89" w:rsidRPr="00D549EE" w:rsidRDefault="00972E89" w:rsidP="00C9582F">
      <w:pPr>
        <w:pStyle w:val="a5"/>
        <w:snapToGrid w:val="0"/>
        <w:contextualSpacing/>
        <w:jc w:val="both"/>
        <w:rPr>
          <w:sz w:val="28"/>
          <w:szCs w:val="28"/>
          <w:lang w:val="en-US"/>
        </w:rPr>
      </w:pPr>
    </w:p>
    <w:p w14:paraId="18AEEE99" w14:textId="02F2AA5E" w:rsidR="00972E89" w:rsidRPr="00D549EE" w:rsidRDefault="00972E89" w:rsidP="00C9582F">
      <w:pPr>
        <w:pStyle w:val="a5"/>
        <w:snapToGrid w:val="0"/>
        <w:contextualSpacing/>
        <w:jc w:val="both"/>
        <w:rPr>
          <w:sz w:val="28"/>
          <w:szCs w:val="28"/>
          <w:lang w:val="en-US"/>
        </w:rPr>
      </w:pPr>
      <w:r w:rsidRPr="00D549EE">
        <w:rPr>
          <w:noProof/>
          <w:sz w:val="28"/>
          <w:szCs w:val="28"/>
        </w:rPr>
        <mc:AlternateContent>
          <mc:Choice Requires="wps">
            <w:drawing>
              <wp:anchor distT="0" distB="0" distL="114300" distR="114300" simplePos="0" relativeHeight="251695104" behindDoc="0" locked="0" layoutInCell="1" allowOverlap="1" wp14:anchorId="0022D8D9" wp14:editId="740F69E9">
                <wp:simplePos x="0" y="0"/>
                <wp:positionH relativeFrom="column">
                  <wp:posOffset>2424011</wp:posOffset>
                </wp:positionH>
                <wp:positionV relativeFrom="paragraph">
                  <wp:posOffset>203835</wp:posOffset>
                </wp:positionV>
                <wp:extent cx="1380226" cy="301925"/>
                <wp:effectExtent l="0" t="0" r="17145" b="15875"/>
                <wp:wrapNone/>
                <wp:docPr id="50" name="Прямоугольник 50"/>
                <wp:cNvGraphicFramePr/>
                <a:graphic xmlns:a="http://schemas.openxmlformats.org/drawingml/2006/main">
                  <a:graphicData uri="http://schemas.microsoft.com/office/word/2010/wordprocessingShape">
                    <wps:wsp>
                      <wps:cNvSpPr/>
                      <wps:spPr>
                        <a:xfrm>
                          <a:off x="0" y="0"/>
                          <a:ext cx="1380226" cy="30192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C39AD3C" w14:textId="132E7FCD" w:rsidR="00AC0BEF" w:rsidRPr="00972E89" w:rsidRDefault="00AC0BEF" w:rsidP="00972E89">
                            <w:pPr>
                              <w:jc w:val="center"/>
                              <w:rPr>
                                <w:lang w:val="en-US"/>
                              </w:rPr>
                            </w:pPr>
                            <w:r>
                              <w:rPr>
                                <w:lang w:val="en-US"/>
                              </w:rPr>
                              <w:t>Efficiency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2D8D9" id="Прямоугольник 50" o:spid="_x0000_s1028" style="position:absolute;left:0;text-align:left;margin-left:190.85pt;margin-top:16.05pt;width:108.7pt;height:23.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" fillcolor="white [3201]" strokecolor="black [3213]" strokeweight="1pt">
                <v:textbox>
                  <w:txbxContent>
                    <w:p w14:paraId="1C39AD3C" w14:textId="132E7FCD" w:rsidR="00AC0BEF" w:rsidRPr="00972E89" w:rsidRDefault="00AC0BEF" w:rsidP="00972E89">
                      <w:pPr>
                        <w:jc w:val="center"/>
                        <w:rPr>
                          <w:lang w:val="en-US"/>
                        </w:rPr>
                      </w:pPr>
                      <w:r>
                        <w:rPr>
                          <w:lang w:val="en-US"/>
                        </w:rPr>
                        <w:t>Efficiency</w:t>
                      </w:r>
                    </w:p>
                  </w:txbxContent>
                </v:textbox>
              </v:rect>
            </w:pict>
          </mc:Fallback>
        </mc:AlternateContent>
      </w:r>
    </w:p>
    <w:p w14:paraId="5AAD63D8" w14:textId="1A4451E4" w:rsidR="00972E89" w:rsidRPr="00D549EE" w:rsidRDefault="00972E89" w:rsidP="00C9582F">
      <w:pPr>
        <w:pStyle w:val="a5"/>
        <w:snapToGrid w:val="0"/>
        <w:contextualSpacing/>
        <w:jc w:val="both"/>
        <w:rPr>
          <w:lang w:val="en-US"/>
        </w:rPr>
      </w:pPr>
      <w:r w:rsidRPr="00D549EE">
        <w:rPr>
          <w:noProof/>
          <w:sz w:val="28"/>
          <w:szCs w:val="28"/>
        </w:rPr>
        <mc:AlternateContent>
          <mc:Choice Requires="wps">
            <w:drawing>
              <wp:anchor distT="0" distB="0" distL="114300" distR="114300" simplePos="0" relativeHeight="251717632" behindDoc="0" locked="0" layoutInCell="1" allowOverlap="1" wp14:anchorId="5A76F2CE" wp14:editId="7075D824">
                <wp:simplePos x="0" y="0"/>
                <wp:positionH relativeFrom="column">
                  <wp:posOffset>1740703</wp:posOffset>
                </wp:positionH>
                <wp:positionV relativeFrom="paragraph">
                  <wp:posOffset>146493</wp:posOffset>
                </wp:positionV>
                <wp:extent cx="0" cy="457200"/>
                <wp:effectExtent l="63500" t="0" r="63500" b="38100"/>
                <wp:wrapNone/>
                <wp:docPr id="74" name="Прямая со стрелкой 7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C295D6C" id="Прямая со стрелкой 74" o:spid="_x0000_s1026" type="#_x0000_t32" style="position:absolute;margin-left:137.05pt;margin-top:11.55pt;width:0;height:36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" strokecolor="#ed7d31 [3205]" strokeweight=".5pt">
                <v:stroke endarrow="block" joinstyle="miter"/>
              </v:shape>
            </w:pict>
          </mc:Fallback>
        </mc:AlternateContent>
      </w:r>
      <w:r w:rsidRPr="00D549EE">
        <w:rPr>
          <w:noProof/>
          <w:sz w:val="28"/>
          <w:szCs w:val="28"/>
        </w:rPr>
        <mc:AlternateContent>
          <mc:Choice Requires="wps">
            <w:drawing>
              <wp:anchor distT="0" distB="0" distL="114300" distR="114300" simplePos="0" relativeHeight="251716608" behindDoc="0" locked="0" layoutInCell="1" allowOverlap="1" wp14:anchorId="33DC3B3D" wp14:editId="1CFBA379">
                <wp:simplePos x="0" y="0"/>
                <wp:positionH relativeFrom="column">
                  <wp:posOffset>1740702</wp:posOffset>
                </wp:positionH>
                <wp:positionV relativeFrom="paragraph">
                  <wp:posOffset>145905</wp:posOffset>
                </wp:positionV>
                <wp:extent cx="681487" cy="587"/>
                <wp:effectExtent l="0" t="0" r="17145" b="12700"/>
                <wp:wrapNone/>
                <wp:docPr id="73" name="Прямая соединительная линия 73"/>
                <wp:cNvGraphicFramePr/>
                <a:graphic xmlns:a="http://schemas.openxmlformats.org/drawingml/2006/main">
                  <a:graphicData uri="http://schemas.microsoft.com/office/word/2010/wordprocessingShape">
                    <wps:wsp>
                      <wps:cNvCnPr/>
                      <wps:spPr>
                        <a:xfrm flipH="1">
                          <a:off x="0" y="0"/>
                          <a:ext cx="681487" cy="58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8828DDD" id="Прямая соединительная линия 73" o:spid="_x0000_s1026" style="position:absolute;flip:x;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05pt,11.5pt" to="190.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" strokecolor="#ed7d31 [3205]" strokeweight=".5pt">
                <v:stroke joinstyle="miter"/>
              </v:line>
            </w:pict>
          </mc:Fallback>
        </mc:AlternateContent>
      </w:r>
      <w:r w:rsidRPr="00D549EE">
        <w:rPr>
          <w:noProof/>
          <w:sz w:val="28"/>
          <w:szCs w:val="28"/>
        </w:rPr>
        <mc:AlternateContent>
          <mc:Choice Requires="wps">
            <w:drawing>
              <wp:anchor distT="0" distB="0" distL="114300" distR="114300" simplePos="0" relativeHeight="251715584" behindDoc="0" locked="0" layoutInCell="1" allowOverlap="1" wp14:anchorId="479B0498" wp14:editId="4CC6391E">
                <wp:simplePos x="0" y="0"/>
                <wp:positionH relativeFrom="column">
                  <wp:posOffset>3802416</wp:posOffset>
                </wp:positionH>
                <wp:positionV relativeFrom="paragraph">
                  <wp:posOffset>146493</wp:posOffset>
                </wp:positionV>
                <wp:extent cx="146649" cy="0"/>
                <wp:effectExtent l="25400" t="63500" r="0" b="76200"/>
                <wp:wrapNone/>
                <wp:docPr id="72" name="Прямая со стрелкой 72"/>
                <wp:cNvGraphicFramePr/>
                <a:graphic xmlns:a="http://schemas.openxmlformats.org/drawingml/2006/main">
                  <a:graphicData uri="http://schemas.microsoft.com/office/word/2010/wordprocessingShape">
                    <wps:wsp>
                      <wps:cNvCnPr/>
                      <wps:spPr>
                        <a:xfrm flipH="1">
                          <a:off x="0" y="0"/>
                          <a:ext cx="146649"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DF89AE7" id="Прямая со стрелкой 72" o:spid="_x0000_s1026" type="#_x0000_t32" style="position:absolute;margin-left:299.4pt;margin-top:11.55pt;width:11.55pt;height:0;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" strokecolor="#ed7d31 [3205]" strokeweight=".5pt">
                <v:stroke endarrow="block" joinstyle="miter"/>
              </v:shape>
            </w:pict>
          </mc:Fallback>
        </mc:AlternateContent>
      </w:r>
      <w:r w:rsidRPr="00D549EE">
        <w:rPr>
          <w:noProof/>
          <w:sz w:val="28"/>
          <w:szCs w:val="28"/>
        </w:rPr>
        <mc:AlternateContent>
          <mc:Choice Requires="wps">
            <w:drawing>
              <wp:anchor distT="0" distB="0" distL="114300" distR="114300" simplePos="0" relativeHeight="251714560" behindDoc="0" locked="0" layoutInCell="1" allowOverlap="1" wp14:anchorId="65369540" wp14:editId="644F43D5">
                <wp:simplePos x="0" y="0"/>
                <wp:positionH relativeFrom="column">
                  <wp:posOffset>3949065</wp:posOffset>
                </wp:positionH>
                <wp:positionV relativeFrom="paragraph">
                  <wp:posOffset>146493</wp:posOffset>
                </wp:positionV>
                <wp:extent cx="0" cy="457200"/>
                <wp:effectExtent l="0" t="0" r="12700" b="12700"/>
                <wp:wrapNone/>
                <wp:docPr id="71" name="Прямая соединительная линия 71"/>
                <wp:cNvGraphicFramePr/>
                <a:graphic xmlns:a="http://schemas.openxmlformats.org/drawingml/2006/main">
                  <a:graphicData uri="http://schemas.microsoft.com/office/word/2010/wordprocessingShape">
                    <wps:wsp>
                      <wps:cNvCnPr/>
                      <wps:spPr>
                        <a:xfrm flipV="1">
                          <a:off x="0" y="0"/>
                          <a:ext cx="0" cy="457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4B379A6" id="Прямая соединительная линия 71"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310.95pt,11.55pt" to="310.9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" strokecolor="#ed7d31 [3205]" strokeweight=".5pt">
                <v:stroke joinstyle="miter"/>
              </v:line>
            </w:pict>
          </mc:Fallback>
        </mc:AlternateContent>
      </w:r>
      <w:r w:rsidRPr="00D549EE">
        <w:rPr>
          <w:sz w:val="28"/>
          <w:szCs w:val="28"/>
          <w:lang w:val="en-US"/>
        </w:rPr>
        <w:t xml:space="preserve">                                    </w:t>
      </w:r>
      <w:r w:rsidRPr="00D549EE">
        <w:rPr>
          <w:lang w:val="en-US"/>
        </w:rPr>
        <w:t xml:space="preserve">How it will                                           How was it </w:t>
      </w:r>
      <w:r w:rsidRPr="00D549EE">
        <w:rPr>
          <w:sz w:val="28"/>
          <w:szCs w:val="28"/>
          <w:lang w:val="en-US"/>
        </w:rPr>
        <w:t xml:space="preserve">  </w:t>
      </w:r>
    </w:p>
    <w:p w14:paraId="42B673DF" w14:textId="320D8AA0" w:rsidR="00972E89" w:rsidRPr="00D549EE" w:rsidRDefault="00972E89" w:rsidP="00C9582F">
      <w:pPr>
        <w:pStyle w:val="a5"/>
        <w:snapToGrid w:val="0"/>
        <w:contextualSpacing/>
        <w:jc w:val="both"/>
        <w:rPr>
          <w:lang w:val="en-US"/>
        </w:rPr>
      </w:pPr>
      <w:r w:rsidRPr="00D549EE">
        <w:rPr>
          <w:sz w:val="28"/>
          <w:szCs w:val="28"/>
          <w:lang w:val="en-US"/>
        </w:rPr>
        <w:t xml:space="preserve">                                     </w:t>
      </w:r>
      <w:r w:rsidRPr="00D549EE">
        <w:rPr>
          <w:lang w:val="en-US"/>
        </w:rPr>
        <w:t>done?                                                    done?</w:t>
      </w:r>
    </w:p>
    <w:p w14:paraId="38D70BE8" w14:textId="42E3319B" w:rsidR="00972E89" w:rsidRPr="00D549EE" w:rsidRDefault="00972E89" w:rsidP="00C9582F">
      <w:pPr>
        <w:pStyle w:val="a5"/>
        <w:snapToGrid w:val="0"/>
        <w:contextualSpacing/>
        <w:jc w:val="both"/>
        <w:rPr>
          <w:sz w:val="28"/>
          <w:szCs w:val="28"/>
          <w:lang w:val="en-US"/>
        </w:rPr>
      </w:pPr>
    </w:p>
    <w:p w14:paraId="115723DB" w14:textId="346AA5D5" w:rsidR="00972E89" w:rsidRPr="00D549EE" w:rsidRDefault="00972E89" w:rsidP="00C9582F">
      <w:pPr>
        <w:pStyle w:val="a5"/>
        <w:snapToGrid w:val="0"/>
        <w:contextualSpacing/>
        <w:jc w:val="both"/>
        <w:rPr>
          <w:sz w:val="28"/>
          <w:szCs w:val="28"/>
          <w:lang w:val="en-US"/>
        </w:rPr>
      </w:pPr>
      <w:r w:rsidRPr="00D549EE">
        <w:rPr>
          <w:noProof/>
          <w:sz w:val="28"/>
          <w:szCs w:val="28"/>
        </w:rPr>
        <mc:AlternateContent>
          <mc:Choice Requires="wps">
            <w:drawing>
              <wp:anchor distT="0" distB="0" distL="114300" distR="114300" simplePos="0" relativeHeight="251705344" behindDoc="0" locked="0" layoutInCell="1" allowOverlap="1" wp14:anchorId="582AF4DC" wp14:editId="423D8FF8">
                <wp:simplePos x="0" y="0"/>
                <wp:positionH relativeFrom="column">
                  <wp:posOffset>5052060</wp:posOffset>
                </wp:positionH>
                <wp:positionV relativeFrom="paragraph">
                  <wp:posOffset>115426</wp:posOffset>
                </wp:positionV>
                <wp:extent cx="828136" cy="448310"/>
                <wp:effectExtent l="0" t="0" r="10160" b="8890"/>
                <wp:wrapNone/>
                <wp:docPr id="60" name="Прямоугольник 60"/>
                <wp:cNvGraphicFramePr/>
                <a:graphic xmlns:a="http://schemas.openxmlformats.org/drawingml/2006/main">
                  <a:graphicData uri="http://schemas.microsoft.com/office/word/2010/wordprocessingShape">
                    <wps:wsp>
                      <wps:cNvSpPr/>
                      <wps:spPr>
                        <a:xfrm>
                          <a:off x="0" y="0"/>
                          <a:ext cx="828136" cy="44831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96CE640" w14:textId="63E6BE97" w:rsidR="00AC0BEF" w:rsidRPr="00972E89" w:rsidRDefault="00AC0BEF" w:rsidP="00972E89">
                            <w:pPr>
                              <w:jc w:val="center"/>
                              <w:rPr>
                                <w:lang w:val="en-US"/>
                              </w:rPr>
                            </w:pPr>
                            <w:r>
                              <w:rPr>
                                <w:lang w:val="en-US"/>
                              </w:rP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AF4DC" id="Прямоугольник 60" o:spid="_x0000_s1029" style="position:absolute;left:0;text-align:left;margin-left:397.8pt;margin-top:9.1pt;width:65.2pt;height:35.3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" fillcolor="white [3201]" strokecolor="black [3213]" strokeweight="1pt">
                <v:textbox>
                  <w:txbxContent>
                    <w:p w14:paraId="096CE640" w14:textId="63E6BE97" w:rsidR="00AC0BEF" w:rsidRPr="00972E89" w:rsidRDefault="00AC0BEF" w:rsidP="00972E89">
                      <w:pPr>
                        <w:jc w:val="center"/>
                        <w:rPr>
                          <w:lang w:val="en-US"/>
                        </w:rPr>
                      </w:pPr>
                      <w:r>
                        <w:rPr>
                          <w:lang w:val="en-US"/>
                        </w:rPr>
                        <w:t>Outcome</w:t>
                      </w:r>
                    </w:p>
                  </w:txbxContent>
                </v:textbox>
              </v:rect>
            </w:pict>
          </mc:Fallback>
        </mc:AlternateContent>
      </w:r>
      <w:r w:rsidRPr="00D549EE">
        <w:rPr>
          <w:noProof/>
          <w:sz w:val="28"/>
          <w:szCs w:val="28"/>
        </w:rPr>
        <mc:AlternateContent>
          <mc:Choice Requires="wps">
            <w:drawing>
              <wp:anchor distT="0" distB="0" distL="114300" distR="114300" simplePos="0" relativeHeight="251700224" behindDoc="0" locked="0" layoutInCell="1" allowOverlap="1" wp14:anchorId="4A1FE024" wp14:editId="4CC9BAD2">
                <wp:simplePos x="0" y="0"/>
                <wp:positionH relativeFrom="column">
                  <wp:posOffset>4112895</wp:posOffset>
                </wp:positionH>
                <wp:positionV relativeFrom="paragraph">
                  <wp:posOffset>93249</wp:posOffset>
                </wp:positionV>
                <wp:extent cx="939716" cy="448310"/>
                <wp:effectExtent l="0" t="0" r="26035" b="8890"/>
                <wp:wrapNone/>
                <wp:docPr id="57" name="Пятиугольник 57"/>
                <wp:cNvGraphicFramePr/>
                <a:graphic xmlns:a="http://schemas.openxmlformats.org/drawingml/2006/main">
                  <a:graphicData uri="http://schemas.microsoft.com/office/word/2010/wordprocessingShape">
                    <wps:wsp>
                      <wps:cNvSpPr/>
                      <wps:spPr>
                        <a:xfrm>
                          <a:off x="0" y="0"/>
                          <a:ext cx="939716" cy="448310"/>
                        </a:xfrm>
                        <a:prstGeom prst="homePlate">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9DF4DA1" w14:textId="45C60272" w:rsidR="00AC0BEF" w:rsidRPr="00972E89" w:rsidRDefault="00AC0BEF" w:rsidP="00972E89">
                            <w:pPr>
                              <w:jc w:val="center"/>
                              <w:rPr>
                                <w:lang w:val="en-US"/>
                              </w:rPr>
                            </w:pPr>
                            <w:r>
                              <w:rPr>
                                <w:lang w:val="en-US"/>
                              </w:rPr>
                              <w:t>Post-project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1FE02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57" o:spid="_x0000_s1030" type="#_x0000_t15" style="position:absolute;left:0;text-align:left;margin-left:323.85pt;margin-top:7.35pt;width:74pt;height:35.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" adj="16448" fillcolor="white [3201]" strokecolor="black [3213]" strokeweight="1pt">
                <v:textbox>
                  <w:txbxContent>
                    <w:p w14:paraId="69DF4DA1" w14:textId="45C60272" w:rsidR="00AC0BEF" w:rsidRPr="00972E89" w:rsidRDefault="00AC0BEF" w:rsidP="00972E89">
                      <w:pPr>
                        <w:jc w:val="center"/>
                        <w:rPr>
                          <w:lang w:val="en-US"/>
                        </w:rPr>
                      </w:pPr>
                      <w:r>
                        <w:rPr>
                          <w:lang w:val="en-US"/>
                        </w:rPr>
                        <w:t>Post-project</w:t>
                      </w:r>
                    </w:p>
                  </w:txbxContent>
                </v:textbox>
              </v:shape>
            </w:pict>
          </mc:Fallback>
        </mc:AlternateContent>
      </w:r>
      <w:r w:rsidRPr="00D549EE">
        <w:rPr>
          <w:noProof/>
          <w:sz w:val="28"/>
          <w:szCs w:val="28"/>
        </w:rPr>
        <mc:AlternateContent>
          <mc:Choice Requires="wps">
            <w:drawing>
              <wp:anchor distT="0" distB="0" distL="114300" distR="114300" simplePos="0" relativeHeight="251703296" behindDoc="0" locked="0" layoutInCell="1" allowOverlap="1" wp14:anchorId="3E1E9F21" wp14:editId="1C806078">
                <wp:simplePos x="0" y="0"/>
                <wp:positionH relativeFrom="column">
                  <wp:posOffset>3343910</wp:posOffset>
                </wp:positionH>
                <wp:positionV relativeFrom="paragraph">
                  <wp:posOffset>98174</wp:posOffset>
                </wp:positionV>
                <wp:extent cx="672513" cy="448310"/>
                <wp:effectExtent l="0" t="0" r="13335" b="8890"/>
                <wp:wrapNone/>
                <wp:docPr id="59" name="Прямоугольник 59"/>
                <wp:cNvGraphicFramePr/>
                <a:graphic xmlns:a="http://schemas.openxmlformats.org/drawingml/2006/main">
                  <a:graphicData uri="http://schemas.microsoft.com/office/word/2010/wordprocessingShape">
                    <wps:wsp>
                      <wps:cNvSpPr/>
                      <wps:spPr>
                        <a:xfrm>
                          <a:off x="0" y="0"/>
                          <a:ext cx="672513" cy="44831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70103009" w14:textId="143B88AC" w:rsidR="00AC0BEF" w:rsidRPr="00972E89" w:rsidRDefault="00AC0BEF" w:rsidP="00972E89">
                            <w:pPr>
                              <w:jc w:val="center"/>
                              <w:rPr>
                                <w:lang w:val="en-US"/>
                              </w:rPr>
                            </w:pPr>
                            <w:r>
                              <w:rPr>
                                <w:lang w:val="en-US"/>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1E9F21" id="Прямоугольник 59" o:spid="_x0000_s1031" style="position:absolute;left:0;text-align:left;margin-left:263.3pt;margin-top:7.75pt;width:52.95pt;height:35.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" fillcolor="white [3201]" strokecolor="black [3213]" strokeweight="1pt">
                <v:textbox>
                  <w:txbxContent>
                    <w:p w14:paraId="70103009" w14:textId="143B88AC" w:rsidR="00AC0BEF" w:rsidRPr="00972E89" w:rsidRDefault="00AC0BEF" w:rsidP="00972E89">
                      <w:pPr>
                        <w:jc w:val="center"/>
                        <w:rPr>
                          <w:lang w:val="en-US"/>
                        </w:rPr>
                      </w:pPr>
                      <w:r>
                        <w:rPr>
                          <w:lang w:val="en-US"/>
                        </w:rPr>
                        <w:t>Output</w:t>
                      </w:r>
                    </w:p>
                  </w:txbxContent>
                </v:textbox>
              </v:rect>
            </w:pict>
          </mc:Fallback>
        </mc:AlternateContent>
      </w:r>
      <w:r w:rsidRPr="00D549EE">
        <w:rPr>
          <w:noProof/>
          <w:sz w:val="28"/>
          <w:szCs w:val="28"/>
        </w:rPr>
        <mc:AlternateContent>
          <mc:Choice Requires="wps">
            <w:drawing>
              <wp:anchor distT="0" distB="0" distL="114300" distR="114300" simplePos="0" relativeHeight="251698176" behindDoc="0" locked="0" layoutInCell="1" allowOverlap="1" wp14:anchorId="32FA9B7C" wp14:editId="42CF82E4">
                <wp:simplePos x="0" y="0"/>
                <wp:positionH relativeFrom="column">
                  <wp:posOffset>2058035</wp:posOffset>
                </wp:positionH>
                <wp:positionV relativeFrom="paragraph">
                  <wp:posOffset>90074</wp:posOffset>
                </wp:positionV>
                <wp:extent cx="1242204" cy="448310"/>
                <wp:effectExtent l="0" t="0" r="27940" b="8890"/>
                <wp:wrapNone/>
                <wp:docPr id="56" name="Пятиугольник 56"/>
                <wp:cNvGraphicFramePr/>
                <a:graphic xmlns:a="http://schemas.openxmlformats.org/drawingml/2006/main">
                  <a:graphicData uri="http://schemas.microsoft.com/office/word/2010/wordprocessingShape">
                    <wps:wsp>
                      <wps:cNvSpPr/>
                      <wps:spPr>
                        <a:xfrm>
                          <a:off x="0" y="0"/>
                          <a:ext cx="1242204" cy="448310"/>
                        </a:xfrm>
                        <a:prstGeom prst="homePlate">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E955AF0" w14:textId="19BB1EAC" w:rsidR="00AC0BEF" w:rsidRPr="00972E89" w:rsidRDefault="00AC0BEF" w:rsidP="00972E89">
                            <w:pPr>
                              <w:jc w:val="center"/>
                              <w:rPr>
                                <w:lang w:val="en-US"/>
                              </w:rPr>
                            </w:pPr>
                            <w:r>
                              <w:rPr>
                                <w:lang w:val="en-US"/>
                              </w:rPr>
                              <w:t>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FA9B7C" id="Пятиугольник 56" o:spid="_x0000_s1032" type="#_x0000_t15" style="position:absolute;left:0;text-align:left;margin-left:162.05pt;margin-top:7.1pt;width:97.8pt;height:35.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" adj="17702" fillcolor="white [3201]" strokecolor="black [3213]" strokeweight="1pt">
                <v:textbox>
                  <w:txbxContent>
                    <w:p w14:paraId="5E955AF0" w14:textId="19BB1EAC" w:rsidR="00AC0BEF" w:rsidRPr="00972E89" w:rsidRDefault="00AC0BEF" w:rsidP="00972E89">
                      <w:pPr>
                        <w:jc w:val="center"/>
                        <w:rPr>
                          <w:lang w:val="en-US"/>
                        </w:rPr>
                      </w:pPr>
                      <w:r>
                        <w:rPr>
                          <w:lang w:val="en-US"/>
                        </w:rPr>
                        <w:t>Project</w:t>
                      </w:r>
                    </w:p>
                  </w:txbxContent>
                </v:textbox>
              </v:shape>
            </w:pict>
          </mc:Fallback>
        </mc:AlternateContent>
      </w:r>
      <w:r w:rsidRPr="00D549EE">
        <w:rPr>
          <w:noProof/>
          <w:sz w:val="28"/>
          <w:szCs w:val="28"/>
        </w:rPr>
        <mc:AlternateContent>
          <mc:Choice Requires="wps">
            <w:drawing>
              <wp:anchor distT="0" distB="0" distL="114300" distR="114300" simplePos="0" relativeHeight="251701248" behindDoc="0" locked="0" layoutInCell="1" allowOverlap="1" wp14:anchorId="6ED23A96" wp14:editId="520AE4C3">
                <wp:simplePos x="0" y="0"/>
                <wp:positionH relativeFrom="column">
                  <wp:posOffset>1402715</wp:posOffset>
                </wp:positionH>
                <wp:positionV relativeFrom="paragraph">
                  <wp:posOffset>89439</wp:posOffset>
                </wp:positionV>
                <wp:extent cx="560070" cy="448310"/>
                <wp:effectExtent l="0" t="0" r="11430" b="8890"/>
                <wp:wrapNone/>
                <wp:docPr id="58" name="Прямоугольник 58"/>
                <wp:cNvGraphicFramePr/>
                <a:graphic xmlns:a="http://schemas.openxmlformats.org/drawingml/2006/main">
                  <a:graphicData uri="http://schemas.microsoft.com/office/word/2010/wordprocessingShape">
                    <wps:wsp>
                      <wps:cNvSpPr/>
                      <wps:spPr>
                        <a:xfrm>
                          <a:off x="0" y="0"/>
                          <a:ext cx="560070" cy="44831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1F44184" w14:textId="198B3CF6" w:rsidR="00AC0BEF" w:rsidRPr="00972E89" w:rsidRDefault="00AC0BEF" w:rsidP="00972E89">
                            <w:pPr>
                              <w:jc w:val="center"/>
                              <w:rPr>
                                <w:lang w:val="en-US"/>
                              </w:rPr>
                            </w:pPr>
                            <w:r>
                              <w:rPr>
                                <w:lang w:val="en-US"/>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D23A96" id="Прямоугольник 58" o:spid="_x0000_s1033" style="position:absolute;left:0;text-align:left;margin-left:110.45pt;margin-top:7.05pt;width:44.1pt;height:35.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" fillcolor="white [3201]" strokecolor="black [3213]" strokeweight="1pt">
                <v:textbox>
                  <w:txbxContent>
                    <w:p w14:paraId="41F44184" w14:textId="198B3CF6" w:rsidR="00AC0BEF" w:rsidRPr="00972E89" w:rsidRDefault="00AC0BEF" w:rsidP="00972E89">
                      <w:pPr>
                        <w:jc w:val="center"/>
                        <w:rPr>
                          <w:lang w:val="en-US"/>
                        </w:rPr>
                      </w:pPr>
                      <w:r>
                        <w:rPr>
                          <w:lang w:val="en-US"/>
                        </w:rPr>
                        <w:t>Input</w:t>
                      </w:r>
                    </w:p>
                  </w:txbxContent>
                </v:textbox>
              </v:rect>
            </w:pict>
          </mc:Fallback>
        </mc:AlternateContent>
      </w:r>
      <w:r w:rsidRPr="00D549EE">
        <w:rPr>
          <w:noProof/>
          <w:sz w:val="28"/>
          <w:szCs w:val="28"/>
        </w:rPr>
        <mc:AlternateContent>
          <mc:Choice Requires="wps">
            <w:drawing>
              <wp:anchor distT="0" distB="0" distL="114300" distR="114300" simplePos="0" relativeHeight="251696128" behindDoc="0" locked="0" layoutInCell="1" allowOverlap="1" wp14:anchorId="2E7D162F" wp14:editId="44B2157E">
                <wp:simplePos x="0" y="0"/>
                <wp:positionH relativeFrom="column">
                  <wp:posOffset>135255</wp:posOffset>
                </wp:positionH>
                <wp:positionV relativeFrom="paragraph">
                  <wp:posOffset>88768</wp:posOffset>
                </wp:positionV>
                <wp:extent cx="1207135" cy="448310"/>
                <wp:effectExtent l="0" t="0" r="24765" b="8890"/>
                <wp:wrapNone/>
                <wp:docPr id="52" name="Пятиугольник 52"/>
                <wp:cNvGraphicFramePr/>
                <a:graphic xmlns:a="http://schemas.openxmlformats.org/drawingml/2006/main">
                  <a:graphicData uri="http://schemas.microsoft.com/office/word/2010/wordprocessingShape">
                    <wps:wsp>
                      <wps:cNvSpPr/>
                      <wps:spPr>
                        <a:xfrm>
                          <a:off x="0" y="0"/>
                          <a:ext cx="1207135" cy="448310"/>
                        </a:xfrm>
                        <a:prstGeom prst="homePlate">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EF45940" w14:textId="37DFAA37" w:rsidR="00AC0BEF" w:rsidRPr="00972E89" w:rsidRDefault="00AC0BEF" w:rsidP="00972E89">
                            <w:pPr>
                              <w:jc w:val="center"/>
                              <w:rPr>
                                <w:lang w:val="en-US"/>
                              </w:rPr>
                            </w:pPr>
                            <w:r>
                              <w:rPr>
                                <w:lang w:val="en-US"/>
                              </w:rPr>
                              <w:t>Pre-project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7D162F" id="Пятиугольник 52" o:spid="_x0000_s1034" type="#_x0000_t15" style="position:absolute;left:0;text-align:left;margin-left:10.65pt;margin-top:7pt;width:95.05pt;height:35.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" adj="17589" fillcolor="white [3201]" strokecolor="black [3213]" strokeweight="1pt">
                <v:textbox>
                  <w:txbxContent>
                    <w:p w14:paraId="4EF45940" w14:textId="37DFAA37" w:rsidR="00AC0BEF" w:rsidRPr="00972E89" w:rsidRDefault="00AC0BEF" w:rsidP="00972E89">
                      <w:pPr>
                        <w:jc w:val="center"/>
                        <w:rPr>
                          <w:lang w:val="en-US"/>
                        </w:rPr>
                      </w:pPr>
                      <w:r>
                        <w:rPr>
                          <w:lang w:val="en-US"/>
                        </w:rPr>
                        <w:t>Pre-project</w:t>
                      </w:r>
                    </w:p>
                  </w:txbxContent>
                </v:textbox>
              </v:shape>
            </w:pict>
          </mc:Fallback>
        </mc:AlternateContent>
      </w:r>
    </w:p>
    <w:p w14:paraId="4D34E451" w14:textId="2AED52FA" w:rsidR="00972E89" w:rsidRPr="00D549EE" w:rsidRDefault="00972E89" w:rsidP="00C9582F">
      <w:pPr>
        <w:pStyle w:val="a5"/>
        <w:snapToGrid w:val="0"/>
        <w:contextualSpacing/>
        <w:jc w:val="both"/>
        <w:rPr>
          <w:sz w:val="28"/>
          <w:szCs w:val="28"/>
          <w:lang w:val="en-US"/>
        </w:rPr>
      </w:pPr>
      <w:r w:rsidRPr="00D549EE">
        <w:rPr>
          <w:sz w:val="28"/>
          <w:szCs w:val="28"/>
          <w:lang w:val="en-US"/>
        </w:rPr>
        <w:t xml:space="preserve">                                              </w:t>
      </w:r>
    </w:p>
    <w:p w14:paraId="21D4AD75" w14:textId="289D24EA" w:rsidR="00972E89" w:rsidRPr="00D549EE" w:rsidRDefault="00972E89" w:rsidP="00C9582F">
      <w:pPr>
        <w:pStyle w:val="a5"/>
        <w:snapToGrid w:val="0"/>
        <w:contextualSpacing/>
        <w:jc w:val="both"/>
        <w:rPr>
          <w:sz w:val="28"/>
          <w:szCs w:val="28"/>
          <w:lang w:val="en-US"/>
        </w:rPr>
      </w:pPr>
    </w:p>
    <w:p w14:paraId="40767A63" w14:textId="76B29CED" w:rsidR="00B011BD" w:rsidRPr="00D549EE" w:rsidRDefault="00B011BD" w:rsidP="00C9582F">
      <w:pPr>
        <w:snapToGrid w:val="0"/>
        <w:contextualSpacing/>
        <w:jc w:val="center"/>
        <w:rPr>
          <w:bCs/>
          <w:color w:val="000000" w:themeColor="text1"/>
          <w:sz w:val="28"/>
          <w:szCs w:val="28"/>
          <w:lang w:val="en-US"/>
        </w:rPr>
      </w:pPr>
      <w:r w:rsidRPr="00D549EE">
        <w:rPr>
          <w:color w:val="000000" w:themeColor="text1"/>
          <w:sz w:val="28"/>
          <w:szCs w:val="28"/>
          <w:lang w:val="en-US"/>
        </w:rPr>
        <w:t>Figure 1</w:t>
      </w:r>
      <w:r w:rsidR="00344140" w:rsidRPr="00D549EE">
        <w:rPr>
          <w:color w:val="000000" w:themeColor="text1"/>
          <w:sz w:val="28"/>
          <w:szCs w:val="28"/>
          <w:lang w:val="en-US"/>
        </w:rPr>
        <w:t>1</w:t>
      </w:r>
      <w:r w:rsidRPr="00D549EE">
        <w:rPr>
          <w:color w:val="000000" w:themeColor="text1"/>
          <w:sz w:val="28"/>
          <w:szCs w:val="28"/>
          <w:lang w:val="en-US"/>
        </w:rPr>
        <w:t xml:space="preserve"> </w:t>
      </w:r>
      <w:r w:rsidRPr="00D549EE">
        <w:rPr>
          <w:color w:val="000000" w:themeColor="text1"/>
          <w:lang w:val="en-US"/>
        </w:rPr>
        <w:t>–</w:t>
      </w:r>
      <w:r w:rsidRPr="00D549EE">
        <w:rPr>
          <w:bCs/>
          <w:color w:val="000000" w:themeColor="text1"/>
          <w:sz w:val="28"/>
          <w:szCs w:val="28"/>
          <w:lang w:val="en-US"/>
        </w:rPr>
        <w:t xml:space="preserve"> Model reflecting effectiveness, efficacy, efficiency</w:t>
      </w:r>
    </w:p>
    <w:p w14:paraId="1C41FA17" w14:textId="77777777" w:rsidR="00B011BD" w:rsidRPr="00D549EE" w:rsidRDefault="00B011BD" w:rsidP="00C9582F">
      <w:pPr>
        <w:snapToGrid w:val="0"/>
        <w:contextualSpacing/>
        <w:jc w:val="center"/>
        <w:rPr>
          <w:bCs/>
          <w:color w:val="000000" w:themeColor="text1"/>
          <w:sz w:val="28"/>
          <w:szCs w:val="28"/>
          <w:lang w:val="en-US"/>
        </w:rPr>
      </w:pPr>
    </w:p>
    <w:p w14:paraId="2A23FAD4" w14:textId="5D5FDAD3" w:rsidR="00B011BD" w:rsidRPr="00D549EE" w:rsidRDefault="00B011BD" w:rsidP="00C9582F">
      <w:pPr>
        <w:snapToGrid w:val="0"/>
        <w:contextualSpacing/>
        <w:jc w:val="both"/>
        <w:rPr>
          <w:lang w:val="en-US"/>
        </w:rPr>
      </w:pPr>
      <w:r w:rsidRPr="00D549EE">
        <w:rPr>
          <w:b/>
          <w:lang w:val="en-US"/>
        </w:rPr>
        <w:tab/>
      </w:r>
      <w:r w:rsidRPr="00D549EE">
        <w:rPr>
          <w:lang w:val="en-US"/>
        </w:rPr>
        <w:t xml:space="preserve">Note – Source </w:t>
      </w:r>
      <w:r w:rsidRPr="00D549EE">
        <w:rPr>
          <w:lang w:val="en-US"/>
        </w:rPr>
        <w:fldChar w:fldCharType="begin" w:fldLock="1"/>
      </w:r>
      <w:r w:rsidR="00CB6E54" w:rsidRPr="00D549EE">
        <w:rPr>
          <w:lang w:val="en-US"/>
        </w:rPr>
        <w:instrText>ADDIN CSL_CITATION {"citationItems":[{"id":"ITEM-1","itemData":{"DOI":"10.1108/IJMPB-10-2016-0085","ISBN":"0420160035","ISSN":"17538386","abstract":"Purpose: This paper studies how the concepts of efficiency, effectiveness and efficacy are used in project management literature. The concepts relate to the degree of success or failure of projects and the degree to which the results are achieved. The purpose of this paper is to review the use of the concepts of efficiency, efficacy and effectiveness in project management literature and among practitioners. Design/methodology/approach: The study is based on an extensive literature review, initially from the International Journal of Managing Projects in Business. The first phase involved searching the words “efficiency”, “effectiveness” and “efficacy” in all articles of the journal, and then quantifying the results. This was followed by a qualitative search of the same articles with the aim of understanding how the terms “project efficiency”, “project efficacy” and “project effectiveness” are used. A further intensive literature review was then conducted in other literatures in the field of project management, including, but not limited to, International Journal of Project Management and Project Management Journal. Finally, the authors complemented the review by including theories from deep searches of Google Scholar and Google Books using the parameters “project efficiency”, “project effectiveness” and “project efficacy” and checked how the three concepts are used in other fields. Findings: This research reveals there is wide diversity in interpretations of the three concepts among research scholars and practitioners, which makes it challenging to apply these three concepts appropriately and clearly. As a consequence, the authors propose a model for describing these concepts. Research limitations/implications: This research is based on an academic and non-academic literature review. It identifies a number of inconsistencies in existing literature regarding the three concepts. Practical implications: This review enriches understanding of project management. Clarifying the understanding of project efficiency, project effectiveness and project efficacy will help and support organisational improvement. A clear and aligned view of these concepts can also be a basis for measurements based on possible developed indicators. Originality/value: This paper highlights the gap in the literature concerning the practical use and interpretation of the concepts “project efficiency”, “project effectiveness” and “project efficacy”.","author":[{"dropping-particle":"","family":"Zidane","given":"Youcef J.T.","non-dropping-particle":"","parse-names":false,"suffix":""},{"dropping-particle":"","family":"Olsson","given":"Nils O.E.","non-dropping-particle":"","parse-names":false,"suffix":""}],"container-title":"International Journal of Managing Projects in Business","id":"ITEM-1","issue":"3","issued":{"date-parts":[["2017"]]},"page":"621-641","title":"Defining project efficiency, effectiveness and efficacy","type":"article-journal","volume":"10"},"uris":["http://www.mendeley.com/documents/?uuid=25b0446b-96fa-4ebb-848f-c9b0b59323ea"]}],"mendeley":{"formattedCitation":"[101]","plainTextFormattedCitation":"[101]","previouslyFormattedCitation":"[101]"},"properties":{"noteIndex":0},"schema":"https://github.com/citation-style-language/schema/raw/master/csl-citation.json"}</w:instrText>
      </w:r>
      <w:r w:rsidRPr="00D549EE">
        <w:rPr>
          <w:lang w:val="en-US"/>
        </w:rPr>
        <w:fldChar w:fldCharType="separate"/>
      </w:r>
      <w:r w:rsidR="00B25838" w:rsidRPr="00D549EE">
        <w:rPr>
          <w:noProof/>
          <w:lang w:val="en-US"/>
        </w:rPr>
        <w:t>[101]</w:t>
      </w:r>
      <w:r w:rsidRPr="00D549EE">
        <w:rPr>
          <w:lang w:val="en-US"/>
        </w:rPr>
        <w:fldChar w:fldCharType="end"/>
      </w:r>
    </w:p>
    <w:p w14:paraId="6F93BCB4" w14:textId="11BB26BA" w:rsidR="00B011BD" w:rsidRPr="00D549EE" w:rsidRDefault="00B011BD" w:rsidP="00C9582F">
      <w:pPr>
        <w:snapToGrid w:val="0"/>
        <w:contextualSpacing/>
        <w:jc w:val="both"/>
        <w:rPr>
          <w:lang w:val="en-US"/>
        </w:rPr>
      </w:pPr>
    </w:p>
    <w:p w14:paraId="3EE2F1A8" w14:textId="77777777" w:rsidR="00A266F6" w:rsidRPr="00A266F6" w:rsidRDefault="00B011BD" w:rsidP="00A266F6">
      <w:pPr>
        <w:autoSpaceDE w:val="0"/>
        <w:autoSpaceDN w:val="0"/>
        <w:adjustRightInd w:val="0"/>
        <w:jc w:val="both"/>
        <w:rPr>
          <w:sz w:val="28"/>
          <w:szCs w:val="28"/>
          <w:lang w:val="en-US"/>
        </w:rPr>
      </w:pPr>
      <w:r w:rsidRPr="00D549EE">
        <w:rPr>
          <w:lang w:val="en-US"/>
        </w:rPr>
        <w:tab/>
      </w:r>
      <w:r w:rsidR="00A266F6" w:rsidRPr="00A266F6">
        <w:rPr>
          <w:sz w:val="28"/>
          <w:szCs w:val="28"/>
          <w:lang w:val="en-US"/>
        </w:rPr>
        <w:t xml:space="preserve">Thus, effectiveness is a complicated part to measure, which emanates from the operation of the produced product and generates positive impacts in the middle and </w:t>
      </w:r>
      <w:r w:rsidR="00A266F6" w:rsidRPr="00A266F6">
        <w:rPr>
          <w:sz w:val="28"/>
          <w:szCs w:val="28"/>
          <w:lang w:val="en-US"/>
        </w:rPr>
        <w:lastRenderedPageBreak/>
        <w:t>long term and achievement of purposed results, while efficiency is a comparison of the inputs of the output [101].</w:t>
      </w:r>
    </w:p>
    <w:p w14:paraId="4C46F995" w14:textId="235D8BA1" w:rsidR="000D0F2C" w:rsidRPr="00D549EE" w:rsidRDefault="00A266F6" w:rsidP="00A266F6">
      <w:pPr>
        <w:autoSpaceDE w:val="0"/>
        <w:autoSpaceDN w:val="0"/>
        <w:adjustRightInd w:val="0"/>
        <w:jc w:val="both"/>
        <w:rPr>
          <w:sz w:val="28"/>
          <w:szCs w:val="28"/>
          <w:lang w:val="en-US"/>
        </w:rPr>
      </w:pPr>
      <w:r w:rsidRPr="00A266F6">
        <w:rPr>
          <w:sz w:val="28"/>
          <w:szCs w:val="28"/>
          <w:lang w:val="en-US"/>
        </w:rPr>
        <w:tab/>
        <w:t>Nevertheless, some approaches for assessing the social effects and results in the form of impact are used to measure the indicators for the advancement of human development and the quality of a person’s life. This study considers a number of them for choosing to use suitable for assessing the social effectiveness of Islamic finance. The following table analyzes different international approaches and models of social impact and effect assessment developed by this research.</w:t>
      </w:r>
    </w:p>
    <w:p w14:paraId="7C98C9FD" w14:textId="77777777" w:rsidR="00A266F6" w:rsidRDefault="00A266F6" w:rsidP="00C9582F">
      <w:pPr>
        <w:jc w:val="both"/>
        <w:rPr>
          <w:color w:val="000000" w:themeColor="text1"/>
          <w:sz w:val="28"/>
          <w:szCs w:val="28"/>
          <w:lang w:val="en-US"/>
        </w:rPr>
      </w:pPr>
    </w:p>
    <w:p w14:paraId="0E74DB22" w14:textId="56C271E9" w:rsidR="006468CA" w:rsidRPr="00D549EE" w:rsidRDefault="006468CA" w:rsidP="00C9582F">
      <w:pPr>
        <w:jc w:val="both"/>
        <w:rPr>
          <w:color w:val="000000" w:themeColor="text1"/>
          <w:sz w:val="28"/>
          <w:szCs w:val="28"/>
          <w:lang w:val="en-US"/>
        </w:rPr>
      </w:pPr>
      <w:r w:rsidRPr="00D549EE">
        <w:rPr>
          <w:color w:val="000000" w:themeColor="text1"/>
          <w:sz w:val="28"/>
          <w:szCs w:val="28"/>
          <w:lang w:val="en-US"/>
        </w:rPr>
        <w:t>Table 1</w:t>
      </w:r>
      <w:r w:rsidR="00736E1B" w:rsidRPr="00D549EE">
        <w:rPr>
          <w:color w:val="000000" w:themeColor="text1"/>
          <w:sz w:val="28"/>
          <w:szCs w:val="28"/>
          <w:lang w:val="en-US"/>
        </w:rPr>
        <w:t>4</w:t>
      </w:r>
      <w:r w:rsidRPr="00D549EE">
        <w:rPr>
          <w:color w:val="000000" w:themeColor="text1"/>
          <w:sz w:val="28"/>
          <w:szCs w:val="28"/>
          <w:lang w:val="en-US"/>
        </w:rPr>
        <w:t xml:space="preserve"> </w:t>
      </w:r>
      <w:r w:rsidRPr="00D549EE">
        <w:rPr>
          <w:b/>
          <w:color w:val="000000" w:themeColor="text1"/>
          <w:lang w:val="en-US"/>
        </w:rPr>
        <w:t>–</w:t>
      </w:r>
      <w:r w:rsidRPr="00D549EE">
        <w:rPr>
          <w:color w:val="000000" w:themeColor="text1"/>
          <w:sz w:val="28"/>
          <w:szCs w:val="28"/>
          <w:lang w:val="en-US"/>
        </w:rPr>
        <w:t xml:space="preserve"> The main approaches of the assessment of the </w:t>
      </w:r>
      <w:r w:rsidR="00B117DA" w:rsidRPr="00D549EE">
        <w:rPr>
          <w:color w:val="000000" w:themeColor="text1"/>
          <w:sz w:val="28"/>
          <w:szCs w:val="28"/>
          <w:lang w:val="en-US"/>
        </w:rPr>
        <w:t>s</w:t>
      </w:r>
      <w:r w:rsidRPr="00D549EE">
        <w:rPr>
          <w:color w:val="000000" w:themeColor="text1"/>
          <w:sz w:val="28"/>
          <w:szCs w:val="28"/>
          <w:lang w:val="en-US"/>
        </w:rPr>
        <w:t xml:space="preserve">ocial impact/effects </w:t>
      </w:r>
    </w:p>
    <w:p w14:paraId="41C9E246" w14:textId="78FA80C7" w:rsidR="006468CA" w:rsidRPr="00D549EE" w:rsidRDefault="006468CA" w:rsidP="00C9582F">
      <w:pPr>
        <w:jc w:val="both"/>
        <w:rPr>
          <w:color w:val="000000" w:themeColor="text1"/>
          <w:sz w:val="28"/>
          <w:szCs w:val="28"/>
          <w:lang w:val="en-US"/>
        </w:rPr>
      </w:pPr>
    </w:p>
    <w:tbl>
      <w:tblPr>
        <w:tblStyle w:val="a9"/>
        <w:tblW w:w="0" w:type="auto"/>
        <w:tblLook w:val="04A0" w:firstRow="1" w:lastRow="0" w:firstColumn="1" w:lastColumn="0" w:noHBand="0" w:noVBand="1"/>
      </w:tblPr>
      <w:tblGrid>
        <w:gridCol w:w="562"/>
        <w:gridCol w:w="2835"/>
        <w:gridCol w:w="6226"/>
      </w:tblGrid>
      <w:tr w:rsidR="00F75059" w:rsidRPr="00D549EE" w14:paraId="3D4DC920" w14:textId="77777777" w:rsidTr="005A1EE9">
        <w:tc>
          <w:tcPr>
            <w:tcW w:w="562" w:type="dxa"/>
          </w:tcPr>
          <w:p w14:paraId="5847E7B8" w14:textId="0494A991" w:rsidR="00F75059" w:rsidRPr="00D549EE" w:rsidRDefault="00F75059" w:rsidP="00C9582F">
            <w:pPr>
              <w:rPr>
                <w:color w:val="000000" w:themeColor="text1"/>
                <w:lang w:val="en-US"/>
              </w:rPr>
            </w:pPr>
            <w:r w:rsidRPr="00D549EE">
              <w:rPr>
                <w:color w:val="000000" w:themeColor="text1"/>
                <w:szCs w:val="28"/>
                <w:lang w:val="en-US"/>
              </w:rPr>
              <w:t>№</w:t>
            </w:r>
          </w:p>
        </w:tc>
        <w:tc>
          <w:tcPr>
            <w:tcW w:w="2835" w:type="dxa"/>
          </w:tcPr>
          <w:p w14:paraId="59915F53" w14:textId="1FF503C5" w:rsidR="00F75059" w:rsidRPr="00D549EE" w:rsidRDefault="00F75059" w:rsidP="00C9582F">
            <w:pPr>
              <w:rPr>
                <w:color w:val="000000" w:themeColor="text1"/>
                <w:lang w:val="en-US"/>
              </w:rPr>
            </w:pPr>
            <w:r w:rsidRPr="00D549EE">
              <w:rPr>
                <w:color w:val="000000" w:themeColor="text1"/>
                <w:lang w:val="en-US"/>
              </w:rPr>
              <w:t xml:space="preserve">Assessment </w:t>
            </w:r>
          </w:p>
        </w:tc>
        <w:tc>
          <w:tcPr>
            <w:tcW w:w="6226" w:type="dxa"/>
          </w:tcPr>
          <w:p w14:paraId="3902D90E" w14:textId="2E88BA2C" w:rsidR="00F75059" w:rsidRPr="00D549EE" w:rsidRDefault="00F75059" w:rsidP="00C9582F">
            <w:pPr>
              <w:rPr>
                <w:color w:val="000000" w:themeColor="text1"/>
                <w:lang w:val="en-US"/>
              </w:rPr>
            </w:pPr>
            <w:r w:rsidRPr="00D549EE">
              <w:rPr>
                <w:color w:val="000000" w:themeColor="text1"/>
                <w:lang w:val="en-US"/>
              </w:rPr>
              <w:t>Process and Feature</w:t>
            </w:r>
          </w:p>
        </w:tc>
      </w:tr>
      <w:tr w:rsidR="00F75059" w:rsidRPr="00FC685D" w14:paraId="0E7537F7" w14:textId="77777777" w:rsidTr="005A1EE9">
        <w:tc>
          <w:tcPr>
            <w:tcW w:w="562" w:type="dxa"/>
          </w:tcPr>
          <w:p w14:paraId="6C299EB3" w14:textId="505528A8" w:rsidR="00F75059" w:rsidRPr="00D549EE" w:rsidRDefault="00F75059" w:rsidP="00C9582F">
            <w:pPr>
              <w:rPr>
                <w:color w:val="000000" w:themeColor="text1"/>
                <w:lang w:val="en-US"/>
              </w:rPr>
            </w:pPr>
            <w:r w:rsidRPr="00D549EE">
              <w:rPr>
                <w:color w:val="000000" w:themeColor="text1"/>
                <w:lang w:val="en-US"/>
              </w:rPr>
              <w:t>1</w:t>
            </w:r>
          </w:p>
        </w:tc>
        <w:tc>
          <w:tcPr>
            <w:tcW w:w="2835" w:type="dxa"/>
          </w:tcPr>
          <w:p w14:paraId="13BA1D36" w14:textId="7D1E6D58" w:rsidR="00F75059" w:rsidRPr="00D549EE" w:rsidRDefault="00F75059" w:rsidP="00C9582F">
            <w:pPr>
              <w:rPr>
                <w:color w:val="000000" w:themeColor="text1"/>
                <w:lang w:val="en-US"/>
              </w:rPr>
            </w:pPr>
            <w:r w:rsidRPr="00D549EE">
              <w:rPr>
                <w:color w:val="000000" w:themeColor="text1"/>
                <w:lang w:val="en-US"/>
              </w:rPr>
              <w:t>LBG Model – London Benchmark Group Model</w:t>
            </w:r>
          </w:p>
        </w:tc>
        <w:tc>
          <w:tcPr>
            <w:tcW w:w="6226" w:type="dxa"/>
          </w:tcPr>
          <w:p w14:paraId="65FF4E8C" w14:textId="48F89180" w:rsidR="00F75059" w:rsidRPr="00D549EE" w:rsidRDefault="00F75059" w:rsidP="00C9582F">
            <w:pPr>
              <w:rPr>
                <w:color w:val="000000" w:themeColor="text1"/>
                <w:lang w:val="en-US"/>
              </w:rPr>
            </w:pPr>
            <w:r w:rsidRPr="00D549EE">
              <w:rPr>
                <w:color w:val="000000" w:themeColor="text1"/>
                <w:lang w:val="en-US"/>
              </w:rPr>
              <w:t xml:space="preserve">Assessment of the corporate investments to the social development, it is a matrix of the structured information for implemented social projects, used for assessing the outputs and impacts in the measurable and unmeasurable indicators. </w:t>
            </w:r>
          </w:p>
        </w:tc>
      </w:tr>
      <w:tr w:rsidR="00F75059" w:rsidRPr="00D74F7B" w14:paraId="1F3F1826" w14:textId="77777777" w:rsidTr="005A1EE9">
        <w:tc>
          <w:tcPr>
            <w:tcW w:w="562" w:type="dxa"/>
          </w:tcPr>
          <w:p w14:paraId="41F0AFCF" w14:textId="6E05983C" w:rsidR="00F75059" w:rsidRPr="00D549EE" w:rsidRDefault="00F75059" w:rsidP="00C9582F">
            <w:pPr>
              <w:rPr>
                <w:color w:val="000000" w:themeColor="text1"/>
                <w:lang w:val="en-US"/>
              </w:rPr>
            </w:pPr>
            <w:r w:rsidRPr="00D549EE">
              <w:rPr>
                <w:color w:val="000000" w:themeColor="text1"/>
                <w:lang w:val="en-US"/>
              </w:rPr>
              <w:t>2</w:t>
            </w:r>
          </w:p>
        </w:tc>
        <w:tc>
          <w:tcPr>
            <w:tcW w:w="2835" w:type="dxa"/>
          </w:tcPr>
          <w:p w14:paraId="49957110" w14:textId="629CF288" w:rsidR="00F75059" w:rsidRPr="00D549EE" w:rsidRDefault="00F75059" w:rsidP="00C9582F">
            <w:pPr>
              <w:rPr>
                <w:color w:val="000000" w:themeColor="text1"/>
                <w:lang w:val="en-US"/>
              </w:rPr>
            </w:pPr>
            <w:r w:rsidRPr="00D549EE">
              <w:rPr>
                <w:color w:val="000000" w:themeColor="text1"/>
                <w:lang w:val="en-US"/>
              </w:rPr>
              <w:t xml:space="preserve">SROI – Social return on investment </w:t>
            </w:r>
          </w:p>
        </w:tc>
        <w:tc>
          <w:tcPr>
            <w:tcW w:w="6226" w:type="dxa"/>
          </w:tcPr>
          <w:p w14:paraId="051F5CFD" w14:textId="7EBDCE38" w:rsidR="00F75059" w:rsidRPr="00D549EE" w:rsidRDefault="00F75059" w:rsidP="00C9582F">
            <w:pPr>
              <w:rPr>
                <w:color w:val="000000" w:themeColor="text1"/>
                <w:lang w:val="en-US"/>
              </w:rPr>
            </w:pPr>
            <w:r w:rsidRPr="00D549EE">
              <w:rPr>
                <w:color w:val="000000" w:themeColor="text1"/>
                <w:lang w:val="en-US"/>
              </w:rPr>
              <w:t>5 steps of assessment: purpose and objectives; formation and analysis of the changing (development) theory (includes the chain of stakeholders, inputs, direct results, social results and social effects); measurement of social impact; correction indicators of results; calculation of SROI.</w:t>
            </w:r>
            <w:r w:rsidR="00646994" w:rsidRPr="00D549EE">
              <w:rPr>
                <w:color w:val="000000" w:themeColor="text1"/>
                <w:lang w:val="en-US"/>
              </w:rPr>
              <w:t xml:space="preserve"> The method is based on the main 7 principles of transparency, assessment of real results literally. </w:t>
            </w:r>
          </w:p>
        </w:tc>
      </w:tr>
      <w:tr w:rsidR="00F75059" w:rsidRPr="00D74F7B" w14:paraId="3F378937" w14:textId="77777777" w:rsidTr="005A1EE9">
        <w:tc>
          <w:tcPr>
            <w:tcW w:w="562" w:type="dxa"/>
          </w:tcPr>
          <w:p w14:paraId="528E3329" w14:textId="67AE2284" w:rsidR="00F75059" w:rsidRPr="00D549EE" w:rsidRDefault="00F75059" w:rsidP="00C9582F">
            <w:pPr>
              <w:rPr>
                <w:color w:val="000000" w:themeColor="text1"/>
                <w:lang w:val="en-US"/>
              </w:rPr>
            </w:pPr>
            <w:r w:rsidRPr="00D549EE">
              <w:rPr>
                <w:color w:val="000000" w:themeColor="text1"/>
                <w:lang w:val="en-US"/>
              </w:rPr>
              <w:t>3</w:t>
            </w:r>
          </w:p>
        </w:tc>
        <w:tc>
          <w:tcPr>
            <w:tcW w:w="2835" w:type="dxa"/>
          </w:tcPr>
          <w:p w14:paraId="344D7F11" w14:textId="2C928778" w:rsidR="00F75059" w:rsidRPr="00D549EE" w:rsidRDefault="00F75059" w:rsidP="00C9582F">
            <w:pPr>
              <w:rPr>
                <w:color w:val="000000" w:themeColor="text1"/>
                <w:lang w:val="en-US"/>
              </w:rPr>
            </w:pPr>
            <w:r w:rsidRPr="00D549EE">
              <w:rPr>
                <w:color w:val="000000" w:themeColor="text1"/>
                <w:lang w:val="en-US"/>
              </w:rPr>
              <w:t xml:space="preserve">AHP - </w:t>
            </w:r>
            <w:r w:rsidRPr="00D549EE">
              <w:rPr>
                <w:rFonts w:eastAsiaTheme="minorHAnsi"/>
                <w:lang w:val="en-US"/>
              </w:rPr>
              <w:t>Analytical Hierarchy Process for Social effects</w:t>
            </w:r>
          </w:p>
        </w:tc>
        <w:tc>
          <w:tcPr>
            <w:tcW w:w="6226" w:type="dxa"/>
          </w:tcPr>
          <w:p w14:paraId="1C107A7B" w14:textId="67E39F27" w:rsidR="00F75059" w:rsidRPr="00D549EE" w:rsidRDefault="00F75059" w:rsidP="00C9582F">
            <w:pPr>
              <w:rPr>
                <w:color w:val="000000" w:themeColor="text1"/>
                <w:lang w:val="en-US"/>
              </w:rPr>
            </w:pPr>
            <w:r w:rsidRPr="00D549EE">
              <w:rPr>
                <w:color w:val="000000" w:themeColor="text1"/>
                <w:lang w:val="en-US"/>
              </w:rPr>
              <w:t>The AHP method has been used from 1970s for decision making in about all aspects of activity. In the form of Social effects assessment used the experts’ assessment of the factors and social criteria, calculation by matrix and building the model.</w:t>
            </w:r>
          </w:p>
        </w:tc>
      </w:tr>
      <w:tr w:rsidR="00F75059" w:rsidRPr="00D74F7B" w14:paraId="448309EF" w14:textId="77777777" w:rsidTr="005A1EE9">
        <w:tc>
          <w:tcPr>
            <w:tcW w:w="562" w:type="dxa"/>
          </w:tcPr>
          <w:p w14:paraId="5097D63A" w14:textId="1E6F1160" w:rsidR="00F75059" w:rsidRPr="00D549EE" w:rsidRDefault="00F75059" w:rsidP="00C9582F">
            <w:pPr>
              <w:rPr>
                <w:color w:val="000000" w:themeColor="text1"/>
                <w:lang w:val="en-US"/>
              </w:rPr>
            </w:pPr>
            <w:r w:rsidRPr="00D549EE">
              <w:rPr>
                <w:color w:val="000000" w:themeColor="text1"/>
                <w:lang w:val="en-US"/>
              </w:rPr>
              <w:t>4</w:t>
            </w:r>
          </w:p>
        </w:tc>
        <w:tc>
          <w:tcPr>
            <w:tcW w:w="2835" w:type="dxa"/>
          </w:tcPr>
          <w:p w14:paraId="6C024157" w14:textId="3376350E" w:rsidR="00F75059" w:rsidRPr="00D549EE" w:rsidRDefault="00F75059" w:rsidP="00C9582F">
            <w:pPr>
              <w:rPr>
                <w:color w:val="000000" w:themeColor="text1"/>
                <w:lang w:val="en-US"/>
              </w:rPr>
            </w:pPr>
            <w:r w:rsidRPr="00D549EE">
              <w:rPr>
                <w:color w:val="000000" w:themeColor="text1"/>
                <w:lang w:val="en-US"/>
              </w:rPr>
              <w:t>Social impact assessment</w:t>
            </w:r>
          </w:p>
        </w:tc>
        <w:tc>
          <w:tcPr>
            <w:tcW w:w="6226" w:type="dxa"/>
          </w:tcPr>
          <w:p w14:paraId="41BD6993" w14:textId="58CAC324" w:rsidR="00F75059" w:rsidRPr="00D549EE" w:rsidRDefault="00F75059" w:rsidP="00C9582F">
            <w:pPr>
              <w:autoSpaceDE w:val="0"/>
              <w:autoSpaceDN w:val="0"/>
              <w:adjustRightInd w:val="0"/>
              <w:rPr>
                <w:rFonts w:eastAsiaTheme="minorHAnsi"/>
                <w:lang w:val="en-US" w:eastAsia="en-US"/>
              </w:rPr>
            </w:pPr>
            <w:r w:rsidRPr="00D549EE">
              <w:rPr>
                <w:rFonts w:eastAsiaTheme="minorHAnsi"/>
                <w:lang w:val="en-US" w:eastAsia="en-US"/>
              </w:rPr>
              <w:t xml:space="preserve">4 steps of assessment: analyzing, monitoring and managing the </w:t>
            </w:r>
          </w:p>
          <w:p w14:paraId="2D919161" w14:textId="165B9981" w:rsidR="00F75059" w:rsidRPr="00D549EE" w:rsidRDefault="00F75059" w:rsidP="00C9582F">
            <w:pPr>
              <w:autoSpaceDE w:val="0"/>
              <w:autoSpaceDN w:val="0"/>
              <w:adjustRightInd w:val="0"/>
              <w:rPr>
                <w:rFonts w:eastAsiaTheme="minorHAnsi"/>
                <w:lang w:val="en-US" w:eastAsia="en-US"/>
              </w:rPr>
            </w:pPr>
            <w:r w:rsidRPr="00D549EE">
              <w:rPr>
                <w:rFonts w:eastAsiaTheme="minorHAnsi"/>
                <w:lang w:val="en-US" w:eastAsia="en-US"/>
              </w:rPr>
              <w:t xml:space="preserve">social consequences, positive and negative, of planned interventions (policies, programs, plans, projects). Purpose is to maximize benefits and minimize costs, benefits mostly unmeasurable. Guiding principles: Precautionary Principle, Uncertainty Principle, Intragenerational Equity, Intergenerational Equity, Recognition and Preservation of Diversity, Internalization of Costs, The Polluter Pays Principle, The Prevention Principle, The Protection and Promotion of Health and Safety, The Principle of Multisectoral Integration. </w:t>
            </w:r>
            <w:r w:rsidRPr="00D549EE">
              <w:rPr>
                <w:color w:val="000000" w:themeColor="text1"/>
                <w:shd w:val="clear" w:color="auto" w:fill="FFFFFF"/>
                <w:lang w:val="en-US"/>
              </w:rPr>
              <w:t xml:space="preserve">International Social impact assessment (SIA) within the Environmental impact assessment (EIA) established in 1970s by </w:t>
            </w:r>
            <w:r w:rsidRPr="00D549EE">
              <w:rPr>
                <w:rFonts w:eastAsiaTheme="minorHAnsi"/>
                <w:lang w:val="en-US" w:eastAsia="en-US"/>
              </w:rPr>
              <w:t xml:space="preserve">International Association for Impact Assessment (IAIA) </w:t>
            </w:r>
            <w:r w:rsidRPr="00D549EE">
              <w:rPr>
                <w:rFonts w:eastAsiaTheme="minorHAnsi"/>
                <w:lang w:val="en-US" w:eastAsia="en-US"/>
              </w:rPr>
              <w:fldChar w:fldCharType="begin" w:fldLock="1"/>
            </w:r>
            <w:r w:rsidR="00CB6E54" w:rsidRPr="00D549EE">
              <w:rPr>
                <w:rFonts w:eastAsiaTheme="minorHAnsi"/>
                <w:lang w:val="en-US" w:eastAsia="en-US"/>
              </w:rPr>
              <w:instrText>ADDIN CSL_CITATION {"citationItems":[{"id":"ITEM-1","itemData":{"DOI":"10.3152/147154603781766491","ISSN":"14615517","abstract":"The “International Principles for Social Impact Assessment” is a statement of the core values of the SIA community together with a set of principles to guide SIA practice and the consideration of ‘the social’ in environmental impact assessment generally. It is a discussion document for the impact assessment community to be used as the basis for developing sector and national guidelines. In the process of being developed explicitly for an international context, increasing pressure was placed on the conventional understanding of SIA and a new definition, with official imprimatur of an international professional body, has been formalised. “Social Impact Assessment includes the processes of analysing, monitoring and managing the intended and unintended social consequences, both positive and negative, of planned interventions (policies, programs, plans, projects) and any social change processes invoked by those interventions. Its primary purpose is to bring about a more sustainable and equitable biophysical and human environment.” © 2003 Taylor &amp; Francis Group, LLC.","author":[{"dropping-particle":"","family":"Vanclay","given":"Frank","non-dropping-particle":"","parse-names":false,"suffix":""}],"container-title":"Impact Assessment and Project Appraisal","id":"ITEM-1","issue":"1","issued":{"date-parts":[["2003"]]},"page":"5-12","title":"International principles for social impact assessment","type":"article-journal","volume":"21"},"uris":["http://www.mendeley.com/documents/?uuid=9eb661c1-3fbf-4eff-a829-25034ad6f1a5"]}],"mendeley":{"formattedCitation":"[98]","plainTextFormattedCitation":"[98]","previouslyFormattedCitation":"[98]"},"properties":{"noteIndex":0},"schema":"https://github.com/citation-style-language/schema/raw/master/csl-citation.json"}</w:instrText>
            </w:r>
            <w:r w:rsidRPr="00D549EE">
              <w:rPr>
                <w:rFonts w:eastAsiaTheme="minorHAnsi"/>
                <w:lang w:val="en-US" w:eastAsia="en-US"/>
              </w:rPr>
              <w:fldChar w:fldCharType="separate"/>
            </w:r>
            <w:r w:rsidR="00B25838" w:rsidRPr="00D549EE">
              <w:rPr>
                <w:rFonts w:eastAsiaTheme="minorHAnsi"/>
                <w:noProof/>
                <w:lang w:val="en-US" w:eastAsia="en-US"/>
              </w:rPr>
              <w:t>[98]</w:t>
            </w:r>
            <w:r w:rsidRPr="00D549EE">
              <w:rPr>
                <w:rFonts w:eastAsiaTheme="minorHAnsi"/>
                <w:lang w:val="en-US" w:eastAsia="en-US"/>
              </w:rPr>
              <w:fldChar w:fldCharType="end"/>
            </w:r>
            <w:r w:rsidRPr="00D549EE">
              <w:rPr>
                <w:rFonts w:eastAsiaTheme="minorHAnsi"/>
                <w:lang w:val="en-US" w:eastAsia="en-US"/>
              </w:rPr>
              <w:t xml:space="preserve"> adopted for years globally.</w:t>
            </w:r>
          </w:p>
        </w:tc>
      </w:tr>
      <w:tr w:rsidR="00F75059" w:rsidRPr="00D74F7B" w14:paraId="1BE61B41" w14:textId="77777777" w:rsidTr="005A1EE9">
        <w:tc>
          <w:tcPr>
            <w:tcW w:w="562" w:type="dxa"/>
          </w:tcPr>
          <w:p w14:paraId="5035B35B" w14:textId="4867F70A" w:rsidR="00F75059" w:rsidRPr="00D549EE" w:rsidRDefault="00F75059" w:rsidP="00C9582F">
            <w:pPr>
              <w:rPr>
                <w:color w:val="000000" w:themeColor="text1"/>
                <w:lang w:val="en-US"/>
              </w:rPr>
            </w:pPr>
            <w:r w:rsidRPr="00D549EE">
              <w:rPr>
                <w:color w:val="000000" w:themeColor="text1"/>
                <w:lang w:val="en-US"/>
              </w:rPr>
              <w:t>5</w:t>
            </w:r>
          </w:p>
        </w:tc>
        <w:tc>
          <w:tcPr>
            <w:tcW w:w="2835" w:type="dxa"/>
          </w:tcPr>
          <w:p w14:paraId="372E9C06" w14:textId="126A020D" w:rsidR="00F75059" w:rsidRPr="00D549EE" w:rsidRDefault="00F75059" w:rsidP="00C9582F">
            <w:pPr>
              <w:rPr>
                <w:color w:val="000000" w:themeColor="text1"/>
                <w:lang w:val="en-US"/>
              </w:rPr>
            </w:pPr>
            <w:r w:rsidRPr="00D549EE">
              <w:rPr>
                <w:color w:val="000000" w:themeColor="text1"/>
                <w:lang w:val="en-US"/>
              </w:rPr>
              <w:t xml:space="preserve">Social and economic effectiveness assessment of social programs  </w:t>
            </w:r>
          </w:p>
        </w:tc>
        <w:tc>
          <w:tcPr>
            <w:tcW w:w="6226" w:type="dxa"/>
          </w:tcPr>
          <w:p w14:paraId="12247696" w14:textId="44C95CEF" w:rsidR="00F75059" w:rsidRPr="00D549EE" w:rsidRDefault="00F75059" w:rsidP="00C9582F">
            <w:pPr>
              <w:rPr>
                <w:color w:val="000000" w:themeColor="text1"/>
                <w:lang w:val="en-US"/>
              </w:rPr>
            </w:pPr>
            <w:r w:rsidRPr="00D549EE">
              <w:rPr>
                <w:color w:val="000000" w:themeColor="text1"/>
                <w:lang w:val="en-US"/>
              </w:rPr>
              <w:t>6 steps of assessment the process: defining the goals and beneficiaries; identification of the programs/projects as social investments; identification of the social results/effects, in costs measure; prediction of the socio-economic results assessment for planned period (5-10 years); c</w:t>
            </w:r>
            <w:r w:rsidRPr="00D549EE">
              <w:rPr>
                <w:bCs/>
                <w:iCs/>
                <w:lang w:val="en-US"/>
              </w:rPr>
              <w:t>alculation of the full cost of the project; and assessment of socio-economic effects in measure of costs.</w:t>
            </w:r>
          </w:p>
        </w:tc>
      </w:tr>
      <w:tr w:rsidR="00F75059" w:rsidRPr="00D74F7B" w14:paraId="56D6F6A5" w14:textId="77777777" w:rsidTr="005A1EE9">
        <w:tc>
          <w:tcPr>
            <w:tcW w:w="9623" w:type="dxa"/>
            <w:gridSpan w:val="3"/>
          </w:tcPr>
          <w:p w14:paraId="0D42CD9F" w14:textId="0500CA23" w:rsidR="00F75059" w:rsidRPr="00D549EE" w:rsidRDefault="00736E1B" w:rsidP="00C9582F">
            <w:pPr>
              <w:rPr>
                <w:color w:val="000000" w:themeColor="text1"/>
                <w:lang w:val="en-US"/>
              </w:rPr>
            </w:pPr>
            <w:r w:rsidRPr="00D549EE">
              <w:rPr>
                <w:lang w:val="en-US"/>
              </w:rPr>
              <w:t xml:space="preserve">       </w:t>
            </w:r>
            <w:r w:rsidR="00F75059" w:rsidRPr="00D549EE">
              <w:rPr>
                <w:lang w:val="en-US"/>
              </w:rPr>
              <w:t>Note – Compiled by the author</w:t>
            </w:r>
          </w:p>
        </w:tc>
      </w:tr>
    </w:tbl>
    <w:p w14:paraId="728B795E" w14:textId="3DBA343C" w:rsidR="009434E9" w:rsidRPr="009434E9" w:rsidRDefault="00F54B46" w:rsidP="009434E9">
      <w:pPr>
        <w:autoSpaceDE w:val="0"/>
        <w:autoSpaceDN w:val="0"/>
        <w:adjustRightInd w:val="0"/>
        <w:jc w:val="both"/>
        <w:rPr>
          <w:sz w:val="28"/>
          <w:szCs w:val="28"/>
          <w:lang w:val="en-US"/>
        </w:rPr>
      </w:pPr>
      <w:r>
        <w:rPr>
          <w:sz w:val="28"/>
          <w:szCs w:val="28"/>
          <w:lang w:val="en-US"/>
        </w:rPr>
        <w:lastRenderedPageBreak/>
        <w:tab/>
      </w:r>
      <w:r w:rsidR="009434E9" w:rsidRPr="009434E9">
        <w:rPr>
          <w:sz w:val="28"/>
          <w:szCs w:val="28"/>
          <w:lang w:val="en-US"/>
        </w:rPr>
        <w:t>From the point of view of the problems of eliminating poverty, the indicator of the income level to living cost ratio is quite informative. The income level is determined by the average income per capita and the cost of living – using a fixed consumers basket. As a rule, these indicators' dynamics allow identifying the impact of investments on the population's standard of living. In previous sections of this research, we concluded that Islamic finance has its own features that lead to specific efficiency and cover almost all aspects of economics.</w:t>
      </w:r>
    </w:p>
    <w:p w14:paraId="05CF7693" w14:textId="264621E1" w:rsidR="00B117DA" w:rsidRDefault="009434E9" w:rsidP="009434E9">
      <w:pPr>
        <w:autoSpaceDE w:val="0"/>
        <w:autoSpaceDN w:val="0"/>
        <w:adjustRightInd w:val="0"/>
        <w:jc w:val="both"/>
        <w:rPr>
          <w:sz w:val="28"/>
          <w:szCs w:val="28"/>
          <w:lang w:val="en-US"/>
        </w:rPr>
      </w:pPr>
      <w:r w:rsidRPr="009434E9">
        <w:rPr>
          <w:sz w:val="28"/>
          <w:szCs w:val="28"/>
          <w:lang w:val="en-US"/>
        </w:rPr>
        <w:tab/>
        <w:t>Social effectiveness is used to assess and evaluate natural results and effects as improving the direct beneficiaries' (target group) quality and improving the standard of living, their family members, other stakeholders, and the community in general, which occurred due to the implementation of the project. This type of effectiveness is the ratio of social (outcomes) and direct results (outputs). Social effectiveness is difficult to objectively measure using economic categories, including value since the indicators used to characterize the results are usually qualitative. This type of analysis is primarily used in the healthcare area and adopted by the author of the research for Islamic social financial tools.</w:t>
      </w:r>
    </w:p>
    <w:p w14:paraId="6B8E6DC2" w14:textId="77777777" w:rsidR="009434E9" w:rsidRPr="00D549EE" w:rsidRDefault="009434E9" w:rsidP="009434E9">
      <w:pPr>
        <w:autoSpaceDE w:val="0"/>
        <w:autoSpaceDN w:val="0"/>
        <w:adjustRightInd w:val="0"/>
        <w:jc w:val="both"/>
        <w:rPr>
          <w:rFonts w:eastAsiaTheme="minorHAnsi"/>
          <w:sz w:val="22"/>
          <w:szCs w:val="22"/>
          <w:lang w:val="en-US" w:eastAsia="en-US"/>
        </w:rPr>
      </w:pPr>
    </w:p>
    <w:p w14:paraId="4E3BB416" w14:textId="31065D61" w:rsidR="00211283" w:rsidRPr="00D549EE" w:rsidRDefault="00845693" w:rsidP="00C9582F">
      <w:pPr>
        <w:jc w:val="both"/>
        <w:rPr>
          <w:color w:val="000000" w:themeColor="text1"/>
          <w:sz w:val="28"/>
          <w:szCs w:val="28"/>
          <w:shd w:val="clear" w:color="auto" w:fill="FFFFFF"/>
          <w:lang w:val="en-US"/>
        </w:rPr>
      </w:pPr>
      <w:r w:rsidRPr="00D549EE">
        <w:rPr>
          <w:noProof/>
          <w:color w:val="000000" w:themeColor="text1"/>
          <w:sz w:val="28"/>
          <w:szCs w:val="28"/>
        </w:rPr>
        <mc:AlternateContent>
          <mc:Choice Requires="wps">
            <w:drawing>
              <wp:anchor distT="0" distB="0" distL="114300" distR="114300" simplePos="0" relativeHeight="251688960" behindDoc="0" locked="0" layoutInCell="1" allowOverlap="1" wp14:anchorId="3792DC03" wp14:editId="180F4286">
                <wp:simplePos x="0" y="0"/>
                <wp:positionH relativeFrom="column">
                  <wp:posOffset>122014</wp:posOffset>
                </wp:positionH>
                <wp:positionV relativeFrom="paragraph">
                  <wp:posOffset>130818</wp:posOffset>
                </wp:positionV>
                <wp:extent cx="4252054" cy="588001"/>
                <wp:effectExtent l="0" t="0" r="0" b="22225"/>
                <wp:wrapNone/>
                <wp:docPr id="21" name="Выгнутая вверх стрелка 21"/>
                <wp:cNvGraphicFramePr/>
                <a:graphic xmlns:a="http://schemas.openxmlformats.org/drawingml/2006/main">
                  <a:graphicData uri="http://schemas.microsoft.com/office/word/2010/wordprocessingShape">
                    <wps:wsp>
                      <wps:cNvSpPr/>
                      <wps:spPr>
                        <a:xfrm>
                          <a:off x="0" y="0"/>
                          <a:ext cx="4252054" cy="588001"/>
                        </a:xfrm>
                        <a:prstGeom prst="curvedDownArrow">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033D94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1" o:spid="_x0000_s1026" type="#_x0000_t105" style="position:absolute;margin-left:9.6pt;margin-top:10.3pt;width:334.8pt;height:4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" adj="20107,21227,16200" filled="f" strokecolor="black [1600]" strokeweight="1pt"/>
            </w:pict>
          </mc:Fallback>
        </mc:AlternateContent>
      </w:r>
    </w:p>
    <w:p w14:paraId="647A9A9F" w14:textId="0B2E1192" w:rsidR="00845693" w:rsidRPr="00D549EE" w:rsidRDefault="00845693" w:rsidP="00C9582F">
      <w:pPr>
        <w:jc w:val="both"/>
        <w:rPr>
          <w:color w:val="000000" w:themeColor="text1"/>
          <w:sz w:val="28"/>
          <w:szCs w:val="28"/>
          <w:shd w:val="clear" w:color="auto" w:fill="FFFFFF"/>
          <w:lang w:val="en-US"/>
        </w:rPr>
      </w:pPr>
    </w:p>
    <w:p w14:paraId="4E8AB8B3" w14:textId="77777777" w:rsidR="00845693" w:rsidRPr="00D549EE" w:rsidRDefault="00845693" w:rsidP="00C9582F">
      <w:pPr>
        <w:jc w:val="both"/>
        <w:rPr>
          <w:color w:val="000000" w:themeColor="text1"/>
          <w:sz w:val="28"/>
          <w:szCs w:val="28"/>
          <w:shd w:val="clear" w:color="auto" w:fill="FFFFFF"/>
          <w:lang w:val="en-US"/>
        </w:rPr>
      </w:pPr>
      <w:r w:rsidRPr="00D549EE">
        <w:rPr>
          <w:color w:val="000000" w:themeColor="text1"/>
          <w:sz w:val="28"/>
          <w:szCs w:val="28"/>
          <w:shd w:val="clear" w:color="auto" w:fill="FFFFFF"/>
          <w:lang w:val="en-US"/>
        </w:rPr>
        <w:t xml:space="preserve">                                      </w:t>
      </w:r>
      <w:r w:rsidRPr="00D549EE">
        <w:rPr>
          <w:color w:val="000000" w:themeColor="text1"/>
          <w:sz w:val="16"/>
          <w:szCs w:val="16"/>
          <w:shd w:val="clear" w:color="auto" w:fill="FFFFFF"/>
          <w:lang w:val="en-US"/>
        </w:rPr>
        <w:t>Social result’s effectiveness</w:t>
      </w:r>
    </w:p>
    <w:p w14:paraId="3ADC9D4B" w14:textId="21B9B3F6" w:rsidR="00845693" w:rsidRPr="00D549EE" w:rsidRDefault="00845693" w:rsidP="00C9582F">
      <w:pPr>
        <w:jc w:val="both"/>
        <w:rPr>
          <w:color w:val="000000" w:themeColor="text1"/>
          <w:sz w:val="28"/>
          <w:szCs w:val="28"/>
          <w:shd w:val="clear" w:color="auto" w:fill="FFFFFF"/>
          <w:lang w:val="en-US"/>
        </w:rPr>
      </w:pPr>
      <w:r w:rsidRPr="00D549EE">
        <w:rPr>
          <w:color w:val="000000" w:themeColor="text1"/>
          <w:sz w:val="28"/>
          <w:szCs w:val="28"/>
          <w:shd w:val="clear" w:color="auto" w:fill="FFFFFF"/>
          <w:lang w:val="en-US"/>
        </w:rPr>
        <w:t xml:space="preserve">               </w:t>
      </w:r>
      <w:r w:rsidR="006468CA" w:rsidRPr="00D549EE">
        <w:rPr>
          <w:color w:val="000000" w:themeColor="text1"/>
          <w:sz w:val="28"/>
          <w:szCs w:val="28"/>
          <w:shd w:val="clear" w:color="auto" w:fill="FFFFFF"/>
          <w:lang w:val="en-US"/>
        </w:rPr>
        <w:t xml:space="preserve">                    </w:t>
      </w:r>
      <w:r w:rsidRPr="00D549EE">
        <w:rPr>
          <w:color w:val="000000" w:themeColor="text1"/>
          <w:sz w:val="16"/>
          <w:szCs w:val="16"/>
          <w:shd w:val="clear" w:color="auto" w:fill="FFFFFF"/>
          <w:lang w:val="en-US"/>
        </w:rPr>
        <w:t>resource efficiency and productivity</w:t>
      </w:r>
    </w:p>
    <w:p w14:paraId="3C8B2029" w14:textId="77777777" w:rsidR="00845693" w:rsidRPr="00D549EE" w:rsidRDefault="00845693" w:rsidP="00C9582F">
      <w:pPr>
        <w:pStyle w:val="a5"/>
        <w:contextualSpacing/>
        <w:jc w:val="both"/>
        <w:rPr>
          <w:color w:val="000000" w:themeColor="text1"/>
          <w:sz w:val="28"/>
          <w:szCs w:val="28"/>
          <w:lang w:val="en-US"/>
        </w:rPr>
      </w:pPr>
      <w:r w:rsidRPr="00D549EE">
        <w:rPr>
          <w:noProof/>
          <w:color w:val="000000" w:themeColor="text1"/>
          <w:sz w:val="28"/>
          <w:szCs w:val="28"/>
        </w:rPr>
        <mc:AlternateContent>
          <mc:Choice Requires="wps">
            <w:drawing>
              <wp:anchor distT="0" distB="0" distL="114300" distR="114300" simplePos="0" relativeHeight="251685888" behindDoc="0" locked="0" layoutInCell="1" allowOverlap="1" wp14:anchorId="1C77C395" wp14:editId="3996E7BF">
                <wp:simplePos x="0" y="0"/>
                <wp:positionH relativeFrom="column">
                  <wp:posOffset>320240</wp:posOffset>
                </wp:positionH>
                <wp:positionV relativeFrom="paragraph">
                  <wp:posOffset>824212</wp:posOffset>
                </wp:positionV>
                <wp:extent cx="4392930" cy="339170"/>
                <wp:effectExtent l="0" t="25400" r="0" b="16510"/>
                <wp:wrapNone/>
                <wp:docPr id="12" name="Выгнутая вниз стрелка 12"/>
                <wp:cNvGraphicFramePr/>
                <a:graphic xmlns:a="http://schemas.openxmlformats.org/drawingml/2006/main">
                  <a:graphicData uri="http://schemas.microsoft.com/office/word/2010/wordprocessingShape">
                    <wps:wsp>
                      <wps:cNvSpPr/>
                      <wps:spPr>
                        <a:xfrm>
                          <a:off x="0" y="0"/>
                          <a:ext cx="4392930" cy="339170"/>
                        </a:xfrm>
                        <a:prstGeom prst="curvedUpArrow">
                          <a:avLst>
                            <a:gd name="adj1" fmla="val 0"/>
                            <a:gd name="adj2" fmla="val 50000"/>
                            <a:gd name="adj3" fmla="val 25000"/>
                          </a:avLst>
                        </a:prstGeom>
                        <a:solidFill>
                          <a:schemeClr val="tx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CC4F5C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2" o:spid="_x0000_s1026" type="#_x0000_t104" style="position:absolute;margin-left:25.2pt;margin-top:64.9pt;width:345.9pt;height:2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" adj="20766,21183,5400" fillcolor="black [3213]" strokecolor="black [3213]" strokeweight="1pt"/>
            </w:pict>
          </mc:Fallback>
        </mc:AlternateContent>
      </w:r>
      <w:r w:rsidRPr="00D549EE">
        <w:rPr>
          <w:noProof/>
          <w:color w:val="000000" w:themeColor="text1"/>
          <w:sz w:val="28"/>
          <w:szCs w:val="28"/>
        </w:rPr>
        <mc:AlternateContent>
          <mc:Choice Requires="wps">
            <w:drawing>
              <wp:anchor distT="0" distB="0" distL="114300" distR="114300" simplePos="0" relativeHeight="251686912" behindDoc="0" locked="0" layoutInCell="1" allowOverlap="1" wp14:anchorId="6D456233" wp14:editId="19D53A3D">
                <wp:simplePos x="0" y="0"/>
                <wp:positionH relativeFrom="column">
                  <wp:posOffset>237077</wp:posOffset>
                </wp:positionH>
                <wp:positionV relativeFrom="paragraph">
                  <wp:posOffset>59055</wp:posOffset>
                </wp:positionV>
                <wp:extent cx="2148520" cy="223804"/>
                <wp:effectExtent l="0" t="0" r="0" b="30480"/>
                <wp:wrapNone/>
                <wp:docPr id="13" name="Выгнутая вверх стрелка 13"/>
                <wp:cNvGraphicFramePr/>
                <a:graphic xmlns:a="http://schemas.openxmlformats.org/drawingml/2006/main">
                  <a:graphicData uri="http://schemas.microsoft.com/office/word/2010/wordprocessingShape">
                    <wps:wsp>
                      <wps:cNvSpPr/>
                      <wps:spPr>
                        <a:xfrm>
                          <a:off x="0" y="0"/>
                          <a:ext cx="2148520" cy="223804"/>
                        </a:xfrm>
                        <a:prstGeom prst="curvedDownArrow">
                          <a:avLst/>
                        </a:prstGeom>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6348D6E" id="Выгнутая вверх стрелка 13" o:spid="_x0000_s1026" type="#_x0000_t105" style="position:absolute;margin-left:18.65pt;margin-top:4.65pt;width:169.15pt;height:17.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" adj="20475,21319,16200" filled="f" strokecolor="black [1600]" strokeweight="1pt"/>
            </w:pict>
          </mc:Fallback>
        </mc:AlternateContent>
      </w:r>
      <w:r w:rsidRPr="00D549EE">
        <w:rPr>
          <w:noProof/>
        </w:rPr>
        <mc:AlternateContent>
          <mc:Choice Requires="wps">
            <w:drawing>
              <wp:anchor distT="0" distB="0" distL="114300" distR="114300" simplePos="0" relativeHeight="251689984" behindDoc="0" locked="0" layoutInCell="1" allowOverlap="1" wp14:anchorId="2427E571" wp14:editId="2999EB21">
                <wp:simplePos x="0" y="0"/>
                <wp:positionH relativeFrom="column">
                  <wp:posOffset>2129426</wp:posOffset>
                </wp:positionH>
                <wp:positionV relativeFrom="paragraph">
                  <wp:posOffset>730046</wp:posOffset>
                </wp:positionV>
                <wp:extent cx="2084577" cy="179310"/>
                <wp:effectExtent l="0" t="12700" r="0" b="11430"/>
                <wp:wrapNone/>
                <wp:docPr id="23" name="Выгнутая вниз стрелка 23"/>
                <wp:cNvGraphicFramePr/>
                <a:graphic xmlns:a="http://schemas.openxmlformats.org/drawingml/2006/main">
                  <a:graphicData uri="http://schemas.microsoft.com/office/word/2010/wordprocessingShape">
                    <wps:wsp>
                      <wps:cNvSpPr/>
                      <wps:spPr>
                        <a:xfrm>
                          <a:off x="0" y="0"/>
                          <a:ext cx="2084577" cy="17931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7FDB266" id="Выгнутая вниз стрелка 23" o:spid="_x0000_s1026" type="#_x0000_t104" style="position:absolute;margin-left:167.65pt;margin-top:57.5pt;width:164.15pt;height:14.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" adj="20671,21368,5400" fillcolor="black [3200]" strokecolor="black [1600]" strokeweight="1pt"/>
            </w:pict>
          </mc:Fallback>
        </mc:AlternateContent>
      </w:r>
      <w:r w:rsidRPr="00D549EE">
        <w:rPr>
          <w:noProof/>
          <w:color w:val="000000" w:themeColor="text1"/>
          <w:sz w:val="28"/>
          <w:szCs w:val="28"/>
        </w:rPr>
        <w:drawing>
          <wp:inline distT="0" distB="0" distL="0" distR="0" wp14:anchorId="10DE2AFB" wp14:editId="3623986E">
            <wp:extent cx="5486400" cy="699761"/>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05D9D89" w14:textId="7D00875E" w:rsidR="00845693" w:rsidRPr="00D549EE" w:rsidRDefault="00845693" w:rsidP="00C9582F">
      <w:pPr>
        <w:pStyle w:val="a5"/>
        <w:contextualSpacing/>
        <w:rPr>
          <w:b/>
          <w:bCs/>
          <w:sz w:val="16"/>
          <w:szCs w:val="16"/>
          <w:lang w:val="en-US"/>
        </w:rPr>
      </w:pPr>
      <w:r w:rsidRPr="00D549EE">
        <w:rPr>
          <w:noProof/>
        </w:rPr>
        <mc:AlternateContent>
          <mc:Choice Requires="wps">
            <w:drawing>
              <wp:anchor distT="0" distB="0" distL="114300" distR="114300" simplePos="0" relativeHeight="251687936" behindDoc="0" locked="0" layoutInCell="1" allowOverlap="1" wp14:anchorId="0E9B851D" wp14:editId="7F4E5225">
                <wp:simplePos x="0" y="0"/>
                <wp:positionH relativeFrom="column">
                  <wp:posOffset>4258621</wp:posOffset>
                </wp:positionH>
                <wp:positionV relativeFrom="paragraph">
                  <wp:posOffset>2589</wp:posOffset>
                </wp:positionV>
                <wp:extent cx="914400" cy="594768"/>
                <wp:effectExtent l="0" t="12700" r="12700" b="15240"/>
                <wp:wrapNone/>
                <wp:docPr id="20" name="Выноска со стрелкой вверх 20"/>
                <wp:cNvGraphicFramePr/>
                <a:graphic xmlns:a="http://schemas.openxmlformats.org/drawingml/2006/main">
                  <a:graphicData uri="http://schemas.microsoft.com/office/word/2010/wordprocessingShape">
                    <wps:wsp>
                      <wps:cNvSpPr/>
                      <wps:spPr>
                        <a:xfrm>
                          <a:off x="0" y="0"/>
                          <a:ext cx="914400" cy="594768"/>
                        </a:xfrm>
                        <a:prstGeom prst="upArrowCallou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2771988" w14:textId="77777777" w:rsidR="00AC0BEF" w:rsidRPr="00ED3AC9" w:rsidRDefault="00AC0BEF" w:rsidP="00845693">
                            <w:pPr>
                              <w:jc w:val="center"/>
                              <w:rPr>
                                <w:sz w:val="12"/>
                                <w:szCs w:val="12"/>
                                <w:lang w:val="en-US"/>
                              </w:rPr>
                            </w:pPr>
                            <w:r w:rsidRPr="00ED3AC9">
                              <w:rPr>
                                <w:sz w:val="12"/>
                                <w:szCs w:val="12"/>
                                <w:lang w:val="en-US"/>
                              </w:rPr>
                              <w:t>all results and/or effects that can and should be monetarized</w:t>
                            </w:r>
                          </w:p>
                          <w:p w14:paraId="0E1B5797" w14:textId="77777777" w:rsidR="00AC0BEF" w:rsidRPr="00ED3AC9" w:rsidRDefault="00AC0BEF" w:rsidP="00845693">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9B851D"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20" o:spid="_x0000_s1035" type="#_x0000_t79" style="position:absolute;margin-left:335.3pt;margin-top:.2pt;width:1in;height:46.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" adj="7565,7288,5400,9044" fillcolor="white [3201]" strokecolor="black [3213]" strokeweight="1pt">
                <v:textbox>
                  <w:txbxContent>
                    <w:p w14:paraId="62771988" w14:textId="77777777" w:rsidR="00AC0BEF" w:rsidRPr="00ED3AC9" w:rsidRDefault="00AC0BEF" w:rsidP="00845693">
                      <w:pPr>
                        <w:jc w:val="center"/>
                        <w:rPr>
                          <w:sz w:val="12"/>
                          <w:szCs w:val="12"/>
                          <w:lang w:val="en-US"/>
                        </w:rPr>
                      </w:pPr>
                      <w:r w:rsidRPr="00ED3AC9">
                        <w:rPr>
                          <w:sz w:val="12"/>
                          <w:szCs w:val="12"/>
                          <w:lang w:val="en-US"/>
                        </w:rPr>
                        <w:t>all results and/or effects that can and should be monetarized</w:t>
                      </w:r>
                    </w:p>
                    <w:p w14:paraId="0E1B5797" w14:textId="77777777" w:rsidR="00AC0BEF" w:rsidRPr="00ED3AC9" w:rsidRDefault="00AC0BEF" w:rsidP="00845693">
                      <w:pPr>
                        <w:rPr>
                          <w:lang w:val="en-US"/>
                        </w:rPr>
                      </w:pPr>
                    </w:p>
                  </w:txbxContent>
                </v:textbox>
              </v:shape>
            </w:pict>
          </mc:Fallback>
        </mc:AlternateContent>
      </w:r>
      <w:r w:rsidRPr="00D549EE">
        <w:rPr>
          <w:lang w:val="en-US"/>
        </w:rPr>
        <w:t xml:space="preserve">                                                                          </w:t>
      </w:r>
      <w:r w:rsidRPr="00D549EE">
        <w:rPr>
          <w:b/>
          <w:bCs/>
          <w:color w:val="FF0000"/>
          <w:sz w:val="16"/>
          <w:szCs w:val="16"/>
          <w:lang w:val="en-US"/>
        </w:rPr>
        <w:t xml:space="preserve">Social </w:t>
      </w:r>
      <w:r w:rsidR="00215D47" w:rsidRPr="00D549EE">
        <w:rPr>
          <w:b/>
          <w:bCs/>
          <w:color w:val="FF0000"/>
          <w:sz w:val="16"/>
          <w:szCs w:val="16"/>
          <w:lang w:val="en-US"/>
        </w:rPr>
        <w:t xml:space="preserve">efficiency </w:t>
      </w:r>
    </w:p>
    <w:p w14:paraId="62716609" w14:textId="17EC493C" w:rsidR="00845693" w:rsidRPr="00D549EE" w:rsidRDefault="00845693" w:rsidP="00C9582F">
      <w:pPr>
        <w:pStyle w:val="a5"/>
        <w:jc w:val="both"/>
        <w:rPr>
          <w:sz w:val="18"/>
          <w:szCs w:val="18"/>
          <w:lang w:val="en-US"/>
        </w:rPr>
      </w:pPr>
      <w:r w:rsidRPr="00D549EE">
        <w:rPr>
          <w:sz w:val="28"/>
          <w:szCs w:val="28"/>
          <w:lang w:val="en-US"/>
        </w:rPr>
        <w:t xml:space="preserve">                                          </w:t>
      </w:r>
      <w:r w:rsidRPr="00D549EE">
        <w:rPr>
          <w:sz w:val="18"/>
          <w:szCs w:val="18"/>
          <w:lang w:val="en-US"/>
        </w:rPr>
        <w:t xml:space="preserve">Social-economic </w:t>
      </w:r>
      <w:r w:rsidR="005C51FB" w:rsidRPr="00D549EE">
        <w:rPr>
          <w:color w:val="000000" w:themeColor="text1"/>
          <w:sz w:val="18"/>
          <w:szCs w:val="18"/>
          <w:lang w:val="en-US"/>
        </w:rPr>
        <w:t>effectiveness</w:t>
      </w:r>
    </w:p>
    <w:p w14:paraId="33645C3C" w14:textId="77777777" w:rsidR="00845693" w:rsidRPr="00D549EE" w:rsidRDefault="00845693" w:rsidP="00C9582F">
      <w:pPr>
        <w:pStyle w:val="a5"/>
        <w:jc w:val="both"/>
        <w:rPr>
          <w:color w:val="000000" w:themeColor="text1"/>
          <w:sz w:val="28"/>
          <w:szCs w:val="28"/>
          <w:lang w:val="en-US"/>
        </w:rPr>
      </w:pPr>
    </w:p>
    <w:p w14:paraId="2C333207" w14:textId="030498CF" w:rsidR="00845693" w:rsidRPr="00D549EE" w:rsidRDefault="00845693" w:rsidP="00C9582F">
      <w:pPr>
        <w:pStyle w:val="a5"/>
        <w:ind w:firstLine="360"/>
        <w:contextualSpacing/>
        <w:jc w:val="center"/>
        <w:rPr>
          <w:sz w:val="28"/>
          <w:szCs w:val="28"/>
          <w:lang w:val="en-US"/>
        </w:rPr>
      </w:pPr>
      <w:r w:rsidRPr="00D549EE">
        <w:rPr>
          <w:bCs/>
          <w:color w:val="000000" w:themeColor="text1"/>
          <w:sz w:val="28"/>
          <w:szCs w:val="28"/>
          <w:lang w:val="en-US"/>
        </w:rPr>
        <w:t>Figure 1</w:t>
      </w:r>
      <w:r w:rsidR="00344140" w:rsidRPr="00D549EE">
        <w:rPr>
          <w:bCs/>
          <w:color w:val="000000" w:themeColor="text1"/>
          <w:sz w:val="28"/>
          <w:szCs w:val="28"/>
          <w:lang w:val="en-US"/>
        </w:rPr>
        <w:t>2</w:t>
      </w:r>
      <w:r w:rsidRPr="00D549EE">
        <w:rPr>
          <w:b/>
          <w:bCs/>
          <w:color w:val="000000" w:themeColor="text1"/>
          <w:sz w:val="28"/>
          <w:szCs w:val="28"/>
          <w:lang w:val="en-US"/>
        </w:rPr>
        <w:t xml:space="preserve"> </w:t>
      </w:r>
      <w:r w:rsidRPr="00D549EE">
        <w:rPr>
          <w:b/>
          <w:color w:val="000000" w:themeColor="text1"/>
          <w:lang w:val="en-US"/>
        </w:rPr>
        <w:t>–</w:t>
      </w:r>
      <w:r w:rsidRPr="00D549EE">
        <w:rPr>
          <w:color w:val="000000" w:themeColor="text1"/>
          <w:sz w:val="28"/>
          <w:szCs w:val="28"/>
          <w:lang w:val="en-US"/>
        </w:rPr>
        <w:t xml:space="preserve"> </w:t>
      </w:r>
      <w:r w:rsidRPr="00D549EE">
        <w:rPr>
          <w:sz w:val="28"/>
          <w:szCs w:val="28"/>
          <w:lang w:val="en-US"/>
        </w:rPr>
        <w:t>The chain of social results and types of effectiveness</w:t>
      </w:r>
    </w:p>
    <w:p w14:paraId="43131447" w14:textId="77777777" w:rsidR="00845693" w:rsidRPr="00D549EE" w:rsidRDefault="00845693" w:rsidP="00C9582F">
      <w:pPr>
        <w:pStyle w:val="a5"/>
        <w:ind w:firstLine="360"/>
        <w:contextualSpacing/>
        <w:jc w:val="both"/>
        <w:rPr>
          <w:lang w:val="en-US"/>
        </w:rPr>
      </w:pPr>
      <w:r w:rsidRPr="00D549EE">
        <w:rPr>
          <w:lang w:val="en-US"/>
        </w:rPr>
        <w:tab/>
      </w:r>
    </w:p>
    <w:p w14:paraId="4DFDCA8C" w14:textId="7C756066" w:rsidR="00845693" w:rsidRPr="00D549EE" w:rsidRDefault="00845693" w:rsidP="00C9582F">
      <w:pPr>
        <w:pStyle w:val="a5"/>
        <w:ind w:firstLine="360"/>
        <w:contextualSpacing/>
        <w:jc w:val="both"/>
        <w:rPr>
          <w:sz w:val="28"/>
          <w:szCs w:val="28"/>
          <w:lang w:val="en-US"/>
        </w:rPr>
      </w:pPr>
      <w:r w:rsidRPr="00D549EE">
        <w:rPr>
          <w:lang w:val="en-US"/>
        </w:rPr>
        <w:t xml:space="preserve">Note </w:t>
      </w:r>
      <w:r w:rsidRPr="00D549EE">
        <w:rPr>
          <w:sz w:val="28"/>
          <w:szCs w:val="28"/>
          <w:lang w:val="en-US"/>
        </w:rPr>
        <w:t>–</w:t>
      </w:r>
      <w:r w:rsidRPr="00D549EE">
        <w:rPr>
          <w:lang w:val="en-US"/>
        </w:rPr>
        <w:t xml:space="preserve"> </w:t>
      </w:r>
      <w:r w:rsidR="006468CA" w:rsidRPr="00D549EE">
        <w:rPr>
          <w:lang w:val="en-US"/>
        </w:rPr>
        <w:t xml:space="preserve">Source </w:t>
      </w:r>
      <w:r w:rsidR="006468CA" w:rsidRPr="00D549EE">
        <w:rPr>
          <w:lang w:val="en-US"/>
        </w:rPr>
        <w:fldChar w:fldCharType="begin" w:fldLock="1"/>
      </w:r>
      <w:r w:rsidR="0011225E" w:rsidRPr="00D549EE">
        <w:rPr>
          <w:lang w:val="en-US"/>
        </w:rPr>
        <w:instrText>ADDIN CSL_CITATION {"citationItems":[{"id":"ITEM-1","itemData":{"ISBN":"9785985972894","author":[{"dropping-particle":"","family":"Andreeva","given":"E.","non-dropping-particle":"","parse-names":false,"suffix":""},{"dropping-particle":"","family":"Gorshkova","given":"I.","non-dropping-particle":"","parse-names":false,"suffix":""},{"dropping-particle":"","family":"Kovalevskaya","given":"A.","non-dropping-particle":"","parse-names":false,"suffix":""}],"id":"ITEM-1","issued":{"date-parts":[["2014"]]},"number-of-pages":"73","publisher":"Prospect","publisher-place":"Moscow","title":"Recommendations for assessing the socio-economic effectiveness of social programs","type":"book"},"uris":["http://www.mendeley.com/documents/?uuid=6d3fd065-62a1-407d-9b89-6896d52fd9c7"]}],"mendeley":{"formattedCitation":"[102]","plainTextFormattedCitation":"[102]","previouslyFormattedCitation":"[102]"},"properties":{"noteIndex":0},"schema":"https://github.com/citation-style-language/schema/raw/master/csl-citation.json"}</w:instrText>
      </w:r>
      <w:r w:rsidR="006468CA" w:rsidRPr="00D549EE">
        <w:rPr>
          <w:lang w:val="en-US"/>
        </w:rPr>
        <w:fldChar w:fldCharType="separate"/>
      </w:r>
      <w:r w:rsidR="00B25838" w:rsidRPr="00D549EE">
        <w:rPr>
          <w:noProof/>
          <w:lang w:val="en-US"/>
        </w:rPr>
        <w:t>[102]</w:t>
      </w:r>
      <w:r w:rsidR="006468CA" w:rsidRPr="00D549EE">
        <w:rPr>
          <w:lang w:val="en-US"/>
        </w:rPr>
        <w:fldChar w:fldCharType="end"/>
      </w:r>
      <w:r w:rsidRPr="00D549EE">
        <w:rPr>
          <w:lang w:val="en-US"/>
        </w:rPr>
        <w:t xml:space="preserve"> </w:t>
      </w:r>
    </w:p>
    <w:p w14:paraId="1C504623" w14:textId="77777777" w:rsidR="00845693" w:rsidRPr="00D549EE" w:rsidRDefault="00845693" w:rsidP="00C9582F">
      <w:pPr>
        <w:pStyle w:val="a5"/>
        <w:ind w:firstLine="360"/>
        <w:contextualSpacing/>
        <w:jc w:val="both"/>
        <w:rPr>
          <w:sz w:val="28"/>
          <w:szCs w:val="28"/>
          <w:lang w:val="en-US"/>
        </w:rPr>
      </w:pPr>
    </w:p>
    <w:p w14:paraId="59F4968A" w14:textId="77777777" w:rsidR="00676940" w:rsidRPr="00676940" w:rsidRDefault="00676940" w:rsidP="00676940">
      <w:pPr>
        <w:pStyle w:val="a5"/>
        <w:ind w:firstLine="708"/>
        <w:contextualSpacing/>
        <w:jc w:val="both"/>
        <w:rPr>
          <w:sz w:val="28"/>
          <w:szCs w:val="28"/>
          <w:lang w:val="en-US"/>
        </w:rPr>
      </w:pPr>
      <w:r w:rsidRPr="00676940">
        <w:rPr>
          <w:sz w:val="28"/>
          <w:szCs w:val="28"/>
          <w:lang w:val="en-US"/>
        </w:rPr>
        <w:t>The social outcomes and social effects, which can be measured and expressed in cost units, can be represented in the following social changes:</w:t>
      </w:r>
    </w:p>
    <w:p w14:paraId="17401FD4" w14:textId="77777777" w:rsidR="00676940" w:rsidRPr="00676940" w:rsidRDefault="00676940" w:rsidP="00676940">
      <w:pPr>
        <w:pStyle w:val="a5"/>
        <w:ind w:firstLine="708"/>
        <w:contextualSpacing/>
        <w:jc w:val="both"/>
        <w:rPr>
          <w:sz w:val="28"/>
          <w:szCs w:val="28"/>
          <w:lang w:val="en-US"/>
        </w:rPr>
      </w:pPr>
      <w:r w:rsidRPr="00676940">
        <w:rPr>
          <w:sz w:val="28"/>
          <w:szCs w:val="28"/>
          <w:lang w:val="en-US"/>
        </w:rPr>
        <w:t>(i)</w:t>
      </w:r>
      <w:r w:rsidRPr="00676940">
        <w:rPr>
          <w:sz w:val="28"/>
          <w:szCs w:val="28"/>
          <w:lang w:val="en-US"/>
        </w:rPr>
        <w:tab/>
        <w:t>income growth (or cost savings) of beneficiaries and family members</w:t>
      </w:r>
    </w:p>
    <w:p w14:paraId="1211B4E7" w14:textId="77777777" w:rsidR="00676940" w:rsidRPr="00676940" w:rsidRDefault="00676940" w:rsidP="00676940">
      <w:pPr>
        <w:pStyle w:val="a5"/>
        <w:ind w:firstLine="708"/>
        <w:contextualSpacing/>
        <w:jc w:val="both"/>
        <w:rPr>
          <w:sz w:val="28"/>
          <w:szCs w:val="28"/>
          <w:lang w:val="en-US"/>
        </w:rPr>
      </w:pPr>
      <w:r w:rsidRPr="00676940">
        <w:rPr>
          <w:sz w:val="28"/>
          <w:szCs w:val="28"/>
          <w:lang w:val="en-US"/>
        </w:rPr>
        <w:t>immediately after the end of the project and for a certain period in the future;</w:t>
      </w:r>
    </w:p>
    <w:p w14:paraId="4C55ADD3" w14:textId="77777777" w:rsidR="00676940" w:rsidRPr="00676940" w:rsidRDefault="00676940" w:rsidP="00676940">
      <w:pPr>
        <w:pStyle w:val="a5"/>
        <w:ind w:firstLine="708"/>
        <w:contextualSpacing/>
        <w:jc w:val="both"/>
        <w:rPr>
          <w:sz w:val="28"/>
          <w:szCs w:val="28"/>
          <w:lang w:val="en-US"/>
        </w:rPr>
      </w:pPr>
      <w:r w:rsidRPr="00676940">
        <w:rPr>
          <w:sz w:val="28"/>
          <w:szCs w:val="28"/>
          <w:lang w:val="en-US"/>
        </w:rPr>
        <w:t>(ii)</w:t>
      </w:r>
      <w:r w:rsidRPr="00676940">
        <w:rPr>
          <w:sz w:val="28"/>
          <w:szCs w:val="28"/>
          <w:lang w:val="en-US"/>
        </w:rPr>
        <w:tab/>
        <w:t>income and expenses changes of other members of the society (in addition to the main beneficiaries) due to changes in the status of participants in socially significant projects;</w:t>
      </w:r>
    </w:p>
    <w:p w14:paraId="0DFA626E" w14:textId="77777777" w:rsidR="00676940" w:rsidRPr="00676940" w:rsidRDefault="00676940" w:rsidP="00676940">
      <w:pPr>
        <w:pStyle w:val="a5"/>
        <w:ind w:firstLine="708"/>
        <w:contextualSpacing/>
        <w:jc w:val="both"/>
        <w:rPr>
          <w:sz w:val="28"/>
          <w:szCs w:val="28"/>
          <w:lang w:val="en-US"/>
        </w:rPr>
      </w:pPr>
      <w:r w:rsidRPr="00676940">
        <w:rPr>
          <w:sz w:val="28"/>
          <w:szCs w:val="28"/>
          <w:lang w:val="en-US"/>
        </w:rPr>
        <w:t>(iii)</w:t>
      </w:r>
      <w:r w:rsidRPr="00676940">
        <w:rPr>
          <w:sz w:val="28"/>
          <w:szCs w:val="28"/>
          <w:lang w:val="en-US"/>
        </w:rPr>
        <w:tab/>
        <w:t>saving public resources as a result of reducing the need for state support for specific categories of citizens;</w:t>
      </w:r>
    </w:p>
    <w:p w14:paraId="599EC337" w14:textId="77777777" w:rsidR="00676940" w:rsidRPr="00676940" w:rsidRDefault="00676940" w:rsidP="00676940">
      <w:pPr>
        <w:pStyle w:val="a5"/>
        <w:ind w:firstLine="708"/>
        <w:contextualSpacing/>
        <w:jc w:val="both"/>
        <w:rPr>
          <w:sz w:val="28"/>
          <w:szCs w:val="28"/>
          <w:lang w:val="en-US"/>
        </w:rPr>
      </w:pPr>
      <w:r w:rsidRPr="00676940">
        <w:rPr>
          <w:sz w:val="28"/>
          <w:szCs w:val="28"/>
          <w:lang w:val="en-US"/>
        </w:rPr>
        <w:t>(iv)</w:t>
      </w:r>
      <w:r w:rsidRPr="00676940">
        <w:rPr>
          <w:sz w:val="28"/>
          <w:szCs w:val="28"/>
          <w:lang w:val="en-US"/>
        </w:rPr>
        <w:tab/>
        <w:t xml:space="preserve">increase in public income by increasing the employment or labor productivity of beneficiaries of socially significant projects. </w:t>
      </w:r>
    </w:p>
    <w:p w14:paraId="3AB40A18" w14:textId="77777777" w:rsidR="00676940" w:rsidRPr="00676940" w:rsidRDefault="00676940" w:rsidP="00676940">
      <w:pPr>
        <w:pStyle w:val="a5"/>
        <w:ind w:firstLine="708"/>
        <w:contextualSpacing/>
        <w:jc w:val="both"/>
        <w:rPr>
          <w:sz w:val="28"/>
          <w:szCs w:val="28"/>
          <w:lang w:val="en-US"/>
        </w:rPr>
      </w:pPr>
      <w:r w:rsidRPr="00676940">
        <w:rPr>
          <w:sz w:val="28"/>
          <w:szCs w:val="28"/>
          <w:lang w:val="en-US"/>
        </w:rPr>
        <w:lastRenderedPageBreak/>
        <w:t>During the evaluation of socio-economic effectiveness, it is necessary to distinguish this type of effectiveness from other types and not to confuse it with other possible economic characteristics of socially significant projects.</w:t>
      </w:r>
    </w:p>
    <w:p w14:paraId="05F44B5A" w14:textId="5938A9F5" w:rsidR="004B3E86" w:rsidRDefault="00676940" w:rsidP="00676940">
      <w:pPr>
        <w:pStyle w:val="a5"/>
        <w:ind w:firstLine="708"/>
        <w:contextualSpacing/>
        <w:jc w:val="both"/>
        <w:rPr>
          <w:sz w:val="28"/>
          <w:szCs w:val="28"/>
          <w:lang w:val="en-US"/>
        </w:rPr>
      </w:pPr>
      <w:r w:rsidRPr="00676940">
        <w:rPr>
          <w:sz w:val="28"/>
          <w:szCs w:val="28"/>
          <w:lang w:val="en-US"/>
        </w:rPr>
        <w:t>According to the 4 article of the Budget Code of the Republic of Kazakhstan, there are principles of effectiveness and efficiency of using the state budget sources for the implemented programs, including the social sphere (Budget Code). However, there is a lack of a specific method of assessing the social impact and effectiveness of the entrepreneurial or social activity. After a deep investigation of the methodological approaches of the assessment of social effectiveness, disclosing the complete picture of the social effectiveness assessment of the Islamic finance at a different level and taking into account the Islamic social financial tools, there have been done consideration, and assessment of social effects as follows:</w:t>
      </w:r>
    </w:p>
    <w:p w14:paraId="6DDCFF82" w14:textId="77777777" w:rsidR="00676940" w:rsidRPr="00D549EE" w:rsidRDefault="00676940" w:rsidP="00676940">
      <w:pPr>
        <w:pStyle w:val="a5"/>
        <w:ind w:firstLine="708"/>
        <w:contextualSpacing/>
        <w:jc w:val="both"/>
        <w:rPr>
          <w:sz w:val="28"/>
          <w:szCs w:val="28"/>
          <w:lang w:val="en-US"/>
        </w:rPr>
      </w:pPr>
    </w:p>
    <w:p w14:paraId="1F5FEB1B" w14:textId="08C36AB8" w:rsidR="00264655" w:rsidRPr="00D549EE" w:rsidRDefault="00A9791E" w:rsidP="00C9582F">
      <w:pPr>
        <w:pStyle w:val="a5"/>
        <w:ind w:firstLine="708"/>
        <w:contextualSpacing/>
        <w:jc w:val="both"/>
        <w:rPr>
          <w:sz w:val="28"/>
          <w:szCs w:val="28"/>
          <w:lang w:val="en-US"/>
        </w:rPr>
      </w:pPr>
      <w:r w:rsidRPr="00D549EE">
        <w:rPr>
          <w:noProof/>
          <w:sz w:val="28"/>
          <w:szCs w:val="28"/>
        </w:rPr>
        <mc:AlternateContent>
          <mc:Choice Requires="wps">
            <w:drawing>
              <wp:anchor distT="0" distB="0" distL="114300" distR="114300" simplePos="0" relativeHeight="251724800" behindDoc="0" locked="0" layoutInCell="1" allowOverlap="1" wp14:anchorId="6CDC656E" wp14:editId="32BA21D6">
                <wp:simplePos x="0" y="0"/>
                <wp:positionH relativeFrom="column">
                  <wp:posOffset>908685</wp:posOffset>
                </wp:positionH>
                <wp:positionV relativeFrom="paragraph">
                  <wp:posOffset>175895</wp:posOffset>
                </wp:positionV>
                <wp:extent cx="1280160" cy="434340"/>
                <wp:effectExtent l="25400" t="0" r="15240" b="48260"/>
                <wp:wrapNone/>
                <wp:docPr id="76" name="Прямая со стрелкой 76"/>
                <wp:cNvGraphicFramePr/>
                <a:graphic xmlns:a="http://schemas.openxmlformats.org/drawingml/2006/main">
                  <a:graphicData uri="http://schemas.microsoft.com/office/word/2010/wordprocessingShape">
                    <wps:wsp>
                      <wps:cNvCnPr/>
                      <wps:spPr>
                        <a:xfrm flipH="1">
                          <a:off x="0" y="0"/>
                          <a:ext cx="1280160" cy="434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5B045144" id="_x0000_t32" coordsize="21600,21600" o:spt="32" o:oned="t" path="m,l21600,21600e" filled="f">
                <v:path arrowok="t" fillok="f" o:connecttype="none"/>
                <o:lock v:ext="edit" shapetype="t"/>
              </v:shapetype>
              <v:shape id="Прямая со стрелкой 76" o:spid="_x0000_s1026" type="#_x0000_t32" style="position:absolute;margin-left:71.55pt;margin-top:13.85pt;width:100.8pt;height:34.2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" strokecolor="black [3200]" strokeweight=".5pt">
                <v:stroke endarrow="block" joinstyle="miter"/>
              </v:shape>
            </w:pict>
          </mc:Fallback>
        </mc:AlternateContent>
      </w:r>
      <w:r w:rsidRPr="00D549EE">
        <w:rPr>
          <w:noProof/>
          <w:sz w:val="28"/>
          <w:szCs w:val="28"/>
        </w:rPr>
        <mc:AlternateContent>
          <mc:Choice Requires="wps">
            <w:drawing>
              <wp:anchor distT="0" distB="0" distL="114300" distR="114300" simplePos="0" relativeHeight="251718656" behindDoc="0" locked="0" layoutInCell="1" allowOverlap="1" wp14:anchorId="2CA425BF" wp14:editId="311E08EC">
                <wp:simplePos x="0" y="0"/>
                <wp:positionH relativeFrom="column">
                  <wp:posOffset>2188845</wp:posOffset>
                </wp:positionH>
                <wp:positionV relativeFrom="paragraph">
                  <wp:posOffset>8255</wp:posOffset>
                </wp:positionV>
                <wp:extent cx="1927860" cy="320040"/>
                <wp:effectExtent l="0" t="0" r="15240" b="10160"/>
                <wp:wrapNone/>
                <wp:docPr id="48" name="Прямоугольник 48"/>
                <wp:cNvGraphicFramePr/>
                <a:graphic xmlns:a="http://schemas.openxmlformats.org/drawingml/2006/main">
                  <a:graphicData uri="http://schemas.microsoft.com/office/word/2010/wordprocessingShape">
                    <wps:wsp>
                      <wps:cNvSpPr/>
                      <wps:spPr>
                        <a:xfrm>
                          <a:off x="0" y="0"/>
                          <a:ext cx="1927860" cy="320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4A10C6" w14:textId="5404E70F" w:rsidR="00AC0BEF" w:rsidRPr="00A9791E" w:rsidRDefault="00AC0BEF" w:rsidP="00A9791E">
                            <w:pPr>
                              <w:jc w:val="center"/>
                              <w:rPr>
                                <w:lang w:val="en-US"/>
                              </w:rPr>
                            </w:pPr>
                            <w:r>
                              <w:rPr>
                                <w:lang w:val="en-US"/>
                              </w:rPr>
                              <w:t xml:space="preserve">Methods and approaches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425BF" id="Прямоугольник 48" o:spid="_x0000_s1036" style="position:absolute;left:0;text-align:left;margin-left:172.35pt;margin-top:.65pt;width:151.8pt;height:2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" fillcolor="white [3201]" strokecolor="black [3213]" strokeweight="1pt">
                <v:textbox>
                  <w:txbxContent>
                    <w:p w14:paraId="324A10C6" w14:textId="5404E70F" w:rsidR="00AC0BEF" w:rsidRPr="00A9791E" w:rsidRDefault="00AC0BEF" w:rsidP="00A9791E">
                      <w:pPr>
                        <w:jc w:val="center"/>
                        <w:rPr>
                          <w:lang w:val="en-US"/>
                        </w:rPr>
                      </w:pPr>
                      <w:r>
                        <w:rPr>
                          <w:lang w:val="en-US"/>
                        </w:rPr>
                        <w:t xml:space="preserve">Methods and approaches </w:t>
                      </w:r>
                    </w:p>
                  </w:txbxContent>
                </v:textbox>
              </v:rect>
            </w:pict>
          </mc:Fallback>
        </mc:AlternateContent>
      </w:r>
    </w:p>
    <w:p w14:paraId="5BA80D4F" w14:textId="3FC0B3A0" w:rsidR="00A9791E" w:rsidRPr="00D549EE" w:rsidRDefault="004B3E86" w:rsidP="00C9582F">
      <w:pPr>
        <w:pStyle w:val="a5"/>
        <w:ind w:firstLine="708"/>
        <w:contextualSpacing/>
        <w:jc w:val="both"/>
        <w:rPr>
          <w:sz w:val="28"/>
          <w:szCs w:val="28"/>
          <w:lang w:val="en-US"/>
        </w:rPr>
      </w:pPr>
      <w:r w:rsidRPr="00D549EE">
        <w:rPr>
          <w:noProof/>
          <w:sz w:val="28"/>
          <w:szCs w:val="28"/>
        </w:rPr>
        <mc:AlternateContent>
          <mc:Choice Requires="wps">
            <w:drawing>
              <wp:anchor distT="0" distB="0" distL="114300" distR="114300" simplePos="0" relativeHeight="251725824" behindDoc="0" locked="0" layoutInCell="1" allowOverlap="1" wp14:anchorId="3733C96E" wp14:editId="46901074">
                <wp:simplePos x="0" y="0"/>
                <wp:positionH relativeFrom="column">
                  <wp:posOffset>4116705</wp:posOffset>
                </wp:positionH>
                <wp:positionV relativeFrom="paragraph">
                  <wp:posOffset>20663</wp:posOffset>
                </wp:positionV>
                <wp:extent cx="1021080" cy="388620"/>
                <wp:effectExtent l="0" t="0" r="45720" b="43180"/>
                <wp:wrapNone/>
                <wp:docPr id="77" name="Прямая со стрелкой 77"/>
                <wp:cNvGraphicFramePr/>
                <a:graphic xmlns:a="http://schemas.openxmlformats.org/drawingml/2006/main">
                  <a:graphicData uri="http://schemas.microsoft.com/office/word/2010/wordprocessingShape">
                    <wps:wsp>
                      <wps:cNvCnPr/>
                      <wps:spPr>
                        <a:xfrm>
                          <a:off x="0" y="0"/>
                          <a:ext cx="102108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63A27D" id="Прямая со стрелкой 77" o:spid="_x0000_s1026" type="#_x0000_t32" style="position:absolute;margin-left:324.15pt;margin-top:1.65pt;width:80.4pt;height:3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" strokecolor="black [3200]" strokeweight=".5pt">
                <v:stroke endarrow="block" joinstyle="miter"/>
              </v:shape>
            </w:pict>
          </mc:Fallback>
        </mc:AlternateContent>
      </w:r>
      <w:r w:rsidR="00A9791E" w:rsidRPr="00D549EE">
        <w:rPr>
          <w:noProof/>
          <w:sz w:val="28"/>
          <w:szCs w:val="28"/>
        </w:rPr>
        <mc:AlternateContent>
          <mc:Choice Requires="wps">
            <w:drawing>
              <wp:anchor distT="0" distB="0" distL="114300" distR="114300" simplePos="0" relativeHeight="251726848" behindDoc="0" locked="0" layoutInCell="1" allowOverlap="1" wp14:anchorId="2B84E1B0" wp14:editId="3FF93DED">
                <wp:simplePos x="0" y="0"/>
                <wp:positionH relativeFrom="column">
                  <wp:posOffset>3171825</wp:posOffset>
                </wp:positionH>
                <wp:positionV relativeFrom="paragraph">
                  <wp:posOffset>146685</wp:posOffset>
                </wp:positionV>
                <wp:extent cx="0" cy="281940"/>
                <wp:effectExtent l="63500" t="0" r="76200" b="35560"/>
                <wp:wrapNone/>
                <wp:docPr id="78" name="Прямая со стрелкой 78"/>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FE0538F" id="Прямая со стрелкой 78" o:spid="_x0000_s1026" type="#_x0000_t32" style="position:absolute;margin-left:249.75pt;margin-top:11.55pt;width:0;height:22.2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" strokecolor="black [3200]" strokeweight=".5pt">
                <v:stroke endarrow="block" joinstyle="miter"/>
              </v:shape>
            </w:pict>
          </mc:Fallback>
        </mc:AlternateContent>
      </w:r>
    </w:p>
    <w:p w14:paraId="59EF975A" w14:textId="5C27C14A" w:rsidR="00A9791E" w:rsidRPr="00D549EE" w:rsidRDefault="008737E7" w:rsidP="00C9582F">
      <w:pPr>
        <w:pStyle w:val="a5"/>
        <w:ind w:firstLine="708"/>
        <w:contextualSpacing/>
        <w:jc w:val="both"/>
        <w:rPr>
          <w:sz w:val="28"/>
          <w:szCs w:val="28"/>
          <w:lang w:val="en-US"/>
        </w:rPr>
      </w:pPr>
      <w:r w:rsidRPr="00D549EE">
        <w:rPr>
          <w:noProof/>
          <w:sz w:val="28"/>
          <w:szCs w:val="28"/>
        </w:rPr>
        <mc:AlternateContent>
          <mc:Choice Requires="wps">
            <w:drawing>
              <wp:anchor distT="0" distB="0" distL="114300" distR="114300" simplePos="0" relativeHeight="251719680" behindDoc="0" locked="0" layoutInCell="1" allowOverlap="1" wp14:anchorId="51E338DF" wp14:editId="3B48CC10">
                <wp:simplePos x="0" y="0"/>
                <wp:positionH relativeFrom="column">
                  <wp:posOffset>-5715</wp:posOffset>
                </wp:positionH>
                <wp:positionV relativeFrom="paragraph">
                  <wp:posOffset>200660</wp:posOffset>
                </wp:positionV>
                <wp:extent cx="1958340" cy="861060"/>
                <wp:effectExtent l="0" t="0" r="10160" b="15240"/>
                <wp:wrapNone/>
                <wp:docPr id="62" name="Прямоугольник 62"/>
                <wp:cNvGraphicFramePr/>
                <a:graphic xmlns:a="http://schemas.openxmlformats.org/drawingml/2006/main">
                  <a:graphicData uri="http://schemas.microsoft.com/office/word/2010/wordprocessingShape">
                    <wps:wsp>
                      <wps:cNvSpPr/>
                      <wps:spPr>
                        <a:xfrm>
                          <a:off x="0" y="0"/>
                          <a:ext cx="1958340" cy="861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A9488C" w14:textId="2B0BF206" w:rsidR="00AC0BEF" w:rsidRPr="00A9791E" w:rsidRDefault="00AC0BEF" w:rsidP="00A9791E">
                            <w:pPr>
                              <w:jc w:val="center"/>
                              <w:rPr>
                                <w:lang w:val="en-US"/>
                              </w:rPr>
                            </w:pPr>
                            <w:r>
                              <w:rPr>
                                <w:lang w:val="en-US"/>
                              </w:rPr>
                              <w:t>Social effects assessment of Islamic finance on macrolevel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E338DF" id="Прямоугольник 62" o:spid="_x0000_s1037" style="position:absolute;left:0;text-align:left;margin-left:-.45pt;margin-top:15.8pt;width:154.2pt;height:67.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" fillcolor="white [3201]" strokecolor="black [3213]" strokeweight="1pt">
                <v:textbox>
                  <w:txbxContent>
                    <w:p w14:paraId="1CA9488C" w14:textId="2B0BF206" w:rsidR="00AC0BEF" w:rsidRPr="00A9791E" w:rsidRDefault="00AC0BEF" w:rsidP="00A9791E">
                      <w:pPr>
                        <w:jc w:val="center"/>
                        <w:rPr>
                          <w:lang w:val="en-US"/>
                        </w:rPr>
                      </w:pPr>
                      <w:r>
                        <w:rPr>
                          <w:lang w:val="en-US"/>
                        </w:rPr>
                        <w:t>Social effects assessment of Islamic finance on macrolevel</w:t>
                      </w:r>
                    </w:p>
                  </w:txbxContent>
                </v:textbox>
              </v:rect>
            </w:pict>
          </mc:Fallback>
        </mc:AlternateContent>
      </w:r>
      <w:r w:rsidRPr="00D549EE">
        <w:rPr>
          <w:noProof/>
          <w:sz w:val="28"/>
          <w:szCs w:val="28"/>
        </w:rPr>
        <mc:AlternateContent>
          <mc:Choice Requires="wps">
            <w:drawing>
              <wp:anchor distT="0" distB="0" distL="114300" distR="114300" simplePos="0" relativeHeight="251721728" behindDoc="0" locked="0" layoutInCell="1" allowOverlap="1" wp14:anchorId="5B7F8E30" wp14:editId="4807E6BB">
                <wp:simplePos x="0" y="0"/>
                <wp:positionH relativeFrom="column">
                  <wp:posOffset>2082165</wp:posOffset>
                </wp:positionH>
                <wp:positionV relativeFrom="paragraph">
                  <wp:posOffset>200660</wp:posOffset>
                </wp:positionV>
                <wp:extent cx="1958340" cy="861060"/>
                <wp:effectExtent l="0" t="0" r="10160" b="15240"/>
                <wp:wrapNone/>
                <wp:docPr id="69" name="Прямоугольник 69"/>
                <wp:cNvGraphicFramePr/>
                <a:graphic xmlns:a="http://schemas.openxmlformats.org/drawingml/2006/main">
                  <a:graphicData uri="http://schemas.microsoft.com/office/word/2010/wordprocessingShape">
                    <wps:wsp>
                      <wps:cNvSpPr/>
                      <wps:spPr>
                        <a:xfrm>
                          <a:off x="0" y="0"/>
                          <a:ext cx="1958340" cy="861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EE3DA7" w14:textId="11230C44" w:rsidR="00AC0BEF" w:rsidRPr="00A9791E" w:rsidRDefault="00AC0BEF" w:rsidP="00A9791E">
                            <w:pPr>
                              <w:jc w:val="center"/>
                              <w:rPr>
                                <w:lang w:val="en-US"/>
                              </w:rPr>
                            </w:pPr>
                            <w:r>
                              <w:rPr>
                                <w:lang w:val="en-US"/>
                              </w:rPr>
                              <w:t>Assessment of potential Islamic social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F8E30" id="Прямоугольник 69" o:spid="_x0000_s1038" style="position:absolute;left:0;text-align:left;margin-left:163.95pt;margin-top:15.8pt;width:154.2pt;height:67.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" fillcolor="white [3201]" strokecolor="black [3213]" strokeweight="1pt">
                <v:textbox>
                  <w:txbxContent>
                    <w:p w14:paraId="21EE3DA7" w14:textId="11230C44" w:rsidR="00AC0BEF" w:rsidRPr="00A9791E" w:rsidRDefault="00AC0BEF" w:rsidP="00A9791E">
                      <w:pPr>
                        <w:jc w:val="center"/>
                        <w:rPr>
                          <w:lang w:val="en-US"/>
                        </w:rPr>
                      </w:pPr>
                      <w:r>
                        <w:rPr>
                          <w:lang w:val="en-US"/>
                        </w:rPr>
                        <w:t>Assessment of potential Islamic social finance</w:t>
                      </w:r>
                    </w:p>
                  </w:txbxContent>
                </v:textbox>
              </v:rect>
            </w:pict>
          </mc:Fallback>
        </mc:AlternateContent>
      </w:r>
      <w:r w:rsidRPr="00D549EE">
        <w:rPr>
          <w:noProof/>
          <w:sz w:val="28"/>
          <w:szCs w:val="28"/>
        </w:rPr>
        <mc:AlternateContent>
          <mc:Choice Requires="wps">
            <w:drawing>
              <wp:anchor distT="0" distB="0" distL="114300" distR="114300" simplePos="0" relativeHeight="251723776" behindDoc="0" locked="0" layoutInCell="1" allowOverlap="1" wp14:anchorId="597F735F" wp14:editId="602BEB5C">
                <wp:simplePos x="0" y="0"/>
                <wp:positionH relativeFrom="column">
                  <wp:posOffset>4162425</wp:posOffset>
                </wp:positionH>
                <wp:positionV relativeFrom="paragraph">
                  <wp:posOffset>200660</wp:posOffset>
                </wp:positionV>
                <wp:extent cx="1958340" cy="861060"/>
                <wp:effectExtent l="0" t="0" r="10160" b="15240"/>
                <wp:wrapNone/>
                <wp:docPr id="75" name="Прямоугольник 75"/>
                <wp:cNvGraphicFramePr/>
                <a:graphic xmlns:a="http://schemas.openxmlformats.org/drawingml/2006/main">
                  <a:graphicData uri="http://schemas.microsoft.com/office/word/2010/wordprocessingShape">
                    <wps:wsp>
                      <wps:cNvSpPr/>
                      <wps:spPr>
                        <a:xfrm>
                          <a:off x="0" y="0"/>
                          <a:ext cx="1958340" cy="861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06CF12" w14:textId="2AD5B3EA" w:rsidR="00AC0BEF" w:rsidRPr="00A9791E" w:rsidRDefault="00AC0BEF" w:rsidP="00A9791E">
                            <w:pPr>
                              <w:jc w:val="center"/>
                              <w:rPr>
                                <w:lang w:val="en-US"/>
                              </w:rPr>
                            </w:pPr>
                            <w:r>
                              <w:rPr>
                                <w:lang w:val="en-US"/>
                              </w:rPr>
                              <w:t xml:space="preserve">Assessment of socio-economic effectiveness on </w:t>
                            </w:r>
                            <w:r w:rsidR="00DC04F9">
                              <w:rPr>
                                <w:lang w:val="en-US"/>
                              </w:rPr>
                              <w:t>meso</w:t>
                            </w:r>
                            <w:r>
                              <w:rPr>
                                <w:lang w:val="en-US"/>
                              </w:rPr>
                              <w:t>- and micro- level for Islamic social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F735F" id="Прямоугольник 75" o:spid="_x0000_s1039" style="position:absolute;left:0;text-align:left;margin-left:327.75pt;margin-top:15.8pt;width:154.2pt;height:67.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" fillcolor="white [3201]" strokecolor="black [3213]" strokeweight="1pt">
                <v:textbox>
                  <w:txbxContent>
                    <w:p w14:paraId="2406CF12" w14:textId="2AD5B3EA" w:rsidR="00AC0BEF" w:rsidRPr="00A9791E" w:rsidRDefault="00AC0BEF" w:rsidP="00A9791E">
                      <w:pPr>
                        <w:jc w:val="center"/>
                        <w:rPr>
                          <w:lang w:val="en-US"/>
                        </w:rPr>
                      </w:pPr>
                      <w:r>
                        <w:rPr>
                          <w:lang w:val="en-US"/>
                        </w:rPr>
                        <w:t xml:space="preserve">Assessment of socio-economic effectiveness on </w:t>
                      </w:r>
                      <w:r w:rsidR="00DC04F9">
                        <w:rPr>
                          <w:lang w:val="en-US"/>
                        </w:rPr>
                        <w:t>meso</w:t>
                      </w:r>
                      <w:r>
                        <w:rPr>
                          <w:lang w:val="en-US"/>
                        </w:rPr>
                        <w:t>- and micro- level for Islamic social projects</w:t>
                      </w:r>
                    </w:p>
                  </w:txbxContent>
                </v:textbox>
              </v:rect>
            </w:pict>
          </mc:Fallback>
        </mc:AlternateContent>
      </w:r>
    </w:p>
    <w:p w14:paraId="09C0B063" w14:textId="75CF8038" w:rsidR="00A9791E" w:rsidRPr="00D549EE" w:rsidRDefault="00A9791E" w:rsidP="00C9582F">
      <w:pPr>
        <w:pStyle w:val="a5"/>
        <w:ind w:firstLine="708"/>
        <w:contextualSpacing/>
        <w:jc w:val="both"/>
        <w:rPr>
          <w:sz w:val="28"/>
          <w:szCs w:val="28"/>
          <w:lang w:val="en-US"/>
        </w:rPr>
      </w:pPr>
    </w:p>
    <w:p w14:paraId="452D3008" w14:textId="4B5F476E" w:rsidR="00A9791E" w:rsidRPr="00D549EE" w:rsidRDefault="00A9791E" w:rsidP="00C9582F">
      <w:pPr>
        <w:pStyle w:val="a5"/>
        <w:ind w:firstLine="708"/>
        <w:contextualSpacing/>
        <w:jc w:val="both"/>
        <w:rPr>
          <w:sz w:val="28"/>
          <w:szCs w:val="28"/>
          <w:lang w:val="en-US"/>
        </w:rPr>
      </w:pPr>
    </w:p>
    <w:p w14:paraId="0377ABBC" w14:textId="4826C000" w:rsidR="00A9791E" w:rsidRPr="00D549EE" w:rsidRDefault="00A9791E" w:rsidP="00C9582F">
      <w:pPr>
        <w:pStyle w:val="a5"/>
        <w:ind w:firstLine="708"/>
        <w:contextualSpacing/>
        <w:jc w:val="both"/>
        <w:rPr>
          <w:sz w:val="28"/>
          <w:szCs w:val="28"/>
          <w:lang w:val="en-US"/>
        </w:rPr>
      </w:pPr>
    </w:p>
    <w:p w14:paraId="2EFBDE81" w14:textId="77777777" w:rsidR="00A9791E" w:rsidRPr="00D549EE" w:rsidRDefault="00A9791E" w:rsidP="00C9582F">
      <w:pPr>
        <w:pStyle w:val="a5"/>
        <w:ind w:firstLine="708"/>
        <w:contextualSpacing/>
        <w:jc w:val="both"/>
        <w:rPr>
          <w:sz w:val="28"/>
          <w:szCs w:val="28"/>
          <w:lang w:val="en-US"/>
        </w:rPr>
      </w:pPr>
    </w:p>
    <w:p w14:paraId="44E641EF" w14:textId="77777777" w:rsidR="00A9791E" w:rsidRPr="00D549EE" w:rsidRDefault="00A9791E" w:rsidP="00C9582F">
      <w:pPr>
        <w:pStyle w:val="a5"/>
        <w:ind w:firstLine="708"/>
        <w:contextualSpacing/>
        <w:jc w:val="both"/>
        <w:rPr>
          <w:sz w:val="28"/>
          <w:szCs w:val="28"/>
          <w:lang w:val="en-US"/>
        </w:rPr>
      </w:pPr>
    </w:p>
    <w:p w14:paraId="4A049B30" w14:textId="437A640A" w:rsidR="00CA487C" w:rsidRPr="00D549EE" w:rsidRDefault="00CA487C" w:rsidP="00C9582F">
      <w:pPr>
        <w:pStyle w:val="a5"/>
        <w:ind w:firstLine="360"/>
        <w:contextualSpacing/>
        <w:jc w:val="center"/>
        <w:rPr>
          <w:sz w:val="28"/>
          <w:szCs w:val="28"/>
          <w:lang w:val="en-US"/>
        </w:rPr>
      </w:pPr>
      <w:r w:rsidRPr="00D549EE">
        <w:rPr>
          <w:bCs/>
          <w:color w:val="000000" w:themeColor="text1"/>
          <w:sz w:val="28"/>
          <w:szCs w:val="28"/>
          <w:lang w:val="en-US"/>
        </w:rPr>
        <w:t>Figure 1</w:t>
      </w:r>
      <w:r w:rsidR="00344140" w:rsidRPr="00D549EE">
        <w:rPr>
          <w:bCs/>
          <w:color w:val="000000" w:themeColor="text1"/>
          <w:sz w:val="28"/>
          <w:szCs w:val="28"/>
          <w:lang w:val="en-US"/>
        </w:rPr>
        <w:t>3</w:t>
      </w:r>
      <w:r w:rsidRPr="00D549EE">
        <w:rPr>
          <w:b/>
          <w:bCs/>
          <w:color w:val="000000" w:themeColor="text1"/>
          <w:sz w:val="28"/>
          <w:szCs w:val="28"/>
          <w:lang w:val="en-US"/>
        </w:rPr>
        <w:t xml:space="preserve"> </w:t>
      </w:r>
      <w:r w:rsidRPr="00D549EE">
        <w:rPr>
          <w:b/>
          <w:color w:val="000000" w:themeColor="text1"/>
          <w:lang w:val="en-US"/>
        </w:rPr>
        <w:t>–</w:t>
      </w:r>
      <w:r w:rsidRPr="00D549EE">
        <w:rPr>
          <w:color w:val="000000" w:themeColor="text1"/>
          <w:sz w:val="28"/>
          <w:szCs w:val="28"/>
          <w:lang w:val="en-US"/>
        </w:rPr>
        <w:t xml:space="preserve">  </w:t>
      </w:r>
      <w:r w:rsidRPr="00D549EE">
        <w:rPr>
          <w:sz w:val="28"/>
          <w:szCs w:val="28"/>
          <w:lang w:val="en-US"/>
        </w:rPr>
        <w:t>The methods of the research for Social effectiveness assessment of Islamic finance</w:t>
      </w:r>
    </w:p>
    <w:p w14:paraId="2DC2612C" w14:textId="77777777" w:rsidR="00CA487C" w:rsidRPr="00D549EE" w:rsidRDefault="00CA487C" w:rsidP="00C9582F">
      <w:pPr>
        <w:pStyle w:val="a5"/>
        <w:ind w:firstLine="360"/>
        <w:contextualSpacing/>
        <w:jc w:val="both"/>
        <w:rPr>
          <w:lang w:val="en-US"/>
        </w:rPr>
      </w:pPr>
      <w:r w:rsidRPr="00D549EE">
        <w:rPr>
          <w:lang w:val="en-US"/>
        </w:rPr>
        <w:tab/>
      </w:r>
    </w:p>
    <w:p w14:paraId="15169B92" w14:textId="3A5BFB86" w:rsidR="00CA487C" w:rsidRPr="00D549EE" w:rsidRDefault="00CA487C" w:rsidP="00C9582F">
      <w:pPr>
        <w:pStyle w:val="a5"/>
        <w:ind w:firstLine="360"/>
        <w:contextualSpacing/>
        <w:jc w:val="both"/>
        <w:rPr>
          <w:sz w:val="28"/>
          <w:szCs w:val="28"/>
          <w:lang w:val="en-US"/>
        </w:rPr>
      </w:pPr>
      <w:r w:rsidRPr="00D549EE">
        <w:rPr>
          <w:lang w:val="en-US"/>
        </w:rPr>
        <w:t xml:space="preserve">Note </w:t>
      </w:r>
      <w:r w:rsidRPr="00D549EE">
        <w:rPr>
          <w:sz w:val="28"/>
          <w:szCs w:val="28"/>
          <w:lang w:val="en-US"/>
        </w:rPr>
        <w:t>–</w:t>
      </w:r>
      <w:r w:rsidRPr="00D549EE">
        <w:rPr>
          <w:lang w:val="en-US"/>
        </w:rPr>
        <w:t xml:space="preserve"> Compiled by the author </w:t>
      </w:r>
    </w:p>
    <w:p w14:paraId="6728E11B" w14:textId="5302D9CC" w:rsidR="00CA487C" w:rsidRPr="00D549EE" w:rsidRDefault="00CA487C" w:rsidP="00C9582F">
      <w:pPr>
        <w:pStyle w:val="a5"/>
        <w:ind w:firstLine="708"/>
        <w:contextualSpacing/>
        <w:jc w:val="both"/>
        <w:rPr>
          <w:sz w:val="28"/>
          <w:szCs w:val="28"/>
          <w:lang w:val="en-US"/>
        </w:rPr>
      </w:pPr>
    </w:p>
    <w:p w14:paraId="28D2F40A" w14:textId="4691F6B1" w:rsidR="007D2440" w:rsidRPr="00386FE9" w:rsidRDefault="007D2440" w:rsidP="007D2440">
      <w:pPr>
        <w:pStyle w:val="a5"/>
        <w:spacing w:before="0" w:beforeAutospacing="0" w:after="0" w:afterAutospacing="0"/>
        <w:jc w:val="both"/>
        <w:rPr>
          <w:color w:val="0E101A"/>
          <w:sz w:val="28"/>
          <w:szCs w:val="28"/>
          <w:lang w:val="en-US"/>
        </w:rPr>
      </w:pPr>
      <w:r w:rsidRPr="00E9221E">
        <w:rPr>
          <w:color w:val="0E101A"/>
          <w:sz w:val="28"/>
          <w:szCs w:val="28"/>
          <w:lang w:val="en-US"/>
        </w:rPr>
        <w:tab/>
      </w:r>
      <w:r w:rsidRPr="00386FE9">
        <w:rPr>
          <w:color w:val="0E101A"/>
          <w:sz w:val="28"/>
          <w:szCs w:val="28"/>
          <w:lang w:val="en-US"/>
        </w:rPr>
        <w:t xml:space="preserve">We decided that considered methods and methodological approaches disclose the social effectiveness of Islamic finance in Kazakhstan by using the main selected social effects on the macro level and identifying the socio-economic effectiveness in measuring costs on the </w:t>
      </w:r>
      <w:r w:rsidR="00DC04F9">
        <w:rPr>
          <w:color w:val="0E101A"/>
          <w:sz w:val="28"/>
          <w:szCs w:val="28"/>
          <w:lang w:val="en-US"/>
        </w:rPr>
        <w:t>meso</w:t>
      </w:r>
      <w:r w:rsidRPr="00386FE9">
        <w:rPr>
          <w:color w:val="0E101A"/>
          <w:sz w:val="28"/>
          <w:szCs w:val="28"/>
          <w:lang w:val="en-US"/>
        </w:rPr>
        <w:t>- and micro-level. Furthermore, has been used approach of evaluation potential Zakat as a part of microlevel assessment and its impact on the government spending on social programs and social payments to the population.</w:t>
      </w:r>
    </w:p>
    <w:p w14:paraId="3FE8E0C6" w14:textId="072232C2" w:rsidR="007D2440" w:rsidRPr="00386FE9" w:rsidRDefault="00386FE9" w:rsidP="007D2440">
      <w:pPr>
        <w:pStyle w:val="a5"/>
        <w:spacing w:before="0" w:beforeAutospacing="0" w:after="0" w:afterAutospacing="0"/>
        <w:jc w:val="both"/>
        <w:rPr>
          <w:color w:val="0E101A"/>
          <w:sz w:val="28"/>
          <w:szCs w:val="28"/>
          <w:lang w:val="en-US"/>
        </w:rPr>
      </w:pPr>
      <w:r>
        <w:rPr>
          <w:color w:val="0E101A"/>
          <w:sz w:val="28"/>
          <w:szCs w:val="28"/>
          <w:lang w:val="en-US"/>
        </w:rPr>
        <w:tab/>
      </w:r>
      <w:r w:rsidR="007D2440" w:rsidRPr="00386FE9">
        <w:rPr>
          <w:i/>
          <w:color w:val="0E101A"/>
          <w:sz w:val="28"/>
          <w:szCs w:val="28"/>
          <w:lang w:val="en-US"/>
        </w:rPr>
        <w:t xml:space="preserve">Social effects assessment of Islamic finance on a macrolevel. </w:t>
      </w:r>
      <w:r w:rsidR="007D2440" w:rsidRPr="00386FE9">
        <w:rPr>
          <w:color w:val="0E101A"/>
          <w:sz w:val="28"/>
          <w:szCs w:val="28"/>
          <w:lang w:val="en-US"/>
        </w:rPr>
        <w:t>There are many rating systems for assessment approaches in the international area to assess the unmeasurable criteria, like social effects. One of the methods is Analytical Hierarchy Process (AHP), which researcher Saaty offered in the 1970s', and the method is found wide distribution in the assessment and decision-making process, both subjective and objective aspects of a decision across the world these days. The method is useful for decision-making based on the evaluation of experts assessments, both qualitative and quantitative [103] [104] [105].</w:t>
      </w:r>
    </w:p>
    <w:p w14:paraId="6403EE29" w14:textId="5A9E54A5" w:rsidR="007D2440" w:rsidRPr="00386FE9" w:rsidRDefault="00386FE9" w:rsidP="007D2440">
      <w:pPr>
        <w:pStyle w:val="a5"/>
        <w:spacing w:before="0" w:beforeAutospacing="0" w:after="0" w:afterAutospacing="0"/>
        <w:jc w:val="both"/>
        <w:rPr>
          <w:color w:val="0E101A"/>
          <w:sz w:val="28"/>
          <w:szCs w:val="28"/>
          <w:lang w:val="en-US"/>
        </w:rPr>
      </w:pPr>
      <w:r>
        <w:rPr>
          <w:color w:val="0E101A"/>
          <w:sz w:val="28"/>
          <w:szCs w:val="28"/>
          <w:lang w:val="en-US"/>
        </w:rPr>
        <w:tab/>
      </w:r>
      <w:r w:rsidR="007D2440" w:rsidRPr="00386FE9">
        <w:rPr>
          <w:color w:val="0E101A"/>
          <w:sz w:val="28"/>
          <w:szCs w:val="28"/>
          <w:lang w:val="en-US"/>
        </w:rPr>
        <w:t xml:space="preserve">The process of AHP consists in dividing the considering issue into elements by reviewing the factors of the problem and the relationships between factors. The different selected elements are categorized into main levels. Only after that, using classified levels of the elements form the hierarchical structure. The elements are compared one after one at each level, and then the judgment matrix is established. The </w:t>
      </w:r>
      <w:r w:rsidR="007D2440" w:rsidRPr="00386FE9">
        <w:rPr>
          <w:color w:val="0E101A"/>
          <w:sz w:val="28"/>
          <w:szCs w:val="28"/>
          <w:lang w:val="en-US"/>
        </w:rPr>
        <w:lastRenderedPageBreak/>
        <w:t>weight of the elements is obtained by calculating the maximum eigenvalue of the matrix, and the corresponding orthogonal feature vector, the element's weight, is obtained. AHP is a flexible and robust instrument for assessment because of the ability to evaluate results by pairwise relative criteria and options. That is why the AHP approach is used in different studies to obtain the index's weight.</w:t>
      </w:r>
    </w:p>
    <w:p w14:paraId="05D479C2" w14:textId="77777777" w:rsidR="007D2440" w:rsidRPr="00386FE9" w:rsidRDefault="007D2440" w:rsidP="007D2440">
      <w:pPr>
        <w:pStyle w:val="a5"/>
        <w:spacing w:before="0" w:beforeAutospacing="0" w:after="0" w:afterAutospacing="0"/>
        <w:jc w:val="both"/>
        <w:rPr>
          <w:color w:val="0E101A"/>
          <w:sz w:val="28"/>
          <w:szCs w:val="28"/>
          <w:lang w:val="en-US"/>
        </w:rPr>
      </w:pPr>
      <w:r w:rsidRPr="00386FE9">
        <w:rPr>
          <w:color w:val="0E101A"/>
          <w:sz w:val="28"/>
          <w:szCs w:val="28"/>
          <w:lang w:val="en-US"/>
        </w:rPr>
        <w:t>There are three steps of getting the weight of index in AHP:</w:t>
      </w:r>
    </w:p>
    <w:p w14:paraId="434FB94E" w14:textId="77777777" w:rsidR="007D2440" w:rsidRPr="00386FE9" w:rsidRDefault="007D2440" w:rsidP="007D2440">
      <w:pPr>
        <w:numPr>
          <w:ilvl w:val="0"/>
          <w:numId w:val="50"/>
        </w:numPr>
        <w:jc w:val="both"/>
        <w:rPr>
          <w:color w:val="0E101A"/>
          <w:sz w:val="28"/>
          <w:szCs w:val="28"/>
          <w:lang w:val="en-US"/>
        </w:rPr>
      </w:pPr>
      <w:r w:rsidRPr="00386FE9">
        <w:rPr>
          <w:color w:val="0E101A"/>
          <w:sz w:val="28"/>
          <w:szCs w:val="28"/>
          <w:lang w:val="en-US"/>
        </w:rPr>
        <w:t>the comparison of the essence of each element in the hierarchical structure</w:t>
      </w:r>
    </w:p>
    <w:p w14:paraId="6484B728" w14:textId="77777777" w:rsidR="007D2440" w:rsidRPr="007D2440" w:rsidRDefault="007D2440" w:rsidP="007D2440">
      <w:pPr>
        <w:numPr>
          <w:ilvl w:val="0"/>
          <w:numId w:val="50"/>
        </w:numPr>
        <w:jc w:val="both"/>
        <w:rPr>
          <w:color w:val="0E101A"/>
          <w:sz w:val="28"/>
          <w:szCs w:val="28"/>
        </w:rPr>
      </w:pPr>
      <w:r w:rsidRPr="007D2440">
        <w:rPr>
          <w:color w:val="0E101A"/>
          <w:sz w:val="28"/>
          <w:szCs w:val="28"/>
        </w:rPr>
        <w:t>performance of the hierarchical ranking</w:t>
      </w:r>
    </w:p>
    <w:p w14:paraId="527360DB" w14:textId="77777777" w:rsidR="007D2440" w:rsidRPr="00386FE9" w:rsidRDefault="007D2440" w:rsidP="007D2440">
      <w:pPr>
        <w:numPr>
          <w:ilvl w:val="0"/>
          <w:numId w:val="50"/>
        </w:numPr>
        <w:jc w:val="both"/>
        <w:rPr>
          <w:color w:val="0E101A"/>
          <w:sz w:val="28"/>
          <w:szCs w:val="28"/>
          <w:lang w:val="en-US"/>
        </w:rPr>
      </w:pPr>
      <w:r w:rsidRPr="00386FE9">
        <w:rPr>
          <w:color w:val="0E101A"/>
          <w:sz w:val="28"/>
          <w:szCs w:val="28"/>
          <w:lang w:val="en-US"/>
        </w:rPr>
        <w:t>calculation of the rational weight of each index </w:t>
      </w:r>
    </w:p>
    <w:p w14:paraId="2F579DE8" w14:textId="77777777" w:rsidR="007D2440" w:rsidRPr="00386FE9" w:rsidRDefault="007D2440" w:rsidP="007D2440">
      <w:pPr>
        <w:pStyle w:val="a5"/>
        <w:spacing w:before="0" w:beforeAutospacing="0" w:after="0" w:afterAutospacing="0"/>
        <w:jc w:val="both"/>
        <w:rPr>
          <w:color w:val="0E101A"/>
          <w:sz w:val="28"/>
          <w:szCs w:val="28"/>
          <w:lang w:val="en-US"/>
        </w:rPr>
      </w:pPr>
      <w:r w:rsidRPr="00386FE9">
        <w:rPr>
          <w:color w:val="0E101A"/>
          <w:sz w:val="28"/>
          <w:szCs w:val="28"/>
          <w:lang w:val="en-US"/>
        </w:rPr>
        <w:t>The process of using AHP is given by the following figure schematically:</w:t>
      </w:r>
    </w:p>
    <w:p w14:paraId="7356DD45" w14:textId="57B58047" w:rsidR="00EC5F48" w:rsidRPr="00D549EE" w:rsidRDefault="009B4435" w:rsidP="00C9582F">
      <w:pPr>
        <w:autoSpaceDE w:val="0"/>
        <w:autoSpaceDN w:val="0"/>
        <w:adjustRightInd w:val="0"/>
        <w:jc w:val="both"/>
        <w:rPr>
          <w:rFonts w:eastAsiaTheme="minorHAnsi"/>
          <w:sz w:val="28"/>
          <w:szCs w:val="28"/>
          <w:lang w:val="en-US" w:eastAsia="en-US"/>
        </w:rPr>
      </w:pPr>
      <w:r w:rsidRPr="00D549EE">
        <w:rPr>
          <w:rFonts w:eastAsiaTheme="minorHAnsi"/>
          <w:noProof/>
          <w:sz w:val="28"/>
          <w:szCs w:val="28"/>
        </w:rPr>
        <w:drawing>
          <wp:inline distT="0" distB="0" distL="0" distR="0" wp14:anchorId="69070F63" wp14:editId="073CE521">
            <wp:extent cx="6217285" cy="1615863"/>
            <wp:effectExtent l="0" t="0" r="12065"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8319055" w14:textId="013046E3" w:rsidR="009B4435" w:rsidRPr="00D549EE" w:rsidRDefault="009B4435" w:rsidP="00C9582F">
      <w:pPr>
        <w:pStyle w:val="a5"/>
        <w:contextualSpacing/>
        <w:jc w:val="center"/>
        <w:rPr>
          <w:color w:val="000000" w:themeColor="text1"/>
          <w:sz w:val="28"/>
          <w:szCs w:val="28"/>
          <w:lang w:val="en-US"/>
        </w:rPr>
      </w:pPr>
      <w:r w:rsidRPr="00D549EE">
        <w:rPr>
          <w:color w:val="000000" w:themeColor="text1"/>
          <w:sz w:val="28"/>
          <w:szCs w:val="28"/>
          <w:lang w:val="en-US"/>
        </w:rPr>
        <w:t>Figure</w:t>
      </w:r>
      <w:r w:rsidR="00CA487C" w:rsidRPr="00D549EE">
        <w:rPr>
          <w:color w:val="000000" w:themeColor="text1"/>
          <w:sz w:val="28"/>
          <w:szCs w:val="28"/>
          <w:lang w:val="en-US"/>
        </w:rPr>
        <w:t xml:space="preserve"> 1</w:t>
      </w:r>
      <w:r w:rsidR="00344140" w:rsidRPr="00D549EE">
        <w:rPr>
          <w:color w:val="000000" w:themeColor="text1"/>
          <w:sz w:val="28"/>
          <w:szCs w:val="28"/>
          <w:lang w:val="en-US"/>
        </w:rPr>
        <w:t>4</w:t>
      </w:r>
      <w:r w:rsidR="00A2106D" w:rsidRPr="00D549EE">
        <w:rPr>
          <w:color w:val="000000" w:themeColor="text1"/>
          <w:sz w:val="28"/>
          <w:szCs w:val="28"/>
          <w:lang w:val="en-US"/>
        </w:rPr>
        <w:t xml:space="preserve"> </w:t>
      </w:r>
      <w:r w:rsidR="00A2106D" w:rsidRPr="00D549EE">
        <w:rPr>
          <w:b/>
          <w:color w:val="000000" w:themeColor="text1"/>
          <w:lang w:val="en-US"/>
        </w:rPr>
        <w:t>–</w:t>
      </w:r>
      <w:r w:rsidR="00A2106D" w:rsidRPr="00D549EE">
        <w:rPr>
          <w:color w:val="000000" w:themeColor="text1"/>
          <w:sz w:val="28"/>
          <w:szCs w:val="28"/>
          <w:lang w:val="en-US"/>
        </w:rPr>
        <w:t xml:space="preserve"> </w:t>
      </w:r>
      <w:r w:rsidRPr="00D549EE">
        <w:rPr>
          <w:rFonts w:eastAsiaTheme="minorHAnsi"/>
          <w:sz w:val="28"/>
          <w:szCs w:val="28"/>
          <w:lang w:val="en-US"/>
        </w:rPr>
        <w:t>Analytical Hierarchy Process (AHP)</w:t>
      </w:r>
    </w:p>
    <w:p w14:paraId="5F0EE406" w14:textId="77777777" w:rsidR="00853E54" w:rsidRPr="00D549EE" w:rsidRDefault="009B4435" w:rsidP="00C9582F">
      <w:pPr>
        <w:pStyle w:val="a5"/>
        <w:contextualSpacing/>
        <w:jc w:val="both"/>
        <w:rPr>
          <w:color w:val="000000" w:themeColor="text1"/>
          <w:sz w:val="28"/>
          <w:szCs w:val="28"/>
          <w:lang w:val="en-US"/>
        </w:rPr>
      </w:pPr>
      <w:r w:rsidRPr="00D549EE">
        <w:rPr>
          <w:color w:val="000000" w:themeColor="text1"/>
          <w:sz w:val="28"/>
          <w:szCs w:val="28"/>
          <w:lang w:val="en-US"/>
        </w:rPr>
        <w:tab/>
      </w:r>
    </w:p>
    <w:p w14:paraId="085BFC43" w14:textId="0993CC7C" w:rsidR="009B4435" w:rsidRPr="00D549EE" w:rsidRDefault="00853E54" w:rsidP="00C9582F">
      <w:pPr>
        <w:pStyle w:val="a5"/>
        <w:contextualSpacing/>
        <w:jc w:val="both"/>
        <w:rPr>
          <w:color w:val="000000" w:themeColor="text1"/>
          <w:lang w:val="en-US"/>
        </w:rPr>
      </w:pPr>
      <w:r w:rsidRPr="00D549EE">
        <w:rPr>
          <w:color w:val="000000" w:themeColor="text1"/>
          <w:lang w:val="en-US"/>
        </w:rPr>
        <w:tab/>
      </w:r>
      <w:r w:rsidR="00075FB1" w:rsidRPr="00D549EE">
        <w:rPr>
          <w:color w:val="000000" w:themeColor="text1"/>
          <w:lang w:val="en-US"/>
        </w:rPr>
        <w:t xml:space="preserve">Note – </w:t>
      </w:r>
      <w:r w:rsidRPr="00D549EE">
        <w:rPr>
          <w:color w:val="000000" w:themeColor="text1"/>
          <w:lang w:val="en-US"/>
        </w:rPr>
        <w:t>Compiled by the author</w:t>
      </w:r>
    </w:p>
    <w:p w14:paraId="3B30EB73" w14:textId="2A1A84D2" w:rsidR="00A2106D" w:rsidRPr="00D549EE" w:rsidRDefault="00A2106D" w:rsidP="00C9582F">
      <w:pPr>
        <w:autoSpaceDE w:val="0"/>
        <w:autoSpaceDN w:val="0"/>
        <w:adjustRightInd w:val="0"/>
        <w:jc w:val="both"/>
        <w:rPr>
          <w:rFonts w:eastAsiaTheme="minorHAnsi"/>
          <w:sz w:val="28"/>
          <w:szCs w:val="28"/>
          <w:lang w:val="en-US" w:eastAsia="en-US"/>
        </w:rPr>
      </w:pPr>
      <w:r w:rsidRPr="00D549EE">
        <w:rPr>
          <w:rFonts w:eastAsiaTheme="minorHAnsi"/>
          <w:sz w:val="28"/>
          <w:szCs w:val="28"/>
          <w:lang w:val="en-US" w:eastAsia="en-US"/>
        </w:rPr>
        <w:tab/>
      </w:r>
      <w:r w:rsidRPr="00D549EE">
        <w:rPr>
          <w:rFonts w:ascii="Courier New" w:eastAsiaTheme="minorHAnsi" w:hAnsi="Courier New" w:cs="Courier New"/>
          <w:sz w:val="28"/>
          <w:szCs w:val="28"/>
          <w:lang w:val="en-US" w:eastAsia="en-US"/>
        </w:rPr>
        <w:t>﻿</w:t>
      </w:r>
      <w:r w:rsidRPr="00D549EE">
        <w:rPr>
          <w:rFonts w:eastAsiaTheme="minorHAnsi"/>
          <w:sz w:val="28"/>
          <w:szCs w:val="28"/>
          <w:lang w:val="en-US" w:eastAsia="en-US"/>
        </w:rPr>
        <w:t xml:space="preserve">The relative importance of two criteria is evaluated trough a numerical scale from 1 to 9, where 1 is the most relative, while 9 is used when first index is extremely more important than second one. </w:t>
      </w:r>
    </w:p>
    <w:p w14:paraId="2F488961" w14:textId="77777777" w:rsidR="00A2106D" w:rsidRPr="00D549EE" w:rsidRDefault="00A2106D" w:rsidP="00C9582F">
      <w:pPr>
        <w:autoSpaceDE w:val="0"/>
        <w:autoSpaceDN w:val="0"/>
        <w:adjustRightInd w:val="0"/>
        <w:jc w:val="both"/>
        <w:rPr>
          <w:rFonts w:eastAsiaTheme="minorHAnsi"/>
          <w:sz w:val="28"/>
          <w:szCs w:val="28"/>
          <w:lang w:val="en-US" w:eastAsia="en-US"/>
        </w:rPr>
      </w:pPr>
    </w:p>
    <w:p w14:paraId="5B4694E6" w14:textId="50CD49EC" w:rsidR="009B4435" w:rsidRPr="00D549EE" w:rsidRDefault="009B4435" w:rsidP="00C9582F">
      <w:pPr>
        <w:autoSpaceDE w:val="0"/>
        <w:autoSpaceDN w:val="0"/>
        <w:adjustRightInd w:val="0"/>
        <w:rPr>
          <w:rFonts w:eastAsiaTheme="minorHAnsi"/>
          <w:sz w:val="28"/>
          <w:szCs w:val="28"/>
          <w:lang w:val="en-US" w:eastAsia="en-US"/>
        </w:rPr>
      </w:pPr>
      <w:r w:rsidRPr="00D549EE">
        <w:rPr>
          <w:rFonts w:eastAsiaTheme="minorHAnsi"/>
          <w:sz w:val="28"/>
          <w:szCs w:val="28"/>
          <w:lang w:val="en-US" w:eastAsia="en-US"/>
        </w:rPr>
        <w:t xml:space="preserve">Table </w:t>
      </w:r>
      <w:r w:rsidR="004C127F" w:rsidRPr="00D549EE">
        <w:rPr>
          <w:rFonts w:eastAsiaTheme="minorHAnsi"/>
          <w:sz w:val="28"/>
          <w:szCs w:val="28"/>
          <w:lang w:val="en-US" w:eastAsia="en-US"/>
        </w:rPr>
        <w:t>1</w:t>
      </w:r>
      <w:r w:rsidR="00736E1B" w:rsidRPr="00D549EE">
        <w:rPr>
          <w:rFonts w:eastAsiaTheme="minorHAnsi"/>
          <w:sz w:val="28"/>
          <w:szCs w:val="28"/>
          <w:lang w:val="en-US" w:eastAsia="en-US"/>
        </w:rPr>
        <w:t>5</w:t>
      </w:r>
      <w:r w:rsidRPr="00D549EE">
        <w:rPr>
          <w:rFonts w:eastAsiaTheme="minorHAnsi"/>
          <w:sz w:val="28"/>
          <w:szCs w:val="28"/>
          <w:lang w:val="en-US" w:eastAsia="en-US"/>
        </w:rPr>
        <w:t xml:space="preserve"> </w:t>
      </w:r>
      <w:r w:rsidR="004C127F" w:rsidRPr="00D549EE">
        <w:rPr>
          <w:color w:val="000000" w:themeColor="text1"/>
          <w:sz w:val="28"/>
          <w:szCs w:val="28"/>
          <w:lang w:val="en-US"/>
        </w:rPr>
        <w:t xml:space="preserve">– </w:t>
      </w:r>
      <w:r w:rsidRPr="00D549EE">
        <w:rPr>
          <w:rFonts w:eastAsiaTheme="minorHAnsi"/>
          <w:sz w:val="28"/>
          <w:szCs w:val="28"/>
          <w:lang w:val="en-US" w:eastAsia="en-US"/>
        </w:rPr>
        <w:t>Relative importance scale</w:t>
      </w:r>
    </w:p>
    <w:p w14:paraId="0E47B2FA" w14:textId="6FA9E5D4" w:rsidR="004821C7" w:rsidRPr="00D549EE" w:rsidRDefault="004821C7" w:rsidP="00C9582F">
      <w:pPr>
        <w:autoSpaceDE w:val="0"/>
        <w:autoSpaceDN w:val="0"/>
        <w:adjustRightInd w:val="0"/>
        <w:rPr>
          <w:rFonts w:eastAsiaTheme="minorHAnsi"/>
          <w:lang w:val="en-US" w:eastAsia="en-US"/>
        </w:rPr>
      </w:pPr>
    </w:p>
    <w:tbl>
      <w:tblPr>
        <w:tblStyle w:val="a9"/>
        <w:tblW w:w="0" w:type="auto"/>
        <w:tblLook w:val="04A0" w:firstRow="1" w:lastRow="0" w:firstColumn="1" w:lastColumn="0" w:noHBand="0" w:noVBand="1"/>
      </w:tblPr>
      <w:tblGrid>
        <w:gridCol w:w="4248"/>
        <w:gridCol w:w="5375"/>
      </w:tblGrid>
      <w:tr w:rsidR="004821C7" w:rsidRPr="00D549EE" w14:paraId="6CAE96A4" w14:textId="77777777" w:rsidTr="004821C7">
        <w:tc>
          <w:tcPr>
            <w:tcW w:w="4248" w:type="dxa"/>
          </w:tcPr>
          <w:p w14:paraId="67CD6167" w14:textId="1826F848"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 xml:space="preserve">Scale (aij) </w:t>
            </w:r>
          </w:p>
          <w:p w14:paraId="4EF664F8" w14:textId="77777777" w:rsidR="004821C7" w:rsidRPr="00D549EE" w:rsidRDefault="004821C7" w:rsidP="00C9582F">
            <w:pPr>
              <w:autoSpaceDE w:val="0"/>
              <w:autoSpaceDN w:val="0"/>
              <w:adjustRightInd w:val="0"/>
              <w:jc w:val="center"/>
              <w:rPr>
                <w:rFonts w:eastAsiaTheme="minorHAnsi"/>
                <w:lang w:val="en-US" w:eastAsia="en-US"/>
              </w:rPr>
            </w:pPr>
          </w:p>
        </w:tc>
        <w:tc>
          <w:tcPr>
            <w:tcW w:w="5375" w:type="dxa"/>
          </w:tcPr>
          <w:p w14:paraId="5D8C5BE7" w14:textId="0658CFC2"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Meaning</w:t>
            </w:r>
          </w:p>
        </w:tc>
      </w:tr>
      <w:tr w:rsidR="004821C7" w:rsidRPr="00D74F7B" w14:paraId="33FB981F" w14:textId="77777777" w:rsidTr="004821C7">
        <w:tc>
          <w:tcPr>
            <w:tcW w:w="4248" w:type="dxa"/>
          </w:tcPr>
          <w:p w14:paraId="00D5F6BC" w14:textId="4D1E9B9C"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1</w:t>
            </w:r>
          </w:p>
        </w:tc>
        <w:tc>
          <w:tcPr>
            <w:tcW w:w="5375" w:type="dxa"/>
          </w:tcPr>
          <w:p w14:paraId="2B67462B" w14:textId="2BF99D6A"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Index xi is as important as index xj</w:t>
            </w:r>
          </w:p>
        </w:tc>
      </w:tr>
      <w:tr w:rsidR="004821C7" w:rsidRPr="00D74F7B" w14:paraId="4ACF1EDA" w14:textId="77777777" w:rsidTr="004821C7">
        <w:tc>
          <w:tcPr>
            <w:tcW w:w="4248" w:type="dxa"/>
          </w:tcPr>
          <w:p w14:paraId="56079A97" w14:textId="2A449ECB"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3</w:t>
            </w:r>
          </w:p>
        </w:tc>
        <w:tc>
          <w:tcPr>
            <w:tcW w:w="5375" w:type="dxa"/>
          </w:tcPr>
          <w:p w14:paraId="7CC27352" w14:textId="38DAEF0C"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Index xi is slightly more important than index xj</w:t>
            </w:r>
          </w:p>
        </w:tc>
      </w:tr>
      <w:tr w:rsidR="004821C7" w:rsidRPr="00D74F7B" w14:paraId="5CFEF612" w14:textId="77777777" w:rsidTr="004821C7">
        <w:tc>
          <w:tcPr>
            <w:tcW w:w="4248" w:type="dxa"/>
          </w:tcPr>
          <w:p w14:paraId="06DF7A06" w14:textId="258C9389"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5</w:t>
            </w:r>
          </w:p>
        </w:tc>
        <w:tc>
          <w:tcPr>
            <w:tcW w:w="5375" w:type="dxa"/>
          </w:tcPr>
          <w:p w14:paraId="4658F013" w14:textId="42F5CB70"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Index xi is obviously more important than index xj</w:t>
            </w:r>
          </w:p>
        </w:tc>
      </w:tr>
      <w:tr w:rsidR="004821C7" w:rsidRPr="00D74F7B" w14:paraId="65CEED9F" w14:textId="77777777" w:rsidTr="004821C7">
        <w:tc>
          <w:tcPr>
            <w:tcW w:w="4248" w:type="dxa"/>
          </w:tcPr>
          <w:p w14:paraId="3C330354" w14:textId="1D04B4AE"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7</w:t>
            </w:r>
          </w:p>
        </w:tc>
        <w:tc>
          <w:tcPr>
            <w:tcW w:w="5375" w:type="dxa"/>
          </w:tcPr>
          <w:p w14:paraId="0C1391D9" w14:textId="39CD87D1"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Index xi is strongly more important than index xj</w:t>
            </w:r>
          </w:p>
        </w:tc>
      </w:tr>
      <w:tr w:rsidR="004821C7" w:rsidRPr="00D74F7B" w14:paraId="189134A7" w14:textId="77777777" w:rsidTr="004821C7">
        <w:trPr>
          <w:trHeight w:val="335"/>
        </w:trPr>
        <w:tc>
          <w:tcPr>
            <w:tcW w:w="4248" w:type="dxa"/>
          </w:tcPr>
          <w:p w14:paraId="4E7EEB04" w14:textId="58943CBE"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9</w:t>
            </w:r>
          </w:p>
        </w:tc>
        <w:tc>
          <w:tcPr>
            <w:tcW w:w="5375" w:type="dxa"/>
          </w:tcPr>
          <w:p w14:paraId="760AD4C3" w14:textId="4E881242"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Index xi is extremely more important than index xj</w:t>
            </w:r>
          </w:p>
        </w:tc>
      </w:tr>
      <w:tr w:rsidR="004821C7" w:rsidRPr="00D74F7B" w14:paraId="19A85800" w14:textId="77777777" w:rsidTr="004821C7">
        <w:tc>
          <w:tcPr>
            <w:tcW w:w="4248" w:type="dxa"/>
          </w:tcPr>
          <w:p w14:paraId="159DAF3B" w14:textId="09C5B666"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2, 4, 6, 8</w:t>
            </w:r>
          </w:p>
        </w:tc>
        <w:tc>
          <w:tcPr>
            <w:tcW w:w="5375" w:type="dxa"/>
          </w:tcPr>
          <w:p w14:paraId="5D5825A0" w14:textId="7E74C76C"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Middle value of the above adjacent judgments</w:t>
            </w:r>
          </w:p>
        </w:tc>
      </w:tr>
      <w:tr w:rsidR="004821C7" w:rsidRPr="00D74F7B" w14:paraId="7DA41FEC" w14:textId="77777777" w:rsidTr="004821C7">
        <w:tc>
          <w:tcPr>
            <w:tcW w:w="4248" w:type="dxa"/>
          </w:tcPr>
          <w:p w14:paraId="6A44A88D" w14:textId="2C28DC48"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Reciprocal</w:t>
            </w:r>
          </w:p>
        </w:tc>
        <w:tc>
          <w:tcPr>
            <w:tcW w:w="5375" w:type="dxa"/>
          </w:tcPr>
          <w:p w14:paraId="67031E09" w14:textId="5159D5E8" w:rsidR="004821C7" w:rsidRPr="00D549EE" w:rsidRDefault="004821C7" w:rsidP="00C9582F">
            <w:pPr>
              <w:autoSpaceDE w:val="0"/>
              <w:autoSpaceDN w:val="0"/>
              <w:adjustRightInd w:val="0"/>
              <w:jc w:val="center"/>
              <w:rPr>
                <w:rFonts w:eastAsiaTheme="minorHAnsi"/>
                <w:lang w:val="en-US" w:eastAsia="en-US"/>
              </w:rPr>
            </w:pPr>
            <w:r w:rsidRPr="00D549EE">
              <w:rPr>
                <w:rFonts w:eastAsiaTheme="minorHAnsi"/>
                <w:lang w:val="en-US" w:eastAsia="en-US"/>
              </w:rPr>
              <w:t>If xj/xi = aji , then xi/xj = aij = 1/aji</w:t>
            </w:r>
          </w:p>
        </w:tc>
      </w:tr>
      <w:tr w:rsidR="004821C7" w:rsidRPr="00D549EE" w14:paraId="2C36FB79" w14:textId="77777777" w:rsidTr="00075FB1">
        <w:tc>
          <w:tcPr>
            <w:tcW w:w="9623" w:type="dxa"/>
            <w:gridSpan w:val="2"/>
          </w:tcPr>
          <w:p w14:paraId="1D2193FC" w14:textId="5C343D18" w:rsidR="004821C7" w:rsidRPr="00D549EE" w:rsidRDefault="00A2106D" w:rsidP="00C9582F">
            <w:pPr>
              <w:autoSpaceDE w:val="0"/>
              <w:autoSpaceDN w:val="0"/>
              <w:adjustRightInd w:val="0"/>
              <w:ind w:left="458"/>
              <w:rPr>
                <w:rFonts w:eastAsiaTheme="minorHAnsi"/>
                <w:lang w:val="en-US" w:eastAsia="en-US"/>
              </w:rPr>
            </w:pPr>
            <w:r w:rsidRPr="00D549EE">
              <w:rPr>
                <w:rFonts w:eastAsiaTheme="minorHAnsi"/>
                <w:lang w:val="en-US" w:eastAsia="en-US"/>
              </w:rPr>
              <w:t xml:space="preserve">Note - </w:t>
            </w:r>
            <w:r w:rsidR="004821C7" w:rsidRPr="00D549EE">
              <w:rPr>
                <w:rFonts w:eastAsiaTheme="minorHAnsi"/>
                <w:lang w:val="en-US" w:eastAsia="en-US"/>
              </w:rPr>
              <w:t xml:space="preserve">Source </w:t>
            </w:r>
            <w:r w:rsidR="004821C7" w:rsidRPr="00D549EE">
              <w:rPr>
                <w:rFonts w:eastAsiaTheme="minorHAnsi"/>
                <w:lang w:val="en-US" w:eastAsia="en-US"/>
              </w:rPr>
              <w:fldChar w:fldCharType="begin" w:fldLock="1"/>
            </w:r>
            <w:r w:rsidR="00CB6E54" w:rsidRPr="00D549EE">
              <w:rPr>
                <w:rFonts w:eastAsiaTheme="minorHAnsi"/>
                <w:lang w:val="en-US" w:eastAsia="en-US"/>
              </w:rPr>
              <w:instrText>ADDIN CSL_CITATION {"citationItems":[{"id":"ITEM-1","itemData":{"DOI":"10.3390/su9040603","ISSN":"20711050","abstract":"As an essential part of a city, community is significant to the sustainable development of the city. At present, research on community sustainability assessment systems is relatively scarce. The existing community sustainability assessment systems often lack integrated consideration of community sustainability. For example, these systems especially place emphasis on the ecological and environmental aspects, but the economic and social aspects of sustainability are partially ignored. In order to comprehensively evaluate the sustainability of a community, this paper draws on the \"participatory philosophy\" and constructs an integrated assessment indicator system that includes five dimensions: environment; economy; society; institution; and culture. On this basis, a new hybrid evaluation method based on analytical hierarchy process (AHP)-entropy weight and the cloud model is proposed to evaluate community sustainability. This method combines AHP and the entropy weight method to determine index weight, thus making full use of their respective advantages. At the same time, it makes use of the superiority of the cloud model to transform qualitative remarks into quantitative representations and to reflect fuzziness and randomness. To verify the feasibility of this method, a case study is carried out on the \"Minxinjiayuan\" public rental housing community in Chongqing, China. The results show that the overall sustainability of the community lies between the \"middle\" and \"good\" level, and closer to the \"middle\" level. The level of the economic and social sustainability is higher than that of the environmental, institutional and cultural sustainability.","author":[{"dropping-particle":"","family":"Wu","given":"Guangdong","non-dropping-particle":"","parse-names":false,"suffix":""},{"dropping-particle":"","family":"Duan","given":"Kaifeng","non-dropping-particle":"","parse-names":false,"suffix":""},{"dropping-particle":"","family":"Zuo","given":"Jian","non-dropping-particle":"","parse-names":false,"suffix":""},{"dropping-particle":"","family":"Zhao","given":"Xianbo","non-dropping-particle":"","parse-names":false,"suffix":""},{"dropping-particle":"","family":"Tang","given":"Daizhong","non-dropping-particle":"","parse-names":false,"suffix":""}],"container-title":"Sustainability (Switzerland)","id":"ITEM-1","issue":"4","issued":{"date-parts":[["2017"]]},"title":"Integrated sustainability assessment of public rental housing community based on a hybrid method of AHP-entropyweight and cloud model","type":"article-journal","volume":"9"},"uris":["http://www.mendeley.com/documents/?uuid=47526dcd-db26-4fc4-9705-df2b4932c655"]}],"mendeley":{"formattedCitation":"[104]","plainTextFormattedCitation":"[104]","previouslyFormattedCitation":"[104]"},"properties":{"noteIndex":0},"schema":"https://github.com/citation-style-language/schema/raw/master/csl-citation.json"}</w:instrText>
            </w:r>
            <w:r w:rsidR="004821C7" w:rsidRPr="00D549EE">
              <w:rPr>
                <w:rFonts w:eastAsiaTheme="minorHAnsi"/>
                <w:lang w:val="en-US" w:eastAsia="en-US"/>
              </w:rPr>
              <w:fldChar w:fldCharType="separate"/>
            </w:r>
            <w:r w:rsidR="00B25838" w:rsidRPr="00D549EE">
              <w:rPr>
                <w:rFonts w:eastAsiaTheme="minorHAnsi"/>
                <w:noProof/>
                <w:lang w:val="en-US" w:eastAsia="en-US"/>
              </w:rPr>
              <w:t>[104]</w:t>
            </w:r>
            <w:r w:rsidR="004821C7" w:rsidRPr="00D549EE">
              <w:rPr>
                <w:rFonts w:eastAsiaTheme="minorHAnsi"/>
                <w:lang w:val="en-US" w:eastAsia="en-US"/>
              </w:rPr>
              <w:fldChar w:fldCharType="end"/>
            </w:r>
          </w:p>
        </w:tc>
      </w:tr>
    </w:tbl>
    <w:p w14:paraId="40BF1088" w14:textId="650BBB55" w:rsidR="004821C7" w:rsidRPr="00D549EE" w:rsidRDefault="00646994" w:rsidP="00C9582F">
      <w:pPr>
        <w:autoSpaceDE w:val="0"/>
        <w:autoSpaceDN w:val="0"/>
        <w:adjustRightInd w:val="0"/>
        <w:jc w:val="both"/>
        <w:rPr>
          <w:sz w:val="28"/>
          <w:szCs w:val="28"/>
          <w:lang w:val="en-US"/>
        </w:rPr>
      </w:pPr>
      <w:r w:rsidRPr="00D549EE">
        <w:rPr>
          <w:sz w:val="28"/>
          <w:szCs w:val="28"/>
          <w:lang w:val="en-US"/>
        </w:rPr>
        <w:t xml:space="preserve"> </w:t>
      </w:r>
    </w:p>
    <w:p w14:paraId="1AA1374E" w14:textId="49C795C1" w:rsidR="00E751E2" w:rsidRPr="00D549EE" w:rsidRDefault="00853E54" w:rsidP="00C9582F">
      <w:pPr>
        <w:autoSpaceDE w:val="0"/>
        <w:autoSpaceDN w:val="0"/>
        <w:adjustRightInd w:val="0"/>
        <w:jc w:val="both"/>
        <w:rPr>
          <w:color w:val="000000" w:themeColor="text1"/>
          <w:sz w:val="28"/>
          <w:szCs w:val="28"/>
          <w:lang w:val="en-US"/>
        </w:rPr>
      </w:pPr>
      <w:r w:rsidRPr="00D549EE">
        <w:rPr>
          <w:rFonts w:eastAsiaTheme="minorHAnsi"/>
          <w:sz w:val="28"/>
          <w:szCs w:val="28"/>
          <w:lang w:val="en-US" w:eastAsia="en-US"/>
        </w:rPr>
        <w:t xml:space="preserve"> </w:t>
      </w:r>
      <w:r w:rsidR="00E751E2" w:rsidRPr="00D549EE">
        <w:rPr>
          <w:rFonts w:eastAsiaTheme="minorHAnsi"/>
          <w:sz w:val="28"/>
          <w:szCs w:val="28"/>
          <w:lang w:val="en-US" w:eastAsia="en-US"/>
        </w:rPr>
        <w:tab/>
      </w:r>
      <w:r w:rsidRPr="00D549EE">
        <w:rPr>
          <w:rFonts w:eastAsiaTheme="minorHAnsi"/>
          <w:sz w:val="28"/>
          <w:szCs w:val="28"/>
          <w:lang w:val="en-US" w:eastAsia="en-US"/>
        </w:rPr>
        <w:t xml:space="preserve">The following step is </w:t>
      </w:r>
      <w:r w:rsidR="00E751E2" w:rsidRPr="00D549EE">
        <w:rPr>
          <w:rFonts w:eastAsiaTheme="minorHAnsi"/>
          <w:sz w:val="28"/>
          <w:szCs w:val="28"/>
          <w:lang w:val="en-US" w:eastAsia="en-US"/>
        </w:rPr>
        <w:t>formation of the mathematical matrix by using obtained factors n, which are denoted as A1, A2, ..., An. It is assumed that each factor Ak corresponds to a certain positive number Xk, called the value of the factor Ak, k = 1,2, ..., n, which needs to be found.</w:t>
      </w:r>
      <w:r w:rsidR="009B4435" w:rsidRPr="00D549EE">
        <w:rPr>
          <w:color w:val="000000" w:themeColor="text1"/>
          <w:sz w:val="28"/>
          <w:szCs w:val="28"/>
          <w:lang w:val="en-US"/>
        </w:rPr>
        <w:tab/>
      </w:r>
    </w:p>
    <w:p w14:paraId="03881765" w14:textId="77777777" w:rsidR="00DC04F9" w:rsidRDefault="00E751E2" w:rsidP="00C9582F">
      <w:pPr>
        <w:autoSpaceDE w:val="0"/>
        <w:autoSpaceDN w:val="0"/>
        <w:adjustRightInd w:val="0"/>
        <w:rPr>
          <w:color w:val="000000" w:themeColor="text1"/>
          <w:sz w:val="28"/>
          <w:szCs w:val="28"/>
          <w:lang w:val="en-US"/>
        </w:rPr>
      </w:pPr>
      <w:r w:rsidRPr="00D549EE">
        <w:rPr>
          <w:color w:val="000000" w:themeColor="text1"/>
          <w:sz w:val="28"/>
          <w:szCs w:val="28"/>
          <w:lang w:val="en-US"/>
        </w:rPr>
        <w:tab/>
      </w:r>
    </w:p>
    <w:p w14:paraId="7E758888" w14:textId="77777777" w:rsidR="00DC04F9" w:rsidRDefault="00DC04F9" w:rsidP="00C9582F">
      <w:pPr>
        <w:autoSpaceDE w:val="0"/>
        <w:autoSpaceDN w:val="0"/>
        <w:adjustRightInd w:val="0"/>
        <w:rPr>
          <w:color w:val="000000" w:themeColor="text1"/>
          <w:sz w:val="28"/>
          <w:szCs w:val="28"/>
          <w:lang w:val="en-US"/>
        </w:rPr>
      </w:pPr>
    </w:p>
    <w:p w14:paraId="72F6C4AD" w14:textId="01D96B1E" w:rsidR="00E751E2" w:rsidRPr="00D549EE" w:rsidRDefault="00DC04F9" w:rsidP="00C9582F">
      <w:pPr>
        <w:autoSpaceDE w:val="0"/>
        <w:autoSpaceDN w:val="0"/>
        <w:adjustRightInd w:val="0"/>
        <w:rPr>
          <w:color w:val="000000" w:themeColor="text1"/>
          <w:sz w:val="28"/>
          <w:szCs w:val="28"/>
          <w:lang w:val="en-US"/>
        </w:rPr>
      </w:pPr>
      <w:r>
        <w:rPr>
          <w:color w:val="000000" w:themeColor="text1"/>
          <w:sz w:val="28"/>
          <w:szCs w:val="28"/>
          <w:lang w:val="en-US"/>
        </w:rPr>
        <w:lastRenderedPageBreak/>
        <w:tab/>
      </w:r>
      <w:r w:rsidR="00E751E2" w:rsidRPr="00D549EE">
        <w:rPr>
          <w:color w:val="000000" w:themeColor="text1"/>
          <w:sz w:val="28"/>
          <w:szCs w:val="28"/>
          <w:lang w:val="en-US"/>
        </w:rPr>
        <w:t>The mathematical matrix is written as follow</w:t>
      </w:r>
      <w:r w:rsidR="00502BE4">
        <w:rPr>
          <w:color w:val="000000" w:themeColor="text1"/>
          <w:sz w:val="28"/>
          <w:szCs w:val="28"/>
          <w:lang w:val="en-US"/>
        </w:rPr>
        <w:t>s</w:t>
      </w:r>
      <w:r w:rsidR="005C3914" w:rsidRPr="00D549EE">
        <w:rPr>
          <w:color w:val="000000" w:themeColor="text1"/>
          <w:sz w:val="28"/>
          <w:szCs w:val="28"/>
          <w:lang w:val="en-US"/>
        </w:rPr>
        <w:t xml:space="preserve"> </w:t>
      </w:r>
      <w:r w:rsidR="005C3914" w:rsidRPr="00D549EE">
        <w:rPr>
          <w:color w:val="000000" w:themeColor="text1"/>
          <w:sz w:val="28"/>
          <w:szCs w:val="28"/>
          <w:lang w:val="en-US"/>
        </w:rPr>
        <w:fldChar w:fldCharType="begin" w:fldLock="1"/>
      </w:r>
      <w:r w:rsidR="00CB6E54" w:rsidRPr="00D549EE">
        <w:rPr>
          <w:color w:val="000000" w:themeColor="text1"/>
          <w:sz w:val="28"/>
          <w:szCs w:val="28"/>
          <w:lang w:val="en-US"/>
        </w:rPr>
        <w:instrText>ADDIN CSL_CITATION {"citationItems":[{"id":"ITEM-1","itemData":{"DOI":"10.17059/2015-2-23","ISSN":"24111406","abstract":"In the article, the authors estimated the social effect of foreign direct investments (FDI) in the regions of Kazakhstan. In order to do it, the authors studied the dynamics of FDI of the region operating enterprises with foreign participation and the regional six indicators of socio-economic development during 2003-2013 on the basis of database of RK Agency on statistics. There are 16 regions of Kazakhstan were involved in the experiment (14 provinces and 2 cities of republican significant - Almaty and Astana). The research was carried out using the \"simplified\" version of the T. Saati's Analytic Hierarchy Process (AHP) mathematical apparatus and MS Excel. The constructed economic-mathematical model of an assessment of FDI impact on the population welfare and living quality in the regions was hypothetical as the expert estimates of hypothetical expert were used. The authors made a hypothesis: to receive tools for an assessment of the social effect of FDI in the regions of Kazakhstan - the Rating of regional priority of the factors (RPF Rating). The RPF Rating allowed to define a priority of the factors of the population welfare and living quality in the regions of the country and to calculate aggregate social effect of FDI in Kazakhstan, having allocated the directions of its action on each of six factors in a regional section. The research did not reveal a negative impact of FDI on socio-economic development of the regions; moreover the aggregate social effect of FDI is positive for all regions of Kazakhstan. The authors believe that RPF Rating can become as the important tool of soundness of socio-economic policy in the area of development of public-private partnership in the regions of Kazakhstan, and also positive social effects of FDI growth in the long term - all of this will result in promoting a long-term positive impact on the welfare and living quality of the population of the republic.","author":[{"dropping-particle":"","family":"Rakhmatullayeva","given":"D. Zh","non-dropping-particle":"","parse-names":false,"suffix":""},{"dropping-particle":"","family":"Bobkov","given":"V. N.","non-dropping-particle":"","parse-names":false,"suffix":""},{"dropping-particle":"","family":"Zhatkanbayev","given":"Ye B.","non-dropping-particle":"","parse-names":false,"suffix":""}],"container-title":"Economy of Region","id":"ITEM-1","issue":"2","issued":{"date-parts":[["2015"]]},"page":"285-300","title":"Modeling of social effect of foreign direct investment in the regions of Kazakhstan","type":"article-journal","volume":"2"},"uris":["http://www.mendeley.com/documents/?uuid=ea504b92-1bbd-4e89-879e-dff25ae7ec41"]}],"mendeley":{"formattedCitation":"[105]","plainTextFormattedCitation":"[105]","previouslyFormattedCitation":"[105]"},"properties":{"noteIndex":0},"schema":"https://github.com/citation-style-language/schema/raw/master/csl-citation.json"}</w:instrText>
      </w:r>
      <w:r w:rsidR="005C3914" w:rsidRPr="00D549EE">
        <w:rPr>
          <w:color w:val="000000" w:themeColor="text1"/>
          <w:sz w:val="28"/>
          <w:szCs w:val="28"/>
          <w:lang w:val="en-US"/>
        </w:rPr>
        <w:fldChar w:fldCharType="separate"/>
      </w:r>
      <w:r w:rsidR="00B25838" w:rsidRPr="00D549EE">
        <w:rPr>
          <w:noProof/>
          <w:color w:val="000000" w:themeColor="text1"/>
          <w:sz w:val="28"/>
          <w:szCs w:val="28"/>
          <w:lang w:val="en-US"/>
        </w:rPr>
        <w:t>[105]</w:t>
      </w:r>
      <w:r w:rsidR="005C3914" w:rsidRPr="00D549EE">
        <w:rPr>
          <w:color w:val="000000" w:themeColor="text1"/>
          <w:sz w:val="28"/>
          <w:szCs w:val="28"/>
          <w:lang w:val="en-US"/>
        </w:rPr>
        <w:fldChar w:fldCharType="end"/>
      </w:r>
      <w:r w:rsidR="00E751E2" w:rsidRPr="00D549EE">
        <w:rPr>
          <w:color w:val="000000" w:themeColor="text1"/>
          <w:sz w:val="28"/>
          <w:szCs w:val="28"/>
          <w:lang w:val="en-US"/>
        </w:rPr>
        <w:t xml:space="preserve">: </w:t>
      </w:r>
    </w:p>
    <w:p w14:paraId="1C5CC6D1" w14:textId="2E440D7A" w:rsidR="00F65884" w:rsidRPr="00D549EE" w:rsidRDefault="00F65884" w:rsidP="00C9582F">
      <w:pPr>
        <w:autoSpaceDE w:val="0"/>
        <w:autoSpaceDN w:val="0"/>
        <w:adjustRightInd w:val="0"/>
        <w:rPr>
          <w:color w:val="000000" w:themeColor="text1"/>
          <w:sz w:val="28"/>
          <w:szCs w:val="28"/>
          <w:lang w:val="en-US"/>
        </w:rPr>
      </w:pPr>
    </w:p>
    <w:p w14:paraId="03C5DB17" w14:textId="385F462D" w:rsidR="00F65884" w:rsidRPr="00D549EE" w:rsidRDefault="00F65884" w:rsidP="00C9582F">
      <w:pPr>
        <w:autoSpaceDE w:val="0"/>
        <w:autoSpaceDN w:val="0"/>
        <w:adjustRightInd w:val="0"/>
        <w:jc w:val="right"/>
        <w:rPr>
          <w:color w:val="000000" w:themeColor="text1"/>
          <w:sz w:val="28"/>
          <w:szCs w:val="28"/>
          <w:lang w:val="en-US"/>
        </w:rPr>
      </w:pPr>
      <m:oMath>
        <m:r>
          <w:rPr>
            <w:rFonts w:ascii="Cambria Math" w:hAnsi="Cambria Math"/>
            <w:color w:val="000000" w:themeColor="text1"/>
            <w:sz w:val="28"/>
            <w:szCs w:val="28"/>
            <w:lang w:val="en-US"/>
          </w:rPr>
          <m:t xml:space="preserve">A=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ij</m:t>
            </m:r>
          </m:sub>
        </m:sSub>
        <m:r>
          <w:rPr>
            <w:rFonts w:ascii="Cambria Math" w:hAnsi="Cambria Math"/>
            <w:color w:val="000000" w:themeColor="text1"/>
            <w:sz w:val="28"/>
            <w:szCs w:val="28"/>
            <w:lang w:val="en-US"/>
          </w:rPr>
          <m:t>)</m:t>
        </m:r>
        <m:d>
          <m:dPr>
            <m:ctrlPr>
              <w:rPr>
                <w:rFonts w:ascii="Cambria Math" w:hAnsi="Cambria Math"/>
                <w:i/>
                <w:color w:val="000000" w:themeColor="text1"/>
                <w:sz w:val="28"/>
                <w:szCs w:val="28"/>
                <w:lang w:val="en-US"/>
              </w:rPr>
            </m:ctrlPr>
          </m:dPr>
          <m:e>
            <m:m>
              <m:mPr>
                <m:mcs>
                  <m:mc>
                    <m:mcPr>
                      <m:count m:val="3"/>
                      <m:mcJc m:val="center"/>
                    </m:mcPr>
                  </m:mc>
                </m:mcs>
                <m:ctrlPr>
                  <w:rPr>
                    <w:rFonts w:ascii="Cambria Math" w:hAnsi="Cambria Math"/>
                    <w:i/>
                    <w:color w:val="000000" w:themeColor="text1"/>
                    <w:sz w:val="28"/>
                    <w:szCs w:val="28"/>
                    <w:lang w:val="en-US"/>
                  </w:rPr>
                </m:ctrlPr>
              </m:mPr>
              <m:m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1i</m:t>
                      </m:r>
                    </m:sub>
                  </m:sSub>
                </m:e>
                <m:e>
                  <m:r>
                    <w:rPr>
                      <w:rFonts w:ascii="Cambria Math" w:hAnsi="Cambria Math"/>
                      <w:color w:val="000000" w:themeColor="text1"/>
                      <w:sz w:val="28"/>
                      <w:szCs w:val="28"/>
                      <w:lang w:val="en-US"/>
                    </w:rPr>
                    <m:t>⋯</m:t>
                  </m:r>
                </m:e>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ni</m:t>
                      </m:r>
                    </m:sub>
                  </m:sSub>
                </m:e>
              </m:mr>
              <m:mr>
                <m:e>
                  <m:r>
                    <w:rPr>
                      <w:rFonts w:ascii="Cambria Math" w:hAnsi="Cambria Math"/>
                      <w:color w:val="000000" w:themeColor="text1"/>
                      <w:sz w:val="28"/>
                      <w:szCs w:val="28"/>
                      <w:lang w:val="en-US"/>
                    </w:rPr>
                    <m:t>⋮</m:t>
                  </m:r>
                </m:e>
                <m:e>
                  <m:r>
                    <w:rPr>
                      <w:rFonts w:ascii="Cambria Math" w:hAnsi="Cambria Math"/>
                      <w:color w:val="000000" w:themeColor="text1"/>
                      <w:sz w:val="28"/>
                      <w:szCs w:val="28"/>
                      <w:lang w:val="en-US"/>
                    </w:rPr>
                    <m:t>⋱</m:t>
                  </m:r>
                </m:e>
                <m:e>
                  <m:r>
                    <w:rPr>
                      <w:rFonts w:ascii="Cambria Math" w:hAnsi="Cambria Math"/>
                      <w:color w:val="000000" w:themeColor="text1"/>
                      <w:sz w:val="28"/>
                      <w:szCs w:val="28"/>
                      <w:lang w:val="en-US"/>
                    </w:rPr>
                    <m:t>⋮</m:t>
                  </m:r>
                </m:e>
              </m:mr>
              <m:m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1n</m:t>
                      </m:r>
                    </m:sub>
                  </m:sSub>
                </m:e>
                <m:e>
                  <m:r>
                    <w:rPr>
                      <w:rFonts w:ascii="Cambria Math" w:hAnsi="Cambria Math"/>
                      <w:color w:val="000000" w:themeColor="text1"/>
                      <w:sz w:val="28"/>
                      <w:szCs w:val="28"/>
                      <w:lang w:val="en-US"/>
                    </w:rPr>
                    <m:t>⋯</m:t>
                  </m:r>
                </m:e>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nn</m:t>
                      </m:r>
                    </m:sub>
                  </m:sSub>
                </m:e>
              </m:mr>
            </m:m>
          </m:e>
        </m:d>
      </m:oMath>
      <w:r w:rsidRPr="00D549EE">
        <w:rPr>
          <w:color w:val="000000" w:themeColor="text1"/>
          <w:sz w:val="28"/>
          <w:szCs w:val="28"/>
          <w:lang w:val="en-US"/>
        </w:rPr>
        <w:t xml:space="preserve">  </w:t>
      </w:r>
      <w:r w:rsidR="004C534D" w:rsidRPr="00D549EE">
        <w:rPr>
          <w:color w:val="000000" w:themeColor="text1"/>
          <w:sz w:val="28"/>
          <w:szCs w:val="28"/>
          <w:lang w:val="en-US"/>
        </w:rPr>
        <w:t xml:space="preserve">                                          </w:t>
      </w:r>
      <w:r w:rsidRPr="00D549EE">
        <w:rPr>
          <w:color w:val="000000" w:themeColor="text1"/>
          <w:sz w:val="28"/>
          <w:szCs w:val="28"/>
          <w:lang w:val="en-US"/>
        </w:rPr>
        <w:t xml:space="preserve"> (</w:t>
      </w:r>
      <w:r w:rsidR="000F1F20" w:rsidRPr="00D549EE">
        <w:rPr>
          <w:color w:val="000000" w:themeColor="text1"/>
          <w:sz w:val="28"/>
          <w:szCs w:val="28"/>
          <w:lang w:val="en-US"/>
        </w:rPr>
        <w:t>1</w:t>
      </w:r>
      <w:r w:rsidRPr="00D549EE">
        <w:rPr>
          <w:color w:val="000000" w:themeColor="text1"/>
          <w:sz w:val="28"/>
          <w:szCs w:val="28"/>
          <w:lang w:val="en-US"/>
        </w:rPr>
        <w:t>)</w:t>
      </w:r>
    </w:p>
    <w:p w14:paraId="266BFD8A" w14:textId="58CE4EE5" w:rsidR="00E751E2" w:rsidRPr="00D549EE" w:rsidRDefault="00E751E2" w:rsidP="00C9582F">
      <w:pPr>
        <w:autoSpaceDE w:val="0"/>
        <w:autoSpaceDN w:val="0"/>
        <w:adjustRightInd w:val="0"/>
        <w:rPr>
          <w:color w:val="000000" w:themeColor="text1"/>
          <w:sz w:val="28"/>
          <w:szCs w:val="28"/>
          <w:lang w:val="en-US"/>
        </w:rPr>
      </w:pPr>
    </w:p>
    <w:p w14:paraId="72ECD43E" w14:textId="77777777" w:rsidR="004C534D" w:rsidRPr="00D549EE" w:rsidRDefault="005C3914" w:rsidP="00C9582F">
      <w:pPr>
        <w:autoSpaceDE w:val="0"/>
        <w:autoSpaceDN w:val="0"/>
        <w:adjustRightInd w:val="0"/>
        <w:rPr>
          <w:color w:val="000000" w:themeColor="text1"/>
          <w:sz w:val="28"/>
          <w:szCs w:val="28"/>
          <w:lang w:val="en-US"/>
        </w:rPr>
      </w:pPr>
      <w:r w:rsidRPr="00D549EE">
        <w:rPr>
          <w:color w:val="000000" w:themeColor="text1"/>
          <w:sz w:val="28"/>
          <w:szCs w:val="28"/>
          <w:lang w:val="en-US"/>
        </w:rPr>
        <w:t xml:space="preserve">where </w:t>
      </w:r>
      <w:r w:rsidR="000F1F20" w:rsidRPr="00D549EE">
        <w:rPr>
          <w:color w:val="000000" w:themeColor="text1"/>
          <w:sz w:val="28"/>
          <w:szCs w:val="28"/>
          <w:lang w:val="en-US"/>
        </w:rPr>
        <w:t xml:space="preserve">                </w:t>
      </w:r>
    </w:p>
    <w:p w14:paraId="2D9F9A2D" w14:textId="6DAD708C" w:rsidR="000F1F20" w:rsidRPr="00D549EE" w:rsidRDefault="00191457" w:rsidP="00C9582F">
      <w:pPr>
        <w:autoSpaceDE w:val="0"/>
        <w:autoSpaceDN w:val="0"/>
        <w:adjustRightInd w:val="0"/>
        <w:rPr>
          <w:color w:val="000000" w:themeColor="text1"/>
          <w:sz w:val="28"/>
          <w:szCs w:val="28"/>
          <w:lang w:val="en-US"/>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ij</m:t>
            </m:r>
          </m:sub>
        </m:sSub>
        <m:r>
          <w:rPr>
            <w:rFonts w:ascii="Cambria Math" w:hAnsi="Cambria Math"/>
            <w:color w:val="000000" w:themeColor="text1"/>
            <w:sz w:val="28"/>
            <w:szCs w:val="28"/>
            <w:lang w:val="en-US"/>
          </w:rPr>
          <m:t xml:space="preserve"> and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ji</m:t>
            </m:r>
          </m:sub>
        </m:sSub>
        <m:r>
          <w:rPr>
            <w:rFonts w:ascii="Cambria Math" w:hAnsi="Cambria Math"/>
            <w:color w:val="000000" w:themeColor="text1"/>
            <w:sz w:val="28"/>
            <w:szCs w:val="28"/>
            <w:lang w:val="en-US"/>
          </w:rPr>
          <m:t xml:space="preserve">- </m:t>
        </m:r>
      </m:oMath>
      <w:r w:rsidR="005C3914" w:rsidRPr="00D549EE">
        <w:rPr>
          <w:color w:val="000000" w:themeColor="text1"/>
          <w:sz w:val="28"/>
          <w:szCs w:val="28"/>
          <w:lang w:val="en-US"/>
        </w:rPr>
        <w:t xml:space="preserve"> the elements of the A matrix</w:t>
      </w:r>
      <w:r w:rsidR="004C534D" w:rsidRPr="00D549EE">
        <w:rPr>
          <w:color w:val="000000" w:themeColor="text1"/>
          <w:sz w:val="28"/>
          <w:szCs w:val="28"/>
          <w:lang w:val="en-US"/>
        </w:rPr>
        <w:t>;</w:t>
      </w:r>
      <w:r w:rsidR="005C3914" w:rsidRPr="00D549EE">
        <w:rPr>
          <w:color w:val="000000" w:themeColor="text1"/>
          <w:sz w:val="28"/>
          <w:szCs w:val="28"/>
          <w:lang w:val="en-US"/>
        </w:rPr>
        <w:t xml:space="preserve"> </w:t>
      </w:r>
    </w:p>
    <w:p w14:paraId="4D626167" w14:textId="368424CE" w:rsidR="000F1F20" w:rsidRPr="00D549EE" w:rsidRDefault="004C534D" w:rsidP="00C9582F">
      <w:pPr>
        <w:autoSpaceDE w:val="0"/>
        <w:autoSpaceDN w:val="0"/>
        <w:adjustRightInd w:val="0"/>
        <w:rPr>
          <w:color w:val="000000" w:themeColor="text1"/>
          <w:sz w:val="28"/>
          <w:szCs w:val="28"/>
          <w:lang w:val="en-US"/>
        </w:rPr>
      </w:pPr>
      <w:r w:rsidRPr="00D549EE">
        <w:rPr>
          <w:i/>
          <w:color w:val="000000" w:themeColor="text1"/>
          <w:sz w:val="28"/>
          <w:szCs w:val="28"/>
          <w:lang w:val="en-US"/>
        </w:rPr>
        <w:t xml:space="preserve">i </w:t>
      </w:r>
      <w:r w:rsidR="005C3914" w:rsidRPr="00D549EE">
        <w:rPr>
          <w:color w:val="000000" w:themeColor="text1"/>
          <w:sz w:val="28"/>
          <w:szCs w:val="28"/>
          <w:lang w:val="en-US"/>
        </w:rPr>
        <w:t>– row number of the matrix</w:t>
      </w:r>
      <w:r w:rsidRPr="00D549EE">
        <w:rPr>
          <w:color w:val="000000" w:themeColor="text1"/>
          <w:sz w:val="28"/>
          <w:szCs w:val="28"/>
          <w:lang w:val="en-US"/>
        </w:rPr>
        <w:t>;</w:t>
      </w:r>
      <w:r w:rsidR="005C3914" w:rsidRPr="00D549EE">
        <w:rPr>
          <w:color w:val="000000" w:themeColor="text1"/>
          <w:sz w:val="28"/>
          <w:szCs w:val="28"/>
          <w:lang w:val="en-US"/>
        </w:rPr>
        <w:t xml:space="preserve"> </w:t>
      </w:r>
    </w:p>
    <w:p w14:paraId="417265D8" w14:textId="05502FAC" w:rsidR="00A2106D" w:rsidRPr="00D549EE" w:rsidRDefault="005C3914" w:rsidP="00C9582F">
      <w:pPr>
        <w:autoSpaceDE w:val="0"/>
        <w:autoSpaceDN w:val="0"/>
        <w:adjustRightInd w:val="0"/>
        <w:rPr>
          <w:color w:val="000000" w:themeColor="text1"/>
          <w:sz w:val="28"/>
          <w:szCs w:val="28"/>
          <w:lang w:val="en-US"/>
        </w:rPr>
      </w:pPr>
      <w:r w:rsidRPr="00D549EE">
        <w:rPr>
          <w:color w:val="000000" w:themeColor="text1"/>
          <w:sz w:val="28"/>
          <w:szCs w:val="28"/>
          <w:lang w:val="en-US"/>
        </w:rPr>
        <w:t>j</w:t>
      </w:r>
      <w:r w:rsidR="00DA185C" w:rsidRPr="00D549EE">
        <w:rPr>
          <w:color w:val="000000" w:themeColor="text1"/>
          <w:sz w:val="28"/>
          <w:szCs w:val="28"/>
          <w:lang w:val="en-US"/>
        </w:rPr>
        <w:t xml:space="preserve"> </w:t>
      </w:r>
      <w:r w:rsidR="004C534D" w:rsidRPr="00D549EE">
        <w:rPr>
          <w:color w:val="000000" w:themeColor="text1"/>
          <w:sz w:val="28"/>
          <w:szCs w:val="28"/>
          <w:lang w:val="en-US"/>
        </w:rPr>
        <w:t>–</w:t>
      </w:r>
      <w:r w:rsidR="00DA185C" w:rsidRPr="00D549EE">
        <w:rPr>
          <w:color w:val="000000" w:themeColor="text1"/>
          <w:sz w:val="28"/>
          <w:szCs w:val="28"/>
          <w:lang w:val="en-US"/>
        </w:rPr>
        <w:t xml:space="preserve"> column number</w:t>
      </w:r>
      <w:r w:rsidR="004C534D" w:rsidRPr="00D549EE">
        <w:rPr>
          <w:color w:val="000000" w:themeColor="text1"/>
          <w:sz w:val="28"/>
          <w:szCs w:val="28"/>
          <w:lang w:val="en-US"/>
        </w:rPr>
        <w:t xml:space="preserve"> of the matrix</w:t>
      </w:r>
      <w:r w:rsidR="00DA185C" w:rsidRPr="00D549EE">
        <w:rPr>
          <w:color w:val="000000" w:themeColor="text1"/>
          <w:sz w:val="28"/>
          <w:szCs w:val="28"/>
          <w:lang w:val="en-US"/>
        </w:rPr>
        <w:t xml:space="preserve">. </w:t>
      </w:r>
    </w:p>
    <w:p w14:paraId="2DF50E4F" w14:textId="77777777" w:rsidR="004C534D" w:rsidRPr="00D549EE" w:rsidRDefault="00A2106D" w:rsidP="00C9582F">
      <w:pPr>
        <w:autoSpaceDE w:val="0"/>
        <w:autoSpaceDN w:val="0"/>
        <w:adjustRightInd w:val="0"/>
        <w:jc w:val="both"/>
        <w:rPr>
          <w:color w:val="000000" w:themeColor="text1"/>
          <w:sz w:val="28"/>
          <w:szCs w:val="28"/>
          <w:lang w:val="en-US"/>
        </w:rPr>
      </w:pPr>
      <w:r w:rsidRPr="00D549EE">
        <w:rPr>
          <w:color w:val="000000" w:themeColor="text1"/>
          <w:sz w:val="28"/>
          <w:szCs w:val="28"/>
          <w:lang w:val="en-US"/>
        </w:rPr>
        <w:tab/>
      </w:r>
    </w:p>
    <w:p w14:paraId="473878E5" w14:textId="77777777" w:rsidR="005A6A6F" w:rsidRPr="005A6A6F" w:rsidRDefault="004C534D" w:rsidP="005A6A6F">
      <w:pPr>
        <w:autoSpaceDE w:val="0"/>
        <w:autoSpaceDN w:val="0"/>
        <w:adjustRightInd w:val="0"/>
        <w:jc w:val="both"/>
        <w:rPr>
          <w:color w:val="000000" w:themeColor="text1"/>
          <w:sz w:val="28"/>
          <w:szCs w:val="28"/>
          <w:lang w:val="en-US"/>
        </w:rPr>
      </w:pPr>
      <w:r w:rsidRPr="00D549EE">
        <w:rPr>
          <w:color w:val="000000" w:themeColor="text1"/>
          <w:sz w:val="28"/>
          <w:szCs w:val="28"/>
          <w:lang w:val="en-US"/>
        </w:rPr>
        <w:tab/>
      </w:r>
      <w:r w:rsidR="005A6A6F" w:rsidRPr="005A6A6F">
        <w:rPr>
          <w:color w:val="000000" w:themeColor="text1"/>
          <w:sz w:val="28"/>
          <w:szCs w:val="28"/>
          <w:lang w:val="en-US"/>
        </w:rPr>
        <w:t>The next step is obtaining the experts' assessment of the criteria for the rational weight of the indexes. The expert compiles the assessment based on the Relative importance scale, Table 15, which is given a special scale of the assessment of each criterion one by one, where 1- Equal Importance, 3- Moderate importance, 5- Strong importance, 7- Very strong importance, 9- Extreme importance (2,4,6,8 values in-between). Which of the two factors is more significant in terms of influence on macroeconomics.</w:t>
      </w:r>
    </w:p>
    <w:p w14:paraId="5C82D65C" w14:textId="77777777" w:rsidR="005A6A6F" w:rsidRPr="005A6A6F" w:rsidRDefault="005A6A6F" w:rsidP="005A6A6F">
      <w:pPr>
        <w:autoSpaceDE w:val="0"/>
        <w:autoSpaceDN w:val="0"/>
        <w:adjustRightInd w:val="0"/>
        <w:jc w:val="both"/>
        <w:rPr>
          <w:color w:val="000000" w:themeColor="text1"/>
          <w:sz w:val="28"/>
          <w:szCs w:val="28"/>
          <w:lang w:val="en-US"/>
        </w:rPr>
      </w:pPr>
      <w:r w:rsidRPr="005A6A6F">
        <w:rPr>
          <w:color w:val="000000" w:themeColor="text1"/>
          <w:sz w:val="28"/>
          <w:szCs w:val="28"/>
          <w:lang w:val="en-US"/>
        </w:rPr>
        <w:tab/>
        <w:t>As the factors of social effects, there have been used the number of social criteria and statistical data obtained from the official resources have been calculated in the form of a matrix by using MS Excel software. For the criteria, the experts' assessment of the social effects in the context of Islamic finance is implemented. There have been used 6 social factors – employment, environment, health, education, poverty, and consumption, as the main social factors. The selected factors are determined as the impact of Islamic finance on the social indicators that directly and/or indirectly affect the country's individual and population quality of life [105]. Employment as the social factor directly affects the well-being of the individual, as there is a close relationship between minimum wage and quality of life, as well as the unemployment rate is an indicator of the country's employment situation [106]. The health of a community plays a vital role in the quality of life, and a healthier population is healthier and longer the productive age a person. It is the capacity and improvement of welfare. The level of education, in turn, gives the ability to increase the amount of income, that is, wage, not only on the individual's level but also on the level of the country and region.</w:t>
      </w:r>
    </w:p>
    <w:p w14:paraId="22667A37" w14:textId="6EF8D207" w:rsidR="005A6A6F" w:rsidRPr="005A6A6F" w:rsidRDefault="00386FE9" w:rsidP="005A6A6F">
      <w:pPr>
        <w:autoSpaceDE w:val="0"/>
        <w:autoSpaceDN w:val="0"/>
        <w:adjustRightInd w:val="0"/>
        <w:jc w:val="both"/>
        <w:rPr>
          <w:color w:val="000000" w:themeColor="text1"/>
          <w:sz w:val="28"/>
          <w:szCs w:val="28"/>
          <w:lang w:val="en-US"/>
        </w:rPr>
      </w:pPr>
      <w:r>
        <w:rPr>
          <w:color w:val="000000" w:themeColor="text1"/>
          <w:sz w:val="28"/>
          <w:szCs w:val="28"/>
          <w:lang w:val="en-US"/>
        </w:rPr>
        <w:tab/>
      </w:r>
      <w:r w:rsidR="005A6A6F" w:rsidRPr="005A6A6F">
        <w:rPr>
          <w:color w:val="000000" w:themeColor="text1"/>
          <w:sz w:val="28"/>
          <w:szCs w:val="28"/>
          <w:lang w:val="en-US"/>
        </w:rPr>
        <w:t xml:space="preserve">Consumption as the factor of social effect consists of the individual's ability to consume food and non-food goods and services. On the other hand, poverty is an economic inability to cover basic food and non-food needs as measured by expenditure. The environment in the context of the social effect of Islamic finance also covers the main investment criteria, as the concept of Islamic finance is based on prohibition and avoidance of investments in harmful activity for society and individuals. </w:t>
      </w:r>
    </w:p>
    <w:p w14:paraId="506B4DF2" w14:textId="77777777" w:rsidR="005A6A6F" w:rsidRPr="005A6A6F" w:rsidRDefault="005A6A6F" w:rsidP="005A6A6F">
      <w:pPr>
        <w:autoSpaceDE w:val="0"/>
        <w:autoSpaceDN w:val="0"/>
        <w:adjustRightInd w:val="0"/>
        <w:jc w:val="both"/>
        <w:rPr>
          <w:color w:val="000000" w:themeColor="text1"/>
          <w:sz w:val="28"/>
          <w:szCs w:val="28"/>
          <w:lang w:val="en-US"/>
        </w:rPr>
      </w:pPr>
      <w:r w:rsidRPr="005A6A6F">
        <w:rPr>
          <w:color w:val="000000" w:themeColor="text1"/>
          <w:sz w:val="28"/>
          <w:szCs w:val="28"/>
          <w:lang w:val="en-US"/>
        </w:rPr>
        <w:tab/>
        <w:t>The resulting weights are based on the principal eigenvector of the decision Matrix based on the AHP. The issue of eigenvalues plays a significant role in all unstable oscillations and vibrations phenomena. Since the frequency of oscillations is determined by the eigenvalues of some matrix, the shape of these oscillations is indicated by the eigenvectors of the matrix. The analysis of the eigenvalues of the matrices will be applicable for estimating the Islamic finance impact in Kazakhstan.</w:t>
      </w:r>
    </w:p>
    <w:p w14:paraId="033D29A1" w14:textId="16A6CD6F" w:rsidR="00C70E40" w:rsidRDefault="005A6A6F" w:rsidP="005A6A6F">
      <w:pPr>
        <w:autoSpaceDE w:val="0"/>
        <w:autoSpaceDN w:val="0"/>
        <w:adjustRightInd w:val="0"/>
        <w:jc w:val="both"/>
        <w:rPr>
          <w:color w:val="000000" w:themeColor="text1"/>
          <w:sz w:val="28"/>
          <w:szCs w:val="28"/>
          <w:lang w:val="en-US"/>
        </w:rPr>
      </w:pPr>
      <w:r w:rsidRPr="005A6A6F">
        <w:rPr>
          <w:color w:val="000000" w:themeColor="text1"/>
          <w:sz w:val="28"/>
          <w:szCs w:val="28"/>
          <w:lang w:val="en-US"/>
        </w:rPr>
        <w:lastRenderedPageBreak/>
        <w:tab/>
        <w:t>The next step of the matrix is to do a consistency test to avoid judgment contrary to common sense in assigning the relative importance values. The test consists of calculating the main indicators. The mathematical calculations for the matrix show, the (1) Consistency index CI, is obtained based on delta and explains the quality of the expert's assessment, a perfectly consistent decision should always obtain CI=0, but small mismatch values may be allowed; the (2) average random Consistency index RI (the average random Consistency index for n number of order is various from 0, when n=1 till 1.24, when n=6, according to G.Wu (Table  16); and the (3) Consistency ratio (CR = CI/RI) CR&lt;0.1.</w:t>
      </w:r>
    </w:p>
    <w:p w14:paraId="1823D146" w14:textId="77777777" w:rsidR="005A6A6F" w:rsidRPr="00D549EE" w:rsidRDefault="005A6A6F" w:rsidP="005A6A6F">
      <w:pPr>
        <w:autoSpaceDE w:val="0"/>
        <w:autoSpaceDN w:val="0"/>
        <w:adjustRightInd w:val="0"/>
        <w:jc w:val="both"/>
        <w:rPr>
          <w:rStyle w:val="res"/>
          <w:color w:val="000000" w:themeColor="text1"/>
          <w:sz w:val="28"/>
          <w:szCs w:val="28"/>
          <w:lang w:val="en-US"/>
        </w:rPr>
      </w:pPr>
    </w:p>
    <w:p w14:paraId="35269053" w14:textId="64FAED5F" w:rsidR="00C70E40" w:rsidRPr="00D549EE" w:rsidRDefault="00C70E40" w:rsidP="00C9582F">
      <w:pPr>
        <w:jc w:val="both"/>
        <w:rPr>
          <w:rStyle w:val="res"/>
          <w:color w:val="000000" w:themeColor="text1"/>
          <w:sz w:val="28"/>
          <w:szCs w:val="28"/>
          <w:lang w:val="en-US"/>
        </w:rPr>
      </w:pPr>
      <w:r w:rsidRPr="00D549EE">
        <w:rPr>
          <w:rStyle w:val="res"/>
          <w:color w:val="000000" w:themeColor="text1"/>
          <w:sz w:val="28"/>
          <w:szCs w:val="28"/>
          <w:lang w:val="en-US"/>
        </w:rPr>
        <w:t>Table 1</w:t>
      </w:r>
      <w:r w:rsidR="00736E1B" w:rsidRPr="00D549EE">
        <w:rPr>
          <w:rStyle w:val="res"/>
          <w:color w:val="000000" w:themeColor="text1"/>
          <w:sz w:val="28"/>
          <w:szCs w:val="28"/>
          <w:lang w:val="en-US"/>
        </w:rPr>
        <w:t>6</w:t>
      </w:r>
      <w:r w:rsidRPr="00D549EE">
        <w:rPr>
          <w:rStyle w:val="res"/>
          <w:color w:val="000000" w:themeColor="text1"/>
          <w:sz w:val="28"/>
          <w:szCs w:val="28"/>
          <w:lang w:val="en-US"/>
        </w:rPr>
        <w:t xml:space="preserve"> </w:t>
      </w:r>
      <w:r w:rsidRPr="00D549EE">
        <w:rPr>
          <w:sz w:val="28"/>
          <w:szCs w:val="28"/>
          <w:lang w:val="en-US"/>
        </w:rPr>
        <w:t xml:space="preserve">– </w:t>
      </w:r>
      <w:r w:rsidRPr="00D549EE">
        <w:rPr>
          <w:rStyle w:val="res"/>
          <w:color w:val="000000" w:themeColor="text1"/>
          <w:sz w:val="28"/>
          <w:szCs w:val="28"/>
          <w:lang w:val="en-US"/>
        </w:rPr>
        <w:t xml:space="preserve"> </w:t>
      </w:r>
      <w:r w:rsidRPr="00D549EE">
        <w:rPr>
          <w:rStyle w:val="res"/>
          <w:rFonts w:ascii="Courier New" w:hAnsi="Courier New" w:cs="Courier New"/>
          <w:color w:val="000000" w:themeColor="text1"/>
          <w:sz w:val="28"/>
          <w:szCs w:val="28"/>
          <w:lang w:val="en-US"/>
        </w:rPr>
        <w:t>﻿</w:t>
      </w:r>
      <w:r w:rsidRPr="00D549EE">
        <w:rPr>
          <w:rStyle w:val="res"/>
          <w:color w:val="000000" w:themeColor="text1"/>
          <w:sz w:val="28"/>
          <w:szCs w:val="28"/>
          <w:lang w:val="en-US"/>
        </w:rPr>
        <w:t>Average random consistency index RI</w:t>
      </w:r>
    </w:p>
    <w:p w14:paraId="728F18FD" w14:textId="76BE8809" w:rsidR="00C70E40" w:rsidRPr="00D549EE" w:rsidRDefault="00C70E40" w:rsidP="00C9582F">
      <w:pPr>
        <w:jc w:val="both"/>
        <w:rPr>
          <w:rStyle w:val="res"/>
          <w:color w:val="000000" w:themeColor="text1"/>
          <w:sz w:val="28"/>
          <w:szCs w:val="28"/>
          <w:lang w:val="en-US"/>
        </w:rPr>
      </w:pPr>
    </w:p>
    <w:tbl>
      <w:tblPr>
        <w:tblStyle w:val="a9"/>
        <w:tblW w:w="9435" w:type="dxa"/>
        <w:tblLook w:val="04A0" w:firstRow="1" w:lastRow="0" w:firstColumn="1" w:lastColumn="0" w:noHBand="0" w:noVBand="1"/>
      </w:tblPr>
      <w:tblGrid>
        <w:gridCol w:w="2273"/>
        <w:gridCol w:w="557"/>
        <w:gridCol w:w="426"/>
        <w:gridCol w:w="642"/>
        <w:gridCol w:w="791"/>
        <w:gridCol w:w="791"/>
        <w:gridCol w:w="791"/>
        <w:gridCol w:w="791"/>
        <w:gridCol w:w="791"/>
        <w:gridCol w:w="791"/>
        <w:gridCol w:w="791"/>
      </w:tblGrid>
      <w:tr w:rsidR="00C70E40" w:rsidRPr="00D549EE" w14:paraId="1D370C53" w14:textId="77777777" w:rsidTr="00C47720">
        <w:trPr>
          <w:trHeight w:val="272"/>
        </w:trPr>
        <w:tc>
          <w:tcPr>
            <w:tcW w:w="0" w:type="auto"/>
          </w:tcPr>
          <w:p w14:paraId="42969648" w14:textId="5BDE77BC" w:rsidR="00C70E40" w:rsidRPr="00D549EE" w:rsidRDefault="00C70E40" w:rsidP="00C9582F">
            <w:pPr>
              <w:rPr>
                <w:rStyle w:val="res"/>
                <w:color w:val="000000" w:themeColor="text1"/>
                <w:lang w:val="en-US"/>
              </w:rPr>
            </w:pPr>
            <w:r w:rsidRPr="00D549EE">
              <w:rPr>
                <w:rStyle w:val="res"/>
                <w:rFonts w:ascii="Courier New" w:hAnsi="Courier New" w:cs="Courier New"/>
                <w:color w:val="000000" w:themeColor="text1"/>
                <w:lang w:val="en-US"/>
              </w:rPr>
              <w:t>﻿</w:t>
            </w:r>
            <w:r w:rsidRPr="00D549EE">
              <w:rPr>
                <w:rStyle w:val="res"/>
                <w:color w:val="000000" w:themeColor="text1"/>
                <w:lang w:val="en-US"/>
              </w:rPr>
              <w:t xml:space="preserve">Matrix Order (n) </w:t>
            </w:r>
          </w:p>
        </w:tc>
        <w:tc>
          <w:tcPr>
            <w:tcW w:w="557" w:type="dxa"/>
          </w:tcPr>
          <w:p w14:paraId="26102CF0" w14:textId="7DFB5510" w:rsidR="00C70E40" w:rsidRPr="00D549EE" w:rsidRDefault="00C70E40" w:rsidP="00C9582F">
            <w:pPr>
              <w:rPr>
                <w:rStyle w:val="res"/>
                <w:color w:val="000000" w:themeColor="text1"/>
                <w:lang w:val="en-US"/>
              </w:rPr>
            </w:pPr>
            <w:r w:rsidRPr="00D549EE">
              <w:rPr>
                <w:rStyle w:val="res"/>
                <w:color w:val="000000" w:themeColor="text1"/>
                <w:lang w:val="en-US"/>
              </w:rPr>
              <w:t>1</w:t>
            </w:r>
          </w:p>
        </w:tc>
        <w:tc>
          <w:tcPr>
            <w:tcW w:w="426" w:type="dxa"/>
          </w:tcPr>
          <w:p w14:paraId="5598B26D" w14:textId="2DFB47D7" w:rsidR="00C70E40" w:rsidRPr="00D549EE" w:rsidRDefault="00C70E40" w:rsidP="00C9582F">
            <w:pPr>
              <w:rPr>
                <w:rStyle w:val="res"/>
                <w:color w:val="000000" w:themeColor="text1"/>
                <w:lang w:val="en-US"/>
              </w:rPr>
            </w:pPr>
            <w:r w:rsidRPr="00D549EE">
              <w:rPr>
                <w:rStyle w:val="res"/>
                <w:color w:val="000000" w:themeColor="text1"/>
                <w:lang w:val="en-US"/>
              </w:rPr>
              <w:t>2</w:t>
            </w:r>
          </w:p>
        </w:tc>
        <w:tc>
          <w:tcPr>
            <w:tcW w:w="642" w:type="dxa"/>
          </w:tcPr>
          <w:p w14:paraId="5E01E520" w14:textId="1BFFD4DB" w:rsidR="00C70E40" w:rsidRPr="00D549EE" w:rsidRDefault="00C70E40" w:rsidP="00C9582F">
            <w:pPr>
              <w:rPr>
                <w:rStyle w:val="res"/>
                <w:color w:val="000000" w:themeColor="text1"/>
                <w:lang w:val="en-US"/>
              </w:rPr>
            </w:pPr>
            <w:r w:rsidRPr="00D549EE">
              <w:rPr>
                <w:rStyle w:val="res"/>
                <w:color w:val="000000" w:themeColor="text1"/>
                <w:lang w:val="en-US"/>
              </w:rPr>
              <w:t>3</w:t>
            </w:r>
          </w:p>
        </w:tc>
        <w:tc>
          <w:tcPr>
            <w:tcW w:w="0" w:type="auto"/>
          </w:tcPr>
          <w:p w14:paraId="09BFDB30" w14:textId="40958F8E" w:rsidR="00C70E40" w:rsidRPr="00D549EE" w:rsidRDefault="00C70E40" w:rsidP="00C9582F">
            <w:pPr>
              <w:rPr>
                <w:rStyle w:val="res"/>
                <w:color w:val="000000" w:themeColor="text1"/>
                <w:lang w:val="en-US"/>
              </w:rPr>
            </w:pPr>
            <w:r w:rsidRPr="00D549EE">
              <w:rPr>
                <w:rStyle w:val="res"/>
                <w:color w:val="000000" w:themeColor="text1"/>
                <w:lang w:val="en-US"/>
              </w:rPr>
              <w:t>4</w:t>
            </w:r>
          </w:p>
        </w:tc>
        <w:tc>
          <w:tcPr>
            <w:tcW w:w="0" w:type="auto"/>
          </w:tcPr>
          <w:p w14:paraId="20487CC2" w14:textId="44B104B1" w:rsidR="00C70E40" w:rsidRPr="00D549EE" w:rsidRDefault="00C70E40" w:rsidP="00C9582F">
            <w:pPr>
              <w:rPr>
                <w:rStyle w:val="res"/>
                <w:color w:val="000000" w:themeColor="text1"/>
                <w:lang w:val="en-US"/>
              </w:rPr>
            </w:pPr>
            <w:r w:rsidRPr="00D549EE">
              <w:rPr>
                <w:rStyle w:val="res"/>
                <w:color w:val="000000" w:themeColor="text1"/>
                <w:lang w:val="en-US"/>
              </w:rPr>
              <w:t>5</w:t>
            </w:r>
          </w:p>
        </w:tc>
        <w:tc>
          <w:tcPr>
            <w:tcW w:w="0" w:type="auto"/>
          </w:tcPr>
          <w:p w14:paraId="17E6DA6C" w14:textId="560DC66D" w:rsidR="00C70E40" w:rsidRPr="00D549EE" w:rsidRDefault="00C70E40" w:rsidP="00C9582F">
            <w:pPr>
              <w:rPr>
                <w:rStyle w:val="res"/>
                <w:color w:val="000000" w:themeColor="text1"/>
                <w:lang w:val="en-US"/>
              </w:rPr>
            </w:pPr>
            <w:r w:rsidRPr="00D549EE">
              <w:rPr>
                <w:rStyle w:val="res"/>
                <w:color w:val="000000" w:themeColor="text1"/>
                <w:lang w:val="en-US"/>
              </w:rPr>
              <w:t>6</w:t>
            </w:r>
          </w:p>
        </w:tc>
        <w:tc>
          <w:tcPr>
            <w:tcW w:w="0" w:type="auto"/>
          </w:tcPr>
          <w:p w14:paraId="0E5620B4" w14:textId="6982326A" w:rsidR="00C70E40" w:rsidRPr="00D549EE" w:rsidRDefault="00C70E40" w:rsidP="00C9582F">
            <w:pPr>
              <w:rPr>
                <w:rStyle w:val="res"/>
                <w:color w:val="000000" w:themeColor="text1"/>
                <w:lang w:val="en-US"/>
              </w:rPr>
            </w:pPr>
            <w:r w:rsidRPr="00D549EE">
              <w:rPr>
                <w:rStyle w:val="res"/>
                <w:color w:val="000000" w:themeColor="text1"/>
                <w:lang w:val="en-US"/>
              </w:rPr>
              <w:t>7</w:t>
            </w:r>
          </w:p>
        </w:tc>
        <w:tc>
          <w:tcPr>
            <w:tcW w:w="0" w:type="auto"/>
          </w:tcPr>
          <w:p w14:paraId="19314719" w14:textId="42D4FF26" w:rsidR="00C70E40" w:rsidRPr="00D549EE" w:rsidRDefault="00C70E40" w:rsidP="00C9582F">
            <w:pPr>
              <w:rPr>
                <w:rStyle w:val="res"/>
                <w:color w:val="000000" w:themeColor="text1"/>
                <w:lang w:val="en-US"/>
              </w:rPr>
            </w:pPr>
            <w:r w:rsidRPr="00D549EE">
              <w:rPr>
                <w:rStyle w:val="res"/>
                <w:color w:val="000000" w:themeColor="text1"/>
                <w:lang w:val="en-US"/>
              </w:rPr>
              <w:t>8</w:t>
            </w:r>
          </w:p>
        </w:tc>
        <w:tc>
          <w:tcPr>
            <w:tcW w:w="0" w:type="auto"/>
          </w:tcPr>
          <w:p w14:paraId="12815C48" w14:textId="004D2B34" w:rsidR="00C70E40" w:rsidRPr="00D549EE" w:rsidRDefault="00C70E40" w:rsidP="00C9582F">
            <w:pPr>
              <w:rPr>
                <w:rStyle w:val="res"/>
                <w:color w:val="000000" w:themeColor="text1"/>
                <w:lang w:val="en-US"/>
              </w:rPr>
            </w:pPr>
            <w:r w:rsidRPr="00D549EE">
              <w:rPr>
                <w:rStyle w:val="res"/>
                <w:color w:val="000000" w:themeColor="text1"/>
                <w:lang w:val="en-US"/>
              </w:rPr>
              <w:t>9</w:t>
            </w:r>
          </w:p>
        </w:tc>
        <w:tc>
          <w:tcPr>
            <w:tcW w:w="0" w:type="auto"/>
          </w:tcPr>
          <w:p w14:paraId="07BDF39A" w14:textId="4351F675" w:rsidR="00C70E40" w:rsidRPr="00D549EE" w:rsidRDefault="00C70E40" w:rsidP="00C9582F">
            <w:pPr>
              <w:rPr>
                <w:rStyle w:val="res"/>
                <w:color w:val="000000" w:themeColor="text1"/>
                <w:lang w:val="en-US"/>
              </w:rPr>
            </w:pPr>
            <w:r w:rsidRPr="00D549EE">
              <w:rPr>
                <w:rStyle w:val="res"/>
                <w:color w:val="000000" w:themeColor="text1"/>
                <w:lang w:val="en-US"/>
              </w:rPr>
              <w:t>10</w:t>
            </w:r>
          </w:p>
        </w:tc>
      </w:tr>
      <w:tr w:rsidR="00C70E40" w:rsidRPr="00D549EE" w14:paraId="1F51259A" w14:textId="77777777" w:rsidTr="00C47720">
        <w:trPr>
          <w:trHeight w:val="272"/>
        </w:trPr>
        <w:tc>
          <w:tcPr>
            <w:tcW w:w="0" w:type="auto"/>
          </w:tcPr>
          <w:p w14:paraId="63E09A87" w14:textId="52E364D6" w:rsidR="00C70E40" w:rsidRPr="00D549EE" w:rsidRDefault="00C70E40" w:rsidP="00C9582F">
            <w:pPr>
              <w:rPr>
                <w:rStyle w:val="res"/>
                <w:color w:val="000000" w:themeColor="text1"/>
                <w:lang w:val="en-US"/>
              </w:rPr>
            </w:pPr>
            <w:r w:rsidRPr="00D549EE">
              <w:rPr>
                <w:rStyle w:val="res"/>
                <w:color w:val="000000" w:themeColor="text1"/>
                <w:lang w:val="en-US"/>
              </w:rPr>
              <w:t>Ra</w:t>
            </w:r>
            <w:r w:rsidRPr="00D549EE">
              <w:rPr>
                <w:rStyle w:val="res"/>
                <w:color w:val="000000" w:themeColor="text1"/>
              </w:rPr>
              <w:t xml:space="preserve">ndom </w:t>
            </w:r>
            <w:r w:rsidRPr="00D549EE">
              <w:rPr>
                <w:rStyle w:val="res"/>
              </w:rPr>
              <w:t>I</w:t>
            </w:r>
            <w:r w:rsidRPr="00D549EE">
              <w:rPr>
                <w:rStyle w:val="res"/>
                <w:lang w:val="en-US"/>
              </w:rPr>
              <w:t>n</w:t>
            </w:r>
            <w:r w:rsidRPr="00D549EE">
              <w:rPr>
                <w:rStyle w:val="res"/>
              </w:rPr>
              <w:t>dex</w:t>
            </w:r>
          </w:p>
        </w:tc>
        <w:tc>
          <w:tcPr>
            <w:tcW w:w="557" w:type="dxa"/>
          </w:tcPr>
          <w:p w14:paraId="3A9506BC" w14:textId="3A68B1E2" w:rsidR="00C70E40" w:rsidRPr="00D549EE" w:rsidRDefault="00C70E40" w:rsidP="00C9582F">
            <w:pPr>
              <w:rPr>
                <w:rStyle w:val="res"/>
                <w:color w:val="000000" w:themeColor="text1"/>
                <w:lang w:val="en-US"/>
              </w:rPr>
            </w:pPr>
            <w:r w:rsidRPr="00D549EE">
              <w:rPr>
                <w:rStyle w:val="res"/>
                <w:color w:val="000000" w:themeColor="text1"/>
                <w:lang w:val="en-US"/>
              </w:rPr>
              <w:t>0</w:t>
            </w:r>
          </w:p>
        </w:tc>
        <w:tc>
          <w:tcPr>
            <w:tcW w:w="426" w:type="dxa"/>
          </w:tcPr>
          <w:p w14:paraId="02301E09" w14:textId="5D7CFA99" w:rsidR="00C70E40" w:rsidRPr="00D549EE" w:rsidRDefault="00C70E40" w:rsidP="00C9582F">
            <w:pPr>
              <w:rPr>
                <w:rStyle w:val="res"/>
                <w:color w:val="000000" w:themeColor="text1"/>
                <w:lang w:val="en-US"/>
              </w:rPr>
            </w:pPr>
            <w:r w:rsidRPr="00D549EE">
              <w:rPr>
                <w:rStyle w:val="res"/>
                <w:color w:val="000000" w:themeColor="text1"/>
                <w:lang w:val="en-US"/>
              </w:rPr>
              <w:t>0</w:t>
            </w:r>
          </w:p>
        </w:tc>
        <w:tc>
          <w:tcPr>
            <w:tcW w:w="642" w:type="dxa"/>
          </w:tcPr>
          <w:p w14:paraId="0AFCFA8B" w14:textId="1A2F9D7D" w:rsidR="00C70E40" w:rsidRPr="00D549EE" w:rsidRDefault="00C70E40" w:rsidP="00C9582F">
            <w:pPr>
              <w:rPr>
                <w:rStyle w:val="res"/>
                <w:color w:val="000000" w:themeColor="text1"/>
                <w:lang w:val="en-US"/>
              </w:rPr>
            </w:pPr>
            <w:r w:rsidRPr="00D549EE">
              <w:rPr>
                <w:rStyle w:val="res"/>
                <w:color w:val="000000" w:themeColor="text1"/>
                <w:lang w:val="en-US"/>
              </w:rPr>
              <w:t>0.58</w:t>
            </w:r>
          </w:p>
        </w:tc>
        <w:tc>
          <w:tcPr>
            <w:tcW w:w="0" w:type="auto"/>
          </w:tcPr>
          <w:p w14:paraId="26244D9D" w14:textId="09CE6096" w:rsidR="00C70E40" w:rsidRPr="00D549EE" w:rsidRDefault="00C70E40" w:rsidP="00C9582F">
            <w:pPr>
              <w:rPr>
                <w:rStyle w:val="res"/>
                <w:color w:val="000000" w:themeColor="text1"/>
                <w:lang w:val="en-US"/>
              </w:rPr>
            </w:pPr>
            <w:r w:rsidRPr="00D549EE">
              <w:rPr>
                <w:rStyle w:val="res"/>
                <w:color w:val="000000" w:themeColor="text1"/>
                <w:lang w:val="en-US"/>
              </w:rPr>
              <w:t>0.90</w:t>
            </w:r>
          </w:p>
        </w:tc>
        <w:tc>
          <w:tcPr>
            <w:tcW w:w="0" w:type="auto"/>
          </w:tcPr>
          <w:p w14:paraId="59C24376" w14:textId="4C6483FB" w:rsidR="00C70E40" w:rsidRPr="00D549EE" w:rsidRDefault="00C70E40" w:rsidP="00C9582F">
            <w:pPr>
              <w:rPr>
                <w:rStyle w:val="res"/>
                <w:color w:val="000000" w:themeColor="text1"/>
                <w:lang w:val="en-US"/>
              </w:rPr>
            </w:pPr>
            <w:r w:rsidRPr="00D549EE">
              <w:rPr>
                <w:rStyle w:val="res"/>
                <w:color w:val="000000" w:themeColor="text1"/>
                <w:lang w:val="en-US"/>
              </w:rPr>
              <w:t>1.12</w:t>
            </w:r>
          </w:p>
        </w:tc>
        <w:tc>
          <w:tcPr>
            <w:tcW w:w="0" w:type="auto"/>
          </w:tcPr>
          <w:p w14:paraId="0CA2E2BF" w14:textId="0098A332" w:rsidR="00C70E40" w:rsidRPr="00D549EE" w:rsidRDefault="00C70E40" w:rsidP="00C9582F">
            <w:pPr>
              <w:rPr>
                <w:rStyle w:val="res"/>
                <w:color w:val="000000" w:themeColor="text1"/>
                <w:lang w:val="en-US"/>
              </w:rPr>
            </w:pPr>
            <w:r w:rsidRPr="00D549EE">
              <w:rPr>
                <w:rStyle w:val="res"/>
                <w:color w:val="000000" w:themeColor="text1"/>
                <w:lang w:val="en-US"/>
              </w:rPr>
              <w:t>1.24</w:t>
            </w:r>
          </w:p>
        </w:tc>
        <w:tc>
          <w:tcPr>
            <w:tcW w:w="0" w:type="auto"/>
          </w:tcPr>
          <w:p w14:paraId="5FE15F26" w14:textId="0AE4683C" w:rsidR="00C70E40" w:rsidRPr="00D549EE" w:rsidRDefault="00C70E40" w:rsidP="00C9582F">
            <w:pPr>
              <w:rPr>
                <w:rStyle w:val="res"/>
                <w:color w:val="000000" w:themeColor="text1"/>
                <w:lang w:val="en-US"/>
              </w:rPr>
            </w:pPr>
            <w:r w:rsidRPr="00D549EE">
              <w:rPr>
                <w:rStyle w:val="res"/>
                <w:color w:val="000000" w:themeColor="text1"/>
                <w:lang w:val="en-US"/>
              </w:rPr>
              <w:t>1.32</w:t>
            </w:r>
          </w:p>
        </w:tc>
        <w:tc>
          <w:tcPr>
            <w:tcW w:w="0" w:type="auto"/>
          </w:tcPr>
          <w:p w14:paraId="640C239F" w14:textId="012A0A4E" w:rsidR="00C70E40" w:rsidRPr="00D549EE" w:rsidRDefault="00C70E40" w:rsidP="00C9582F">
            <w:pPr>
              <w:rPr>
                <w:rStyle w:val="res"/>
                <w:color w:val="000000" w:themeColor="text1"/>
                <w:lang w:val="en-US"/>
              </w:rPr>
            </w:pPr>
            <w:r w:rsidRPr="00D549EE">
              <w:rPr>
                <w:rStyle w:val="res"/>
                <w:color w:val="000000" w:themeColor="text1"/>
                <w:lang w:val="en-US"/>
              </w:rPr>
              <w:t>1.41</w:t>
            </w:r>
          </w:p>
        </w:tc>
        <w:tc>
          <w:tcPr>
            <w:tcW w:w="0" w:type="auto"/>
          </w:tcPr>
          <w:p w14:paraId="40BF7D67" w14:textId="1725EDC3" w:rsidR="00C70E40" w:rsidRPr="00D549EE" w:rsidRDefault="00C70E40" w:rsidP="00C9582F">
            <w:pPr>
              <w:rPr>
                <w:rStyle w:val="res"/>
                <w:color w:val="000000" w:themeColor="text1"/>
                <w:lang w:val="en-US"/>
              </w:rPr>
            </w:pPr>
            <w:r w:rsidRPr="00D549EE">
              <w:rPr>
                <w:rStyle w:val="res"/>
                <w:color w:val="000000" w:themeColor="text1"/>
                <w:lang w:val="en-US"/>
              </w:rPr>
              <w:t>1.45</w:t>
            </w:r>
          </w:p>
        </w:tc>
        <w:tc>
          <w:tcPr>
            <w:tcW w:w="0" w:type="auto"/>
          </w:tcPr>
          <w:p w14:paraId="0D3AAED0" w14:textId="57C0D2EB" w:rsidR="00C70E40" w:rsidRPr="00D549EE" w:rsidRDefault="00C70E40" w:rsidP="00C9582F">
            <w:pPr>
              <w:rPr>
                <w:rStyle w:val="res"/>
                <w:color w:val="000000" w:themeColor="text1"/>
                <w:lang w:val="en-US"/>
              </w:rPr>
            </w:pPr>
            <w:r w:rsidRPr="00D549EE">
              <w:rPr>
                <w:rStyle w:val="res"/>
                <w:color w:val="000000" w:themeColor="text1"/>
                <w:lang w:val="en-US"/>
              </w:rPr>
              <w:t>1.49</w:t>
            </w:r>
          </w:p>
        </w:tc>
      </w:tr>
      <w:tr w:rsidR="00C70E40" w:rsidRPr="00D549EE" w14:paraId="18A400DD" w14:textId="77777777" w:rsidTr="00C47720">
        <w:trPr>
          <w:trHeight w:val="272"/>
        </w:trPr>
        <w:tc>
          <w:tcPr>
            <w:tcW w:w="0" w:type="auto"/>
            <w:gridSpan w:val="11"/>
          </w:tcPr>
          <w:p w14:paraId="3E5687C9" w14:textId="56569D00" w:rsidR="00C70E40" w:rsidRPr="00D549EE" w:rsidRDefault="00C70E40" w:rsidP="00C9582F">
            <w:pPr>
              <w:ind w:left="458"/>
              <w:rPr>
                <w:rStyle w:val="res"/>
                <w:color w:val="000000" w:themeColor="text1"/>
                <w:lang w:val="en-US"/>
              </w:rPr>
            </w:pPr>
            <w:r w:rsidRPr="00D549EE">
              <w:rPr>
                <w:rStyle w:val="res"/>
                <w:color w:val="000000" w:themeColor="text1"/>
                <w:lang w:val="en-US"/>
              </w:rPr>
              <w:t xml:space="preserve">Note </w:t>
            </w:r>
            <w:r w:rsidRPr="00D549EE">
              <w:rPr>
                <w:sz w:val="28"/>
                <w:szCs w:val="28"/>
                <w:lang w:val="en-US"/>
              </w:rPr>
              <w:t xml:space="preserve"> </w:t>
            </w:r>
            <w:r w:rsidRPr="00D549EE">
              <w:rPr>
                <w:lang w:val="en-US"/>
              </w:rPr>
              <w:t xml:space="preserve">– Source </w:t>
            </w:r>
            <w:r w:rsidRPr="00D549EE">
              <w:fldChar w:fldCharType="begin" w:fldLock="1"/>
            </w:r>
            <w:r w:rsidR="00CB6E54" w:rsidRPr="00D549EE">
              <w:rPr>
                <w:lang w:val="en-US"/>
              </w:rPr>
              <w:instrText>ADDIN CSL_CITATION {"citationItems":[{"id":"ITEM-1","itemData":{"DOI":"10.3390/su9040603","ISSN":"20711050","abstract":"As an essential part of a city, community is significant to the sustainable development of the city. At present, research on community sustainability assessment systems is relatively scarce. The existing community sustainability assessment systems often lack integrated consideration of community sustainability. For example, these systems especially place emphasis on the ecological and environmental aspects, but the economic and social aspects of sustainability are partially ignored. In order to comprehensively evaluate the sustainability of a community, this paper draws on the \"participatory philosophy\" and constructs an integrated assessment indicator system that includes five dimensions: environment; economy; society; institution; and culture. On this basis, a new hybrid evaluation method based on analytical hierarchy process (AHP)-entropy weight and the cloud model is proposed to evaluate community sustainability. This method combines AHP and the entropy weight method to determine index weight, thus making full use of their respective advantages. At the same time, it makes use of the superiority of the cloud model to transform qualitative remarks into quantitative representations and to reflect fuzziness and randomness. To verify the feasibility of this method, a case study is carried out on the \"Minxinjiayuan\" public rental housing community in Chongqing, China. The results show that the overall sustainability of the community lies between the \"middle\" and \"good\" level, and closer to the \"middle\" level. The level of the economic and social sustainability is higher than that of the environmental, institutional and cultural sustainability.","author":[{"dropping-particle":"","family":"Wu","given":"Guangdong","non-dropping-particle":"","parse-names":false,"suffix":""},{"dropping-particle":"","family":"Duan","given":"Kaifeng","non-dropping-particle":"","parse-names":false,"suffix":""},{"dropping-particle":"","family":"Zuo","given":"Jian","non-dropping-particle":"","parse-names":false,"suffix":""},{"dropping-particle":"","family":"Zhao","given":"Xianbo","non-dropping-particle":"","parse-names":false,"suffix":""},{"dropping-particle":"","family":"Tang","given":"Daizhong","non-dropping-particle":"","parse-names":false,"suffix":""}],"container-title":"Sustainability (Switzerland)","id":"ITEM-1","issue":"4","issued":{"date-parts":[["2017"]]},"title":"Integrated sustainability assessment of public rental housing community based on a hybrid method of AHP-entropyweight and cloud model","type":"article-journal","volume":"9"},"uris":["http://www.mendeley.com/documents/?uuid=47526dcd-db26-4fc4-9705-df2b4932c655"]}],"mendeley":{"formattedCitation":"[104]","plainTextFormattedCitation":"[104]","previouslyFormattedCitation":"[104]"},"properties":{"noteIndex":0},"schema":"https://github.com/citation-style-language/schema/raw/master/csl-citation.json"}</w:instrText>
            </w:r>
            <w:r w:rsidRPr="00D549EE">
              <w:fldChar w:fldCharType="separate"/>
            </w:r>
            <w:r w:rsidR="00B25838" w:rsidRPr="00D549EE">
              <w:rPr>
                <w:noProof/>
                <w:lang w:val="en-US"/>
              </w:rPr>
              <w:t>[104]</w:t>
            </w:r>
            <w:r w:rsidRPr="00D549EE">
              <w:fldChar w:fldCharType="end"/>
            </w:r>
          </w:p>
        </w:tc>
      </w:tr>
    </w:tbl>
    <w:p w14:paraId="0675C838" w14:textId="77777777" w:rsidR="00C70E40" w:rsidRPr="00D549EE" w:rsidRDefault="00C70E40" w:rsidP="00C9582F">
      <w:pPr>
        <w:jc w:val="both"/>
        <w:rPr>
          <w:rStyle w:val="res"/>
          <w:color w:val="000000" w:themeColor="text1"/>
          <w:sz w:val="28"/>
          <w:szCs w:val="28"/>
          <w:lang w:val="en-US"/>
        </w:rPr>
      </w:pPr>
    </w:p>
    <w:p w14:paraId="511BB588" w14:textId="47EF70D7" w:rsidR="005D7913" w:rsidRPr="00D549EE" w:rsidRDefault="00A26D0E" w:rsidP="00C9582F">
      <w:pPr>
        <w:jc w:val="both"/>
        <w:rPr>
          <w:color w:val="000000" w:themeColor="text1"/>
          <w:sz w:val="28"/>
          <w:szCs w:val="28"/>
          <w:lang w:val="en-US"/>
        </w:rPr>
      </w:pPr>
      <w:r w:rsidRPr="00D549EE">
        <w:rPr>
          <w:color w:val="000000" w:themeColor="text1"/>
          <w:sz w:val="28"/>
          <w:szCs w:val="28"/>
          <w:lang w:val="en-US"/>
        </w:rPr>
        <w:tab/>
      </w:r>
      <w:r w:rsidR="00692F5D" w:rsidRPr="00D549EE">
        <w:rPr>
          <w:color w:val="000000" w:themeColor="text1"/>
          <w:sz w:val="28"/>
          <w:szCs w:val="28"/>
          <w:lang w:val="en-US"/>
        </w:rPr>
        <w:t xml:space="preserve">For identifying the </w:t>
      </w:r>
      <w:r w:rsidR="00B36B55" w:rsidRPr="00D549EE">
        <w:rPr>
          <w:color w:val="000000" w:themeColor="text1"/>
          <w:sz w:val="28"/>
          <w:szCs w:val="28"/>
          <w:lang w:val="en-US"/>
        </w:rPr>
        <w:t>effectiveness</w:t>
      </w:r>
      <w:r w:rsidR="00692F5D" w:rsidRPr="00D549EE">
        <w:rPr>
          <w:color w:val="000000" w:themeColor="text1"/>
          <w:sz w:val="28"/>
          <w:szCs w:val="28"/>
          <w:lang w:val="en-US"/>
        </w:rPr>
        <w:t xml:space="preserve"> of Islamic finance obtained matrix of priority factors of </w:t>
      </w:r>
      <w:r w:rsidR="00B36B55" w:rsidRPr="00D549EE">
        <w:rPr>
          <w:color w:val="000000" w:themeColor="text1"/>
          <w:sz w:val="28"/>
          <w:szCs w:val="28"/>
          <w:lang w:val="en-US"/>
        </w:rPr>
        <w:t>experts</w:t>
      </w:r>
      <w:r w:rsidR="00692F5D" w:rsidRPr="00D549EE">
        <w:rPr>
          <w:color w:val="000000" w:themeColor="text1"/>
          <w:sz w:val="28"/>
          <w:szCs w:val="28"/>
          <w:lang w:val="en-US"/>
        </w:rPr>
        <w:t xml:space="preserve"> is used by </w:t>
      </w:r>
      <w:r w:rsidR="00C70E40" w:rsidRPr="00D549EE">
        <w:rPr>
          <w:color w:val="000000" w:themeColor="text1"/>
          <w:sz w:val="28"/>
          <w:szCs w:val="28"/>
          <w:lang w:val="en-US"/>
        </w:rPr>
        <w:t>social</w:t>
      </w:r>
      <w:r w:rsidR="00692F5D" w:rsidRPr="00D549EE">
        <w:rPr>
          <w:color w:val="000000" w:themeColor="text1"/>
          <w:sz w:val="28"/>
          <w:szCs w:val="28"/>
          <w:lang w:val="en-US"/>
        </w:rPr>
        <w:t xml:space="preserve"> indicators of the considered factors. </w:t>
      </w:r>
      <w:r w:rsidR="002703AF" w:rsidRPr="00D549EE">
        <w:rPr>
          <w:color w:val="000000" w:themeColor="text1"/>
          <w:sz w:val="28"/>
          <w:szCs w:val="28"/>
          <w:lang w:val="en-US"/>
        </w:rPr>
        <w:t xml:space="preserve">The following stage of the AHP matrix for the assessment is applying the rule of matrix multiplication by vector, the data of the dynamics of socio-economic indicators are multiplied by the values of the obtained Rating of expert priority of factors by mathematical calculations. </w:t>
      </w:r>
      <w:r w:rsidR="00692F5D" w:rsidRPr="00D549EE">
        <w:rPr>
          <w:color w:val="000000" w:themeColor="text1"/>
          <w:sz w:val="28"/>
          <w:szCs w:val="28"/>
          <w:lang w:val="en-US"/>
        </w:rPr>
        <w:t xml:space="preserve">The further matrix of Islamic finance priority consists from </w:t>
      </w:r>
      <w:r w:rsidR="00C70E40" w:rsidRPr="00D549EE">
        <w:rPr>
          <w:color w:val="000000" w:themeColor="text1"/>
          <w:sz w:val="28"/>
          <w:szCs w:val="28"/>
          <w:lang w:val="en-US"/>
        </w:rPr>
        <w:t>n</w:t>
      </w:r>
      <w:r w:rsidR="00692F5D" w:rsidRPr="00D549EE">
        <w:rPr>
          <w:color w:val="000000" w:themeColor="text1"/>
          <w:sz w:val="28"/>
          <w:szCs w:val="28"/>
          <w:lang w:val="en-US"/>
        </w:rPr>
        <w:t xml:space="preserve"> factors and </w:t>
      </w:r>
      <w:r w:rsidR="00C70E40" w:rsidRPr="00D549EE">
        <w:rPr>
          <w:color w:val="000000" w:themeColor="text1"/>
          <w:sz w:val="28"/>
          <w:szCs w:val="28"/>
          <w:lang w:val="en-US"/>
        </w:rPr>
        <w:t>m</w:t>
      </w:r>
      <w:r w:rsidR="00692F5D" w:rsidRPr="00D549EE">
        <w:rPr>
          <w:color w:val="000000" w:themeColor="text1"/>
          <w:sz w:val="28"/>
          <w:szCs w:val="28"/>
          <w:lang w:val="en-US"/>
        </w:rPr>
        <w:t xml:space="preserve"> indicators</w:t>
      </w:r>
      <w:r w:rsidR="001524E5" w:rsidRPr="00D549EE">
        <w:rPr>
          <w:color w:val="000000" w:themeColor="text1"/>
          <w:sz w:val="28"/>
          <w:szCs w:val="28"/>
          <w:lang w:val="en-US"/>
        </w:rPr>
        <w:t xml:space="preserve"> </w:t>
      </w:r>
      <w:r w:rsidR="001524E5" w:rsidRPr="00D549EE">
        <w:rPr>
          <w:color w:val="000000" w:themeColor="text1"/>
          <w:sz w:val="28"/>
          <w:szCs w:val="28"/>
          <w:lang w:val="en-US"/>
        </w:rPr>
        <w:fldChar w:fldCharType="begin" w:fldLock="1"/>
      </w:r>
      <w:r w:rsidR="00CB6E54" w:rsidRPr="00D549EE">
        <w:rPr>
          <w:color w:val="000000" w:themeColor="text1"/>
          <w:sz w:val="28"/>
          <w:szCs w:val="28"/>
          <w:lang w:val="en-US"/>
        </w:rPr>
        <w:instrText>ADDIN CSL_CITATION {"citationItems":[{"id":"ITEM-1","itemData":{"DOI":"10.17059/2015-2-23","ISSN":"24111406","abstract":"In the article, the authors estimated the social effect of foreign direct investments (FDI) in the regions of Kazakhstan. In order to do it, the authors studied the dynamics of FDI of the region operating enterprises with foreign participation and the regional six indicators of socio-economic development during 2003-2013 on the basis of database of RK Agency on statistics. There are 16 regions of Kazakhstan were involved in the experiment (14 provinces and 2 cities of republican significant - Almaty and Astana). The research was carried out using the \"simplified\" version of the T. Saati's Analytic Hierarchy Process (AHP) mathematical apparatus and MS Excel. The constructed economic-mathematical model of an assessment of FDI impact on the population welfare and living quality in the regions was hypothetical as the expert estimates of hypothetical expert were used. The authors made a hypothesis: to receive tools for an assessment of the social effect of FDI in the regions of Kazakhstan - the Rating of regional priority of the factors (RPF Rating). The RPF Rating allowed to define a priority of the factors of the population welfare and living quality in the regions of the country and to calculate aggregate social effect of FDI in Kazakhstan, having allocated the directions of its action on each of six factors in a regional section. The research did not reveal a negative impact of FDI on socio-economic development of the regions; moreover the aggregate social effect of FDI is positive for all regions of Kazakhstan. The authors believe that RPF Rating can become as the important tool of soundness of socio-economic policy in the area of development of public-private partnership in the regions of Kazakhstan, and also positive social effects of FDI growth in the long term - all of this will result in promoting a long-term positive impact on the welfare and living quality of the population of the republic.","author":[{"dropping-particle":"","family":"Rakhmatullayeva","given":"D. Zh","non-dropping-particle":"","parse-names":false,"suffix":""},{"dropping-particle":"","family":"Bobkov","given":"V. N.","non-dropping-particle":"","parse-names":false,"suffix":""},{"dropping-particle":"","family":"Zhatkanbayev","given":"Ye B.","non-dropping-particle":"","parse-names":false,"suffix":""}],"container-title":"Economy of Region","id":"ITEM-1","issue":"2","issued":{"date-parts":[["2015"]]},"page":"285-300","title":"Modeling of social effect of foreign direct investment in the regions of Kazakhstan","type":"article-journal","volume":"2"},"uris":["http://www.mendeley.com/documents/?uuid=ea504b92-1bbd-4e89-879e-dff25ae7ec41"]}],"mendeley":{"formattedCitation":"[105]","plainTextFormattedCitation":"[105]","previouslyFormattedCitation":"[105]"},"properties":{"noteIndex":0},"schema":"https://github.com/citation-style-language/schema/raw/master/csl-citation.json"}</w:instrText>
      </w:r>
      <w:r w:rsidR="001524E5" w:rsidRPr="00D549EE">
        <w:rPr>
          <w:color w:val="000000" w:themeColor="text1"/>
          <w:sz w:val="28"/>
          <w:szCs w:val="28"/>
          <w:lang w:val="en-US"/>
        </w:rPr>
        <w:fldChar w:fldCharType="separate"/>
      </w:r>
      <w:r w:rsidR="00B25838" w:rsidRPr="00D549EE">
        <w:rPr>
          <w:noProof/>
          <w:color w:val="000000" w:themeColor="text1"/>
          <w:sz w:val="28"/>
          <w:szCs w:val="28"/>
          <w:lang w:val="en-US"/>
        </w:rPr>
        <w:t>[105]</w:t>
      </w:r>
      <w:r w:rsidR="001524E5" w:rsidRPr="00D549EE">
        <w:rPr>
          <w:color w:val="000000" w:themeColor="text1"/>
          <w:sz w:val="28"/>
          <w:szCs w:val="28"/>
          <w:lang w:val="en-US"/>
        </w:rPr>
        <w:fldChar w:fldCharType="end"/>
      </w:r>
      <w:r w:rsidR="00692F5D" w:rsidRPr="00D549EE">
        <w:rPr>
          <w:color w:val="000000" w:themeColor="text1"/>
          <w:sz w:val="28"/>
          <w:szCs w:val="28"/>
          <w:lang w:val="en-US"/>
        </w:rPr>
        <w:t xml:space="preserve">: </w:t>
      </w:r>
    </w:p>
    <w:p w14:paraId="60BBD87C" w14:textId="216CFAAB" w:rsidR="00692F5D" w:rsidRPr="00D549EE" w:rsidRDefault="00692F5D" w:rsidP="00C9582F">
      <w:pPr>
        <w:rPr>
          <w:color w:val="000000" w:themeColor="text1"/>
          <w:sz w:val="28"/>
          <w:szCs w:val="28"/>
          <w:lang w:val="en-US"/>
        </w:rPr>
      </w:pPr>
    </w:p>
    <w:p w14:paraId="6CD941FE" w14:textId="057245A0" w:rsidR="00692F5D" w:rsidRPr="00D549EE" w:rsidRDefault="00191457" w:rsidP="00C9582F">
      <w:pPr>
        <w:jc w:val="right"/>
        <w:rPr>
          <w:color w:val="000000" w:themeColor="text1"/>
          <w:sz w:val="28"/>
          <w:szCs w:val="28"/>
          <w:lang w:val="en-US"/>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nxm</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n</m:t>
            </m:r>
          </m:sub>
        </m:sSub>
      </m:oMath>
      <w:r w:rsidR="00FA6A56" w:rsidRPr="00D549EE">
        <w:rPr>
          <w:color w:val="000000" w:themeColor="text1"/>
          <w:sz w:val="28"/>
          <w:szCs w:val="28"/>
          <w:lang w:val="en-US"/>
        </w:rPr>
        <w:t xml:space="preserve"> = </w:t>
      </w:r>
      <m:oMath>
        <m:d>
          <m:dPr>
            <m:ctrlPr>
              <w:rPr>
                <w:rFonts w:ascii="Cambria Math" w:hAnsi="Cambria Math"/>
                <w:i/>
                <w:color w:val="000000" w:themeColor="text1"/>
                <w:sz w:val="28"/>
                <w:szCs w:val="28"/>
                <w:lang w:val="en-US"/>
              </w:rPr>
            </m:ctrlPr>
          </m:dPr>
          <m:e>
            <m:m>
              <m:mPr>
                <m:mcs>
                  <m:mc>
                    <m:mcPr>
                      <m:count m:val="3"/>
                      <m:mcJc m:val="center"/>
                    </m:mcPr>
                  </m:mc>
                </m:mcs>
                <m:ctrlPr>
                  <w:rPr>
                    <w:rFonts w:ascii="Cambria Math" w:hAnsi="Cambria Math"/>
                    <w:i/>
                    <w:color w:val="000000" w:themeColor="text1"/>
                    <w:sz w:val="28"/>
                    <w:szCs w:val="28"/>
                    <w:lang w:val="en-US"/>
                  </w:rPr>
                </m:ctrlPr>
              </m:mPr>
              <m:m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11</m:t>
                      </m:r>
                    </m:sub>
                  </m:sSub>
                  <m:r>
                    <w:rPr>
                      <w:rFonts w:ascii="Cambria Math" w:hAnsi="Cambria Math"/>
                      <w:color w:val="000000" w:themeColor="text1"/>
                      <w:sz w:val="28"/>
                      <w:szCs w:val="28"/>
                      <w:lang w:val="en-US"/>
                    </w:rPr>
                    <m:t xml:space="preserve">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1</m:t>
                      </m:r>
                    </m:sub>
                  </m:sSub>
                </m:e>
                <m:e>
                  <m:r>
                    <w:rPr>
                      <w:rFonts w:ascii="Cambria Math" w:hAnsi="Cambria Math"/>
                      <w:color w:val="000000" w:themeColor="text1"/>
                      <w:sz w:val="28"/>
                      <w:szCs w:val="28"/>
                      <w:lang w:val="en-US"/>
                    </w:rPr>
                    <m:t>⋯</m:t>
                  </m:r>
                </m:e>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1n</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n</m:t>
                      </m:r>
                    </m:sub>
                  </m:sSub>
                </m:e>
              </m:mr>
              <m:mr>
                <m:e>
                  <m:r>
                    <w:rPr>
                      <w:rFonts w:ascii="Cambria Math" w:hAnsi="Cambria Math"/>
                      <w:color w:val="000000" w:themeColor="text1"/>
                      <w:sz w:val="28"/>
                      <w:szCs w:val="28"/>
                      <w:lang w:val="en-US"/>
                    </w:rPr>
                    <m:t>⋮</m:t>
                  </m:r>
                </m:e>
                <m:e>
                  <m:r>
                    <w:rPr>
                      <w:rFonts w:ascii="Cambria Math" w:hAnsi="Cambria Math"/>
                      <w:color w:val="000000" w:themeColor="text1"/>
                      <w:sz w:val="28"/>
                      <w:szCs w:val="28"/>
                      <w:lang w:val="en-US"/>
                    </w:rPr>
                    <m:t>⋱</m:t>
                  </m:r>
                </m:e>
                <m:e>
                  <m:r>
                    <w:rPr>
                      <w:rFonts w:ascii="Cambria Math" w:hAnsi="Cambria Math"/>
                      <w:color w:val="000000" w:themeColor="text1"/>
                      <w:sz w:val="28"/>
                      <w:szCs w:val="28"/>
                      <w:lang w:val="en-US"/>
                    </w:rPr>
                    <m:t>⋮</m:t>
                  </m:r>
                </m:e>
              </m:mr>
              <m:m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m1</m:t>
                      </m:r>
                    </m:sub>
                  </m:sSub>
                </m:e>
                <m:e>
                  <m:r>
                    <w:rPr>
                      <w:rFonts w:ascii="Cambria Math" w:hAnsi="Cambria Math"/>
                      <w:color w:val="000000" w:themeColor="text1"/>
                      <w:sz w:val="28"/>
                      <w:szCs w:val="28"/>
                      <w:lang w:val="en-US"/>
                    </w:rPr>
                    <m:t>⋯</m:t>
                  </m:r>
                </m:e>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mn</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n</m:t>
                      </m:r>
                    </m:sub>
                  </m:sSub>
                </m:e>
              </m:mr>
            </m:m>
          </m:e>
        </m:d>
      </m:oMath>
      <w:r w:rsidR="00FA6A56" w:rsidRPr="00D549EE">
        <w:rPr>
          <w:color w:val="000000" w:themeColor="text1"/>
          <w:sz w:val="28"/>
          <w:szCs w:val="28"/>
          <w:lang w:val="en-US"/>
        </w:rPr>
        <w:t xml:space="preserve">     </w:t>
      </w:r>
      <w:r w:rsidR="004C534D" w:rsidRPr="00D549EE">
        <w:rPr>
          <w:color w:val="000000" w:themeColor="text1"/>
          <w:sz w:val="28"/>
          <w:szCs w:val="28"/>
          <w:lang w:val="en-US"/>
        </w:rPr>
        <w:t xml:space="preserve">                                      </w:t>
      </w:r>
      <w:r w:rsidR="00FA6A56" w:rsidRPr="00D549EE">
        <w:rPr>
          <w:color w:val="000000" w:themeColor="text1"/>
          <w:sz w:val="28"/>
          <w:szCs w:val="28"/>
          <w:lang w:val="en-US"/>
        </w:rPr>
        <w:t>(</w:t>
      </w:r>
      <w:r w:rsidR="000F1F20" w:rsidRPr="00D549EE">
        <w:rPr>
          <w:color w:val="000000" w:themeColor="text1"/>
          <w:sz w:val="28"/>
          <w:szCs w:val="28"/>
          <w:lang w:val="en-US"/>
        </w:rPr>
        <w:t>2</w:t>
      </w:r>
      <w:r w:rsidR="00FA6A56" w:rsidRPr="00D549EE">
        <w:rPr>
          <w:color w:val="000000" w:themeColor="text1"/>
          <w:sz w:val="28"/>
          <w:szCs w:val="28"/>
          <w:lang w:val="en-US"/>
        </w:rPr>
        <w:t>)</w:t>
      </w:r>
    </w:p>
    <w:p w14:paraId="62313F65" w14:textId="77777777" w:rsidR="00852F1A" w:rsidRPr="00D549EE" w:rsidRDefault="00852F1A" w:rsidP="00C9582F">
      <w:pPr>
        <w:rPr>
          <w:color w:val="000000" w:themeColor="text1"/>
          <w:sz w:val="28"/>
          <w:szCs w:val="28"/>
          <w:lang w:val="en-US"/>
        </w:rPr>
      </w:pPr>
    </w:p>
    <w:p w14:paraId="2BED622E" w14:textId="2C61E6FB" w:rsidR="00F70125" w:rsidRPr="00D549EE" w:rsidRDefault="00C47720" w:rsidP="00C9582F">
      <w:pPr>
        <w:jc w:val="both"/>
        <w:rPr>
          <w:color w:val="000000" w:themeColor="text1"/>
          <w:sz w:val="28"/>
          <w:szCs w:val="28"/>
          <w:lang w:val="en-US"/>
        </w:rPr>
      </w:pPr>
      <w:r w:rsidRPr="00D549EE">
        <w:rPr>
          <w:color w:val="000000" w:themeColor="text1"/>
          <w:sz w:val="28"/>
          <w:szCs w:val="28"/>
          <w:lang w:val="en-US"/>
        </w:rPr>
        <w:tab/>
      </w:r>
      <w:r w:rsidR="000F1F20" w:rsidRPr="00D549EE">
        <w:rPr>
          <w:color w:val="000000" w:themeColor="text1"/>
          <w:sz w:val="28"/>
          <w:szCs w:val="28"/>
          <w:lang w:val="en-US"/>
        </w:rPr>
        <w:t xml:space="preserve">where           </w:t>
      </w:r>
    </w:p>
    <w:p w14:paraId="7B1A8FB7" w14:textId="1161197B" w:rsidR="00C47720" w:rsidRPr="00D549EE" w:rsidRDefault="00C47720" w:rsidP="00C9582F">
      <w:pPr>
        <w:jc w:val="both"/>
        <w:rPr>
          <w:rFonts w:eastAsiaTheme="minorHAnsi"/>
          <w:sz w:val="28"/>
          <w:szCs w:val="28"/>
          <w:lang w:val="en-US" w:eastAsia="en-US"/>
        </w:rPr>
      </w:pPr>
      <w:r w:rsidRPr="00D549EE">
        <w:rPr>
          <w:rFonts w:eastAsiaTheme="minorHAnsi"/>
          <w:sz w:val="28"/>
          <w:szCs w:val="28"/>
          <w:lang w:val="en-US" w:eastAsia="en-US"/>
        </w:rPr>
        <w:tab/>
        <w:t xml:space="preserve">X = (x1, ..., xn) – the selected vector of indicator; </w:t>
      </w:r>
    </w:p>
    <w:p w14:paraId="6F30E949" w14:textId="0EC9E0F6" w:rsidR="00C70E40" w:rsidRPr="00D549EE" w:rsidRDefault="00C47720" w:rsidP="00C9582F">
      <w:pPr>
        <w:jc w:val="both"/>
        <w:rPr>
          <w:rFonts w:eastAsiaTheme="minorHAnsi"/>
          <w:sz w:val="28"/>
          <w:szCs w:val="28"/>
          <w:lang w:val="en-US" w:eastAsia="en-US"/>
        </w:rPr>
      </w:pPr>
      <w:r w:rsidRPr="00D549EE">
        <w:rPr>
          <w:rFonts w:eastAsiaTheme="minorHAnsi"/>
          <w:sz w:val="28"/>
          <w:szCs w:val="28"/>
          <w:lang w:val="en-US" w:eastAsia="en-US"/>
        </w:rPr>
        <w:tab/>
        <w:t>n – number of selected social factors.</w:t>
      </w:r>
    </w:p>
    <w:p w14:paraId="71C7E813" w14:textId="1D1F0F46" w:rsidR="00C47720" w:rsidRPr="00D549EE" w:rsidRDefault="00C47720" w:rsidP="00C9582F">
      <w:pPr>
        <w:jc w:val="both"/>
        <w:rPr>
          <w:color w:val="000000" w:themeColor="text1"/>
          <w:sz w:val="28"/>
          <w:szCs w:val="28"/>
          <w:lang w:val="en-US"/>
        </w:rPr>
      </w:pPr>
    </w:p>
    <w:p w14:paraId="502FBF7C" w14:textId="77777777" w:rsidR="00386FE9" w:rsidRPr="00386FE9" w:rsidRDefault="00C47720" w:rsidP="00386FE9">
      <w:pPr>
        <w:jc w:val="both"/>
        <w:rPr>
          <w:color w:val="000000" w:themeColor="text1"/>
          <w:sz w:val="28"/>
          <w:szCs w:val="28"/>
          <w:lang w:val="en-US"/>
        </w:rPr>
      </w:pPr>
      <w:r w:rsidRPr="00D549EE">
        <w:rPr>
          <w:color w:val="000000" w:themeColor="text1"/>
          <w:sz w:val="28"/>
          <w:szCs w:val="28"/>
          <w:lang w:val="en-US"/>
        </w:rPr>
        <w:tab/>
      </w:r>
      <w:r w:rsidR="00386FE9" w:rsidRPr="00386FE9">
        <w:rPr>
          <w:color w:val="000000" w:themeColor="text1"/>
          <w:sz w:val="28"/>
          <w:szCs w:val="28"/>
          <w:lang w:val="en-US"/>
        </w:rPr>
        <w:t>The selection for the assessment of social effects of Islamic finance method of AHP allows finding the changing of social factors in the context of Islamic finance on a macro level and proving the hypothesis of the research that Islamic finance affects the social change in positive measure due to its the specifics and based Shariah concept.</w:t>
      </w:r>
    </w:p>
    <w:p w14:paraId="7ECC760B" w14:textId="77777777" w:rsidR="00386FE9" w:rsidRDefault="00386FE9" w:rsidP="00386FE9">
      <w:pPr>
        <w:jc w:val="both"/>
        <w:rPr>
          <w:color w:val="000000" w:themeColor="text1"/>
          <w:sz w:val="28"/>
          <w:szCs w:val="28"/>
          <w:lang w:val="en-US"/>
        </w:rPr>
      </w:pPr>
      <w:r w:rsidRPr="00386FE9">
        <w:rPr>
          <w:color w:val="000000" w:themeColor="text1"/>
          <w:sz w:val="28"/>
          <w:szCs w:val="28"/>
          <w:lang w:val="en-US"/>
        </w:rPr>
        <w:tab/>
      </w:r>
      <w:r w:rsidRPr="00386FE9">
        <w:rPr>
          <w:i/>
          <w:color w:val="000000" w:themeColor="text1"/>
          <w:sz w:val="28"/>
          <w:szCs w:val="28"/>
          <w:lang w:val="en-US"/>
        </w:rPr>
        <w:t>Assessment of potential Islamic social finance</w:t>
      </w:r>
      <w:r w:rsidRPr="00386FE9">
        <w:rPr>
          <w:color w:val="000000" w:themeColor="text1"/>
          <w:sz w:val="28"/>
          <w:szCs w:val="28"/>
          <w:lang w:val="en-US"/>
        </w:rPr>
        <w:t xml:space="preserve">. Estimation of potential zakat collection and the covering of estimated data the recourse shortfall and sources are needed for people under the national poverty line, and international poverty degree (PPP) allows to predict the zakat impact to the state spending on the social area of the country. This approach aims to assess the influence at the macro level, as directed on the estimation of covering potential zakat the recourse shortfall. M.Kahf first author of Islamic social research, investigated the zakat estimation in 8 Islamic countries by using the different nisab amounts according to the research of predecessor authors such as Qardawi and Award. According to the M.Kahf, there are used following indicators </w:t>
      </w:r>
      <w:r w:rsidRPr="00386FE9">
        <w:rPr>
          <w:color w:val="000000" w:themeColor="text1"/>
          <w:sz w:val="28"/>
          <w:szCs w:val="28"/>
          <w:lang w:val="en-US"/>
        </w:rPr>
        <w:lastRenderedPageBreak/>
        <w:t>for estimation potential of zakat: the GDP and z1(under traditional efforts), z2 (under contemporary school),  z3 (Maliki school) that are zakat bases, and one more indicator is the international poverty line 1.25 US dollars per day as an extra poor population and 1.90 US dollars per day as poor population.</w:t>
      </w:r>
    </w:p>
    <w:p w14:paraId="28F63B96" w14:textId="77777777" w:rsidR="00386FE9" w:rsidRDefault="00386FE9" w:rsidP="00386FE9">
      <w:pPr>
        <w:jc w:val="both"/>
        <w:rPr>
          <w:b/>
          <w:bCs/>
          <w:color w:val="000000" w:themeColor="text1"/>
          <w:sz w:val="28"/>
          <w:szCs w:val="28"/>
          <w:lang w:val="en-US"/>
        </w:rPr>
      </w:pPr>
    </w:p>
    <w:p w14:paraId="2DAF19EA" w14:textId="0958BD91" w:rsidR="009A05F9" w:rsidRPr="00386FE9" w:rsidRDefault="009A05F9" w:rsidP="00386FE9">
      <w:pPr>
        <w:jc w:val="both"/>
        <w:rPr>
          <w:bCs/>
          <w:color w:val="000000" w:themeColor="text1"/>
          <w:sz w:val="28"/>
          <w:szCs w:val="28"/>
          <w:lang w:val="en-US"/>
        </w:rPr>
      </w:pPr>
      <w:r w:rsidRPr="00386FE9">
        <w:rPr>
          <w:bCs/>
          <w:color w:val="000000" w:themeColor="text1"/>
          <w:sz w:val="28"/>
          <w:szCs w:val="28"/>
          <w:lang w:val="en-US"/>
        </w:rPr>
        <w:t>Table 1</w:t>
      </w:r>
      <w:r w:rsidR="00736E1B" w:rsidRPr="00386FE9">
        <w:rPr>
          <w:bCs/>
          <w:color w:val="000000" w:themeColor="text1"/>
          <w:sz w:val="28"/>
          <w:szCs w:val="28"/>
          <w:lang w:val="en-US"/>
        </w:rPr>
        <w:t>7</w:t>
      </w:r>
      <w:r w:rsidRPr="00386FE9">
        <w:rPr>
          <w:bCs/>
          <w:color w:val="000000" w:themeColor="text1"/>
          <w:sz w:val="28"/>
          <w:szCs w:val="28"/>
          <w:lang w:val="en-US"/>
        </w:rPr>
        <w:t xml:space="preserve"> </w:t>
      </w:r>
      <w:r w:rsidRPr="00386FE9">
        <w:rPr>
          <w:sz w:val="28"/>
          <w:szCs w:val="28"/>
          <w:lang w:val="en-US"/>
        </w:rPr>
        <w:t>–</w:t>
      </w:r>
      <w:r w:rsidRPr="00386FE9">
        <w:rPr>
          <w:bCs/>
          <w:color w:val="000000" w:themeColor="text1"/>
          <w:sz w:val="28"/>
          <w:szCs w:val="28"/>
          <w:lang w:val="en-US"/>
        </w:rPr>
        <w:t xml:space="preserve"> Zakat potential by Kahf </w:t>
      </w:r>
    </w:p>
    <w:p w14:paraId="2C6D0F83" w14:textId="77777777" w:rsidR="00386FE9" w:rsidRPr="00D549EE" w:rsidRDefault="00386FE9" w:rsidP="00386FE9">
      <w:pPr>
        <w:jc w:val="both"/>
        <w:rPr>
          <w:b/>
          <w:bCs/>
          <w:color w:val="000000" w:themeColor="text1"/>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5"/>
      </w:tblGrid>
      <w:tr w:rsidR="00AC66E0" w:rsidRPr="00D549EE" w14:paraId="54E576A0" w14:textId="77777777" w:rsidTr="00875CA7">
        <w:trPr>
          <w:trHeight w:val="107"/>
          <w:jc w:val="center"/>
        </w:trPr>
        <w:tc>
          <w:tcPr>
            <w:tcW w:w="8455" w:type="dxa"/>
            <w:shd w:val="clear" w:color="auto" w:fill="auto"/>
          </w:tcPr>
          <w:p w14:paraId="74F0CC95" w14:textId="77777777" w:rsidR="00AC66E0" w:rsidRPr="00D549EE" w:rsidRDefault="00AC66E0" w:rsidP="00C9582F">
            <w:pPr>
              <w:autoSpaceDE w:val="0"/>
              <w:autoSpaceDN w:val="0"/>
              <w:adjustRightInd w:val="0"/>
              <w:jc w:val="lowKashida"/>
              <w:rPr>
                <w:color w:val="000000"/>
              </w:rPr>
            </w:pPr>
            <w:r w:rsidRPr="00D549EE">
              <w:rPr>
                <w:color w:val="000000"/>
                <w:lang w:val="en-US"/>
              </w:rPr>
              <w:t xml:space="preserve">              </w:t>
            </w:r>
            <w:r w:rsidRPr="00D549EE">
              <w:rPr>
                <w:color w:val="000000"/>
              </w:rPr>
              <w:t>Countries</w:t>
            </w:r>
            <w:r w:rsidRPr="00D549EE">
              <w:rPr>
                <w:color w:val="000000"/>
              </w:rPr>
              <w:tab/>
            </w:r>
            <w:r w:rsidRPr="00D549EE">
              <w:rPr>
                <w:color w:val="000000"/>
              </w:rPr>
              <w:tab/>
              <w:t>Z1</w:t>
            </w:r>
            <w:r w:rsidRPr="00D549EE">
              <w:rPr>
                <w:color w:val="000000"/>
              </w:rPr>
              <w:tab/>
            </w:r>
            <w:r w:rsidRPr="00D549EE">
              <w:rPr>
                <w:color w:val="000000"/>
              </w:rPr>
              <w:tab/>
              <w:t>Z2</w:t>
            </w:r>
            <w:r w:rsidRPr="00D549EE">
              <w:rPr>
                <w:color w:val="000000"/>
              </w:rPr>
              <w:tab/>
              <w:t xml:space="preserve">    Z3</w:t>
            </w:r>
          </w:p>
        </w:tc>
      </w:tr>
      <w:tr w:rsidR="00AC66E0" w:rsidRPr="00D549EE" w14:paraId="40D4C723" w14:textId="77777777" w:rsidTr="00875CA7">
        <w:trPr>
          <w:trHeight w:val="1592"/>
          <w:jc w:val="center"/>
        </w:trPr>
        <w:tc>
          <w:tcPr>
            <w:tcW w:w="8455" w:type="dxa"/>
            <w:shd w:val="clear" w:color="auto" w:fill="auto"/>
          </w:tcPr>
          <w:p w14:paraId="0204B3C4" w14:textId="77777777" w:rsidR="00AC66E0" w:rsidRPr="00D549EE" w:rsidRDefault="00AC66E0" w:rsidP="00C9582F">
            <w:pPr>
              <w:autoSpaceDE w:val="0"/>
              <w:autoSpaceDN w:val="0"/>
              <w:adjustRightInd w:val="0"/>
              <w:jc w:val="lowKashida"/>
              <w:rPr>
                <w:color w:val="000000"/>
                <w:lang w:val="en-US"/>
              </w:rPr>
            </w:pPr>
            <w:r w:rsidRPr="00D549EE">
              <w:rPr>
                <w:color w:val="000000"/>
                <w:lang w:val="en-US"/>
              </w:rPr>
              <w:tab/>
              <w:t>Egypt</w:t>
            </w:r>
            <w:r w:rsidRPr="00D549EE">
              <w:rPr>
                <w:color w:val="000000"/>
                <w:lang w:val="en-US"/>
              </w:rPr>
              <w:tab/>
            </w:r>
            <w:r w:rsidRPr="00D549EE">
              <w:rPr>
                <w:color w:val="000000"/>
                <w:lang w:val="en-US"/>
              </w:rPr>
              <w:tab/>
              <w:t xml:space="preserve">              2.0</w:t>
            </w:r>
            <w:r w:rsidRPr="00D549EE">
              <w:rPr>
                <w:color w:val="000000"/>
                <w:lang w:val="en-US"/>
              </w:rPr>
              <w:tab/>
            </w:r>
            <w:r w:rsidRPr="00D549EE">
              <w:rPr>
                <w:color w:val="000000"/>
                <w:lang w:val="en-US"/>
              </w:rPr>
              <w:tab/>
              <w:t>3.9</w:t>
            </w:r>
            <w:r w:rsidRPr="00D549EE">
              <w:rPr>
                <w:color w:val="000000"/>
                <w:lang w:val="en-US"/>
              </w:rPr>
              <w:tab/>
              <w:t xml:space="preserve">    4.9</w:t>
            </w:r>
          </w:p>
          <w:p w14:paraId="09711F4D" w14:textId="77777777" w:rsidR="00AC66E0" w:rsidRPr="00D549EE" w:rsidRDefault="00AC66E0" w:rsidP="00C9582F">
            <w:pPr>
              <w:autoSpaceDE w:val="0"/>
              <w:autoSpaceDN w:val="0"/>
              <w:adjustRightInd w:val="0"/>
              <w:jc w:val="lowKashida"/>
              <w:rPr>
                <w:color w:val="000000"/>
                <w:lang w:val="en-US"/>
              </w:rPr>
            </w:pPr>
            <w:r w:rsidRPr="00D549EE">
              <w:rPr>
                <w:color w:val="000000"/>
                <w:lang w:val="en-US"/>
              </w:rPr>
              <w:tab/>
              <w:t>Indonesia</w:t>
            </w:r>
            <w:r w:rsidRPr="00D549EE">
              <w:rPr>
                <w:color w:val="000000"/>
                <w:lang w:val="en-US"/>
              </w:rPr>
              <w:tab/>
              <w:t xml:space="preserve">              1.0</w:t>
            </w:r>
            <w:r w:rsidRPr="00D549EE">
              <w:rPr>
                <w:color w:val="000000"/>
                <w:lang w:val="en-US"/>
              </w:rPr>
              <w:tab/>
            </w:r>
            <w:r w:rsidRPr="00D549EE">
              <w:rPr>
                <w:color w:val="000000"/>
                <w:lang w:val="en-US"/>
              </w:rPr>
              <w:tab/>
              <w:t>1.7</w:t>
            </w:r>
            <w:r w:rsidRPr="00D549EE">
              <w:rPr>
                <w:color w:val="000000"/>
                <w:lang w:val="en-US"/>
              </w:rPr>
              <w:tab/>
              <w:t xml:space="preserve">    2.0</w:t>
            </w:r>
          </w:p>
          <w:p w14:paraId="53CA902F" w14:textId="1D3CCED3" w:rsidR="00AC66E0" w:rsidRPr="00D549EE" w:rsidRDefault="00AC66E0" w:rsidP="00C9582F">
            <w:pPr>
              <w:autoSpaceDE w:val="0"/>
              <w:autoSpaceDN w:val="0"/>
              <w:adjustRightInd w:val="0"/>
              <w:jc w:val="lowKashida"/>
              <w:rPr>
                <w:color w:val="000000"/>
                <w:lang w:val="en-US"/>
              </w:rPr>
            </w:pPr>
            <w:r w:rsidRPr="00D549EE">
              <w:rPr>
                <w:color w:val="000000"/>
                <w:lang w:val="en-US"/>
              </w:rPr>
              <w:tab/>
              <w:t>Pakistan</w:t>
            </w:r>
            <w:r w:rsidRPr="00D549EE">
              <w:rPr>
                <w:color w:val="000000"/>
                <w:lang w:val="en-US"/>
              </w:rPr>
              <w:tab/>
            </w:r>
            <w:r w:rsidRPr="00D549EE">
              <w:rPr>
                <w:color w:val="000000"/>
                <w:lang w:val="en-US"/>
              </w:rPr>
              <w:tab/>
              <w:t xml:space="preserve">  1.6</w:t>
            </w:r>
            <w:r w:rsidRPr="00D549EE">
              <w:rPr>
                <w:color w:val="000000"/>
                <w:lang w:val="en-US"/>
              </w:rPr>
              <w:tab/>
              <w:t xml:space="preserve">            3.5          4.4</w:t>
            </w:r>
          </w:p>
          <w:p w14:paraId="1D0A4949" w14:textId="77777777" w:rsidR="00AC66E0" w:rsidRPr="00D549EE" w:rsidRDefault="00AC66E0" w:rsidP="00C9582F">
            <w:pPr>
              <w:autoSpaceDE w:val="0"/>
              <w:autoSpaceDN w:val="0"/>
              <w:adjustRightInd w:val="0"/>
              <w:jc w:val="lowKashida"/>
              <w:rPr>
                <w:color w:val="000000"/>
                <w:lang w:val="en-US"/>
              </w:rPr>
            </w:pPr>
            <w:r w:rsidRPr="00D549EE">
              <w:rPr>
                <w:color w:val="000000"/>
                <w:lang w:val="en-US"/>
              </w:rPr>
              <w:tab/>
              <w:t>Qatar</w:t>
            </w:r>
            <w:r w:rsidRPr="00D549EE">
              <w:rPr>
                <w:color w:val="000000"/>
                <w:lang w:val="en-US"/>
              </w:rPr>
              <w:tab/>
            </w:r>
            <w:r w:rsidRPr="00D549EE">
              <w:rPr>
                <w:color w:val="000000"/>
                <w:lang w:val="en-US"/>
              </w:rPr>
              <w:tab/>
              <w:t xml:space="preserve">              0.9</w:t>
            </w:r>
            <w:r w:rsidRPr="00D549EE">
              <w:rPr>
                <w:color w:val="000000"/>
                <w:lang w:val="en-US"/>
              </w:rPr>
              <w:tab/>
            </w:r>
            <w:r w:rsidRPr="00D549EE">
              <w:rPr>
                <w:color w:val="000000"/>
                <w:lang w:val="en-US"/>
              </w:rPr>
              <w:tab/>
              <w:t>3.7</w:t>
            </w:r>
            <w:r w:rsidRPr="00D549EE">
              <w:rPr>
                <w:color w:val="000000"/>
                <w:lang w:val="en-US"/>
              </w:rPr>
              <w:tab/>
              <w:t xml:space="preserve">    3.2</w:t>
            </w:r>
          </w:p>
          <w:p w14:paraId="2EAA477E" w14:textId="77777777" w:rsidR="00AC66E0" w:rsidRPr="00D549EE" w:rsidRDefault="00AC66E0" w:rsidP="00C9582F">
            <w:pPr>
              <w:autoSpaceDE w:val="0"/>
              <w:autoSpaceDN w:val="0"/>
              <w:adjustRightInd w:val="0"/>
              <w:jc w:val="lowKashida"/>
              <w:rPr>
                <w:color w:val="000000"/>
                <w:lang w:val="en-US"/>
              </w:rPr>
            </w:pPr>
            <w:r w:rsidRPr="00D549EE">
              <w:rPr>
                <w:color w:val="000000"/>
                <w:lang w:val="en-US"/>
              </w:rPr>
              <w:tab/>
              <w:t>Saudi Arabia</w:t>
            </w:r>
            <w:r w:rsidRPr="00D549EE">
              <w:rPr>
                <w:color w:val="000000"/>
                <w:lang w:val="en-US"/>
              </w:rPr>
              <w:tab/>
              <w:t xml:space="preserve">              1.2</w:t>
            </w:r>
            <w:r w:rsidRPr="00D549EE">
              <w:rPr>
                <w:color w:val="000000"/>
                <w:lang w:val="en-US"/>
              </w:rPr>
              <w:tab/>
            </w:r>
            <w:r w:rsidRPr="00D549EE">
              <w:rPr>
                <w:color w:val="000000"/>
                <w:lang w:val="en-US"/>
              </w:rPr>
              <w:tab/>
              <w:t>3.7</w:t>
            </w:r>
            <w:r w:rsidRPr="00D549EE">
              <w:rPr>
                <w:color w:val="000000"/>
                <w:lang w:val="en-US"/>
              </w:rPr>
              <w:tab/>
              <w:t xml:space="preserve">    3.4</w:t>
            </w:r>
          </w:p>
          <w:p w14:paraId="55857BAC" w14:textId="77777777" w:rsidR="00AC66E0" w:rsidRPr="00D549EE" w:rsidRDefault="00AC66E0" w:rsidP="00C9582F">
            <w:pPr>
              <w:autoSpaceDE w:val="0"/>
              <w:autoSpaceDN w:val="0"/>
              <w:adjustRightInd w:val="0"/>
              <w:jc w:val="lowKashida"/>
              <w:rPr>
                <w:color w:val="000000"/>
              </w:rPr>
            </w:pPr>
            <w:r w:rsidRPr="00D549EE">
              <w:rPr>
                <w:color w:val="000000"/>
                <w:lang w:val="en-US"/>
              </w:rPr>
              <w:tab/>
            </w:r>
            <w:r w:rsidRPr="00D549EE">
              <w:rPr>
                <w:color w:val="000000"/>
              </w:rPr>
              <w:t>Sudan</w:t>
            </w:r>
            <w:r w:rsidRPr="00D549EE">
              <w:rPr>
                <w:color w:val="000000"/>
              </w:rPr>
              <w:tab/>
            </w:r>
            <w:r w:rsidRPr="00D549EE">
              <w:rPr>
                <w:color w:val="000000"/>
              </w:rPr>
              <w:tab/>
              <w:t xml:space="preserve">              4.3</w:t>
            </w:r>
            <w:r w:rsidRPr="00D549EE">
              <w:rPr>
                <w:color w:val="000000"/>
              </w:rPr>
              <w:tab/>
            </w:r>
            <w:r w:rsidRPr="00D549EE">
              <w:rPr>
                <w:color w:val="000000"/>
              </w:rPr>
              <w:tab/>
              <w:t>6.3</w:t>
            </w:r>
            <w:r w:rsidRPr="00D549EE">
              <w:rPr>
                <w:color w:val="000000"/>
              </w:rPr>
              <w:tab/>
              <w:t xml:space="preserve">    6.2</w:t>
            </w:r>
          </w:p>
          <w:p w14:paraId="7CE65996" w14:textId="77777777" w:rsidR="00AC66E0" w:rsidRPr="00D549EE" w:rsidRDefault="00AC66E0" w:rsidP="00C9582F">
            <w:pPr>
              <w:autoSpaceDE w:val="0"/>
              <w:autoSpaceDN w:val="0"/>
              <w:adjustRightInd w:val="0"/>
              <w:jc w:val="lowKashida"/>
              <w:rPr>
                <w:color w:val="000000"/>
              </w:rPr>
            </w:pPr>
            <w:r w:rsidRPr="00D549EE">
              <w:rPr>
                <w:color w:val="000000"/>
              </w:rPr>
              <w:tab/>
              <w:t>Syria</w:t>
            </w:r>
            <w:r w:rsidRPr="00D549EE">
              <w:rPr>
                <w:color w:val="000000"/>
              </w:rPr>
              <w:tab/>
            </w:r>
            <w:r w:rsidRPr="00D549EE">
              <w:rPr>
                <w:color w:val="000000"/>
              </w:rPr>
              <w:tab/>
              <w:t xml:space="preserve">              1.5</w:t>
            </w:r>
            <w:r w:rsidRPr="00D549EE">
              <w:rPr>
                <w:color w:val="000000"/>
              </w:rPr>
              <w:tab/>
            </w:r>
            <w:r w:rsidRPr="00D549EE">
              <w:rPr>
                <w:color w:val="000000"/>
              </w:rPr>
              <w:tab/>
              <w:t>3.1</w:t>
            </w:r>
            <w:r w:rsidRPr="00D549EE">
              <w:rPr>
                <w:color w:val="000000"/>
              </w:rPr>
              <w:tab/>
              <w:t xml:space="preserve">    3.1</w:t>
            </w:r>
          </w:p>
          <w:p w14:paraId="2C07C31C" w14:textId="77777777" w:rsidR="00AC66E0" w:rsidRPr="00D549EE" w:rsidRDefault="00AC66E0" w:rsidP="00C9582F">
            <w:pPr>
              <w:autoSpaceDE w:val="0"/>
              <w:autoSpaceDN w:val="0"/>
              <w:adjustRightInd w:val="0"/>
              <w:jc w:val="lowKashida"/>
              <w:rPr>
                <w:color w:val="000000"/>
              </w:rPr>
            </w:pPr>
            <w:r w:rsidRPr="00D549EE">
              <w:rPr>
                <w:color w:val="000000"/>
              </w:rPr>
              <w:tab/>
              <w:t>Turkey</w:t>
            </w:r>
            <w:r w:rsidRPr="00D549EE">
              <w:rPr>
                <w:color w:val="000000"/>
              </w:rPr>
              <w:tab/>
            </w:r>
            <w:r w:rsidRPr="00D549EE">
              <w:rPr>
                <w:color w:val="000000"/>
              </w:rPr>
              <w:tab/>
              <w:t xml:space="preserve">              1.9</w:t>
            </w:r>
            <w:r w:rsidRPr="00D549EE">
              <w:rPr>
                <w:color w:val="000000"/>
              </w:rPr>
              <w:tab/>
            </w:r>
            <w:r w:rsidRPr="00D549EE">
              <w:rPr>
                <w:color w:val="000000"/>
              </w:rPr>
              <w:tab/>
              <w:t>4.9</w:t>
            </w:r>
            <w:r w:rsidRPr="00D549EE">
              <w:rPr>
                <w:color w:val="000000"/>
              </w:rPr>
              <w:tab/>
              <w:t xml:space="preserve">    7.5</w:t>
            </w:r>
          </w:p>
        </w:tc>
      </w:tr>
      <w:tr w:rsidR="00AC66E0" w:rsidRPr="00D549EE" w14:paraId="187F21E8" w14:textId="77777777" w:rsidTr="00875CA7">
        <w:trPr>
          <w:trHeight w:val="155"/>
          <w:jc w:val="center"/>
        </w:trPr>
        <w:tc>
          <w:tcPr>
            <w:tcW w:w="8455" w:type="dxa"/>
            <w:shd w:val="clear" w:color="auto" w:fill="auto"/>
          </w:tcPr>
          <w:p w14:paraId="3DE86BDF" w14:textId="11F4E431" w:rsidR="00AC66E0" w:rsidRPr="00D549EE" w:rsidRDefault="00AC66E0" w:rsidP="00C9582F">
            <w:pPr>
              <w:autoSpaceDE w:val="0"/>
              <w:autoSpaceDN w:val="0"/>
              <w:adjustRightInd w:val="0"/>
              <w:jc w:val="lowKashida"/>
              <w:rPr>
                <w:color w:val="000000"/>
              </w:rPr>
            </w:pPr>
            <w:r w:rsidRPr="00D549EE">
              <w:rPr>
                <w:color w:val="000000"/>
              </w:rPr>
              <w:t xml:space="preserve">            Average</w:t>
            </w:r>
            <w:r w:rsidRPr="00D549EE">
              <w:rPr>
                <w:color w:val="000000"/>
              </w:rPr>
              <w:tab/>
            </w:r>
            <w:r w:rsidRPr="00D549EE">
              <w:rPr>
                <w:color w:val="000000"/>
              </w:rPr>
              <w:tab/>
              <w:t xml:space="preserve">  1.80</w:t>
            </w:r>
            <w:r w:rsidRPr="00D549EE">
              <w:rPr>
                <w:color w:val="000000"/>
              </w:rPr>
              <w:tab/>
              <w:t xml:space="preserve">             3.85</w:t>
            </w:r>
            <w:r w:rsidRPr="00D549EE">
              <w:rPr>
                <w:color w:val="000000"/>
              </w:rPr>
              <w:tab/>
              <w:t xml:space="preserve">  4.34</w:t>
            </w:r>
          </w:p>
        </w:tc>
      </w:tr>
      <w:tr w:rsidR="000B5A3F" w:rsidRPr="00D549EE" w14:paraId="2420B3CA" w14:textId="77777777" w:rsidTr="00875CA7">
        <w:trPr>
          <w:trHeight w:val="155"/>
          <w:jc w:val="center"/>
        </w:trPr>
        <w:tc>
          <w:tcPr>
            <w:tcW w:w="8455" w:type="dxa"/>
            <w:shd w:val="clear" w:color="auto" w:fill="auto"/>
          </w:tcPr>
          <w:p w14:paraId="29A46E1A" w14:textId="5776B70B" w:rsidR="000B5A3F" w:rsidRPr="00D549EE" w:rsidRDefault="000B5A3F" w:rsidP="00C9582F">
            <w:pPr>
              <w:autoSpaceDE w:val="0"/>
              <w:autoSpaceDN w:val="0"/>
              <w:adjustRightInd w:val="0"/>
              <w:jc w:val="lowKashida"/>
              <w:rPr>
                <w:color w:val="000000"/>
                <w:lang w:val="en-US"/>
              </w:rPr>
            </w:pPr>
            <w:r w:rsidRPr="00D549EE">
              <w:rPr>
                <w:color w:val="000000"/>
                <w:lang w:val="en-US"/>
              </w:rPr>
              <w:t xml:space="preserve">       Note – Source </w:t>
            </w:r>
            <w:r w:rsidRPr="00D549EE">
              <w:rPr>
                <w:color w:val="000000"/>
                <w:lang w:val="en-US"/>
              </w:rPr>
              <w:fldChar w:fldCharType="begin" w:fldLock="1"/>
            </w:r>
            <w:r w:rsidR="00023147" w:rsidRPr="00D549EE">
              <w:rPr>
                <w:color w:val="000000"/>
                <w:lang w:val="en-US"/>
              </w:rPr>
              <w:instrText>ADDIN CSL_CITATION {"citationItems":[{"id":"ITEM-1","itemData":{"author":[{"dropping-particle":"","family":"Kahf","given":"Monzer","non-dropping-particle":"","parse-names":false,"suffix":""}],"container-title":"IIUM Journal of Economics and Management","id":"ITEM-1","issue":"1","issued":{"date-parts":[["1989"]]},"page":"1-22","title":"Zakah Estimation in some Muslim Countries","type":"article-journal","volume":"2"},"uris":["http://www.mendeley.com/documents/?uuid=2b22dc03-9b1a-4a9c-a8e0-dc0744b63832"]}],"mendeley":{"formattedCitation":"[60]","plainTextFormattedCitation":"[60]","previouslyFormattedCitation":"[60]"},"properties":{"noteIndex":0},"schema":"https://github.com/citation-style-language/schema/raw/master/csl-citation.json"}</w:instrText>
            </w:r>
            <w:r w:rsidRPr="00D549EE">
              <w:rPr>
                <w:color w:val="000000"/>
                <w:lang w:val="en-US"/>
              </w:rPr>
              <w:fldChar w:fldCharType="separate"/>
            </w:r>
            <w:r w:rsidR="009147BE" w:rsidRPr="00D549EE">
              <w:rPr>
                <w:noProof/>
                <w:color w:val="000000"/>
                <w:lang w:val="en-US"/>
              </w:rPr>
              <w:t>[60</w:t>
            </w:r>
            <w:r w:rsidR="00370237" w:rsidRPr="00D549EE">
              <w:rPr>
                <w:noProof/>
                <w:color w:val="000000"/>
                <w:lang w:val="en-US"/>
              </w:rPr>
              <w:t>, p. 13</w:t>
            </w:r>
            <w:r w:rsidR="009147BE" w:rsidRPr="00D549EE">
              <w:rPr>
                <w:noProof/>
                <w:color w:val="000000"/>
                <w:lang w:val="en-US"/>
              </w:rPr>
              <w:t>]</w:t>
            </w:r>
            <w:r w:rsidRPr="00D549EE">
              <w:rPr>
                <w:color w:val="000000"/>
                <w:lang w:val="en-US"/>
              </w:rPr>
              <w:fldChar w:fldCharType="end"/>
            </w:r>
          </w:p>
        </w:tc>
      </w:tr>
    </w:tbl>
    <w:p w14:paraId="0EA29B69" w14:textId="77777777" w:rsidR="009A05F9" w:rsidRPr="00D549EE" w:rsidRDefault="009A05F9" w:rsidP="00C9582F">
      <w:pPr>
        <w:pStyle w:val="2"/>
        <w:snapToGrid w:val="0"/>
        <w:spacing w:before="75" w:beforeAutospacing="0" w:after="375" w:afterAutospacing="0"/>
        <w:ind w:firstLine="708"/>
        <w:contextualSpacing/>
        <w:jc w:val="both"/>
        <w:rPr>
          <w:b w:val="0"/>
          <w:bCs w:val="0"/>
          <w:color w:val="000000" w:themeColor="text1"/>
          <w:sz w:val="28"/>
          <w:szCs w:val="28"/>
          <w:lang w:val="en-US"/>
        </w:rPr>
      </w:pPr>
    </w:p>
    <w:p w14:paraId="50183730" w14:textId="1F54DF81" w:rsidR="008839DC" w:rsidRPr="008839DC" w:rsidRDefault="008839DC" w:rsidP="008839DC">
      <w:pPr>
        <w:pStyle w:val="2"/>
        <w:snapToGrid w:val="0"/>
        <w:spacing w:before="75" w:after="375"/>
        <w:contextualSpacing/>
        <w:jc w:val="both"/>
        <w:rPr>
          <w:b w:val="0"/>
          <w:bCs w:val="0"/>
          <w:sz w:val="28"/>
          <w:szCs w:val="28"/>
          <w:lang w:val="en-US"/>
        </w:rPr>
      </w:pPr>
      <w:r>
        <w:rPr>
          <w:b w:val="0"/>
          <w:bCs w:val="0"/>
          <w:sz w:val="28"/>
          <w:szCs w:val="28"/>
          <w:lang w:val="en-US"/>
        </w:rPr>
        <w:tab/>
      </w:r>
      <w:r w:rsidRPr="008839DC">
        <w:rPr>
          <w:b w:val="0"/>
          <w:bCs w:val="0"/>
          <w:sz w:val="28"/>
          <w:szCs w:val="28"/>
          <w:lang w:val="en-US"/>
        </w:rPr>
        <w:t>Kahf's research for eight of these countries was the source for further development of Islamic social study in the estimation of potential zakat amount and its impact on the strategy of poverty reduction in more than 100 countries by Shirazi, Obaidullah, Hassan, and others. The research question of the authors' paper is directed at the impact on the different measures of poverty, if 104 middle- and low-income countries impose a social tax, which is equivalent to zakat and beneficiaries will be only poor and needy. The research of the mentioned authors modified Kahf's approach by adjusting the country's GDP by using the Muslim Population proportion. The non-Muslim population was excluded from all populations, as zakat is obligatory for Muslims, and the per capita GDP, furthermore the income of the population less than 2 US dollars was deducted from GDP. The average of Zs from Kahf's zakat potential has been used [107] in 2.93% of GDP.</w:t>
      </w:r>
    </w:p>
    <w:p w14:paraId="4C0A0CF2" w14:textId="77777777" w:rsidR="008839DC" w:rsidRPr="008839DC" w:rsidRDefault="008839DC" w:rsidP="008839DC">
      <w:pPr>
        <w:pStyle w:val="2"/>
        <w:snapToGrid w:val="0"/>
        <w:spacing w:before="75" w:after="375"/>
        <w:contextualSpacing/>
        <w:jc w:val="both"/>
        <w:rPr>
          <w:b w:val="0"/>
          <w:bCs w:val="0"/>
          <w:sz w:val="28"/>
          <w:szCs w:val="28"/>
          <w:lang w:val="en-US"/>
        </w:rPr>
      </w:pPr>
      <w:r w:rsidRPr="008839DC">
        <w:rPr>
          <w:b w:val="0"/>
          <w:bCs w:val="0"/>
          <w:sz w:val="28"/>
          <w:szCs w:val="28"/>
          <w:lang w:val="en-US"/>
        </w:rPr>
        <w:tab/>
        <w:t>For estimating the resource gap for poverty alleviation in the country there were used Poverty gap index, Poverty line, and resource of shortfall [63, p. 21].</w:t>
      </w:r>
    </w:p>
    <w:p w14:paraId="58C9B5E3" w14:textId="77777777" w:rsidR="008839DC" w:rsidRDefault="004C534D"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ab/>
      </w:r>
    </w:p>
    <w:p w14:paraId="5133ACBE" w14:textId="4D53B508" w:rsidR="009A05F9" w:rsidRPr="00D549EE" w:rsidRDefault="008839DC" w:rsidP="00C9582F">
      <w:pPr>
        <w:pStyle w:val="2"/>
        <w:snapToGrid w:val="0"/>
        <w:spacing w:before="75" w:beforeAutospacing="0" w:after="375" w:afterAutospacing="0"/>
        <w:contextualSpacing/>
        <w:jc w:val="both"/>
        <w:rPr>
          <w:b w:val="0"/>
          <w:bCs w:val="0"/>
          <w:color w:val="000000" w:themeColor="text1"/>
          <w:sz w:val="28"/>
          <w:szCs w:val="28"/>
          <w:lang w:val="en-US"/>
        </w:rPr>
      </w:pPr>
      <w:r>
        <w:rPr>
          <w:b w:val="0"/>
          <w:bCs w:val="0"/>
          <w:color w:val="000000" w:themeColor="text1"/>
          <w:sz w:val="28"/>
          <w:szCs w:val="28"/>
          <w:lang w:val="en-US"/>
        </w:rPr>
        <w:tab/>
      </w:r>
      <w:r w:rsidR="009A05F9" w:rsidRPr="00D549EE">
        <w:rPr>
          <w:b w:val="0"/>
          <w:bCs w:val="0"/>
          <w:color w:val="000000" w:themeColor="text1"/>
          <w:sz w:val="28"/>
          <w:szCs w:val="28"/>
          <w:lang w:val="en-US"/>
        </w:rPr>
        <w:t>Poverty Gap Index:</w:t>
      </w:r>
    </w:p>
    <w:p w14:paraId="4676D3CF" w14:textId="20E5B98E" w:rsidR="009A05F9" w:rsidRPr="00D549EE" w:rsidRDefault="009A05F9" w:rsidP="00C9582F">
      <w:pPr>
        <w:pStyle w:val="2"/>
        <w:snapToGrid w:val="0"/>
        <w:spacing w:before="75" w:beforeAutospacing="0" w:after="375" w:afterAutospacing="0"/>
        <w:contextualSpacing/>
        <w:jc w:val="right"/>
        <w:rPr>
          <w:b w:val="0"/>
          <w:bCs w:val="0"/>
          <w:color w:val="000000" w:themeColor="text1"/>
          <w:sz w:val="28"/>
          <w:szCs w:val="28"/>
          <w:lang w:val="en-US"/>
        </w:rPr>
      </w:pPr>
      <w:r w:rsidRPr="00D549EE">
        <w:rPr>
          <w:b w:val="0"/>
          <w:bCs w:val="0"/>
          <w:color w:val="000000" w:themeColor="text1"/>
          <w:sz w:val="28"/>
          <w:szCs w:val="28"/>
          <w:lang w:val="en-US"/>
        </w:rPr>
        <w:t xml:space="preserve">                                               </w:t>
      </w:r>
      <m:oMath>
        <m:r>
          <m:rPr>
            <m:sty m:val="b"/>
          </m:rPr>
          <w:rPr>
            <w:rFonts w:ascii="Cambria Math" w:hAnsi="Cambria Math"/>
            <w:color w:val="000000" w:themeColor="text1"/>
            <w:sz w:val="28"/>
            <w:szCs w:val="28"/>
            <w:lang w:val="en-US"/>
          </w:rPr>
          <m:t>PGI=</m:t>
        </m:r>
        <m:f>
          <m:fPr>
            <m:ctrlPr>
              <w:rPr>
                <w:rFonts w:ascii="Cambria Math" w:hAnsi="Cambria Math"/>
                <w:b w:val="0"/>
                <w:bCs w:val="0"/>
                <w:color w:val="000000" w:themeColor="text1"/>
                <w:sz w:val="28"/>
                <w:szCs w:val="28"/>
                <w:lang w:val="en-US"/>
              </w:rPr>
            </m:ctrlPr>
          </m:fPr>
          <m:num>
            <m:r>
              <m:rPr>
                <m:sty m:val="b"/>
              </m:rPr>
              <w:rPr>
                <w:rFonts w:ascii="Cambria Math" w:hAnsi="Cambria Math"/>
                <w:color w:val="000000" w:themeColor="text1"/>
                <w:sz w:val="28"/>
                <w:szCs w:val="28"/>
                <w:lang w:val="en-US"/>
              </w:rPr>
              <m:t>1</m:t>
            </m:r>
          </m:num>
          <m:den>
            <m:r>
              <m:rPr>
                <m:sty m:val="b"/>
              </m:rPr>
              <w:rPr>
                <w:rFonts w:ascii="Cambria Math" w:hAnsi="Cambria Math"/>
                <w:color w:val="000000" w:themeColor="text1"/>
                <w:sz w:val="28"/>
                <w:szCs w:val="28"/>
                <w:lang w:val="en-US"/>
              </w:rPr>
              <m:t>N</m:t>
            </m:r>
          </m:den>
        </m:f>
        <m:r>
          <m:rPr>
            <m:sty m:val="b"/>
          </m:rPr>
          <w:rPr>
            <w:rFonts w:ascii="Cambria Math" w:hAnsi="Cambria Math"/>
            <w:color w:val="000000" w:themeColor="text1"/>
            <w:sz w:val="28"/>
            <w:szCs w:val="28"/>
            <w:lang w:val="en-US"/>
          </w:rPr>
          <m:t xml:space="preserve"> </m:t>
        </m:r>
        <m:nary>
          <m:naryPr>
            <m:chr m:val="∑"/>
            <m:limLoc m:val="undOvr"/>
            <m:ctrlPr>
              <w:rPr>
                <w:rFonts w:ascii="Cambria Math" w:hAnsi="Cambria Math"/>
                <w:b w:val="0"/>
                <w:bCs w:val="0"/>
                <w:color w:val="000000" w:themeColor="text1"/>
                <w:sz w:val="28"/>
                <w:szCs w:val="28"/>
                <w:lang w:val="en-US"/>
              </w:rPr>
            </m:ctrlPr>
          </m:naryPr>
          <m:sub>
            <m:r>
              <m:rPr>
                <m:sty m:val="b"/>
              </m:rPr>
              <w:rPr>
                <w:rFonts w:ascii="Cambria Math" w:hAnsi="Cambria Math"/>
                <w:color w:val="000000" w:themeColor="text1"/>
                <w:sz w:val="28"/>
                <w:szCs w:val="28"/>
                <w:lang w:val="en-US"/>
              </w:rPr>
              <m:t>t=1</m:t>
            </m:r>
          </m:sub>
          <m:sup>
            <m:r>
              <m:rPr>
                <m:sty m:val="b"/>
              </m:rPr>
              <w:rPr>
                <w:rFonts w:ascii="Cambria Math" w:hAnsi="Cambria Math"/>
                <w:color w:val="000000" w:themeColor="text1"/>
                <w:sz w:val="28"/>
                <w:szCs w:val="28"/>
                <w:lang w:val="en-US"/>
              </w:rPr>
              <m:t>q</m:t>
            </m:r>
          </m:sup>
          <m:e>
            <m:f>
              <m:fPr>
                <m:ctrlPr>
                  <w:rPr>
                    <w:rFonts w:ascii="Cambria Math" w:hAnsi="Cambria Math"/>
                    <w:b w:val="0"/>
                    <w:bCs w:val="0"/>
                    <w:color w:val="000000" w:themeColor="text1"/>
                    <w:sz w:val="28"/>
                    <w:szCs w:val="28"/>
                    <w:vertAlign w:val="subscript"/>
                    <w:lang w:val="en-US"/>
                  </w:rPr>
                </m:ctrlPr>
              </m:fPr>
              <m:num>
                <m:r>
                  <m:rPr>
                    <m:sty m:val="b"/>
                  </m:rPr>
                  <w:rPr>
                    <w:rFonts w:ascii="Cambria Math" w:hAnsi="Cambria Math"/>
                    <w:color w:val="000000" w:themeColor="text1"/>
                    <w:sz w:val="28"/>
                    <w:szCs w:val="28"/>
                    <w:lang w:val="en-US"/>
                  </w:rPr>
                  <m:t>(Z-Y</m:t>
                </m:r>
                <m:r>
                  <m:rPr>
                    <m:sty m:val="b"/>
                  </m:rPr>
                  <w:rPr>
                    <w:rFonts w:ascii="Cambria Math" w:hAnsi="Cambria Math"/>
                    <w:color w:val="000000" w:themeColor="text1"/>
                    <w:sz w:val="28"/>
                    <w:szCs w:val="28"/>
                    <w:vertAlign w:val="subscript"/>
                    <w:lang w:val="en-US"/>
                  </w:rPr>
                  <m:t xml:space="preserve">i) </m:t>
                </m:r>
              </m:num>
              <m:den>
                <m:r>
                  <m:rPr>
                    <m:sty m:val="b"/>
                  </m:rPr>
                  <w:rPr>
                    <w:rFonts w:ascii="Cambria Math" w:hAnsi="Cambria Math"/>
                    <w:color w:val="000000" w:themeColor="text1"/>
                    <w:sz w:val="28"/>
                    <w:szCs w:val="28"/>
                    <w:vertAlign w:val="subscript"/>
                    <w:lang w:val="en-US"/>
                  </w:rPr>
                  <m:t>Z</m:t>
                </m:r>
              </m:den>
            </m:f>
          </m:e>
        </m:nary>
      </m:oMath>
      <w:r w:rsidRPr="00D549EE">
        <w:rPr>
          <w:b w:val="0"/>
          <w:bCs w:val="0"/>
          <w:color w:val="000000" w:themeColor="text1"/>
          <w:sz w:val="28"/>
          <w:szCs w:val="28"/>
          <w:lang w:val="en-US"/>
        </w:rPr>
        <w:t xml:space="preserve">       </w:t>
      </w:r>
      <w:r w:rsidR="004C534D" w:rsidRPr="00D549EE">
        <w:rPr>
          <w:b w:val="0"/>
          <w:bCs w:val="0"/>
          <w:color w:val="000000" w:themeColor="text1"/>
          <w:sz w:val="28"/>
          <w:szCs w:val="28"/>
          <w:lang w:val="en-US"/>
        </w:rPr>
        <w:t xml:space="preserve">                                          </w:t>
      </w:r>
      <w:r w:rsidRPr="00D549EE">
        <w:rPr>
          <w:b w:val="0"/>
          <w:bCs w:val="0"/>
          <w:color w:val="000000" w:themeColor="text1"/>
          <w:sz w:val="28"/>
          <w:szCs w:val="28"/>
          <w:lang w:val="en-US"/>
        </w:rPr>
        <w:t xml:space="preserve">   (</w:t>
      </w:r>
      <w:r w:rsidR="004C534D" w:rsidRPr="00D549EE">
        <w:rPr>
          <w:b w:val="0"/>
          <w:bCs w:val="0"/>
          <w:color w:val="000000" w:themeColor="text1"/>
          <w:sz w:val="28"/>
          <w:szCs w:val="28"/>
          <w:lang w:val="en-US"/>
        </w:rPr>
        <w:t>3</w:t>
      </w:r>
      <w:r w:rsidRPr="00D549EE">
        <w:rPr>
          <w:b w:val="0"/>
          <w:bCs w:val="0"/>
          <w:color w:val="000000" w:themeColor="text1"/>
          <w:sz w:val="28"/>
          <w:szCs w:val="28"/>
          <w:lang w:val="en-US"/>
        </w:rPr>
        <w:t>)</w:t>
      </w:r>
    </w:p>
    <w:p w14:paraId="57A87D6C" w14:textId="77777777"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p>
    <w:p w14:paraId="4BB3C8A9" w14:textId="7B3BBDBB" w:rsidR="004C534D" w:rsidRPr="00D549EE" w:rsidRDefault="004C534D"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w</w:t>
      </w:r>
      <w:r w:rsidR="009A05F9" w:rsidRPr="00D549EE">
        <w:rPr>
          <w:b w:val="0"/>
          <w:bCs w:val="0"/>
          <w:color w:val="000000" w:themeColor="text1"/>
          <w:sz w:val="28"/>
          <w:szCs w:val="28"/>
          <w:lang w:val="en-US"/>
        </w:rPr>
        <w:t>here</w:t>
      </w:r>
    </w:p>
    <w:p w14:paraId="75E06E2D" w14:textId="0CA773F6" w:rsidR="009A05F9" w:rsidRPr="00D549EE" w:rsidRDefault="009A05F9" w:rsidP="00C9582F">
      <w:pPr>
        <w:pStyle w:val="2"/>
        <w:snapToGrid w:val="0"/>
        <w:spacing w:before="75" w:beforeAutospacing="0" w:after="375" w:afterAutospacing="0"/>
        <w:contextualSpacing/>
        <w:rPr>
          <w:b w:val="0"/>
          <w:bCs w:val="0"/>
          <w:color w:val="000000" w:themeColor="text1"/>
          <w:sz w:val="28"/>
          <w:szCs w:val="28"/>
          <w:lang w:val="en-US"/>
        </w:rPr>
      </w:pPr>
      <w:r w:rsidRPr="00D549EE">
        <w:rPr>
          <w:b w:val="0"/>
          <w:bCs w:val="0"/>
          <w:color w:val="000000" w:themeColor="text1"/>
          <w:sz w:val="28"/>
          <w:szCs w:val="28"/>
          <w:lang w:val="en-US"/>
        </w:rPr>
        <w:t>N – the total population</w:t>
      </w:r>
      <w:r w:rsidR="004C534D" w:rsidRPr="00D549EE">
        <w:rPr>
          <w:b w:val="0"/>
          <w:bCs w:val="0"/>
          <w:color w:val="000000" w:themeColor="text1"/>
          <w:sz w:val="28"/>
          <w:szCs w:val="28"/>
          <w:lang w:val="en-US"/>
        </w:rPr>
        <w:t xml:space="preserve"> number;</w:t>
      </w:r>
    </w:p>
    <w:p w14:paraId="3DEF9B4D" w14:textId="5791BD82"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Z – poverty lin</w:t>
      </w:r>
      <w:r w:rsidR="004C534D" w:rsidRPr="00D549EE">
        <w:rPr>
          <w:b w:val="0"/>
          <w:bCs w:val="0"/>
          <w:color w:val="000000" w:themeColor="text1"/>
          <w:sz w:val="28"/>
          <w:szCs w:val="28"/>
          <w:lang w:val="en-US"/>
        </w:rPr>
        <w:t>e;</w:t>
      </w:r>
      <w:r w:rsidRPr="00D549EE">
        <w:rPr>
          <w:b w:val="0"/>
          <w:bCs w:val="0"/>
          <w:color w:val="000000" w:themeColor="text1"/>
          <w:sz w:val="28"/>
          <w:szCs w:val="28"/>
          <w:lang w:val="en-US"/>
        </w:rPr>
        <w:t xml:space="preserve"> </w:t>
      </w:r>
    </w:p>
    <w:p w14:paraId="2C25A2A1" w14:textId="0D20015E"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 xml:space="preserve">q - </w:t>
      </w:r>
      <w:r w:rsidRPr="00D549EE">
        <w:rPr>
          <w:b w:val="0"/>
          <w:color w:val="000000" w:themeColor="text1"/>
          <w:sz w:val="28"/>
          <w:szCs w:val="28"/>
          <w:shd w:val="clear" w:color="auto" w:fill="FFFFFF"/>
          <w:lang w:val="en-US"/>
        </w:rPr>
        <w:t>the total population of poor at or below the </w:t>
      </w:r>
      <w:hyperlink r:id="rId68" w:history="1">
        <w:r w:rsidRPr="00D549EE">
          <w:rPr>
            <w:b w:val="0"/>
            <w:color w:val="000000" w:themeColor="text1"/>
            <w:sz w:val="28"/>
            <w:szCs w:val="28"/>
            <w:lang w:val="en-US"/>
          </w:rPr>
          <w:t>poverty line</w:t>
        </w:r>
      </w:hyperlink>
      <w:r w:rsidR="004C534D" w:rsidRPr="00D549EE">
        <w:rPr>
          <w:b w:val="0"/>
          <w:color w:val="000000" w:themeColor="text1"/>
          <w:sz w:val="28"/>
          <w:szCs w:val="28"/>
          <w:lang w:val="en-US"/>
        </w:rPr>
        <w:t>;</w:t>
      </w:r>
    </w:p>
    <w:p w14:paraId="3ADCC32B" w14:textId="5B6B42DA" w:rsidR="009A05F9" w:rsidRPr="00D549EE" w:rsidRDefault="009A05F9" w:rsidP="00C9582F">
      <w:pPr>
        <w:pStyle w:val="2"/>
        <w:snapToGrid w:val="0"/>
        <w:spacing w:before="75" w:beforeAutospacing="0" w:after="375" w:afterAutospacing="0"/>
        <w:contextualSpacing/>
        <w:jc w:val="both"/>
        <w:rPr>
          <w:b w:val="0"/>
          <w:bCs w:val="0"/>
          <w:i/>
          <w:color w:val="000000" w:themeColor="text1"/>
          <w:sz w:val="28"/>
          <w:szCs w:val="28"/>
          <w:lang w:val="en-US"/>
        </w:rPr>
      </w:pPr>
      <w:r w:rsidRPr="00D549EE">
        <w:rPr>
          <w:b w:val="0"/>
          <w:bCs w:val="0"/>
          <w:color w:val="000000" w:themeColor="text1"/>
          <w:sz w:val="28"/>
          <w:szCs w:val="28"/>
          <w:lang w:val="en-US"/>
        </w:rPr>
        <w:t>Y</w:t>
      </w:r>
      <w:r w:rsidRPr="00D549EE">
        <w:rPr>
          <w:b w:val="0"/>
          <w:bCs w:val="0"/>
          <w:i/>
          <w:color w:val="000000" w:themeColor="text1"/>
          <w:sz w:val="28"/>
          <w:szCs w:val="28"/>
          <w:vertAlign w:val="subscript"/>
          <w:lang w:val="en-US"/>
        </w:rPr>
        <w:t>i</w:t>
      </w:r>
      <w:r w:rsidRPr="00D549EE">
        <w:rPr>
          <w:b w:val="0"/>
          <w:bCs w:val="0"/>
          <w:color w:val="000000" w:themeColor="text1"/>
          <w:sz w:val="28"/>
          <w:szCs w:val="28"/>
          <w:vertAlign w:val="subscript"/>
          <w:lang w:val="en-US"/>
        </w:rPr>
        <w:t xml:space="preserve"> – </w:t>
      </w:r>
      <w:r w:rsidRPr="00D549EE">
        <w:rPr>
          <w:b w:val="0"/>
          <w:bCs w:val="0"/>
          <w:color w:val="000000" w:themeColor="text1"/>
          <w:sz w:val="28"/>
          <w:szCs w:val="28"/>
          <w:lang w:val="en-US"/>
        </w:rPr>
        <w:t xml:space="preserve">income of poor individual </w:t>
      </w:r>
      <w:r w:rsidRPr="00D549EE">
        <w:rPr>
          <w:b w:val="0"/>
          <w:bCs w:val="0"/>
          <w:i/>
          <w:color w:val="000000" w:themeColor="text1"/>
          <w:sz w:val="28"/>
          <w:szCs w:val="28"/>
          <w:lang w:val="en-US"/>
        </w:rPr>
        <w:t>i</w:t>
      </w:r>
      <w:r w:rsidR="004C534D" w:rsidRPr="00D549EE">
        <w:rPr>
          <w:b w:val="0"/>
          <w:bCs w:val="0"/>
          <w:i/>
          <w:color w:val="000000" w:themeColor="text1"/>
          <w:sz w:val="28"/>
          <w:szCs w:val="28"/>
          <w:lang w:val="en-US"/>
        </w:rPr>
        <w:t>.</w:t>
      </w:r>
    </w:p>
    <w:p w14:paraId="423829CE" w14:textId="77777777"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p>
    <w:p w14:paraId="7FA88DDD" w14:textId="77777777"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ab/>
        <w:t xml:space="preserve">The poverty gap index has been re-arranged for getting the absolute resource gap for poverty reduction, as a result the following formula was given. </w:t>
      </w:r>
    </w:p>
    <w:p w14:paraId="005742D0" w14:textId="77777777"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lastRenderedPageBreak/>
        <w:tab/>
      </w:r>
    </w:p>
    <w:p w14:paraId="234814E9" w14:textId="77777777" w:rsidR="00D56E44" w:rsidRDefault="00D56E44" w:rsidP="00C9582F">
      <w:pPr>
        <w:pStyle w:val="2"/>
        <w:snapToGrid w:val="0"/>
        <w:spacing w:before="75" w:beforeAutospacing="0" w:after="375" w:afterAutospacing="0"/>
        <w:contextualSpacing/>
        <w:jc w:val="both"/>
        <w:rPr>
          <w:b w:val="0"/>
          <w:bCs w:val="0"/>
          <w:color w:val="000000" w:themeColor="text1"/>
          <w:sz w:val="28"/>
          <w:szCs w:val="28"/>
          <w:lang w:val="en-US"/>
        </w:rPr>
      </w:pPr>
    </w:p>
    <w:p w14:paraId="65EB3096" w14:textId="657DB9A6" w:rsidR="004C534D"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ab/>
        <w:t xml:space="preserve">Resource shortfall: </w:t>
      </w:r>
    </w:p>
    <w:p w14:paraId="2ECA53AE" w14:textId="77777777" w:rsidR="004C534D" w:rsidRPr="00D549EE" w:rsidRDefault="004C534D" w:rsidP="00C9582F">
      <w:pPr>
        <w:pStyle w:val="2"/>
        <w:snapToGrid w:val="0"/>
        <w:spacing w:before="75" w:beforeAutospacing="0" w:after="375" w:afterAutospacing="0"/>
        <w:contextualSpacing/>
        <w:jc w:val="both"/>
        <w:rPr>
          <w:color w:val="000000" w:themeColor="text1"/>
          <w:sz w:val="28"/>
          <w:szCs w:val="28"/>
          <w:lang w:val="en-US"/>
        </w:rPr>
      </w:pPr>
    </w:p>
    <w:p w14:paraId="6C42995A" w14:textId="37FC9BD0"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m:oMath>
        <m:r>
          <m:rPr>
            <m:sty m:val="bi"/>
          </m:rPr>
          <w:rPr>
            <w:rFonts w:ascii="Cambria Math" w:hAnsi="Cambria Math"/>
            <w:color w:val="000000" w:themeColor="text1"/>
            <w:sz w:val="28"/>
            <w:szCs w:val="28"/>
            <w:lang w:val="en-US"/>
          </w:rPr>
          <m:t xml:space="preserve">                                                    </m:t>
        </m:r>
        <m:nary>
          <m:naryPr>
            <m:chr m:val="∑"/>
            <m:limLoc m:val="undOvr"/>
            <m:ctrlPr>
              <w:rPr>
                <w:rFonts w:ascii="Cambria Math" w:hAnsi="Cambria Math"/>
                <w:b w:val="0"/>
                <w:bCs w:val="0"/>
                <w:color w:val="000000" w:themeColor="text1"/>
                <w:sz w:val="28"/>
                <w:szCs w:val="28"/>
                <w:lang w:val="en-US"/>
              </w:rPr>
            </m:ctrlPr>
          </m:naryPr>
          <m:sub>
            <m:r>
              <m:rPr>
                <m:sty m:val="b"/>
              </m:rPr>
              <w:rPr>
                <w:rFonts w:ascii="Cambria Math" w:hAnsi="Cambria Math"/>
                <w:color w:val="000000" w:themeColor="text1"/>
                <w:sz w:val="28"/>
                <w:szCs w:val="28"/>
                <w:lang w:val="en-US"/>
              </w:rPr>
              <m:t>t=1</m:t>
            </m:r>
          </m:sub>
          <m:sup>
            <m:r>
              <m:rPr>
                <m:sty m:val="b"/>
              </m:rPr>
              <w:rPr>
                <w:rFonts w:ascii="Cambria Math" w:hAnsi="Cambria Math"/>
                <w:color w:val="000000" w:themeColor="text1"/>
                <w:sz w:val="28"/>
                <w:szCs w:val="28"/>
                <w:lang w:val="en-US"/>
              </w:rPr>
              <m:t>q</m:t>
            </m:r>
          </m:sup>
          <m:e>
            <m:d>
              <m:dPr>
                <m:ctrlPr>
                  <w:rPr>
                    <w:rFonts w:ascii="Cambria Math" w:hAnsi="Cambria Math"/>
                    <w:b w:val="0"/>
                    <w:bCs w:val="0"/>
                    <w:color w:val="000000" w:themeColor="text1"/>
                    <w:sz w:val="28"/>
                    <w:szCs w:val="28"/>
                    <w:lang w:val="en-US"/>
                  </w:rPr>
                </m:ctrlPr>
              </m:dPr>
              <m:e>
                <m:r>
                  <m:rPr>
                    <m:sty m:val="b"/>
                  </m:rPr>
                  <w:rPr>
                    <w:rFonts w:ascii="Cambria Math" w:hAnsi="Cambria Math"/>
                    <w:color w:val="000000" w:themeColor="text1"/>
                    <w:sz w:val="28"/>
                    <w:szCs w:val="28"/>
                    <w:lang w:val="en-US"/>
                  </w:rPr>
                  <m:t>Z-Yi</m:t>
                </m:r>
              </m:e>
            </m:d>
            <m:r>
              <m:rPr>
                <m:sty m:val="b"/>
              </m:rPr>
              <w:rPr>
                <w:rFonts w:ascii="Cambria Math" w:hAnsi="Cambria Math"/>
                <w:color w:val="000000" w:themeColor="text1"/>
                <w:sz w:val="28"/>
                <w:szCs w:val="28"/>
                <w:lang w:val="en-US"/>
              </w:rPr>
              <m:t>=PGI</m:t>
            </m:r>
          </m:e>
        </m:nary>
        <m:r>
          <m:rPr>
            <m:sty m:val="b"/>
          </m:rPr>
          <w:rPr>
            <w:rFonts w:ascii="Cambria Math" w:hAnsi="Cambria Math"/>
            <w:color w:val="000000" w:themeColor="text1"/>
            <w:sz w:val="28"/>
            <w:szCs w:val="28"/>
            <w:lang w:val="en-US"/>
          </w:rPr>
          <m:t>*NZ</m:t>
        </m:r>
      </m:oMath>
      <w:r w:rsidRPr="00D549EE">
        <w:rPr>
          <w:b w:val="0"/>
          <w:bCs w:val="0"/>
          <w:color w:val="000000" w:themeColor="text1"/>
          <w:sz w:val="28"/>
          <w:szCs w:val="28"/>
          <w:lang w:val="en-US"/>
        </w:rPr>
        <w:t xml:space="preserve">          </w:t>
      </w:r>
      <w:r w:rsidR="004C534D" w:rsidRPr="00D549EE">
        <w:rPr>
          <w:b w:val="0"/>
          <w:bCs w:val="0"/>
          <w:color w:val="000000" w:themeColor="text1"/>
          <w:sz w:val="28"/>
          <w:szCs w:val="28"/>
          <w:lang w:val="en-US"/>
        </w:rPr>
        <w:t xml:space="preserve">                                    </w:t>
      </w:r>
      <w:r w:rsidRPr="00D549EE">
        <w:rPr>
          <w:b w:val="0"/>
          <w:bCs w:val="0"/>
          <w:color w:val="000000" w:themeColor="text1"/>
          <w:sz w:val="28"/>
          <w:szCs w:val="28"/>
          <w:lang w:val="en-US"/>
        </w:rPr>
        <w:t xml:space="preserve">  (</w:t>
      </w:r>
      <w:r w:rsidR="004C534D" w:rsidRPr="00D549EE">
        <w:rPr>
          <w:b w:val="0"/>
          <w:bCs w:val="0"/>
          <w:color w:val="000000" w:themeColor="text1"/>
          <w:sz w:val="28"/>
          <w:szCs w:val="28"/>
          <w:lang w:val="en-US"/>
        </w:rPr>
        <w:t>4</w:t>
      </w:r>
      <w:r w:rsidRPr="00D549EE">
        <w:rPr>
          <w:b w:val="0"/>
          <w:bCs w:val="0"/>
          <w:color w:val="000000" w:themeColor="text1"/>
          <w:sz w:val="28"/>
          <w:szCs w:val="28"/>
          <w:lang w:val="en-US"/>
        </w:rPr>
        <w:t>)</w:t>
      </w:r>
    </w:p>
    <w:p w14:paraId="0F32AE2E" w14:textId="77777777" w:rsidR="004C534D" w:rsidRPr="00D549EE" w:rsidRDefault="004C534D"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where</w:t>
      </w:r>
    </w:p>
    <w:p w14:paraId="3AEE026C" w14:textId="550930A1" w:rsidR="004C534D" w:rsidRPr="00D549EE" w:rsidRDefault="004C534D" w:rsidP="00C9582F">
      <w:pPr>
        <w:pStyle w:val="2"/>
        <w:snapToGrid w:val="0"/>
        <w:spacing w:before="75" w:beforeAutospacing="0" w:after="375" w:afterAutospacing="0"/>
        <w:contextualSpacing/>
        <w:rPr>
          <w:b w:val="0"/>
          <w:bCs w:val="0"/>
          <w:color w:val="000000" w:themeColor="text1"/>
          <w:sz w:val="20"/>
          <w:szCs w:val="20"/>
          <w:lang w:val="en-US"/>
        </w:rPr>
      </w:pPr>
      <w:r w:rsidRPr="00D549EE">
        <w:rPr>
          <w:b w:val="0"/>
          <w:bCs w:val="0"/>
          <w:color w:val="000000" w:themeColor="text1"/>
          <w:sz w:val="28"/>
          <w:szCs w:val="28"/>
          <w:lang w:val="en-US"/>
        </w:rPr>
        <w:t>PGI</w:t>
      </w:r>
      <w:r w:rsidRPr="00D549EE">
        <w:rPr>
          <w:b w:val="0"/>
          <w:bCs w:val="0"/>
          <w:color w:val="000000" w:themeColor="text1"/>
          <w:sz w:val="20"/>
          <w:szCs w:val="20"/>
          <w:lang w:val="en-US"/>
        </w:rPr>
        <w:t xml:space="preserve"> </w:t>
      </w:r>
      <w:r w:rsidRPr="00D549EE">
        <w:rPr>
          <w:b w:val="0"/>
          <w:bCs w:val="0"/>
          <w:color w:val="000000" w:themeColor="text1"/>
          <w:sz w:val="28"/>
          <w:szCs w:val="28"/>
          <w:lang w:val="en-US"/>
        </w:rPr>
        <w:t>–</w:t>
      </w:r>
      <w:r w:rsidRPr="00D549EE">
        <w:rPr>
          <w:b w:val="0"/>
          <w:bCs w:val="0"/>
          <w:color w:val="000000" w:themeColor="text1"/>
          <w:sz w:val="20"/>
          <w:szCs w:val="20"/>
          <w:lang w:val="en-US"/>
        </w:rPr>
        <w:t xml:space="preserve"> </w:t>
      </w:r>
      <w:r w:rsidRPr="00D549EE">
        <w:rPr>
          <w:b w:val="0"/>
          <w:bCs w:val="0"/>
          <w:color w:val="000000" w:themeColor="text1"/>
          <w:sz w:val="28"/>
          <w:szCs w:val="28"/>
          <w:lang w:val="en-US"/>
        </w:rPr>
        <w:t>Poverty Gap Index</w:t>
      </w:r>
    </w:p>
    <w:p w14:paraId="2650CF16" w14:textId="35272CCA" w:rsidR="004C534D" w:rsidRPr="00D549EE" w:rsidRDefault="004C534D" w:rsidP="00C9582F">
      <w:pPr>
        <w:pStyle w:val="2"/>
        <w:snapToGrid w:val="0"/>
        <w:spacing w:before="75" w:beforeAutospacing="0" w:after="375" w:afterAutospacing="0"/>
        <w:contextualSpacing/>
        <w:rPr>
          <w:b w:val="0"/>
          <w:bCs w:val="0"/>
          <w:color w:val="000000" w:themeColor="text1"/>
          <w:sz w:val="28"/>
          <w:szCs w:val="28"/>
          <w:lang w:val="en-US"/>
        </w:rPr>
      </w:pPr>
      <w:r w:rsidRPr="00D549EE">
        <w:rPr>
          <w:b w:val="0"/>
          <w:bCs w:val="0"/>
          <w:color w:val="000000" w:themeColor="text1"/>
          <w:sz w:val="28"/>
          <w:szCs w:val="28"/>
          <w:lang w:val="en-US"/>
        </w:rPr>
        <w:t>N – the total population number;</w:t>
      </w:r>
    </w:p>
    <w:p w14:paraId="05255790" w14:textId="77777777" w:rsidR="004C534D" w:rsidRPr="00D549EE" w:rsidRDefault="004C534D"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 xml:space="preserve">Z – poverty line; </w:t>
      </w:r>
    </w:p>
    <w:p w14:paraId="049CD741" w14:textId="77777777" w:rsidR="004C534D" w:rsidRPr="00D549EE" w:rsidRDefault="004C534D"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 xml:space="preserve">q - </w:t>
      </w:r>
      <w:r w:rsidRPr="00D549EE">
        <w:rPr>
          <w:b w:val="0"/>
          <w:color w:val="000000" w:themeColor="text1"/>
          <w:sz w:val="28"/>
          <w:szCs w:val="28"/>
          <w:shd w:val="clear" w:color="auto" w:fill="FFFFFF"/>
          <w:lang w:val="en-US"/>
        </w:rPr>
        <w:t>the total population of poor at or below the </w:t>
      </w:r>
      <w:hyperlink r:id="rId69" w:history="1">
        <w:r w:rsidRPr="00D549EE">
          <w:rPr>
            <w:b w:val="0"/>
            <w:color w:val="000000" w:themeColor="text1"/>
            <w:sz w:val="28"/>
            <w:szCs w:val="28"/>
            <w:lang w:val="en-US"/>
          </w:rPr>
          <w:t>poverty line</w:t>
        </w:r>
      </w:hyperlink>
      <w:r w:rsidRPr="00D549EE">
        <w:rPr>
          <w:b w:val="0"/>
          <w:color w:val="000000" w:themeColor="text1"/>
          <w:sz w:val="28"/>
          <w:szCs w:val="28"/>
          <w:lang w:val="en-US"/>
        </w:rPr>
        <w:t>;</w:t>
      </w:r>
    </w:p>
    <w:p w14:paraId="0FFA84F9" w14:textId="77777777" w:rsidR="004C534D" w:rsidRPr="00D549EE" w:rsidRDefault="004C534D" w:rsidP="00C9582F">
      <w:pPr>
        <w:pStyle w:val="2"/>
        <w:snapToGrid w:val="0"/>
        <w:spacing w:before="75" w:beforeAutospacing="0" w:after="375" w:afterAutospacing="0"/>
        <w:contextualSpacing/>
        <w:jc w:val="both"/>
        <w:rPr>
          <w:b w:val="0"/>
          <w:bCs w:val="0"/>
          <w:i/>
          <w:color w:val="000000" w:themeColor="text1"/>
          <w:sz w:val="28"/>
          <w:szCs w:val="28"/>
          <w:lang w:val="en-US"/>
        </w:rPr>
      </w:pPr>
      <w:r w:rsidRPr="00D549EE">
        <w:rPr>
          <w:b w:val="0"/>
          <w:bCs w:val="0"/>
          <w:color w:val="000000" w:themeColor="text1"/>
          <w:sz w:val="28"/>
          <w:szCs w:val="28"/>
          <w:lang w:val="en-US"/>
        </w:rPr>
        <w:t>Y</w:t>
      </w:r>
      <w:r w:rsidRPr="00D549EE">
        <w:rPr>
          <w:b w:val="0"/>
          <w:bCs w:val="0"/>
          <w:i/>
          <w:color w:val="000000" w:themeColor="text1"/>
          <w:sz w:val="28"/>
          <w:szCs w:val="28"/>
          <w:vertAlign w:val="subscript"/>
          <w:lang w:val="en-US"/>
        </w:rPr>
        <w:t>i</w:t>
      </w:r>
      <w:r w:rsidRPr="00D549EE">
        <w:rPr>
          <w:b w:val="0"/>
          <w:bCs w:val="0"/>
          <w:color w:val="000000" w:themeColor="text1"/>
          <w:sz w:val="28"/>
          <w:szCs w:val="28"/>
          <w:vertAlign w:val="subscript"/>
          <w:lang w:val="en-US"/>
        </w:rPr>
        <w:t xml:space="preserve"> – </w:t>
      </w:r>
      <w:r w:rsidRPr="00D549EE">
        <w:rPr>
          <w:b w:val="0"/>
          <w:bCs w:val="0"/>
          <w:color w:val="000000" w:themeColor="text1"/>
          <w:sz w:val="28"/>
          <w:szCs w:val="28"/>
          <w:lang w:val="en-US"/>
        </w:rPr>
        <w:t xml:space="preserve">income of poor individual </w:t>
      </w:r>
      <w:r w:rsidRPr="00D549EE">
        <w:rPr>
          <w:b w:val="0"/>
          <w:bCs w:val="0"/>
          <w:i/>
          <w:color w:val="000000" w:themeColor="text1"/>
          <w:sz w:val="28"/>
          <w:szCs w:val="28"/>
          <w:lang w:val="en-US"/>
        </w:rPr>
        <w:t>i.</w:t>
      </w:r>
    </w:p>
    <w:p w14:paraId="52020C47" w14:textId="77777777"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p>
    <w:p w14:paraId="1F69C5E3" w14:textId="2CB73495"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kk-KZ"/>
        </w:rPr>
        <w:tab/>
      </w:r>
      <w:r w:rsidR="008839DC" w:rsidRPr="008839DC">
        <w:rPr>
          <w:b w:val="0"/>
          <w:bCs w:val="0"/>
          <w:color w:val="000000" w:themeColor="text1"/>
          <w:sz w:val="28"/>
          <w:szCs w:val="28"/>
          <w:lang w:val="kk-KZ"/>
        </w:rPr>
        <w:t>The resulting final absolute values must be converted into a percentage of GDP. These estimations indicate the amount of the necessary sources for poverty alleviation in the country related to the GDP. From the 2014 Islamic Social Finance Report, the authors and researchers in Islamic social finance, by using the estimations above, investigated the resource gap for poverty alleviation for South and Southeast Asia in 2014, for Sub-Saharan African countries in 2015, for OIC member countries in 2017, for the Balkan region, Central Asia and Russian Federation in 2017, North-West African countries in 2020. The authors' main goal was to research the potential of zakat, waqf, and microfinance for poverty alleviation in considering countries</w:t>
      </w:r>
      <w:r w:rsidRPr="00D549EE">
        <w:rPr>
          <w:b w:val="0"/>
          <w:bCs w:val="0"/>
          <w:color w:val="000000" w:themeColor="text1"/>
          <w:sz w:val="28"/>
          <w:szCs w:val="28"/>
          <w:lang w:val="en-US"/>
        </w:rPr>
        <w:tab/>
        <w:t xml:space="preserve">    </w:t>
      </w:r>
    </w:p>
    <w:p w14:paraId="54A77985" w14:textId="77777777" w:rsidR="008839DC" w:rsidRDefault="008839DC" w:rsidP="00C9582F">
      <w:pPr>
        <w:pStyle w:val="2"/>
        <w:snapToGrid w:val="0"/>
        <w:spacing w:before="75" w:beforeAutospacing="0" w:after="375" w:afterAutospacing="0"/>
        <w:contextualSpacing/>
        <w:jc w:val="both"/>
        <w:rPr>
          <w:b w:val="0"/>
          <w:bCs w:val="0"/>
          <w:color w:val="000000" w:themeColor="text1"/>
          <w:sz w:val="28"/>
          <w:szCs w:val="28"/>
          <w:lang w:val="en-US"/>
        </w:rPr>
      </w:pPr>
    </w:p>
    <w:p w14:paraId="37D95CCC" w14:textId="0B68F5B9" w:rsidR="009A05F9" w:rsidRPr="00D549EE" w:rsidRDefault="009A05F9" w:rsidP="00C9582F">
      <w:pPr>
        <w:pStyle w:val="2"/>
        <w:snapToGrid w:val="0"/>
        <w:spacing w:before="75" w:beforeAutospacing="0" w:after="375" w:afterAutospacing="0"/>
        <w:contextualSpacing/>
        <w:jc w:val="both"/>
        <w:rPr>
          <w:bCs w:val="0"/>
          <w:color w:val="000000" w:themeColor="text1"/>
          <w:sz w:val="28"/>
          <w:szCs w:val="28"/>
          <w:lang w:val="en-US"/>
        </w:rPr>
      </w:pPr>
      <w:r w:rsidRPr="00D549EE">
        <w:rPr>
          <w:b w:val="0"/>
          <w:bCs w:val="0"/>
          <w:color w:val="000000" w:themeColor="text1"/>
          <w:sz w:val="28"/>
          <w:szCs w:val="28"/>
          <w:lang w:val="en-US"/>
        </w:rPr>
        <w:t>Table 1</w:t>
      </w:r>
      <w:r w:rsidR="00736E1B" w:rsidRPr="00D549EE">
        <w:rPr>
          <w:b w:val="0"/>
          <w:bCs w:val="0"/>
          <w:color w:val="000000" w:themeColor="text1"/>
          <w:sz w:val="28"/>
          <w:szCs w:val="28"/>
          <w:lang w:val="en-US"/>
        </w:rPr>
        <w:t>8</w:t>
      </w:r>
      <w:r w:rsidRPr="00D549EE">
        <w:rPr>
          <w:bCs w:val="0"/>
          <w:color w:val="000000" w:themeColor="text1"/>
          <w:sz w:val="28"/>
          <w:szCs w:val="28"/>
          <w:lang w:val="en-US"/>
        </w:rPr>
        <w:t xml:space="preserve"> </w:t>
      </w:r>
      <w:r w:rsidRPr="00D549EE">
        <w:rPr>
          <w:b w:val="0"/>
          <w:sz w:val="28"/>
          <w:szCs w:val="28"/>
          <w:lang w:val="en-US"/>
        </w:rPr>
        <w:t xml:space="preserve">– </w:t>
      </w:r>
      <w:r w:rsidRPr="00D549EE">
        <w:rPr>
          <w:b w:val="0"/>
          <w:bCs w:val="0"/>
          <w:color w:val="000000" w:themeColor="text1"/>
          <w:sz w:val="28"/>
          <w:szCs w:val="28"/>
          <w:lang w:val="en-US"/>
        </w:rPr>
        <w:t xml:space="preserve">The Impact of Social Tax on the Poverty and Income Distribution </w:t>
      </w:r>
    </w:p>
    <w:p w14:paraId="28C9D4F4" w14:textId="77777777" w:rsidR="009A05F9"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 xml:space="preserve">   </w:t>
      </w:r>
    </w:p>
    <w:tbl>
      <w:tblPr>
        <w:tblStyle w:val="a9"/>
        <w:tblW w:w="0" w:type="auto"/>
        <w:tblLayout w:type="fixed"/>
        <w:tblLook w:val="04A0" w:firstRow="1" w:lastRow="0" w:firstColumn="1" w:lastColumn="0" w:noHBand="0" w:noVBand="1"/>
      </w:tblPr>
      <w:tblGrid>
        <w:gridCol w:w="1603"/>
        <w:gridCol w:w="1604"/>
        <w:gridCol w:w="1604"/>
        <w:gridCol w:w="1604"/>
        <w:gridCol w:w="1518"/>
        <w:gridCol w:w="1690"/>
      </w:tblGrid>
      <w:tr w:rsidR="009A05F9" w:rsidRPr="00D549EE" w14:paraId="126388CB" w14:textId="77777777" w:rsidTr="00670896">
        <w:tc>
          <w:tcPr>
            <w:tcW w:w="1603" w:type="dxa"/>
          </w:tcPr>
          <w:p w14:paraId="61FB5C1F" w14:textId="77777777" w:rsidR="009A05F9" w:rsidRPr="00D549EE" w:rsidRDefault="009A05F9" w:rsidP="00C9582F">
            <w:pPr>
              <w:pStyle w:val="2"/>
              <w:snapToGrid w:val="0"/>
              <w:spacing w:before="75" w:after="375"/>
              <w:contextualSpacing/>
              <w:outlineLvl w:val="1"/>
              <w:rPr>
                <w:b w:val="0"/>
                <w:color w:val="000000" w:themeColor="text1"/>
                <w:sz w:val="22"/>
                <w:szCs w:val="22"/>
              </w:rPr>
            </w:pPr>
            <w:r w:rsidRPr="00D549EE">
              <w:rPr>
                <w:b w:val="0"/>
                <w:color w:val="000000" w:themeColor="text1"/>
                <w:sz w:val="22"/>
                <w:szCs w:val="22"/>
                <w:lang w:val="en-US"/>
              </w:rPr>
              <w:t>Potential impact</w:t>
            </w:r>
          </w:p>
          <w:p w14:paraId="0309F60B" w14:textId="77777777" w:rsidR="009A05F9" w:rsidRPr="00D549EE" w:rsidRDefault="009A05F9" w:rsidP="00C9582F">
            <w:pPr>
              <w:pStyle w:val="2"/>
              <w:snapToGrid w:val="0"/>
              <w:spacing w:before="75" w:beforeAutospacing="0" w:after="375" w:afterAutospacing="0"/>
              <w:contextualSpacing/>
              <w:outlineLvl w:val="1"/>
              <w:rPr>
                <w:b w:val="0"/>
                <w:bCs w:val="0"/>
                <w:color w:val="000000" w:themeColor="text1"/>
                <w:sz w:val="22"/>
                <w:szCs w:val="22"/>
                <w:lang w:val="en-US"/>
              </w:rPr>
            </w:pPr>
          </w:p>
        </w:tc>
        <w:tc>
          <w:tcPr>
            <w:tcW w:w="1604" w:type="dxa"/>
          </w:tcPr>
          <w:p w14:paraId="3030C33D" w14:textId="77777777" w:rsidR="009A05F9" w:rsidRPr="00D549EE" w:rsidRDefault="009A05F9" w:rsidP="00C9582F">
            <w:pPr>
              <w:pStyle w:val="2"/>
              <w:snapToGrid w:val="0"/>
              <w:spacing w:before="75" w:after="375"/>
              <w:contextualSpacing/>
              <w:outlineLvl w:val="1"/>
              <w:rPr>
                <w:b w:val="0"/>
                <w:color w:val="000000" w:themeColor="text1"/>
                <w:sz w:val="22"/>
                <w:szCs w:val="22"/>
              </w:rPr>
            </w:pPr>
            <w:r w:rsidRPr="00D549EE">
              <w:rPr>
                <w:b w:val="0"/>
                <w:color w:val="000000" w:themeColor="text1"/>
                <w:sz w:val="22"/>
                <w:szCs w:val="22"/>
                <w:lang w:val="en-US"/>
              </w:rPr>
              <w:t>Change ≤ 25%</w:t>
            </w:r>
          </w:p>
          <w:p w14:paraId="59BEBA53" w14:textId="77777777" w:rsidR="009A05F9" w:rsidRPr="00D549EE" w:rsidRDefault="009A05F9" w:rsidP="00C9582F">
            <w:pPr>
              <w:pStyle w:val="2"/>
              <w:snapToGrid w:val="0"/>
              <w:spacing w:before="75" w:beforeAutospacing="0" w:after="375" w:afterAutospacing="0"/>
              <w:contextualSpacing/>
              <w:outlineLvl w:val="1"/>
              <w:rPr>
                <w:b w:val="0"/>
                <w:bCs w:val="0"/>
                <w:color w:val="000000" w:themeColor="text1"/>
                <w:sz w:val="22"/>
                <w:szCs w:val="22"/>
                <w:lang w:val="en-US"/>
              </w:rPr>
            </w:pPr>
          </w:p>
        </w:tc>
        <w:tc>
          <w:tcPr>
            <w:tcW w:w="1604" w:type="dxa"/>
          </w:tcPr>
          <w:p w14:paraId="04FEF7B8" w14:textId="77777777" w:rsidR="009A05F9" w:rsidRPr="00D549EE" w:rsidRDefault="009A05F9" w:rsidP="00C9582F">
            <w:pPr>
              <w:pStyle w:val="2"/>
              <w:snapToGrid w:val="0"/>
              <w:spacing w:before="75" w:after="375"/>
              <w:contextualSpacing/>
              <w:outlineLvl w:val="1"/>
              <w:rPr>
                <w:b w:val="0"/>
                <w:color w:val="000000" w:themeColor="text1"/>
                <w:sz w:val="22"/>
                <w:szCs w:val="22"/>
              </w:rPr>
            </w:pPr>
            <w:r w:rsidRPr="00D549EE">
              <w:rPr>
                <w:b w:val="0"/>
                <w:color w:val="000000" w:themeColor="text1"/>
                <w:sz w:val="22"/>
                <w:szCs w:val="22"/>
                <w:lang w:val="en-US"/>
              </w:rPr>
              <w:t>Change between 25 and 75 %</w:t>
            </w:r>
          </w:p>
          <w:p w14:paraId="44720118" w14:textId="77777777" w:rsidR="009A05F9" w:rsidRPr="00D549EE" w:rsidRDefault="009A05F9" w:rsidP="00C9582F">
            <w:pPr>
              <w:pStyle w:val="2"/>
              <w:snapToGrid w:val="0"/>
              <w:spacing w:before="75" w:beforeAutospacing="0" w:after="375" w:afterAutospacing="0"/>
              <w:contextualSpacing/>
              <w:outlineLvl w:val="1"/>
              <w:rPr>
                <w:b w:val="0"/>
                <w:bCs w:val="0"/>
                <w:color w:val="000000" w:themeColor="text1"/>
                <w:sz w:val="22"/>
                <w:szCs w:val="22"/>
                <w:lang w:val="en-US"/>
              </w:rPr>
            </w:pPr>
          </w:p>
        </w:tc>
        <w:tc>
          <w:tcPr>
            <w:tcW w:w="1604" w:type="dxa"/>
          </w:tcPr>
          <w:p w14:paraId="64A0D8D9" w14:textId="77777777" w:rsidR="009A05F9" w:rsidRPr="00D549EE" w:rsidRDefault="009A05F9" w:rsidP="00C9582F">
            <w:pPr>
              <w:pStyle w:val="2"/>
              <w:snapToGrid w:val="0"/>
              <w:spacing w:before="75" w:after="375"/>
              <w:contextualSpacing/>
              <w:outlineLvl w:val="1"/>
              <w:rPr>
                <w:b w:val="0"/>
                <w:color w:val="000000" w:themeColor="text1"/>
                <w:sz w:val="22"/>
                <w:szCs w:val="22"/>
              </w:rPr>
            </w:pPr>
            <w:r w:rsidRPr="00D549EE">
              <w:rPr>
                <w:b w:val="0"/>
                <w:color w:val="000000" w:themeColor="text1"/>
                <w:sz w:val="22"/>
                <w:szCs w:val="22"/>
                <w:lang w:val="en-US"/>
              </w:rPr>
              <w:t>Change between  75%  and 100%</w:t>
            </w:r>
          </w:p>
        </w:tc>
        <w:tc>
          <w:tcPr>
            <w:tcW w:w="1518" w:type="dxa"/>
          </w:tcPr>
          <w:p w14:paraId="09ABE297" w14:textId="77777777" w:rsidR="009A05F9" w:rsidRPr="00D549EE" w:rsidRDefault="009A05F9" w:rsidP="00C9582F">
            <w:pPr>
              <w:pStyle w:val="2"/>
              <w:snapToGrid w:val="0"/>
              <w:spacing w:before="75" w:after="375"/>
              <w:contextualSpacing/>
              <w:outlineLvl w:val="1"/>
              <w:rPr>
                <w:b w:val="0"/>
                <w:color w:val="000000" w:themeColor="text1"/>
                <w:sz w:val="22"/>
                <w:szCs w:val="22"/>
              </w:rPr>
            </w:pPr>
            <w:r w:rsidRPr="00D549EE">
              <w:rPr>
                <w:b w:val="0"/>
                <w:color w:val="000000" w:themeColor="text1"/>
                <w:sz w:val="22"/>
                <w:szCs w:val="22"/>
                <w:lang w:val="en-US"/>
              </w:rPr>
              <w:t>Change over 100%</w:t>
            </w:r>
          </w:p>
          <w:p w14:paraId="22206198" w14:textId="77777777" w:rsidR="009A05F9" w:rsidRPr="00D549EE" w:rsidRDefault="009A05F9" w:rsidP="00C9582F">
            <w:pPr>
              <w:pStyle w:val="2"/>
              <w:snapToGrid w:val="0"/>
              <w:spacing w:before="75" w:beforeAutospacing="0" w:after="375" w:afterAutospacing="0"/>
              <w:contextualSpacing/>
              <w:outlineLvl w:val="1"/>
              <w:rPr>
                <w:b w:val="0"/>
                <w:bCs w:val="0"/>
                <w:color w:val="000000" w:themeColor="text1"/>
                <w:sz w:val="22"/>
                <w:szCs w:val="22"/>
                <w:lang w:val="en-US"/>
              </w:rPr>
            </w:pPr>
          </w:p>
        </w:tc>
        <w:tc>
          <w:tcPr>
            <w:tcW w:w="1690" w:type="dxa"/>
          </w:tcPr>
          <w:p w14:paraId="4F4CDA89" w14:textId="77777777" w:rsidR="009A05F9" w:rsidRPr="00D549EE" w:rsidRDefault="009A05F9" w:rsidP="00C9582F">
            <w:pPr>
              <w:pStyle w:val="2"/>
              <w:snapToGrid w:val="0"/>
              <w:spacing w:before="75" w:after="375"/>
              <w:contextualSpacing/>
              <w:outlineLvl w:val="1"/>
              <w:rPr>
                <w:b w:val="0"/>
                <w:color w:val="000000" w:themeColor="text1"/>
                <w:sz w:val="22"/>
                <w:szCs w:val="22"/>
              </w:rPr>
            </w:pPr>
            <w:r w:rsidRPr="00D549EE">
              <w:rPr>
                <w:b w:val="0"/>
                <w:color w:val="000000" w:themeColor="text1"/>
                <w:sz w:val="22"/>
                <w:szCs w:val="22"/>
                <w:lang w:val="en-US"/>
              </w:rPr>
              <w:t>Median of % impacts</w:t>
            </w:r>
          </w:p>
          <w:p w14:paraId="52689D33" w14:textId="77777777" w:rsidR="009A05F9" w:rsidRPr="00D549EE" w:rsidRDefault="009A05F9" w:rsidP="00C9582F">
            <w:pPr>
              <w:pStyle w:val="2"/>
              <w:snapToGrid w:val="0"/>
              <w:spacing w:before="75" w:beforeAutospacing="0" w:after="375" w:afterAutospacing="0"/>
              <w:contextualSpacing/>
              <w:outlineLvl w:val="1"/>
              <w:rPr>
                <w:b w:val="0"/>
                <w:bCs w:val="0"/>
                <w:color w:val="000000" w:themeColor="text1"/>
                <w:sz w:val="22"/>
                <w:szCs w:val="22"/>
                <w:lang w:val="en-US"/>
              </w:rPr>
            </w:pPr>
          </w:p>
        </w:tc>
      </w:tr>
      <w:tr w:rsidR="009A05F9" w:rsidRPr="00D549EE" w14:paraId="609771B2" w14:textId="77777777" w:rsidTr="00670896">
        <w:tc>
          <w:tcPr>
            <w:tcW w:w="1603" w:type="dxa"/>
          </w:tcPr>
          <w:p w14:paraId="0F83905E"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P1:             Z as % of resource gap at $1.25</w:t>
            </w:r>
          </w:p>
        </w:tc>
        <w:tc>
          <w:tcPr>
            <w:tcW w:w="1604" w:type="dxa"/>
          </w:tcPr>
          <w:p w14:paraId="4546179A"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17BCA074" w14:textId="052B3CC2"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 14 (13.46)</w:t>
            </w:r>
          </w:p>
        </w:tc>
        <w:tc>
          <w:tcPr>
            <w:tcW w:w="1604" w:type="dxa"/>
          </w:tcPr>
          <w:p w14:paraId="3A644640"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620A1FA7" w14:textId="66C68F7A"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 21 (20.19)</w:t>
            </w:r>
          </w:p>
        </w:tc>
        <w:tc>
          <w:tcPr>
            <w:tcW w:w="1604" w:type="dxa"/>
          </w:tcPr>
          <w:p w14:paraId="396D44B3"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5B93A582" w14:textId="6A7B3394"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 3 (2.88)</w:t>
            </w:r>
          </w:p>
        </w:tc>
        <w:tc>
          <w:tcPr>
            <w:tcW w:w="1518" w:type="dxa"/>
          </w:tcPr>
          <w:p w14:paraId="4A4146F7"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1ACB13E9" w14:textId="1376A310"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 66 (63.46)</w:t>
            </w:r>
          </w:p>
        </w:tc>
        <w:tc>
          <w:tcPr>
            <w:tcW w:w="1690" w:type="dxa"/>
          </w:tcPr>
          <w:p w14:paraId="7BC7A45D" w14:textId="5C77426E"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Median ,% resource gap of all sample</w:t>
            </w:r>
            <w:r w:rsidR="00670896" w:rsidRPr="00D549EE">
              <w:rPr>
                <w:b w:val="0"/>
                <w:color w:val="000000" w:themeColor="text1"/>
                <w:sz w:val="22"/>
                <w:szCs w:val="22"/>
                <w:lang w:val="en-US"/>
              </w:rPr>
              <w:t xml:space="preserve"> </w:t>
            </w:r>
            <w:r w:rsidRPr="00D549EE">
              <w:rPr>
                <w:b w:val="0"/>
                <w:color w:val="000000" w:themeColor="text1"/>
                <w:sz w:val="22"/>
                <w:szCs w:val="22"/>
                <w:lang w:val="en-US"/>
              </w:rPr>
              <w:t>countries at $1.25</w:t>
            </w:r>
          </w:p>
          <w:p w14:paraId="34F97201" w14:textId="77777777" w:rsidR="009A05F9" w:rsidRPr="00D549EE" w:rsidRDefault="009A05F9" w:rsidP="00C9582F">
            <w:pPr>
              <w:pStyle w:val="2"/>
              <w:snapToGrid w:val="0"/>
              <w:spacing w:before="75" w:after="375"/>
              <w:contextualSpacing/>
              <w:outlineLvl w:val="1"/>
              <w:rPr>
                <w:b w:val="0"/>
                <w:color w:val="000000" w:themeColor="text1"/>
                <w:sz w:val="22"/>
                <w:szCs w:val="22"/>
              </w:rPr>
            </w:pPr>
            <w:r w:rsidRPr="00D549EE">
              <w:rPr>
                <w:b w:val="0"/>
                <w:color w:val="000000" w:themeColor="text1"/>
                <w:sz w:val="22"/>
                <w:szCs w:val="22"/>
                <w:lang w:val="en-US"/>
              </w:rPr>
              <w:t>0.87</w:t>
            </w:r>
          </w:p>
        </w:tc>
      </w:tr>
      <w:tr w:rsidR="009A05F9" w:rsidRPr="00D549EE" w14:paraId="4679D773" w14:textId="77777777" w:rsidTr="00670896">
        <w:tc>
          <w:tcPr>
            <w:tcW w:w="1603" w:type="dxa"/>
          </w:tcPr>
          <w:p w14:paraId="2CF191A2"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P2:             Z as % of resource gap at $2.00</w:t>
            </w:r>
          </w:p>
        </w:tc>
        <w:tc>
          <w:tcPr>
            <w:tcW w:w="1604" w:type="dxa"/>
          </w:tcPr>
          <w:p w14:paraId="4A6CB0C5"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3F01100D" w14:textId="2AEEDFBA"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25 (24.04)</w:t>
            </w:r>
          </w:p>
        </w:tc>
        <w:tc>
          <w:tcPr>
            <w:tcW w:w="1604" w:type="dxa"/>
          </w:tcPr>
          <w:p w14:paraId="5A8EC63D" w14:textId="77777777" w:rsidR="00670896"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sample countries)</w:t>
            </w:r>
          </w:p>
          <w:p w14:paraId="40417BFB" w14:textId="3257FBBC"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13 (12.50)</w:t>
            </w:r>
          </w:p>
        </w:tc>
        <w:tc>
          <w:tcPr>
            <w:tcW w:w="1604" w:type="dxa"/>
          </w:tcPr>
          <w:p w14:paraId="2B3E32E9"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3F7BFAC7" w14:textId="3ADEA242"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4 (3.85)</w:t>
            </w:r>
          </w:p>
        </w:tc>
        <w:tc>
          <w:tcPr>
            <w:tcW w:w="1518" w:type="dxa"/>
          </w:tcPr>
          <w:p w14:paraId="12508C99"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0C9A8478" w14:textId="443ABD3F"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62 (59.61)</w:t>
            </w:r>
          </w:p>
        </w:tc>
        <w:tc>
          <w:tcPr>
            <w:tcW w:w="1690" w:type="dxa"/>
          </w:tcPr>
          <w:p w14:paraId="1ED8B967"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Median, % resource gap all sample countries at $2.00</w:t>
            </w:r>
          </w:p>
          <w:p w14:paraId="60B6236C" w14:textId="77777777" w:rsidR="009A05F9" w:rsidRPr="00D549EE" w:rsidRDefault="009A05F9" w:rsidP="00C9582F">
            <w:pPr>
              <w:pStyle w:val="2"/>
              <w:snapToGrid w:val="0"/>
              <w:spacing w:before="75" w:after="375"/>
              <w:contextualSpacing/>
              <w:outlineLvl w:val="1"/>
              <w:rPr>
                <w:b w:val="0"/>
                <w:color w:val="000000" w:themeColor="text1"/>
                <w:sz w:val="22"/>
                <w:szCs w:val="22"/>
              </w:rPr>
            </w:pPr>
            <w:r w:rsidRPr="00D549EE">
              <w:rPr>
                <w:b w:val="0"/>
                <w:color w:val="000000" w:themeColor="text1"/>
                <w:sz w:val="22"/>
                <w:szCs w:val="22"/>
                <w:lang w:val="en-US"/>
              </w:rPr>
              <w:t>1.39</w:t>
            </w:r>
          </w:p>
        </w:tc>
      </w:tr>
      <w:tr w:rsidR="009A05F9" w:rsidRPr="00D549EE" w14:paraId="2AC22F56" w14:textId="77777777" w:rsidTr="00670896">
        <w:tc>
          <w:tcPr>
            <w:tcW w:w="1603" w:type="dxa"/>
          </w:tcPr>
          <w:p w14:paraId="4B4B4239"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Poverty headcount Index (at US$ 1.25 a day)</w:t>
            </w:r>
          </w:p>
        </w:tc>
        <w:tc>
          <w:tcPr>
            <w:tcW w:w="1604" w:type="dxa"/>
          </w:tcPr>
          <w:p w14:paraId="213870AE"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0DE83E57" w14:textId="36773AA1"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14 (13.46)</w:t>
            </w:r>
          </w:p>
        </w:tc>
        <w:tc>
          <w:tcPr>
            <w:tcW w:w="1604" w:type="dxa"/>
          </w:tcPr>
          <w:p w14:paraId="21AC4568"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43CD8BF9" w14:textId="008F0CAC"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21 (20.19)</w:t>
            </w:r>
          </w:p>
        </w:tc>
        <w:tc>
          <w:tcPr>
            <w:tcW w:w="1604" w:type="dxa"/>
          </w:tcPr>
          <w:p w14:paraId="3F7FA94C"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3CC1958C" w14:textId="4B0DE448"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3 (2.88)</w:t>
            </w:r>
          </w:p>
        </w:tc>
        <w:tc>
          <w:tcPr>
            <w:tcW w:w="1518" w:type="dxa"/>
          </w:tcPr>
          <w:p w14:paraId="6992EA15" w14:textId="77777777" w:rsidR="009A05F9" w:rsidRPr="00D549EE" w:rsidRDefault="009A05F9" w:rsidP="00C9582F">
            <w:pPr>
              <w:pStyle w:val="2"/>
              <w:snapToGrid w:val="0"/>
              <w:spacing w:before="75" w:after="375"/>
              <w:contextualSpacing/>
              <w:jc w:val="left"/>
              <w:outlineLvl w:val="1"/>
              <w:rPr>
                <w:b w:val="0"/>
                <w:color w:val="000000" w:themeColor="text1"/>
                <w:sz w:val="22"/>
                <w:szCs w:val="22"/>
                <w:lang w:val="en-US"/>
              </w:rPr>
            </w:pPr>
            <w:r w:rsidRPr="00D549EE">
              <w:rPr>
                <w:b w:val="0"/>
                <w:color w:val="000000" w:themeColor="text1"/>
                <w:sz w:val="22"/>
                <w:szCs w:val="22"/>
                <w:lang w:val="en-US"/>
              </w:rPr>
              <w:t>No. of countries (% of all sample countries)</w:t>
            </w:r>
          </w:p>
          <w:p w14:paraId="4487805D" w14:textId="40FF0A5C"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66 (63.46)</w:t>
            </w:r>
          </w:p>
        </w:tc>
        <w:tc>
          <w:tcPr>
            <w:tcW w:w="1690" w:type="dxa"/>
          </w:tcPr>
          <w:p w14:paraId="273D1EC9" w14:textId="2AA93557" w:rsidR="009A05F9" w:rsidRPr="00D549EE" w:rsidRDefault="009A05F9" w:rsidP="00C9582F">
            <w:pPr>
              <w:pStyle w:val="2"/>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All above the poverty line</w:t>
            </w:r>
          </w:p>
          <w:p w14:paraId="38702006" w14:textId="77777777" w:rsidR="00670896" w:rsidRPr="00D549EE" w:rsidRDefault="00670896" w:rsidP="00C9582F">
            <w:pPr>
              <w:pStyle w:val="2"/>
              <w:snapToGrid w:val="0"/>
              <w:spacing w:before="75" w:after="375"/>
              <w:contextualSpacing/>
              <w:outlineLvl w:val="1"/>
              <w:rPr>
                <w:b w:val="0"/>
                <w:color w:val="000000" w:themeColor="text1"/>
                <w:sz w:val="22"/>
                <w:szCs w:val="22"/>
                <w:lang w:val="en-US"/>
              </w:rPr>
            </w:pPr>
          </w:p>
          <w:p w14:paraId="6ED2DF02" w14:textId="77777777" w:rsidR="009A05F9" w:rsidRPr="00D549EE" w:rsidRDefault="009A05F9" w:rsidP="00E12E19">
            <w:pPr>
              <w:pStyle w:val="2"/>
              <w:numPr>
                <w:ilvl w:val="0"/>
                <w:numId w:val="2"/>
              </w:numPr>
              <w:snapToGrid w:val="0"/>
              <w:spacing w:before="75" w:after="375"/>
              <w:contextualSpacing/>
              <w:outlineLvl w:val="1"/>
              <w:rPr>
                <w:b w:val="0"/>
                <w:color w:val="000000" w:themeColor="text1"/>
                <w:sz w:val="22"/>
                <w:szCs w:val="22"/>
                <w:lang w:val="en-US"/>
              </w:rPr>
            </w:pPr>
            <w:r w:rsidRPr="00D549EE">
              <w:rPr>
                <w:b w:val="0"/>
                <w:color w:val="000000" w:themeColor="text1"/>
                <w:sz w:val="22"/>
                <w:szCs w:val="22"/>
                <w:lang w:val="en-US"/>
              </w:rPr>
              <w:t>(63.46)</w:t>
            </w:r>
          </w:p>
        </w:tc>
      </w:tr>
      <w:tr w:rsidR="009A05F9" w:rsidRPr="00D549EE" w14:paraId="4454164D" w14:textId="77777777" w:rsidTr="00211283">
        <w:trPr>
          <w:trHeight w:hRule="exact" w:val="407"/>
        </w:trPr>
        <w:tc>
          <w:tcPr>
            <w:tcW w:w="9623" w:type="dxa"/>
            <w:gridSpan w:val="6"/>
          </w:tcPr>
          <w:p w14:paraId="769EC763" w14:textId="1D56D338" w:rsidR="009A05F9" w:rsidRPr="00D549EE" w:rsidRDefault="009A05F9" w:rsidP="00C9582F">
            <w:pPr>
              <w:pStyle w:val="2"/>
              <w:snapToGrid w:val="0"/>
              <w:spacing w:before="75" w:beforeAutospacing="0" w:after="375" w:afterAutospacing="0"/>
              <w:contextualSpacing/>
              <w:outlineLvl w:val="1"/>
              <w:rPr>
                <w:b w:val="0"/>
                <w:bCs w:val="0"/>
                <w:color w:val="000000" w:themeColor="text1"/>
                <w:sz w:val="22"/>
                <w:szCs w:val="22"/>
                <w:lang w:val="en-US"/>
              </w:rPr>
            </w:pPr>
            <w:r w:rsidRPr="00D549EE">
              <w:rPr>
                <w:b w:val="0"/>
                <w:color w:val="000000" w:themeColor="text1"/>
                <w:sz w:val="22"/>
                <w:szCs w:val="22"/>
                <w:lang w:val="en-US"/>
              </w:rPr>
              <w:t xml:space="preserve">Note </w:t>
            </w:r>
            <w:r w:rsidRPr="00D549EE">
              <w:rPr>
                <w:b w:val="0"/>
                <w:sz w:val="22"/>
                <w:szCs w:val="22"/>
                <w:lang w:val="en-US"/>
              </w:rPr>
              <w:t>– Source</w:t>
            </w:r>
            <w:r w:rsidR="00F43397" w:rsidRPr="00D549EE">
              <w:rPr>
                <w:b w:val="0"/>
                <w:sz w:val="22"/>
                <w:szCs w:val="22"/>
                <w:lang w:val="en-US"/>
              </w:rPr>
              <w:t xml:space="preserve"> </w:t>
            </w:r>
            <w:r w:rsidR="00F43397" w:rsidRPr="00D549EE">
              <w:rPr>
                <w:b w:val="0"/>
                <w:sz w:val="22"/>
                <w:szCs w:val="22"/>
                <w:lang w:val="en-US"/>
              </w:rPr>
              <w:fldChar w:fldCharType="begin" w:fldLock="1"/>
            </w:r>
            <w:r w:rsidR="00B25838" w:rsidRPr="00D549EE">
              <w:rPr>
                <w:b w:val="0"/>
                <w:sz w:val="22"/>
                <w:szCs w:val="22"/>
                <w:lang w:val="en-US"/>
              </w:rPr>
              <w:instrText>ADDIN CSL_CITATION {"citationItems":[{"id":"ITEM-1","itemData":{"DOI":"Hassan","author":[{"dropping-particle":"","family":"Zarka","given":"Muhammad Anas","non-dropping-particle":"","parse-names":false,"suffix":""},{"dropping-particle":"","family":"Shirazi","given":"Nasim Shah","non-dropping-particle":"","parse-names":false,"suffix":""}],"container-title":"Handbook of Empirical Research on Islam and Economic Life","id":"ITEM-1","issued":{"date-parts":[["2017"]]},"page":"253-272","title":"Social tax and transfers for poverty alleviation: a case for low- and middle- income countries","type":"chapter"},"uris":["http://www.mendeley.com/documents/?uuid=7136d396-7579-4e37-8d18-580e9b5cf8bf"]}],"mendeley":{"formattedCitation":"[55]","plainTextFormattedCitation":"[55]","previouslyFormattedCitation":"[55]"},"properties":{"noteIndex":0},"schema":"https://github.com/citation-style-language/schema/raw/master/csl-citation.json"}</w:instrText>
            </w:r>
            <w:r w:rsidR="00F43397" w:rsidRPr="00D549EE">
              <w:rPr>
                <w:b w:val="0"/>
                <w:sz w:val="22"/>
                <w:szCs w:val="22"/>
                <w:lang w:val="en-US"/>
              </w:rPr>
              <w:fldChar w:fldCharType="separate"/>
            </w:r>
            <w:r w:rsidR="00F43397" w:rsidRPr="00D549EE">
              <w:rPr>
                <w:b w:val="0"/>
                <w:noProof/>
                <w:sz w:val="22"/>
                <w:szCs w:val="22"/>
                <w:lang w:val="en-US"/>
              </w:rPr>
              <w:t>[55</w:t>
            </w:r>
            <w:r w:rsidR="00370237" w:rsidRPr="00D549EE">
              <w:rPr>
                <w:b w:val="0"/>
                <w:noProof/>
                <w:sz w:val="22"/>
                <w:szCs w:val="22"/>
                <w:lang w:val="en-US"/>
              </w:rPr>
              <w:t xml:space="preserve">, p. </w:t>
            </w:r>
            <w:r w:rsidR="00CE3F04" w:rsidRPr="00D549EE">
              <w:rPr>
                <w:b w:val="0"/>
                <w:noProof/>
                <w:sz w:val="22"/>
                <w:szCs w:val="22"/>
                <w:lang w:val="en-US"/>
              </w:rPr>
              <w:t>261</w:t>
            </w:r>
            <w:r w:rsidR="00F43397" w:rsidRPr="00D549EE">
              <w:rPr>
                <w:b w:val="0"/>
                <w:noProof/>
                <w:sz w:val="22"/>
                <w:szCs w:val="22"/>
                <w:lang w:val="en-US"/>
              </w:rPr>
              <w:t>]</w:t>
            </w:r>
            <w:r w:rsidR="00F43397" w:rsidRPr="00D549EE">
              <w:rPr>
                <w:b w:val="0"/>
                <w:sz w:val="22"/>
                <w:szCs w:val="22"/>
                <w:lang w:val="en-US"/>
              </w:rPr>
              <w:fldChar w:fldCharType="end"/>
            </w:r>
          </w:p>
        </w:tc>
      </w:tr>
    </w:tbl>
    <w:p w14:paraId="3A294191" w14:textId="77777777" w:rsidR="00211283"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ab/>
      </w:r>
    </w:p>
    <w:p w14:paraId="7C03BC28" w14:textId="62CF7E1D" w:rsidR="00043F2E" w:rsidRPr="00D549EE" w:rsidRDefault="00211283"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lastRenderedPageBreak/>
        <w:tab/>
      </w:r>
      <w:r w:rsidR="00043F2E" w:rsidRPr="00043F2E">
        <w:rPr>
          <w:b w:val="0"/>
          <w:bCs w:val="0"/>
          <w:color w:val="000000" w:themeColor="text1"/>
          <w:sz w:val="28"/>
          <w:szCs w:val="28"/>
          <w:lang w:val="en-US"/>
        </w:rPr>
        <w:t>From the research of N.Shirazi and B.Amin have been done the following conclusions. Cash transfers to the poor based on social tax (zakat) can significantly reduce extreme poverty and income inequality. The poverty gap of 66 out of 104 sample countries can be reduced and thus eliminate the extreme poverty in these countries. While 14 countries can reduce headcount by less than 25%, and 21 countries can reduce headcount in the range of 25% to 75%, 3 countries can reduce headcount between 75% to 100%.</w:t>
      </w:r>
    </w:p>
    <w:p w14:paraId="79663AD5" w14:textId="77777777" w:rsidR="004C534D" w:rsidRPr="00D549EE" w:rsidRDefault="009A05F9" w:rsidP="00C9582F">
      <w:pPr>
        <w:pStyle w:val="2"/>
        <w:snapToGrid w:val="0"/>
        <w:spacing w:before="75" w:beforeAutospacing="0" w:after="375" w:afterAutospacing="0"/>
        <w:contextualSpacing/>
        <w:jc w:val="both"/>
        <w:rPr>
          <w:b w:val="0"/>
          <w:bCs w:val="0"/>
          <w:color w:val="000000" w:themeColor="text1"/>
          <w:sz w:val="28"/>
          <w:szCs w:val="28"/>
          <w:lang w:val="en-US"/>
        </w:rPr>
      </w:pPr>
      <w:r w:rsidRPr="00D549EE">
        <w:rPr>
          <w:b w:val="0"/>
          <w:bCs w:val="0"/>
          <w:color w:val="000000" w:themeColor="text1"/>
          <w:sz w:val="28"/>
          <w:szCs w:val="28"/>
          <w:lang w:val="en-US"/>
        </w:rPr>
        <w:tab/>
        <w:t>Poverty Gap Index to Gross Domestic Product:</w:t>
      </w:r>
    </w:p>
    <w:p w14:paraId="3401DF2C" w14:textId="77777777" w:rsidR="004C534D" w:rsidRPr="00FC685D" w:rsidRDefault="004C534D" w:rsidP="00C9582F">
      <w:pPr>
        <w:pStyle w:val="2"/>
        <w:snapToGrid w:val="0"/>
        <w:spacing w:before="75" w:beforeAutospacing="0" w:after="375" w:afterAutospacing="0"/>
        <w:contextualSpacing/>
        <w:jc w:val="both"/>
        <w:rPr>
          <w:b w:val="0"/>
          <w:sz w:val="28"/>
          <w:szCs w:val="28"/>
          <w:lang w:val="en-US"/>
        </w:rPr>
      </w:pPr>
    </w:p>
    <w:p w14:paraId="304B6760" w14:textId="4CC6FB1E" w:rsidR="009A05F9" w:rsidRPr="00D549EE" w:rsidRDefault="00FC685D" w:rsidP="00C9582F">
      <w:pPr>
        <w:pStyle w:val="2"/>
        <w:snapToGrid w:val="0"/>
        <w:spacing w:before="75" w:beforeAutospacing="0" w:after="375" w:afterAutospacing="0"/>
        <w:contextualSpacing/>
        <w:jc w:val="both"/>
        <w:rPr>
          <w:b w:val="0"/>
          <w:bCs w:val="0"/>
          <w:color w:val="000000" w:themeColor="text1"/>
          <w:sz w:val="28"/>
          <w:szCs w:val="28"/>
          <w:lang w:val="en-US"/>
        </w:rPr>
      </w:pPr>
      <m:oMath>
        <m:r>
          <m:rPr>
            <m:sty m:val="b"/>
          </m:rPr>
          <w:rPr>
            <w:rFonts w:ascii="Cambria Math" w:hAnsi="Cambria Math"/>
            <w:sz w:val="28"/>
            <w:szCs w:val="28"/>
            <w:lang w:val="en-US"/>
          </w:rPr>
          <m:t xml:space="preserve">                                            PGI to GDP=</m:t>
        </m:r>
        <m:f>
          <m:fPr>
            <m:ctrlPr>
              <w:rPr>
                <w:rFonts w:ascii="Cambria Math" w:hAnsi="Cambria Math"/>
                <w:b w:val="0"/>
                <w:sz w:val="28"/>
                <w:szCs w:val="28"/>
                <w:lang w:val="en-US"/>
              </w:rPr>
            </m:ctrlPr>
          </m:fPr>
          <m:num>
            <m:r>
              <m:rPr>
                <m:sty m:val="b"/>
              </m:rPr>
              <w:rPr>
                <w:rFonts w:ascii="Cambria Math" w:hAnsi="Cambria Math"/>
                <w:sz w:val="28"/>
                <w:szCs w:val="28"/>
                <w:lang w:val="en-US"/>
              </w:rPr>
              <m:t>PGI*</m:t>
            </m:r>
            <m:sSub>
              <m:sSubPr>
                <m:ctrlPr>
                  <w:rPr>
                    <w:rFonts w:ascii="Cambria Math" w:hAnsi="Cambria Math"/>
                    <w:b w:val="0"/>
                    <w:sz w:val="28"/>
                    <w:szCs w:val="28"/>
                    <w:lang w:val="en-US"/>
                  </w:rPr>
                </m:ctrlPr>
              </m:sSubPr>
              <m:e>
                <m:r>
                  <m:rPr>
                    <m:sty m:val="b"/>
                  </m:rPr>
                  <w:rPr>
                    <w:rFonts w:ascii="Cambria Math" w:hAnsi="Cambria Math"/>
                    <w:sz w:val="28"/>
                    <w:szCs w:val="28"/>
                    <w:lang w:val="en-US"/>
                  </w:rPr>
                  <m:t>y</m:t>
                </m:r>
              </m:e>
              <m:sub>
                <m:r>
                  <m:rPr>
                    <m:sty m:val="b"/>
                  </m:rPr>
                  <w:rPr>
                    <w:rFonts w:ascii="Cambria Math" w:hAnsi="Cambria Math"/>
                    <w:sz w:val="28"/>
                    <w:szCs w:val="28"/>
                    <w:lang w:val="en-US"/>
                  </w:rPr>
                  <m:t>p</m:t>
                </m:r>
              </m:sub>
            </m:sSub>
            <m:r>
              <m:rPr>
                <m:sty m:val="b"/>
              </m:rPr>
              <w:rPr>
                <w:rFonts w:ascii="Cambria Math" w:hAnsi="Cambria Math"/>
                <w:sz w:val="28"/>
                <w:szCs w:val="28"/>
                <w:lang w:val="en-US"/>
              </w:rPr>
              <m:t>*N</m:t>
            </m:r>
          </m:num>
          <m:den>
            <m:r>
              <m:rPr>
                <m:sty m:val="b"/>
              </m:rPr>
              <w:rPr>
                <w:rFonts w:ascii="Cambria Math" w:hAnsi="Cambria Math"/>
                <w:sz w:val="28"/>
                <w:szCs w:val="28"/>
                <w:lang w:val="en-US"/>
              </w:rPr>
              <m:t>GDP</m:t>
            </m:r>
          </m:den>
        </m:f>
      </m:oMath>
      <w:r w:rsidR="009A05F9" w:rsidRPr="00D549EE">
        <w:rPr>
          <w:b w:val="0"/>
          <w:sz w:val="28"/>
          <w:szCs w:val="28"/>
          <w:lang w:val="en-US"/>
        </w:rPr>
        <w:t xml:space="preserve"> </w:t>
      </w:r>
      <w:r w:rsidR="009A05F9" w:rsidRPr="00D549EE">
        <w:rPr>
          <w:sz w:val="28"/>
          <w:szCs w:val="28"/>
          <w:lang w:val="en-US"/>
        </w:rPr>
        <w:t xml:space="preserve">              </w:t>
      </w:r>
      <w:r w:rsidR="004C534D" w:rsidRPr="00D549EE">
        <w:rPr>
          <w:sz w:val="28"/>
          <w:szCs w:val="28"/>
          <w:lang w:val="en-US"/>
        </w:rPr>
        <w:t xml:space="preserve">                                   </w:t>
      </w:r>
      <w:r w:rsidR="009A05F9" w:rsidRPr="00D549EE">
        <w:rPr>
          <w:sz w:val="28"/>
          <w:szCs w:val="28"/>
          <w:lang w:val="en-US"/>
        </w:rPr>
        <w:t xml:space="preserve">     </w:t>
      </w:r>
      <w:r w:rsidR="009A05F9" w:rsidRPr="00D549EE">
        <w:rPr>
          <w:b w:val="0"/>
          <w:color w:val="000000" w:themeColor="text1"/>
          <w:sz w:val="28"/>
          <w:szCs w:val="28"/>
          <w:lang w:val="en-US"/>
        </w:rPr>
        <w:t>(</w:t>
      </w:r>
      <w:r w:rsidR="004C534D" w:rsidRPr="00D549EE">
        <w:rPr>
          <w:b w:val="0"/>
          <w:color w:val="000000" w:themeColor="text1"/>
          <w:sz w:val="28"/>
          <w:szCs w:val="28"/>
          <w:lang w:val="en-US"/>
        </w:rPr>
        <w:t>5</w:t>
      </w:r>
      <w:r w:rsidR="009A05F9" w:rsidRPr="00D549EE">
        <w:rPr>
          <w:b w:val="0"/>
          <w:color w:val="000000" w:themeColor="text1"/>
          <w:sz w:val="28"/>
          <w:szCs w:val="28"/>
          <w:lang w:val="en-US"/>
        </w:rPr>
        <w:t>)</w:t>
      </w:r>
    </w:p>
    <w:p w14:paraId="0FCADFBB" w14:textId="2D3AEFFE" w:rsidR="000D0F2C" w:rsidRPr="00D549EE" w:rsidRDefault="000D0F2C" w:rsidP="00C9582F">
      <w:pPr>
        <w:pStyle w:val="a5"/>
        <w:contextualSpacing/>
        <w:jc w:val="both"/>
        <w:rPr>
          <w:sz w:val="28"/>
          <w:szCs w:val="28"/>
          <w:lang w:val="en-US"/>
        </w:rPr>
      </w:pPr>
      <w:r w:rsidRPr="00D549EE">
        <w:rPr>
          <w:sz w:val="28"/>
          <w:szCs w:val="28"/>
          <w:lang w:val="en-US"/>
        </w:rPr>
        <w:t>w</w:t>
      </w:r>
      <w:r w:rsidR="009A05F9" w:rsidRPr="00D549EE">
        <w:rPr>
          <w:sz w:val="28"/>
          <w:szCs w:val="28"/>
          <w:lang w:val="en-US"/>
        </w:rPr>
        <w:t>here</w:t>
      </w:r>
    </w:p>
    <w:p w14:paraId="2DB3D44C" w14:textId="361CF409" w:rsidR="009A05F9" w:rsidRPr="00D549EE" w:rsidRDefault="009A05F9" w:rsidP="00C9582F">
      <w:pPr>
        <w:pStyle w:val="a5"/>
        <w:contextualSpacing/>
        <w:jc w:val="both"/>
        <w:rPr>
          <w:sz w:val="28"/>
          <w:szCs w:val="28"/>
          <w:lang w:val="en-US"/>
        </w:rPr>
      </w:pPr>
      <w:r w:rsidRPr="00D549EE">
        <w:rPr>
          <w:color w:val="000000" w:themeColor="text1"/>
          <w:sz w:val="28"/>
          <w:szCs w:val="28"/>
          <w:lang w:val="en-US"/>
        </w:rPr>
        <w:t>PGI</w:t>
      </w:r>
      <w:r w:rsidRPr="00D549EE">
        <w:rPr>
          <w:color w:val="FF0000"/>
          <w:sz w:val="28"/>
          <w:szCs w:val="28"/>
          <w:lang w:val="en-US"/>
        </w:rPr>
        <w:t xml:space="preserve"> </w:t>
      </w:r>
      <w:r w:rsidRPr="00D549EE">
        <w:rPr>
          <w:sz w:val="28"/>
          <w:szCs w:val="28"/>
          <w:lang w:val="en-US"/>
        </w:rPr>
        <w:t>- Poverty Gap Index;</w:t>
      </w:r>
    </w:p>
    <w:p w14:paraId="66E44318" w14:textId="4915B82B" w:rsidR="009A05F9" w:rsidRPr="00D549EE" w:rsidRDefault="00191457" w:rsidP="00C9582F">
      <w:pPr>
        <w:pStyle w:val="a5"/>
        <w:contextualSpacing/>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p</m:t>
            </m:r>
          </m:sub>
        </m:sSub>
      </m:oMath>
      <w:r w:rsidR="009A05F9" w:rsidRPr="00D549EE">
        <w:rPr>
          <w:sz w:val="28"/>
          <w:szCs w:val="28"/>
          <w:lang w:val="en-US"/>
        </w:rPr>
        <w:t xml:space="preserve"> - income at poverty line in current US dollars;</w:t>
      </w:r>
    </w:p>
    <w:p w14:paraId="5DEEE79A" w14:textId="61471BBE" w:rsidR="009A05F9" w:rsidRPr="00D549EE" w:rsidRDefault="009A05F9" w:rsidP="00C9582F">
      <w:pPr>
        <w:pStyle w:val="a5"/>
        <w:contextualSpacing/>
        <w:rPr>
          <w:bCs/>
          <w:color w:val="000000" w:themeColor="text1"/>
          <w:sz w:val="28"/>
          <w:szCs w:val="28"/>
          <w:lang w:val="en-US"/>
        </w:rPr>
      </w:pPr>
      <w:r w:rsidRPr="00D549EE">
        <w:rPr>
          <w:bCs/>
          <w:color w:val="000000" w:themeColor="text1"/>
          <w:sz w:val="28"/>
          <w:szCs w:val="28"/>
          <w:lang w:val="en-US"/>
        </w:rPr>
        <w:t>N – total number of population;</w:t>
      </w:r>
    </w:p>
    <w:p w14:paraId="3137F0C3" w14:textId="000024DD" w:rsidR="009A05F9" w:rsidRPr="00D549EE" w:rsidRDefault="009A05F9" w:rsidP="00C9582F">
      <w:pPr>
        <w:pStyle w:val="a5"/>
        <w:contextualSpacing/>
        <w:rPr>
          <w:bCs/>
          <w:color w:val="000000" w:themeColor="text1"/>
          <w:sz w:val="28"/>
          <w:szCs w:val="28"/>
          <w:lang w:val="en-US"/>
        </w:rPr>
      </w:pPr>
      <w:r w:rsidRPr="00D549EE">
        <w:rPr>
          <w:bCs/>
          <w:color w:val="000000" w:themeColor="text1"/>
          <w:sz w:val="28"/>
          <w:szCs w:val="28"/>
          <w:lang w:val="en-US"/>
        </w:rPr>
        <w:t>GDP – Gross Domestic Product in current US dollars.</w:t>
      </w:r>
    </w:p>
    <w:p w14:paraId="4A1C3F4F" w14:textId="77777777" w:rsidR="009A05F9" w:rsidRPr="00D549EE" w:rsidRDefault="009A05F9" w:rsidP="00C9582F">
      <w:pPr>
        <w:pStyle w:val="a5"/>
        <w:contextualSpacing/>
        <w:rPr>
          <w:bCs/>
          <w:color w:val="000000" w:themeColor="text1"/>
          <w:sz w:val="28"/>
          <w:szCs w:val="28"/>
          <w:lang w:val="en-US"/>
        </w:rPr>
      </w:pPr>
      <w:r w:rsidRPr="00D549EE">
        <w:rPr>
          <w:bCs/>
          <w:color w:val="000000" w:themeColor="text1"/>
          <w:sz w:val="28"/>
          <w:szCs w:val="28"/>
          <w:lang w:val="en-US"/>
        </w:rPr>
        <w:tab/>
      </w:r>
    </w:p>
    <w:p w14:paraId="38B584B4" w14:textId="77777777" w:rsidR="009A05F9" w:rsidRPr="00D549EE" w:rsidRDefault="009A05F9" w:rsidP="00C9582F">
      <w:pPr>
        <w:pStyle w:val="a5"/>
        <w:contextualSpacing/>
        <w:jc w:val="both"/>
        <w:rPr>
          <w:bCs/>
          <w:color w:val="000000" w:themeColor="text1"/>
          <w:sz w:val="28"/>
          <w:szCs w:val="28"/>
          <w:lang w:val="en-US"/>
        </w:rPr>
      </w:pPr>
      <w:r w:rsidRPr="00D549EE">
        <w:rPr>
          <w:bCs/>
          <w:color w:val="000000" w:themeColor="text1"/>
          <w:sz w:val="28"/>
          <w:szCs w:val="28"/>
          <w:lang w:val="en-US"/>
        </w:rPr>
        <w:tab/>
        <w:t xml:space="preserve">And if to turn to the correlation between Poverty Head Count ratio to GDP, it is estimated as follow, </w:t>
      </w:r>
      <w:r w:rsidRPr="00D549EE">
        <w:rPr>
          <w:sz w:val="28"/>
          <w:szCs w:val="28"/>
          <w:lang w:val="en-US"/>
        </w:rPr>
        <w:t>Poverty Head Count Ratio to Gross Domestic Product:</w:t>
      </w:r>
    </w:p>
    <w:p w14:paraId="26B0C06A" w14:textId="77777777" w:rsidR="009A05F9" w:rsidRPr="00D549EE" w:rsidRDefault="009A05F9" w:rsidP="00C9582F">
      <w:pPr>
        <w:pStyle w:val="a5"/>
        <w:ind w:firstLine="708"/>
        <w:contextualSpacing/>
        <w:jc w:val="center"/>
        <w:rPr>
          <w:sz w:val="28"/>
          <w:szCs w:val="28"/>
          <w:lang w:val="en-US"/>
        </w:rPr>
      </w:pPr>
    </w:p>
    <w:p w14:paraId="65D25FDF" w14:textId="6B717A1A" w:rsidR="009A05F9" w:rsidRPr="00D549EE" w:rsidRDefault="004C534D" w:rsidP="00C9582F">
      <w:pPr>
        <w:pStyle w:val="a5"/>
        <w:ind w:firstLine="708"/>
        <w:contextualSpacing/>
        <w:jc w:val="right"/>
        <w:rPr>
          <w:lang w:val="en-US"/>
        </w:rPr>
      </w:pPr>
      <m:oMath>
        <m:r>
          <m:rPr>
            <m:sty m:val="p"/>
          </m:rPr>
          <w:rPr>
            <w:rFonts w:ascii="Cambria Math" w:hAnsi="Cambria Math"/>
            <w:sz w:val="28"/>
            <w:szCs w:val="28"/>
            <w:lang w:val="en-US"/>
          </w:rPr>
          <m:t>PHCR to GDP=</m:t>
        </m:r>
        <m:f>
          <m:fPr>
            <m:ctrlPr>
              <w:rPr>
                <w:rFonts w:ascii="Cambria Math" w:hAnsi="Cambria Math"/>
                <w:sz w:val="28"/>
                <w:szCs w:val="28"/>
                <w:lang w:val="en-US"/>
              </w:rPr>
            </m:ctrlPr>
          </m:fPr>
          <m:num>
            <m:r>
              <m:rPr>
                <m:sty m:val="p"/>
              </m:rPr>
              <w:rPr>
                <w:rFonts w:ascii="Cambria Math" w:hAnsi="Cambria Math"/>
                <w:sz w:val="28"/>
                <w:szCs w:val="28"/>
                <w:lang w:val="en-US"/>
              </w:rPr>
              <m:t>PHCR*</m:t>
            </m:r>
            <m:sSub>
              <m:sSubPr>
                <m:ctrlPr>
                  <w:rPr>
                    <w:rFonts w:ascii="Cambria Math" w:hAnsi="Cambria Math"/>
                    <w:sz w:val="28"/>
                    <w:szCs w:val="28"/>
                    <w:lang w:val="en-US"/>
                  </w:rPr>
                </m:ctrlPr>
              </m:sSubPr>
              <m:e>
                <m:r>
                  <m:rPr>
                    <m:sty m:val="p"/>
                  </m:rPr>
                  <w:rPr>
                    <w:rFonts w:ascii="Cambria Math" w:hAnsi="Cambria Math"/>
                    <w:sz w:val="28"/>
                    <w:szCs w:val="28"/>
                    <w:lang w:val="en-US"/>
                  </w:rPr>
                  <m:t>y</m:t>
                </m:r>
              </m:e>
              <m:sub>
                <m:r>
                  <m:rPr>
                    <m:sty m:val="p"/>
                  </m:rPr>
                  <w:rPr>
                    <w:rFonts w:ascii="Cambria Math" w:hAnsi="Cambria Math"/>
                    <w:sz w:val="28"/>
                    <w:szCs w:val="28"/>
                    <w:lang w:val="en-US"/>
                  </w:rPr>
                  <m:t>p</m:t>
                </m:r>
              </m:sub>
            </m:sSub>
            <m:r>
              <m:rPr>
                <m:sty m:val="p"/>
              </m:rPr>
              <w:rPr>
                <w:rFonts w:ascii="Cambria Math" w:hAnsi="Cambria Math"/>
                <w:sz w:val="28"/>
                <w:szCs w:val="28"/>
                <w:lang w:val="en-US"/>
              </w:rPr>
              <m:t>*N</m:t>
            </m:r>
          </m:num>
          <m:den>
            <m:r>
              <m:rPr>
                <m:sty m:val="p"/>
              </m:rPr>
              <w:rPr>
                <w:rFonts w:ascii="Cambria Math" w:hAnsi="Cambria Math"/>
                <w:sz w:val="28"/>
                <w:szCs w:val="28"/>
                <w:lang w:val="en-US"/>
              </w:rPr>
              <m:t>GDP</m:t>
            </m:r>
          </m:den>
        </m:f>
      </m:oMath>
      <w:r w:rsidR="009A05F9" w:rsidRPr="00D549EE">
        <w:rPr>
          <w:lang w:val="en-US"/>
        </w:rPr>
        <w:t xml:space="preserve">                       </w:t>
      </w:r>
      <w:r w:rsidRPr="00D549EE">
        <w:rPr>
          <w:lang w:val="en-US"/>
        </w:rPr>
        <w:t xml:space="preserve">                        </w:t>
      </w:r>
      <w:r w:rsidR="009A05F9" w:rsidRPr="00D549EE">
        <w:rPr>
          <w:lang w:val="en-US"/>
        </w:rPr>
        <w:t xml:space="preserve">     </w:t>
      </w:r>
      <w:r w:rsidR="009A05F9" w:rsidRPr="00D549EE">
        <w:rPr>
          <w:color w:val="000000" w:themeColor="text1"/>
          <w:sz w:val="28"/>
          <w:szCs w:val="28"/>
          <w:lang w:val="en-US"/>
        </w:rPr>
        <w:t>(</w:t>
      </w:r>
      <w:r w:rsidRPr="00D549EE">
        <w:rPr>
          <w:color w:val="000000" w:themeColor="text1"/>
          <w:sz w:val="28"/>
          <w:szCs w:val="28"/>
          <w:lang w:val="en-US"/>
        </w:rPr>
        <w:t>6</w:t>
      </w:r>
      <w:r w:rsidR="009A05F9" w:rsidRPr="00D549EE">
        <w:rPr>
          <w:color w:val="000000" w:themeColor="text1"/>
          <w:sz w:val="28"/>
          <w:szCs w:val="28"/>
          <w:lang w:val="en-US"/>
        </w:rPr>
        <w:t>)</w:t>
      </w:r>
    </w:p>
    <w:p w14:paraId="00C7B54E" w14:textId="77777777" w:rsidR="009A05F9" w:rsidRPr="00D549EE" w:rsidRDefault="009A05F9" w:rsidP="00C9582F">
      <w:pPr>
        <w:pStyle w:val="a5"/>
        <w:ind w:firstLine="708"/>
        <w:contextualSpacing/>
        <w:jc w:val="both"/>
        <w:rPr>
          <w:sz w:val="28"/>
          <w:szCs w:val="28"/>
          <w:lang w:val="en-US"/>
        </w:rPr>
      </w:pPr>
    </w:p>
    <w:p w14:paraId="37D85F07" w14:textId="120B2FEB" w:rsidR="004C534D" w:rsidRPr="00D549EE" w:rsidRDefault="004C534D" w:rsidP="00C9582F">
      <w:pPr>
        <w:pStyle w:val="a5"/>
        <w:contextualSpacing/>
        <w:jc w:val="both"/>
        <w:rPr>
          <w:sz w:val="28"/>
          <w:szCs w:val="28"/>
          <w:lang w:val="en-US"/>
        </w:rPr>
      </w:pPr>
      <w:r w:rsidRPr="00D549EE">
        <w:rPr>
          <w:sz w:val="28"/>
          <w:szCs w:val="28"/>
          <w:lang w:val="en-US"/>
        </w:rPr>
        <w:t>w</w:t>
      </w:r>
      <w:r w:rsidR="009A05F9" w:rsidRPr="00D549EE">
        <w:rPr>
          <w:sz w:val="28"/>
          <w:szCs w:val="28"/>
          <w:lang w:val="en-US"/>
        </w:rPr>
        <w:t>here</w:t>
      </w:r>
    </w:p>
    <w:p w14:paraId="2A13F224" w14:textId="31A8E7FB" w:rsidR="009A05F9" w:rsidRPr="00D549EE" w:rsidRDefault="009A05F9" w:rsidP="00C9582F">
      <w:pPr>
        <w:pStyle w:val="a5"/>
        <w:contextualSpacing/>
        <w:jc w:val="both"/>
        <w:rPr>
          <w:sz w:val="28"/>
          <w:szCs w:val="28"/>
          <w:lang w:val="en-US"/>
        </w:rPr>
      </w:pPr>
      <w:r w:rsidRPr="00D549EE">
        <w:rPr>
          <w:sz w:val="28"/>
          <w:szCs w:val="28"/>
          <w:lang w:val="en-US"/>
        </w:rPr>
        <w:t>PHCR - Poverty Head Count Ratio;</w:t>
      </w:r>
    </w:p>
    <w:p w14:paraId="5A3D2A74" w14:textId="22A194DE" w:rsidR="009A05F9" w:rsidRPr="00D549EE" w:rsidRDefault="00191457" w:rsidP="00C9582F">
      <w:pPr>
        <w:pStyle w:val="a5"/>
        <w:contextualSpacing/>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p</m:t>
            </m:r>
          </m:sub>
        </m:sSub>
      </m:oMath>
      <w:r w:rsidR="009A05F9" w:rsidRPr="00D549EE">
        <w:rPr>
          <w:sz w:val="28"/>
          <w:szCs w:val="28"/>
          <w:lang w:val="en-US"/>
        </w:rPr>
        <w:t xml:space="preserve"> - income at poverty line in current US dollars;</w:t>
      </w:r>
    </w:p>
    <w:p w14:paraId="77927E64" w14:textId="2BD8C245" w:rsidR="009A05F9" w:rsidRPr="00D549EE" w:rsidRDefault="009A05F9" w:rsidP="00C9582F">
      <w:pPr>
        <w:pStyle w:val="a5"/>
        <w:contextualSpacing/>
        <w:rPr>
          <w:bCs/>
          <w:color w:val="000000" w:themeColor="text1"/>
          <w:sz w:val="28"/>
          <w:szCs w:val="28"/>
          <w:lang w:val="en-US"/>
        </w:rPr>
      </w:pPr>
      <w:r w:rsidRPr="00D549EE">
        <w:rPr>
          <w:bCs/>
          <w:color w:val="000000" w:themeColor="text1"/>
          <w:sz w:val="28"/>
          <w:szCs w:val="28"/>
          <w:lang w:val="en-US"/>
        </w:rPr>
        <w:t>N – total number of population;</w:t>
      </w:r>
    </w:p>
    <w:p w14:paraId="537BC114" w14:textId="06D1D576" w:rsidR="000D0F2C" w:rsidRPr="00D549EE" w:rsidRDefault="009A05F9" w:rsidP="007D25AC">
      <w:pPr>
        <w:pStyle w:val="a5"/>
        <w:contextualSpacing/>
        <w:rPr>
          <w:bCs/>
          <w:color w:val="000000" w:themeColor="text1"/>
          <w:sz w:val="28"/>
          <w:szCs w:val="28"/>
          <w:lang w:val="en-US"/>
        </w:rPr>
      </w:pPr>
      <w:r w:rsidRPr="00D549EE">
        <w:rPr>
          <w:bCs/>
          <w:color w:val="000000" w:themeColor="text1"/>
          <w:sz w:val="28"/>
          <w:szCs w:val="28"/>
          <w:lang w:val="en-US"/>
        </w:rPr>
        <w:t>GDP – Gross Domestic Product in current US dollars.</w:t>
      </w:r>
    </w:p>
    <w:p w14:paraId="0B814033" w14:textId="7AE9DEA4" w:rsidR="00925917" w:rsidRPr="00D549EE" w:rsidRDefault="00602954" w:rsidP="00C9582F">
      <w:pPr>
        <w:pStyle w:val="a5"/>
        <w:jc w:val="both"/>
        <w:rPr>
          <w:color w:val="000000" w:themeColor="text1"/>
          <w:sz w:val="28"/>
          <w:szCs w:val="28"/>
          <w:lang w:val="en-US"/>
        </w:rPr>
      </w:pPr>
      <w:r w:rsidRPr="00D549EE">
        <w:rPr>
          <w:color w:val="000000" w:themeColor="text1"/>
          <w:sz w:val="28"/>
          <w:szCs w:val="28"/>
          <w:lang w:val="en-US"/>
        </w:rPr>
        <w:tab/>
      </w:r>
      <w:r w:rsidR="00043F2E" w:rsidRPr="00043F2E">
        <w:rPr>
          <w:color w:val="000000" w:themeColor="text1"/>
          <w:sz w:val="28"/>
          <w:szCs w:val="28"/>
          <w:lang w:val="en-US"/>
        </w:rPr>
        <w:t>These indicators estimation allows analyzing the role of potential zakat collection in covering the Recourse shortfall and Poverty in the country. In actual research of N. Shirazi, B.Amin of estimation of the potential zakat amount has been used authors’ methodology for indicators of average zakat (z1, z2, z3) as follows:</w:t>
      </w:r>
    </w:p>
    <w:p w14:paraId="3F84873E" w14:textId="6FB6D002" w:rsidR="00925917" w:rsidRPr="00D549EE" w:rsidRDefault="00925917" w:rsidP="00C9582F">
      <w:pPr>
        <w:pStyle w:val="2"/>
        <w:snapToGrid w:val="0"/>
        <w:spacing w:before="75" w:beforeAutospacing="0" w:after="375" w:afterAutospacing="0"/>
        <w:contextualSpacing/>
        <w:jc w:val="both"/>
        <w:rPr>
          <w:b w:val="0"/>
          <w:color w:val="000000" w:themeColor="text1"/>
          <w:sz w:val="28"/>
          <w:szCs w:val="28"/>
          <w:lang w:val="en-US"/>
        </w:rPr>
      </w:pPr>
      <w:r w:rsidRPr="00D549EE">
        <w:rPr>
          <w:b w:val="0"/>
          <w:bCs w:val="0"/>
          <w:color w:val="000000" w:themeColor="text1"/>
          <w:sz w:val="28"/>
          <w:szCs w:val="28"/>
          <w:lang w:val="en-US"/>
        </w:rPr>
        <w:t>Table 1</w:t>
      </w:r>
      <w:r w:rsidR="00736E1B" w:rsidRPr="00D549EE">
        <w:rPr>
          <w:b w:val="0"/>
          <w:bCs w:val="0"/>
          <w:color w:val="000000" w:themeColor="text1"/>
          <w:sz w:val="28"/>
          <w:szCs w:val="28"/>
          <w:lang w:val="en-US"/>
        </w:rPr>
        <w:t>9</w:t>
      </w:r>
      <w:r w:rsidRPr="00D549EE">
        <w:rPr>
          <w:bCs w:val="0"/>
          <w:color w:val="000000" w:themeColor="text1"/>
          <w:sz w:val="28"/>
          <w:szCs w:val="28"/>
          <w:lang w:val="en-US"/>
        </w:rPr>
        <w:t xml:space="preserve"> </w:t>
      </w:r>
      <w:r w:rsidRPr="00D549EE">
        <w:rPr>
          <w:b w:val="0"/>
          <w:sz w:val="28"/>
          <w:szCs w:val="28"/>
          <w:lang w:val="en-US"/>
        </w:rPr>
        <w:t>–</w:t>
      </w:r>
      <w:r w:rsidRPr="00D549EE">
        <w:rPr>
          <w:b w:val="0"/>
          <w:color w:val="000000" w:themeColor="text1"/>
          <w:sz w:val="28"/>
          <w:szCs w:val="28"/>
          <w:lang w:val="en-US"/>
        </w:rPr>
        <w:t xml:space="preserve"> Potential Zakat estimation by N.Shirazi</w:t>
      </w:r>
      <w:r w:rsidR="00B81DE1" w:rsidRPr="00D549EE">
        <w:rPr>
          <w:b w:val="0"/>
          <w:color w:val="000000" w:themeColor="text1"/>
          <w:sz w:val="28"/>
          <w:szCs w:val="28"/>
          <w:lang w:val="en-US"/>
        </w:rPr>
        <w:t xml:space="preserve"> and B.Amin</w:t>
      </w:r>
    </w:p>
    <w:tbl>
      <w:tblPr>
        <w:tblStyle w:val="a9"/>
        <w:tblW w:w="0" w:type="auto"/>
        <w:tblLook w:val="04A0" w:firstRow="1" w:lastRow="0" w:firstColumn="1" w:lastColumn="0" w:noHBand="0" w:noVBand="1"/>
      </w:tblPr>
      <w:tblGrid>
        <w:gridCol w:w="4811"/>
        <w:gridCol w:w="4811"/>
      </w:tblGrid>
      <w:tr w:rsidR="0020160C" w:rsidRPr="00D549EE" w14:paraId="7CB9C6DE" w14:textId="77777777" w:rsidTr="00AF2F07">
        <w:tc>
          <w:tcPr>
            <w:tcW w:w="4811" w:type="dxa"/>
          </w:tcPr>
          <w:p w14:paraId="7D6EDC76" w14:textId="77777777" w:rsidR="0020160C" w:rsidRPr="00D549EE" w:rsidRDefault="0020160C" w:rsidP="00C9582F">
            <w:pPr>
              <w:pStyle w:val="a5"/>
              <w:contextualSpacing/>
              <w:rPr>
                <w:lang w:val="en-US"/>
              </w:rPr>
            </w:pPr>
            <w:r w:rsidRPr="00D549EE">
              <w:rPr>
                <w:lang w:val="en-US"/>
              </w:rPr>
              <w:t>Variable</w:t>
            </w:r>
          </w:p>
        </w:tc>
        <w:tc>
          <w:tcPr>
            <w:tcW w:w="4811" w:type="dxa"/>
          </w:tcPr>
          <w:p w14:paraId="210CA244" w14:textId="77777777" w:rsidR="0020160C" w:rsidRPr="00D549EE" w:rsidRDefault="0020160C" w:rsidP="00C9582F">
            <w:pPr>
              <w:pStyle w:val="a5"/>
              <w:contextualSpacing/>
              <w:rPr>
                <w:lang w:val="en-US"/>
              </w:rPr>
            </w:pPr>
            <w:r w:rsidRPr="00D549EE">
              <w:rPr>
                <w:lang w:val="en-US"/>
              </w:rPr>
              <w:t xml:space="preserve">Description </w:t>
            </w:r>
          </w:p>
        </w:tc>
      </w:tr>
      <w:tr w:rsidR="0020160C" w:rsidRPr="00FC685D" w14:paraId="48E5F9D6" w14:textId="77777777" w:rsidTr="00AF2F07">
        <w:tc>
          <w:tcPr>
            <w:tcW w:w="4811" w:type="dxa"/>
          </w:tcPr>
          <w:p w14:paraId="7E0F2D61" w14:textId="30B8E297" w:rsidR="0020160C" w:rsidRPr="00D549EE" w:rsidRDefault="0020160C" w:rsidP="00C9582F">
            <w:pPr>
              <w:pStyle w:val="a5"/>
              <w:contextualSpacing/>
              <w:rPr>
                <w:lang w:val="en-US"/>
              </w:rPr>
            </w:pPr>
            <w:r w:rsidRPr="00D549EE">
              <w:rPr>
                <w:lang w:val="en-US"/>
              </w:rPr>
              <w:t>Gross Domestic Production, million USD</w:t>
            </w:r>
          </w:p>
        </w:tc>
        <w:tc>
          <w:tcPr>
            <w:tcW w:w="4811" w:type="dxa"/>
          </w:tcPr>
          <w:p w14:paraId="274CD076" w14:textId="29805A94" w:rsidR="0020160C" w:rsidRPr="00D549EE" w:rsidRDefault="0020160C" w:rsidP="00C9582F">
            <w:pPr>
              <w:rPr>
                <w:lang w:val="en-US"/>
              </w:rPr>
            </w:pPr>
            <w:r w:rsidRPr="00D549EE">
              <w:rPr>
                <w:color w:val="000000" w:themeColor="text1"/>
                <w:lang w:val="en-US"/>
              </w:rPr>
              <w:t xml:space="preserve">The GDP in USD, </w:t>
            </w:r>
            <w:r w:rsidRPr="00D549EE">
              <w:rPr>
                <w:color w:val="000000" w:themeColor="text1"/>
                <w:shd w:val="clear" w:color="auto" w:fill="FFFFFF"/>
                <w:lang w:val="en-US"/>
              </w:rPr>
              <w:t>the market value of all the</w:t>
            </w:r>
            <w:r w:rsidRPr="00D549EE">
              <w:rPr>
                <w:rStyle w:val="apple-converted-space"/>
                <w:color w:val="000000" w:themeColor="text1"/>
                <w:shd w:val="clear" w:color="auto" w:fill="FFFFFF"/>
                <w:lang w:val="en-US"/>
              </w:rPr>
              <w:t> </w:t>
            </w:r>
            <w:hyperlink r:id="rId70" w:tooltip="Final good" w:history="1">
              <w:r w:rsidRPr="00D549EE">
                <w:rPr>
                  <w:rStyle w:val="a8"/>
                  <w:color w:val="000000" w:themeColor="text1"/>
                  <w:u w:val="none"/>
                  <w:lang w:val="en-US"/>
                </w:rPr>
                <w:t>final goods</w:t>
              </w:r>
            </w:hyperlink>
            <w:r w:rsidRPr="00D549EE">
              <w:rPr>
                <w:rStyle w:val="apple-converted-space"/>
                <w:color w:val="000000" w:themeColor="text1"/>
                <w:shd w:val="clear" w:color="auto" w:fill="FFFFFF"/>
                <w:lang w:val="en-US"/>
              </w:rPr>
              <w:t> </w:t>
            </w:r>
            <w:r w:rsidRPr="00D549EE">
              <w:rPr>
                <w:color w:val="000000" w:themeColor="text1"/>
                <w:shd w:val="clear" w:color="auto" w:fill="FFFFFF"/>
                <w:lang w:val="en-US"/>
              </w:rPr>
              <w:t xml:space="preserve">and services produced </w:t>
            </w:r>
          </w:p>
        </w:tc>
      </w:tr>
      <w:tr w:rsidR="0020160C" w:rsidRPr="00FC685D" w14:paraId="4AF0D743" w14:textId="77777777" w:rsidTr="00AF2F07">
        <w:tc>
          <w:tcPr>
            <w:tcW w:w="4811" w:type="dxa"/>
          </w:tcPr>
          <w:p w14:paraId="318DAC49" w14:textId="31C1985A" w:rsidR="0020160C" w:rsidRPr="00D549EE" w:rsidRDefault="0020160C" w:rsidP="00C9582F">
            <w:pPr>
              <w:pStyle w:val="a5"/>
              <w:rPr>
                <w:lang w:val="en-US"/>
              </w:rPr>
            </w:pPr>
            <w:r w:rsidRPr="00D549EE">
              <w:rPr>
                <w:lang w:val="en-US"/>
              </w:rPr>
              <w:t>Muslim population, %</w:t>
            </w:r>
          </w:p>
        </w:tc>
        <w:tc>
          <w:tcPr>
            <w:tcW w:w="4811" w:type="dxa"/>
          </w:tcPr>
          <w:p w14:paraId="23172B9C" w14:textId="77777777" w:rsidR="0020160C" w:rsidRPr="00D549EE" w:rsidRDefault="0020160C" w:rsidP="00C9582F">
            <w:pPr>
              <w:pStyle w:val="a5"/>
              <w:rPr>
                <w:lang w:val="en-US"/>
              </w:rPr>
            </w:pPr>
            <w:r w:rsidRPr="00D549EE">
              <w:rPr>
                <w:lang w:val="en-US"/>
              </w:rPr>
              <w:t>Percent of total population, which adheres to Islam to some degree</w:t>
            </w:r>
          </w:p>
        </w:tc>
      </w:tr>
      <w:tr w:rsidR="0020160C" w:rsidRPr="00FC685D" w14:paraId="5913DAF4" w14:textId="77777777" w:rsidTr="00AF2F07">
        <w:tc>
          <w:tcPr>
            <w:tcW w:w="4811" w:type="dxa"/>
          </w:tcPr>
          <w:p w14:paraId="7034CCD2" w14:textId="4EAE51FA" w:rsidR="0020160C" w:rsidRPr="00D549EE" w:rsidRDefault="0020160C" w:rsidP="00C9582F">
            <w:pPr>
              <w:pStyle w:val="a5"/>
              <w:rPr>
                <w:lang w:val="en-US"/>
              </w:rPr>
            </w:pPr>
            <w:r w:rsidRPr="00D549EE">
              <w:rPr>
                <w:lang w:val="en-US"/>
              </w:rPr>
              <w:t>Adjusted GDP, million USD</w:t>
            </w:r>
          </w:p>
        </w:tc>
        <w:tc>
          <w:tcPr>
            <w:tcW w:w="4811" w:type="dxa"/>
          </w:tcPr>
          <w:p w14:paraId="34A27FF6" w14:textId="7ABC5AE3" w:rsidR="0020160C" w:rsidRPr="00D549EE" w:rsidRDefault="004868F6" w:rsidP="00C9582F">
            <w:pPr>
              <w:pStyle w:val="a5"/>
              <w:rPr>
                <w:lang w:val="en-US"/>
              </w:rPr>
            </w:pPr>
            <w:r w:rsidRPr="00D549EE">
              <w:rPr>
                <w:color w:val="000000" w:themeColor="text1"/>
                <w:lang w:val="en-US"/>
              </w:rPr>
              <w:t xml:space="preserve">The GDP in USD adjusted to the share of Muslim population </w:t>
            </w:r>
          </w:p>
        </w:tc>
      </w:tr>
      <w:tr w:rsidR="0020160C" w:rsidRPr="00FC685D" w14:paraId="02008124" w14:textId="77777777" w:rsidTr="00AF2F07">
        <w:tc>
          <w:tcPr>
            <w:tcW w:w="4811" w:type="dxa"/>
          </w:tcPr>
          <w:p w14:paraId="0CB408AB" w14:textId="420A96A1" w:rsidR="0020160C" w:rsidRPr="00D549EE" w:rsidRDefault="004868F6" w:rsidP="00C9582F">
            <w:pPr>
              <w:pStyle w:val="a5"/>
              <w:rPr>
                <w:lang w:val="en-US"/>
              </w:rPr>
            </w:pPr>
            <w:r w:rsidRPr="00D549EE">
              <w:rPr>
                <w:lang w:val="en-US"/>
              </w:rPr>
              <w:t>Z1, Z2, Z3, million USD</w:t>
            </w:r>
          </w:p>
        </w:tc>
        <w:tc>
          <w:tcPr>
            <w:tcW w:w="4811" w:type="dxa"/>
          </w:tcPr>
          <w:p w14:paraId="71BD30A8" w14:textId="56A96BD2" w:rsidR="0020160C" w:rsidRPr="00D549EE" w:rsidRDefault="004868F6" w:rsidP="00C9582F">
            <w:pPr>
              <w:pStyle w:val="a5"/>
              <w:rPr>
                <w:lang w:val="en-US"/>
              </w:rPr>
            </w:pPr>
            <w:r w:rsidRPr="00D549EE">
              <w:rPr>
                <w:lang w:val="en-US"/>
              </w:rPr>
              <w:t>Average indicator of zakat potential by Kahf (1989) calculated to the adjusted GDP</w:t>
            </w:r>
          </w:p>
        </w:tc>
      </w:tr>
      <w:tr w:rsidR="0020160C" w:rsidRPr="00FC685D" w14:paraId="6901A302" w14:textId="77777777" w:rsidTr="00AF2F07">
        <w:tc>
          <w:tcPr>
            <w:tcW w:w="9622" w:type="dxa"/>
            <w:gridSpan w:val="2"/>
          </w:tcPr>
          <w:p w14:paraId="147F0C25" w14:textId="51B7D937" w:rsidR="0020160C" w:rsidRPr="00D549EE" w:rsidRDefault="002753CE" w:rsidP="00C9582F">
            <w:pPr>
              <w:pStyle w:val="a5"/>
              <w:rPr>
                <w:lang w:val="en-US"/>
              </w:rPr>
            </w:pPr>
            <w:r w:rsidRPr="00D549EE">
              <w:rPr>
                <w:lang w:val="en-US"/>
              </w:rPr>
              <w:t xml:space="preserve">       </w:t>
            </w:r>
            <w:r w:rsidR="0020160C" w:rsidRPr="00D549EE">
              <w:rPr>
                <w:lang w:val="en-US"/>
              </w:rPr>
              <w:t xml:space="preserve">Note </w:t>
            </w:r>
            <w:r w:rsidR="0020160C" w:rsidRPr="00D549EE">
              <w:rPr>
                <w:color w:val="000000" w:themeColor="text1"/>
                <w:lang w:val="en-US"/>
              </w:rPr>
              <w:t>–</w:t>
            </w:r>
            <w:r w:rsidR="0020160C" w:rsidRPr="00D549EE">
              <w:rPr>
                <w:color w:val="FF0000"/>
                <w:lang w:val="en-US"/>
              </w:rPr>
              <w:t xml:space="preserve"> </w:t>
            </w:r>
            <w:r w:rsidR="0020160C" w:rsidRPr="00D549EE">
              <w:rPr>
                <w:lang w:val="en-US"/>
              </w:rPr>
              <w:t>Compiled by the author</w:t>
            </w:r>
            <w:r w:rsidR="004868F6" w:rsidRPr="00D549EE">
              <w:rPr>
                <w:lang w:val="en-US"/>
              </w:rPr>
              <w:t xml:space="preserve">, Source </w:t>
            </w:r>
            <w:r w:rsidR="004868F6" w:rsidRPr="00D549EE">
              <w:rPr>
                <w:lang w:val="en-US"/>
              </w:rPr>
              <w:fldChar w:fldCharType="begin" w:fldLock="1"/>
            </w:r>
            <w:r w:rsidR="00CB6E54" w:rsidRPr="00D549EE">
              <w:rPr>
                <w:lang w:val="en-US"/>
              </w:rPr>
              <w:instrText>ADDIN CSL_CITATION {"citationItems":[{"id":"ITEM-1","itemData":{"DOI":"10.30541/v48i4iipp.739-754","ISSN":"00309729","abstract":"This paper is the extended and updated version of Shirazi (2006), which covers 38 OIC-member countries. The paper estimates the resource required and potential zakat collection for poverty elimination. The paper employed the poverty gap index based on US $1.25 a day and US $2.0 a day estimated by the World Bank (2009). Zakat potential has been estimated by employing Kahf (1989) method of estimation with some modifications. The paper finds that half of the sample countries not only meet their resource shortfall by potential zakat collection but also generate surplus funds which are sufficient for the resource deficit countries. The paper suggests pooling of zakat funds from the zakat surplus countries and providing for the resource deficit countries to eliminate the poverty.","author":[{"dropping-particle":"","family":"Shirazi","given":"Nasim Shah","non-dropping-particle":"","parse-names":false,"suffix":""},{"dropping-particle":"","family":"Amin","given":"Md Fouad","non-dropping-particle":"Bin","parse-names":false,"suffix":""}],"container-title":"Pakistan Development Review","id":"ITEM-1","issue":"4","issued":{"date-parts":[["2009"]]},"page":"739-753","title":"Poverty elimination through potential zakat collection in the OIC-member countries: Revisited","type":"article-journal","volume":"48"},"uris":["http://www.mendeley.com/documents/?uuid=2ad38256-f6cf-4b3a-872e-0d9b79691f48"]}],"mendeley":{"formattedCitation":"[86]","plainTextFormattedCitation":"[86]","previouslyFormattedCitation":"[86]"},"properties":{"noteIndex":0},"schema":"https://github.com/citation-style-language/schema/raw/master/csl-citation.json"}</w:instrText>
            </w:r>
            <w:r w:rsidR="004868F6" w:rsidRPr="00D549EE">
              <w:rPr>
                <w:lang w:val="en-US"/>
              </w:rPr>
              <w:fldChar w:fldCharType="separate"/>
            </w:r>
            <w:r w:rsidR="00B25838" w:rsidRPr="00D549EE">
              <w:rPr>
                <w:noProof/>
                <w:lang w:val="en-US"/>
              </w:rPr>
              <w:t>[86</w:t>
            </w:r>
            <w:r w:rsidR="00CE3F04" w:rsidRPr="00D549EE">
              <w:rPr>
                <w:noProof/>
                <w:lang w:val="en-US"/>
              </w:rPr>
              <w:t>, p. 245</w:t>
            </w:r>
            <w:r w:rsidR="00B25838" w:rsidRPr="00D549EE">
              <w:rPr>
                <w:noProof/>
                <w:lang w:val="en-US"/>
              </w:rPr>
              <w:t>]</w:t>
            </w:r>
            <w:r w:rsidR="004868F6" w:rsidRPr="00D549EE">
              <w:rPr>
                <w:lang w:val="en-US"/>
              </w:rPr>
              <w:fldChar w:fldCharType="end"/>
            </w:r>
          </w:p>
        </w:tc>
      </w:tr>
    </w:tbl>
    <w:p w14:paraId="6F8BD6DB" w14:textId="77777777" w:rsidR="00043F2E" w:rsidRPr="00043F2E" w:rsidRDefault="00CE3F04" w:rsidP="00043F2E">
      <w:pPr>
        <w:pStyle w:val="a5"/>
        <w:contextualSpacing/>
        <w:jc w:val="both"/>
        <w:rPr>
          <w:color w:val="000000" w:themeColor="text1"/>
          <w:sz w:val="28"/>
          <w:szCs w:val="28"/>
          <w:lang w:val="en-US"/>
        </w:rPr>
      </w:pPr>
      <w:r w:rsidRPr="00D549EE">
        <w:rPr>
          <w:b/>
          <w:color w:val="000000" w:themeColor="text1"/>
          <w:sz w:val="28"/>
          <w:szCs w:val="28"/>
          <w:lang w:val="en-US"/>
        </w:rPr>
        <w:lastRenderedPageBreak/>
        <w:tab/>
      </w:r>
      <w:r w:rsidR="00043F2E" w:rsidRPr="00043F2E">
        <w:rPr>
          <w:color w:val="000000" w:themeColor="text1"/>
          <w:sz w:val="28"/>
          <w:szCs w:val="28"/>
          <w:lang w:val="en-US"/>
        </w:rPr>
        <w:t>It is assumed that the potential zakat amount affects the process of poverty reduction in the time when it is actually because of the deepening of poverty indicators in the country. The institution of zakat has the potential to contribute to the needy population and reduce state spending to improve the lives of socially vulnerable populations.</w:t>
      </w:r>
    </w:p>
    <w:p w14:paraId="5E610C08" w14:textId="77777777" w:rsidR="00043F2E" w:rsidRDefault="00043F2E" w:rsidP="00043F2E">
      <w:pPr>
        <w:pStyle w:val="a5"/>
        <w:contextualSpacing/>
        <w:jc w:val="both"/>
        <w:rPr>
          <w:color w:val="000000" w:themeColor="text1"/>
          <w:sz w:val="28"/>
          <w:szCs w:val="28"/>
          <w:lang w:val="en-US"/>
        </w:rPr>
      </w:pPr>
      <w:r w:rsidRPr="00043F2E">
        <w:rPr>
          <w:color w:val="000000" w:themeColor="text1"/>
          <w:sz w:val="28"/>
          <w:szCs w:val="28"/>
          <w:lang w:val="en-US"/>
        </w:rPr>
        <w:tab/>
        <w:t xml:space="preserve">Indicators of the economics have adjusted the study presented by Kahf and developed by N.Shirazi and B.Amin: </w:t>
      </w:r>
    </w:p>
    <w:p w14:paraId="39EEEF7D" w14:textId="77777777" w:rsidR="00043F2E" w:rsidRDefault="00043F2E" w:rsidP="00043F2E">
      <w:pPr>
        <w:pStyle w:val="a5"/>
        <w:contextualSpacing/>
        <w:jc w:val="both"/>
        <w:rPr>
          <w:b/>
          <w:bCs/>
          <w:color w:val="000000" w:themeColor="text1"/>
          <w:sz w:val="28"/>
          <w:szCs w:val="28"/>
          <w:lang w:val="en-US"/>
        </w:rPr>
      </w:pPr>
    </w:p>
    <w:p w14:paraId="33F380BD" w14:textId="1E6669C0" w:rsidR="00602954" w:rsidRPr="00043F2E" w:rsidRDefault="00602954" w:rsidP="00043F2E">
      <w:pPr>
        <w:pStyle w:val="a5"/>
        <w:contextualSpacing/>
        <w:jc w:val="both"/>
        <w:rPr>
          <w:color w:val="000000" w:themeColor="text1"/>
          <w:sz w:val="28"/>
          <w:szCs w:val="28"/>
          <w:lang w:val="en-US"/>
        </w:rPr>
      </w:pPr>
      <w:r w:rsidRPr="00043F2E">
        <w:rPr>
          <w:bCs/>
          <w:color w:val="000000" w:themeColor="text1"/>
          <w:sz w:val="28"/>
          <w:szCs w:val="28"/>
          <w:lang w:val="en-US"/>
        </w:rPr>
        <w:t xml:space="preserve">Table </w:t>
      </w:r>
      <w:r w:rsidR="00736E1B" w:rsidRPr="00043F2E">
        <w:rPr>
          <w:bCs/>
          <w:color w:val="000000" w:themeColor="text1"/>
          <w:sz w:val="28"/>
          <w:szCs w:val="28"/>
          <w:lang w:val="en-US"/>
        </w:rPr>
        <w:t>20</w:t>
      </w:r>
      <w:r w:rsidRPr="00043F2E">
        <w:rPr>
          <w:bCs/>
          <w:color w:val="000000" w:themeColor="text1"/>
          <w:sz w:val="28"/>
          <w:szCs w:val="28"/>
          <w:lang w:val="en-US"/>
        </w:rPr>
        <w:t xml:space="preserve"> </w:t>
      </w:r>
      <w:r w:rsidRPr="00043F2E">
        <w:rPr>
          <w:sz w:val="28"/>
          <w:szCs w:val="28"/>
          <w:lang w:val="en-US"/>
        </w:rPr>
        <w:t xml:space="preserve">– </w:t>
      </w:r>
      <w:r w:rsidRPr="00043F2E">
        <w:rPr>
          <w:color w:val="000000" w:themeColor="text1"/>
          <w:sz w:val="28"/>
          <w:szCs w:val="28"/>
          <w:lang w:val="en-US"/>
        </w:rPr>
        <w:t>List of variables used in potential Zakat estimation</w:t>
      </w:r>
    </w:p>
    <w:p w14:paraId="59F3AE56" w14:textId="77777777" w:rsidR="00043F2E" w:rsidRPr="00D549EE" w:rsidRDefault="00043F2E" w:rsidP="00043F2E">
      <w:pPr>
        <w:pStyle w:val="a5"/>
        <w:contextualSpacing/>
        <w:jc w:val="both"/>
        <w:rPr>
          <w:b/>
          <w:bCs/>
          <w:color w:val="000000" w:themeColor="text1"/>
          <w:sz w:val="28"/>
          <w:szCs w:val="28"/>
          <w:lang w:val="en-US"/>
        </w:rPr>
      </w:pPr>
    </w:p>
    <w:tbl>
      <w:tblPr>
        <w:tblStyle w:val="a9"/>
        <w:tblW w:w="0" w:type="auto"/>
        <w:tblLook w:val="04A0" w:firstRow="1" w:lastRow="0" w:firstColumn="1" w:lastColumn="0" w:noHBand="0" w:noVBand="1"/>
      </w:tblPr>
      <w:tblGrid>
        <w:gridCol w:w="4811"/>
        <w:gridCol w:w="4811"/>
      </w:tblGrid>
      <w:tr w:rsidR="00602954" w:rsidRPr="00D549EE" w14:paraId="5041A852" w14:textId="77777777" w:rsidTr="004234F7">
        <w:tc>
          <w:tcPr>
            <w:tcW w:w="4811" w:type="dxa"/>
          </w:tcPr>
          <w:p w14:paraId="2D554157" w14:textId="77777777" w:rsidR="00602954" w:rsidRPr="00D549EE" w:rsidRDefault="00602954" w:rsidP="00C9582F">
            <w:pPr>
              <w:pStyle w:val="a5"/>
              <w:contextualSpacing/>
              <w:rPr>
                <w:lang w:val="en-US"/>
              </w:rPr>
            </w:pPr>
            <w:r w:rsidRPr="00D549EE">
              <w:rPr>
                <w:lang w:val="en-US"/>
              </w:rPr>
              <w:t>Variable</w:t>
            </w:r>
          </w:p>
        </w:tc>
        <w:tc>
          <w:tcPr>
            <w:tcW w:w="4811" w:type="dxa"/>
          </w:tcPr>
          <w:p w14:paraId="3AB86D30" w14:textId="77777777" w:rsidR="00602954" w:rsidRPr="00D549EE" w:rsidRDefault="00602954" w:rsidP="00C9582F">
            <w:pPr>
              <w:pStyle w:val="a5"/>
              <w:contextualSpacing/>
              <w:rPr>
                <w:lang w:val="en-US"/>
              </w:rPr>
            </w:pPr>
            <w:r w:rsidRPr="00D549EE">
              <w:rPr>
                <w:lang w:val="en-US"/>
              </w:rPr>
              <w:t xml:space="preserve">Description </w:t>
            </w:r>
          </w:p>
        </w:tc>
      </w:tr>
      <w:tr w:rsidR="00602954" w:rsidRPr="00FC685D" w14:paraId="1C6AD3F1" w14:textId="77777777" w:rsidTr="004234F7">
        <w:tc>
          <w:tcPr>
            <w:tcW w:w="4811" w:type="dxa"/>
          </w:tcPr>
          <w:p w14:paraId="01E3427C" w14:textId="77777777" w:rsidR="00602954" w:rsidRPr="00D549EE" w:rsidRDefault="00602954" w:rsidP="00C9582F">
            <w:pPr>
              <w:pStyle w:val="a5"/>
              <w:contextualSpacing/>
              <w:rPr>
                <w:lang w:val="en-US"/>
              </w:rPr>
            </w:pPr>
            <w:r w:rsidRPr="00D549EE">
              <w:rPr>
                <w:lang w:val="en-US"/>
              </w:rPr>
              <w:t>Gross Domestic Production</w:t>
            </w:r>
          </w:p>
        </w:tc>
        <w:tc>
          <w:tcPr>
            <w:tcW w:w="4811" w:type="dxa"/>
          </w:tcPr>
          <w:p w14:paraId="067A49B8" w14:textId="77777777" w:rsidR="00602954" w:rsidRPr="00D549EE" w:rsidRDefault="00602954" w:rsidP="00C9582F">
            <w:pPr>
              <w:rPr>
                <w:lang w:val="en-US"/>
              </w:rPr>
            </w:pPr>
            <w:r w:rsidRPr="00D549EE">
              <w:rPr>
                <w:color w:val="000000" w:themeColor="text1"/>
                <w:lang w:val="en-US"/>
              </w:rPr>
              <w:t xml:space="preserve">The GDP in USD, </w:t>
            </w:r>
            <w:r w:rsidRPr="00D549EE">
              <w:rPr>
                <w:color w:val="000000" w:themeColor="text1"/>
                <w:shd w:val="clear" w:color="auto" w:fill="FFFFFF"/>
                <w:lang w:val="en-US"/>
              </w:rPr>
              <w:t>the market value of all the</w:t>
            </w:r>
            <w:r w:rsidRPr="00D549EE">
              <w:rPr>
                <w:rStyle w:val="apple-converted-space"/>
                <w:color w:val="000000" w:themeColor="text1"/>
                <w:shd w:val="clear" w:color="auto" w:fill="FFFFFF"/>
                <w:lang w:val="en-US"/>
              </w:rPr>
              <w:t> </w:t>
            </w:r>
            <w:hyperlink r:id="rId71" w:tooltip="Final good" w:history="1">
              <w:r w:rsidRPr="00D549EE">
                <w:rPr>
                  <w:rStyle w:val="a8"/>
                  <w:color w:val="000000" w:themeColor="text1"/>
                  <w:u w:val="none"/>
                  <w:lang w:val="en-US"/>
                </w:rPr>
                <w:t>final goods</w:t>
              </w:r>
            </w:hyperlink>
            <w:r w:rsidRPr="00D549EE">
              <w:rPr>
                <w:rStyle w:val="apple-converted-space"/>
                <w:color w:val="000000" w:themeColor="text1"/>
                <w:shd w:val="clear" w:color="auto" w:fill="FFFFFF"/>
                <w:lang w:val="en-US"/>
              </w:rPr>
              <w:t> </w:t>
            </w:r>
            <w:r w:rsidRPr="00D549EE">
              <w:rPr>
                <w:color w:val="000000" w:themeColor="text1"/>
                <w:shd w:val="clear" w:color="auto" w:fill="FFFFFF"/>
                <w:lang w:val="en-US"/>
              </w:rPr>
              <w:t>and services produced in 2020</w:t>
            </w:r>
          </w:p>
        </w:tc>
      </w:tr>
      <w:tr w:rsidR="00602954" w:rsidRPr="00FC685D" w14:paraId="6BA1D6A9" w14:textId="77777777" w:rsidTr="004234F7">
        <w:tc>
          <w:tcPr>
            <w:tcW w:w="4811" w:type="dxa"/>
          </w:tcPr>
          <w:p w14:paraId="49518295" w14:textId="77777777" w:rsidR="00602954" w:rsidRPr="00D549EE" w:rsidRDefault="00602954" w:rsidP="00C9582F">
            <w:pPr>
              <w:pStyle w:val="a5"/>
              <w:contextualSpacing/>
            </w:pPr>
            <w:r w:rsidRPr="00D549EE">
              <w:rPr>
                <w:lang w:val="en-US"/>
              </w:rPr>
              <w:t xml:space="preserve">Economically active population </w:t>
            </w:r>
          </w:p>
        </w:tc>
        <w:tc>
          <w:tcPr>
            <w:tcW w:w="4811" w:type="dxa"/>
          </w:tcPr>
          <w:p w14:paraId="570B6801" w14:textId="77777777" w:rsidR="00602954" w:rsidRPr="00D549EE" w:rsidRDefault="00602954" w:rsidP="00C9582F">
            <w:pPr>
              <w:pStyle w:val="a5"/>
              <w:contextualSpacing/>
              <w:rPr>
                <w:lang w:val="en-US"/>
              </w:rPr>
            </w:pPr>
            <w:r w:rsidRPr="00D549EE">
              <w:rPr>
                <w:lang w:val="en-US"/>
              </w:rPr>
              <w:t xml:space="preserve">Percent of total population engaged in the production of goods and services for 2020, at the working age 16-59 for women, 16-63 for men </w:t>
            </w:r>
          </w:p>
        </w:tc>
      </w:tr>
      <w:tr w:rsidR="00602954" w:rsidRPr="00FC685D" w14:paraId="44261B9F" w14:textId="77777777" w:rsidTr="004234F7">
        <w:tc>
          <w:tcPr>
            <w:tcW w:w="4811" w:type="dxa"/>
          </w:tcPr>
          <w:p w14:paraId="3AB50B9A" w14:textId="77777777" w:rsidR="00602954" w:rsidRPr="00D549EE" w:rsidRDefault="00602954" w:rsidP="00C9582F">
            <w:pPr>
              <w:pStyle w:val="a5"/>
              <w:contextualSpacing/>
              <w:rPr>
                <w:lang w:val="en-US"/>
              </w:rPr>
            </w:pPr>
            <w:r w:rsidRPr="00D549EE">
              <w:rPr>
                <w:lang w:val="en-US"/>
              </w:rPr>
              <w:t xml:space="preserve">Unemployment population  </w:t>
            </w:r>
          </w:p>
        </w:tc>
        <w:tc>
          <w:tcPr>
            <w:tcW w:w="4811" w:type="dxa"/>
          </w:tcPr>
          <w:p w14:paraId="4E8AF6AD" w14:textId="77777777" w:rsidR="00602954" w:rsidRPr="00D549EE" w:rsidRDefault="00602954" w:rsidP="00C9582F">
            <w:pPr>
              <w:pStyle w:val="a5"/>
              <w:contextualSpacing/>
              <w:rPr>
                <w:lang w:val="en-US"/>
              </w:rPr>
            </w:pPr>
            <w:r w:rsidRPr="00D549EE">
              <w:rPr>
                <w:lang w:val="en-US"/>
              </w:rPr>
              <w:t>The part of the economically active population, able and willing to work, but unemployed in 2020, in percentage of total population</w:t>
            </w:r>
          </w:p>
        </w:tc>
      </w:tr>
      <w:tr w:rsidR="00602954" w:rsidRPr="00FC685D" w14:paraId="65938A80" w14:textId="77777777" w:rsidTr="004234F7">
        <w:tc>
          <w:tcPr>
            <w:tcW w:w="4811" w:type="dxa"/>
          </w:tcPr>
          <w:p w14:paraId="04FE7543" w14:textId="77777777" w:rsidR="00602954" w:rsidRPr="00D549EE" w:rsidRDefault="00602954" w:rsidP="00C9582F">
            <w:pPr>
              <w:pStyle w:val="a5"/>
              <w:rPr>
                <w:lang w:val="en-US"/>
              </w:rPr>
            </w:pPr>
            <w:r w:rsidRPr="00D549EE">
              <w:rPr>
                <w:lang w:val="en-US"/>
              </w:rPr>
              <w:t xml:space="preserve">Poverty headcount ratio at 5.50 USD a day (PPP) </w:t>
            </w:r>
          </w:p>
        </w:tc>
        <w:tc>
          <w:tcPr>
            <w:tcW w:w="4811" w:type="dxa"/>
          </w:tcPr>
          <w:p w14:paraId="30E53E4B" w14:textId="77777777" w:rsidR="00602954" w:rsidRPr="00D549EE" w:rsidRDefault="00602954" w:rsidP="00C9582F">
            <w:pPr>
              <w:pStyle w:val="a5"/>
              <w:rPr>
                <w:lang w:val="en-US"/>
              </w:rPr>
            </w:pPr>
            <w:r w:rsidRPr="00D549EE">
              <w:rPr>
                <w:lang w:val="en-US"/>
              </w:rPr>
              <w:t>Percent of total population with income below 5.5 USD a day in 2020</w:t>
            </w:r>
          </w:p>
        </w:tc>
      </w:tr>
      <w:tr w:rsidR="00602954" w:rsidRPr="00FC685D" w14:paraId="73FCCABE" w14:textId="77777777" w:rsidTr="004234F7">
        <w:tc>
          <w:tcPr>
            <w:tcW w:w="4811" w:type="dxa"/>
          </w:tcPr>
          <w:p w14:paraId="683546BC" w14:textId="77777777" w:rsidR="00602954" w:rsidRPr="00D549EE" w:rsidRDefault="00602954" w:rsidP="00C9582F">
            <w:pPr>
              <w:pStyle w:val="a5"/>
              <w:rPr>
                <w:lang w:val="en-US"/>
              </w:rPr>
            </w:pPr>
            <w:r w:rsidRPr="00D549EE">
              <w:rPr>
                <w:lang w:val="en-US"/>
              </w:rPr>
              <w:t>Muslim population</w:t>
            </w:r>
          </w:p>
        </w:tc>
        <w:tc>
          <w:tcPr>
            <w:tcW w:w="4811" w:type="dxa"/>
          </w:tcPr>
          <w:p w14:paraId="5EE78C43" w14:textId="77777777" w:rsidR="00602954" w:rsidRPr="00D549EE" w:rsidRDefault="00602954" w:rsidP="00C9582F">
            <w:pPr>
              <w:pStyle w:val="a5"/>
              <w:rPr>
                <w:lang w:val="en-US"/>
              </w:rPr>
            </w:pPr>
            <w:r w:rsidRPr="00D549EE">
              <w:rPr>
                <w:lang w:val="en-US"/>
              </w:rPr>
              <w:t>Percent of total population, which adheres to Islam to some degree</w:t>
            </w:r>
          </w:p>
        </w:tc>
      </w:tr>
      <w:tr w:rsidR="00602954" w:rsidRPr="00FC685D" w14:paraId="0643B9A7" w14:textId="77777777" w:rsidTr="004234F7">
        <w:tc>
          <w:tcPr>
            <w:tcW w:w="9622" w:type="dxa"/>
            <w:gridSpan w:val="2"/>
          </w:tcPr>
          <w:p w14:paraId="43FAC426" w14:textId="29C95E3C" w:rsidR="00602954" w:rsidRPr="00D549EE" w:rsidRDefault="002753CE" w:rsidP="00C9582F">
            <w:pPr>
              <w:pStyle w:val="a5"/>
              <w:rPr>
                <w:lang w:val="en-US"/>
              </w:rPr>
            </w:pPr>
            <w:r w:rsidRPr="00D549EE">
              <w:rPr>
                <w:lang w:val="en-US"/>
              </w:rPr>
              <w:t xml:space="preserve">      </w:t>
            </w:r>
            <w:r w:rsidR="00602954" w:rsidRPr="00D549EE">
              <w:rPr>
                <w:lang w:val="en-US"/>
              </w:rPr>
              <w:t xml:space="preserve">Note </w:t>
            </w:r>
            <w:r w:rsidR="00602954" w:rsidRPr="00D549EE">
              <w:rPr>
                <w:color w:val="000000" w:themeColor="text1"/>
                <w:lang w:val="en-US"/>
              </w:rPr>
              <w:t>–</w:t>
            </w:r>
            <w:r w:rsidR="00602954" w:rsidRPr="00D549EE">
              <w:rPr>
                <w:color w:val="FF0000"/>
                <w:lang w:val="en-US"/>
              </w:rPr>
              <w:t xml:space="preserve"> </w:t>
            </w:r>
            <w:r w:rsidR="00602954" w:rsidRPr="00D549EE">
              <w:rPr>
                <w:lang w:val="en-US"/>
              </w:rPr>
              <w:t xml:space="preserve">Compiled by the author </w:t>
            </w:r>
          </w:p>
        </w:tc>
      </w:tr>
    </w:tbl>
    <w:p w14:paraId="23E54358" w14:textId="15921B9B" w:rsidR="00602954" w:rsidRPr="00D549EE" w:rsidRDefault="00602954" w:rsidP="00C9582F">
      <w:pPr>
        <w:pStyle w:val="2"/>
        <w:snapToGrid w:val="0"/>
        <w:spacing w:before="75" w:beforeAutospacing="0" w:after="375" w:afterAutospacing="0"/>
        <w:contextualSpacing/>
        <w:jc w:val="both"/>
        <w:rPr>
          <w:bCs w:val="0"/>
          <w:color w:val="000000" w:themeColor="text1"/>
          <w:sz w:val="28"/>
          <w:szCs w:val="28"/>
          <w:lang w:val="en-US"/>
        </w:rPr>
      </w:pPr>
    </w:p>
    <w:p w14:paraId="70CBFB58" w14:textId="77777777" w:rsidR="003E67D4" w:rsidRPr="003E67D4" w:rsidRDefault="00602954" w:rsidP="003E67D4">
      <w:pPr>
        <w:pStyle w:val="2"/>
        <w:snapToGrid w:val="0"/>
        <w:spacing w:before="75" w:after="375"/>
        <w:contextualSpacing/>
        <w:jc w:val="both"/>
        <w:rPr>
          <w:b w:val="0"/>
          <w:bCs w:val="0"/>
          <w:color w:val="000000" w:themeColor="text1"/>
          <w:sz w:val="28"/>
          <w:szCs w:val="28"/>
          <w:lang w:val="en-US"/>
        </w:rPr>
      </w:pPr>
      <w:r w:rsidRPr="00D549EE">
        <w:rPr>
          <w:bCs w:val="0"/>
          <w:color w:val="000000" w:themeColor="text1"/>
          <w:sz w:val="28"/>
          <w:szCs w:val="28"/>
          <w:lang w:val="en-US"/>
        </w:rPr>
        <w:tab/>
      </w:r>
      <w:r w:rsidR="003E67D4" w:rsidRPr="003E67D4">
        <w:rPr>
          <w:b w:val="0"/>
          <w:bCs w:val="0"/>
          <w:color w:val="000000" w:themeColor="text1"/>
          <w:sz w:val="28"/>
          <w:szCs w:val="28"/>
          <w:lang w:val="en-US"/>
        </w:rPr>
        <w:t xml:space="preserve">Furthermore, by using obtained results of the Zakat to GDP ratio potential, Poverty Gap to GDP at 1.90 USD per day and 5.5 USD per day, Poverty rate to GDP at 1.90 USD per day and 5.5 USD per day, it is available the estimation of People Lifted Out of Poverty from Potential Zakat Collection. </w:t>
      </w:r>
    </w:p>
    <w:p w14:paraId="5C766504" w14:textId="77777777" w:rsidR="003E67D4" w:rsidRPr="003E67D4" w:rsidRDefault="003E67D4" w:rsidP="003E67D4">
      <w:pPr>
        <w:pStyle w:val="2"/>
        <w:snapToGrid w:val="0"/>
        <w:spacing w:before="75" w:after="375"/>
        <w:contextualSpacing/>
        <w:jc w:val="both"/>
        <w:rPr>
          <w:b w:val="0"/>
          <w:bCs w:val="0"/>
          <w:color w:val="000000" w:themeColor="text1"/>
          <w:sz w:val="28"/>
          <w:szCs w:val="28"/>
          <w:lang w:val="en-US"/>
        </w:rPr>
      </w:pPr>
      <w:r w:rsidRPr="003E67D4">
        <w:rPr>
          <w:b w:val="0"/>
          <w:bCs w:val="0"/>
          <w:color w:val="000000" w:themeColor="text1"/>
          <w:sz w:val="28"/>
          <w:szCs w:val="28"/>
          <w:lang w:val="en-US"/>
        </w:rPr>
        <w:tab/>
        <w:t>According to the potential amount of Islamic financial assets of the country and estimated potential zakat collection, the study's methodology allows for investigating the relationship and covering of the state spending the social assistance from the budget and resources shortfall in the country. The necessary estimations have been done in the following sections.</w:t>
      </w:r>
    </w:p>
    <w:p w14:paraId="450E22A5" w14:textId="318D4AC1" w:rsidR="003E67D4" w:rsidRPr="003E67D4" w:rsidRDefault="003E67D4" w:rsidP="003E67D4">
      <w:pPr>
        <w:pStyle w:val="2"/>
        <w:snapToGrid w:val="0"/>
        <w:spacing w:before="75" w:after="375"/>
        <w:contextualSpacing/>
        <w:jc w:val="both"/>
        <w:rPr>
          <w:b w:val="0"/>
          <w:bCs w:val="0"/>
          <w:color w:val="000000" w:themeColor="text1"/>
          <w:sz w:val="28"/>
          <w:szCs w:val="28"/>
          <w:lang w:val="en-US"/>
        </w:rPr>
      </w:pPr>
      <w:r w:rsidRPr="003E67D4">
        <w:rPr>
          <w:b w:val="0"/>
          <w:bCs w:val="0"/>
          <w:color w:val="000000" w:themeColor="text1"/>
          <w:sz w:val="28"/>
          <w:szCs w:val="28"/>
          <w:lang w:val="en-US"/>
        </w:rPr>
        <w:tab/>
      </w:r>
      <w:r w:rsidRPr="00630F10">
        <w:rPr>
          <w:b w:val="0"/>
          <w:bCs w:val="0"/>
          <w:i/>
          <w:color w:val="000000" w:themeColor="text1"/>
          <w:sz w:val="28"/>
          <w:szCs w:val="28"/>
          <w:lang w:val="en-US"/>
        </w:rPr>
        <w:t xml:space="preserve">Assessment of socio-economic effectiveness on </w:t>
      </w:r>
      <w:r w:rsidR="00DC04F9">
        <w:rPr>
          <w:b w:val="0"/>
          <w:bCs w:val="0"/>
          <w:i/>
          <w:color w:val="000000" w:themeColor="text1"/>
          <w:sz w:val="28"/>
          <w:szCs w:val="28"/>
          <w:lang w:val="en-US"/>
        </w:rPr>
        <w:t>meso</w:t>
      </w:r>
      <w:r w:rsidRPr="00630F10">
        <w:rPr>
          <w:b w:val="0"/>
          <w:bCs w:val="0"/>
          <w:i/>
          <w:color w:val="000000" w:themeColor="text1"/>
          <w:sz w:val="28"/>
          <w:szCs w:val="28"/>
          <w:lang w:val="en-US"/>
        </w:rPr>
        <w:t>- and micro-level for Islamic social projects.</w:t>
      </w:r>
      <w:r w:rsidRPr="003E67D4">
        <w:rPr>
          <w:b w:val="0"/>
          <w:bCs w:val="0"/>
          <w:color w:val="000000" w:themeColor="text1"/>
          <w:sz w:val="28"/>
          <w:szCs w:val="28"/>
          <w:lang w:val="en-US"/>
        </w:rPr>
        <w:t xml:space="preserve"> A review of the scientific sources on the issue of assessing the social effectiveness of using financial resources showed the ambiguity and variability of the methodological approaches used by researchers [108] [109] [110]. First of all, this is related to the fact that the social sphere is a combination of relations between people, state, and private institutions to improve the population's level and quality of life. It brings results - social effects that are not always amenable to cost (economic) measurement and is differently interpreted in different sources. </w:t>
      </w:r>
    </w:p>
    <w:p w14:paraId="56879ACF" w14:textId="77777777" w:rsidR="003E67D4" w:rsidRDefault="003E67D4" w:rsidP="003E67D4">
      <w:pPr>
        <w:pStyle w:val="2"/>
        <w:snapToGrid w:val="0"/>
        <w:spacing w:before="75" w:beforeAutospacing="0" w:after="375" w:afterAutospacing="0"/>
        <w:contextualSpacing/>
        <w:jc w:val="both"/>
        <w:rPr>
          <w:b w:val="0"/>
          <w:bCs w:val="0"/>
          <w:color w:val="000000" w:themeColor="text1"/>
          <w:sz w:val="28"/>
          <w:szCs w:val="28"/>
          <w:lang w:val="en-US"/>
        </w:rPr>
      </w:pPr>
      <w:r w:rsidRPr="003E67D4">
        <w:rPr>
          <w:b w:val="0"/>
          <w:bCs w:val="0"/>
          <w:color w:val="000000" w:themeColor="text1"/>
          <w:sz w:val="28"/>
          <w:szCs w:val="28"/>
          <w:lang w:val="en-US"/>
        </w:rPr>
        <w:tab/>
        <w:t xml:space="preserve">For various reasons, long-term sustainable social outcomes, or effects that represent a gain for the entire society from implementing social programs, are still very difficult to measure in terms of value. There are several types of cost assessment of the effectiveness of sociality and social investments and projects: CBA — cost-benefit </w:t>
      </w:r>
      <w:r w:rsidRPr="003E67D4">
        <w:rPr>
          <w:b w:val="0"/>
          <w:bCs w:val="0"/>
          <w:color w:val="000000" w:themeColor="text1"/>
          <w:sz w:val="28"/>
          <w:szCs w:val="28"/>
          <w:lang w:val="en-US"/>
        </w:rPr>
        <w:lastRenderedPageBreak/>
        <w:t>analysis, CEA - cost-effectiveness analysis, CUA - cost-utility analysis. The first two types of analysis are classical approaches to cost measurement. The cost-benefit analysis (CBA) is a systematic method for comparing the costs and benefits of a project, the feature of this method on using a single standard metric, mainly in monetary terms [111]</w:t>
      </w:r>
      <w:r>
        <w:rPr>
          <w:b w:val="0"/>
          <w:bCs w:val="0"/>
          <w:color w:val="000000" w:themeColor="text1"/>
          <w:sz w:val="28"/>
          <w:szCs w:val="28"/>
          <w:lang w:val="en-US"/>
        </w:rPr>
        <w:t>.</w:t>
      </w:r>
    </w:p>
    <w:p w14:paraId="72E0002B" w14:textId="77777777" w:rsidR="003E67D4" w:rsidRDefault="003E67D4" w:rsidP="003E67D4">
      <w:pPr>
        <w:pStyle w:val="2"/>
        <w:snapToGrid w:val="0"/>
        <w:spacing w:before="75" w:beforeAutospacing="0" w:after="375" w:afterAutospacing="0"/>
        <w:contextualSpacing/>
        <w:jc w:val="both"/>
        <w:rPr>
          <w:color w:val="FF0000"/>
          <w:sz w:val="28"/>
          <w:szCs w:val="28"/>
          <w:lang w:val="en-US"/>
        </w:rPr>
      </w:pPr>
    </w:p>
    <w:p w14:paraId="4032150B" w14:textId="1F56EEEF" w:rsidR="00054B5D" w:rsidRPr="00D56E44" w:rsidRDefault="00054B5D" w:rsidP="003E67D4">
      <w:pPr>
        <w:pStyle w:val="2"/>
        <w:snapToGrid w:val="0"/>
        <w:spacing w:before="75" w:beforeAutospacing="0" w:after="375" w:afterAutospacing="0"/>
        <w:contextualSpacing/>
        <w:jc w:val="both"/>
        <w:rPr>
          <w:b w:val="0"/>
          <w:color w:val="FF0000"/>
          <w:sz w:val="28"/>
          <w:szCs w:val="28"/>
          <w:lang w:val="en-US"/>
        </w:rPr>
      </w:pPr>
      <w:r w:rsidRPr="00D549EE">
        <w:rPr>
          <w:color w:val="FF0000"/>
          <w:sz w:val="28"/>
          <w:szCs w:val="28"/>
          <w:lang w:val="en-US"/>
        </w:rPr>
        <w:t xml:space="preserve"> </w:t>
      </w:r>
      <w:r w:rsidR="00D56E44">
        <w:rPr>
          <w:color w:val="FF0000"/>
          <w:sz w:val="28"/>
          <w:szCs w:val="28"/>
          <w:lang w:val="en-US"/>
        </w:rPr>
        <w:tab/>
      </w:r>
      <w:r w:rsidRPr="00D56E44">
        <w:rPr>
          <w:b w:val="0"/>
          <w:sz w:val="28"/>
          <w:szCs w:val="28"/>
          <w:lang w:val="en-US"/>
        </w:rPr>
        <w:t>Benefit Cost Ratio:</w:t>
      </w:r>
      <w:r w:rsidRPr="00D56E44">
        <w:rPr>
          <w:b w:val="0"/>
          <w:bCs w:val="0"/>
          <w:sz w:val="28"/>
          <w:szCs w:val="28"/>
          <w:lang w:val="en-US"/>
        </w:rPr>
        <w:t xml:space="preserve"> </w:t>
      </w:r>
    </w:p>
    <w:p w14:paraId="5C5E1AD7" w14:textId="24786E3F" w:rsidR="00054B5D" w:rsidRPr="00D549EE" w:rsidRDefault="00054B5D" w:rsidP="00C9582F">
      <w:pPr>
        <w:pStyle w:val="a5"/>
        <w:jc w:val="right"/>
        <w:rPr>
          <w:color w:val="000000" w:themeColor="text1"/>
          <w:sz w:val="28"/>
          <w:szCs w:val="28"/>
          <w:lang w:val="en-US"/>
        </w:rPr>
      </w:pPr>
      <w:r w:rsidRPr="00D549EE">
        <w:rPr>
          <w:color w:val="000000" w:themeColor="text1"/>
          <w:sz w:val="28"/>
          <w:szCs w:val="28"/>
          <w:lang w:val="en-US"/>
        </w:rPr>
        <w:t xml:space="preserve">                                               </w:t>
      </w:r>
      <m:oMath>
        <m:r>
          <m:rPr>
            <m:sty m:val="p"/>
          </m:rPr>
          <w:rPr>
            <w:rFonts w:ascii="Cambria Math" w:hAnsi="Cambria Math"/>
            <w:color w:val="000000" w:themeColor="text1"/>
            <w:sz w:val="28"/>
            <w:szCs w:val="28"/>
            <w:lang w:val="en-US"/>
          </w:rPr>
          <m:t>BCR</m:t>
        </m:r>
      </m:oMath>
      <w:r w:rsidRPr="00D549EE">
        <w:rPr>
          <w:color w:val="000000" w:themeColor="text1"/>
          <w:sz w:val="28"/>
          <w:szCs w:val="28"/>
          <w:lang w:val="en-US"/>
        </w:rPr>
        <w:t xml:space="preserve"> = </w:t>
      </w:r>
      <m:oMath>
        <m:f>
          <m:fPr>
            <m:ctrlPr>
              <w:rPr>
                <w:rFonts w:ascii="Cambria Math" w:hAnsi="Cambria Math"/>
                <w:color w:val="000000" w:themeColor="text1"/>
                <w:sz w:val="28"/>
                <w:szCs w:val="28"/>
                <w:lang w:val="en-US"/>
              </w:rPr>
            </m:ctrlPr>
          </m:fPr>
          <m:num>
            <m:r>
              <m:rPr>
                <m:sty m:val="p"/>
              </m:rPr>
              <w:rPr>
                <w:rFonts w:ascii="Cambria Math" w:hAnsi="Cambria Math"/>
                <w:color w:val="000000" w:themeColor="text1"/>
                <w:sz w:val="28"/>
                <w:szCs w:val="28"/>
                <w:lang w:val="en-US"/>
              </w:rPr>
              <m:t>[</m:t>
            </m:r>
            <m:nary>
              <m:naryPr>
                <m:chr m:val="∑"/>
                <m:limLoc m:val="undOvr"/>
                <m:subHide m:val="1"/>
                <m:supHide m:val="1"/>
                <m:ctrlPr>
                  <w:rPr>
                    <w:rFonts w:ascii="Cambria Math" w:hAnsi="Cambria Math"/>
                    <w:color w:val="000000" w:themeColor="text1"/>
                    <w:sz w:val="28"/>
                    <w:szCs w:val="28"/>
                    <w:lang w:val="en-US"/>
                  </w:rPr>
                </m:ctrlPr>
              </m:naryPr>
              <m:sub/>
              <m:sup/>
              <m:e>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en-US"/>
                      </w:rPr>
                      <m:t>B</m:t>
                    </m:r>
                  </m:e>
                  <m:sub>
                    <m:r>
                      <m:rPr>
                        <m:sty m:val="p"/>
                      </m:rPr>
                      <w:rPr>
                        <w:rFonts w:ascii="Cambria Math" w:hAnsi="Cambria Math"/>
                        <w:color w:val="000000" w:themeColor="text1"/>
                        <w:sz w:val="28"/>
                        <w:szCs w:val="28"/>
                        <w:lang w:val="en-US"/>
                      </w:rPr>
                      <m:t>i</m:t>
                    </m:r>
                  </m:sub>
                </m:sSub>
              </m:e>
            </m:nary>
            <m:r>
              <m:rPr>
                <m:sty m:val="p"/>
              </m:rPr>
              <w:rPr>
                <w:rFonts w:ascii="Cambria Math" w:hAnsi="Cambria Math"/>
                <w:color w:val="000000" w:themeColor="text1"/>
                <w:sz w:val="28"/>
                <w:szCs w:val="28"/>
                <w:lang w:val="en-US"/>
              </w:rPr>
              <m:t>/</m:t>
            </m:r>
            <m:sSup>
              <m:sSupPr>
                <m:ctrlPr>
                  <w:rPr>
                    <w:rFonts w:ascii="Cambria Math" w:hAnsi="Cambria Math"/>
                    <w:color w:val="000000" w:themeColor="text1"/>
                    <w:sz w:val="28"/>
                    <w:szCs w:val="28"/>
                    <w:lang w:val="en-US"/>
                  </w:rPr>
                </m:ctrlPr>
              </m:sSupPr>
              <m:e>
                <m:r>
                  <m:rPr>
                    <m:sty m:val="p"/>
                  </m:rPr>
                  <w:rPr>
                    <w:rFonts w:ascii="Cambria Math" w:hAnsi="Cambria Math"/>
                    <w:color w:val="000000" w:themeColor="text1"/>
                    <w:sz w:val="28"/>
                    <w:szCs w:val="28"/>
                    <w:lang w:val="en-US"/>
                  </w:rPr>
                  <m:t>(1+d)</m:t>
                </m:r>
              </m:e>
              <m:sup>
                <m:r>
                  <m:rPr>
                    <m:sty m:val="p"/>
                  </m:rPr>
                  <w:rPr>
                    <w:rFonts w:ascii="Cambria Math" w:hAnsi="Cambria Math"/>
                    <w:color w:val="000000" w:themeColor="text1"/>
                    <w:sz w:val="28"/>
                    <w:szCs w:val="28"/>
                    <w:lang w:val="en-US"/>
                  </w:rPr>
                  <m:t>i</m:t>
                </m:r>
              </m:sup>
            </m:sSup>
            <m:r>
              <m:rPr>
                <m:sty m:val="p"/>
              </m:rPr>
              <w:rPr>
                <w:rFonts w:ascii="Cambria Math" w:hAnsi="Cambria Math"/>
                <w:color w:val="000000" w:themeColor="text1"/>
                <w:sz w:val="28"/>
                <w:szCs w:val="28"/>
                <w:lang w:val="en-US"/>
              </w:rPr>
              <m:t>]</m:t>
            </m:r>
          </m:num>
          <m:den>
            <m:r>
              <m:rPr>
                <m:sty m:val="p"/>
              </m:rPr>
              <w:rPr>
                <w:rFonts w:ascii="Cambria Math" w:hAnsi="Cambria Math"/>
                <w:color w:val="000000" w:themeColor="text1"/>
                <w:sz w:val="28"/>
                <w:szCs w:val="28"/>
                <w:lang w:val="en-US"/>
              </w:rPr>
              <m:t>[</m:t>
            </m:r>
            <m:nary>
              <m:naryPr>
                <m:chr m:val="∑"/>
                <m:limLoc m:val="undOvr"/>
                <m:subHide m:val="1"/>
                <m:supHide m:val="1"/>
                <m:ctrlPr>
                  <w:rPr>
                    <w:rFonts w:ascii="Cambria Math" w:hAnsi="Cambria Math"/>
                    <w:color w:val="000000" w:themeColor="text1"/>
                    <w:sz w:val="28"/>
                    <w:szCs w:val="28"/>
                    <w:lang w:val="en-US"/>
                  </w:rPr>
                </m:ctrlPr>
              </m:naryPr>
              <m:sub/>
              <m:sup/>
              <m:e>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en-US"/>
                      </w:rPr>
                      <m:t>C</m:t>
                    </m:r>
                  </m:e>
                  <m:sub>
                    <m:r>
                      <m:rPr>
                        <m:sty m:val="p"/>
                      </m:rPr>
                      <w:rPr>
                        <w:rFonts w:ascii="Cambria Math" w:hAnsi="Cambria Math"/>
                        <w:color w:val="000000" w:themeColor="text1"/>
                        <w:sz w:val="28"/>
                        <w:szCs w:val="28"/>
                        <w:lang w:val="en-US"/>
                      </w:rPr>
                      <m:t>i</m:t>
                    </m:r>
                  </m:sub>
                </m:sSub>
                <m:r>
                  <m:rPr>
                    <m:sty m:val="p"/>
                  </m:rPr>
                  <w:rPr>
                    <w:rFonts w:ascii="Cambria Math" w:hAnsi="Cambria Math"/>
                    <w:color w:val="000000" w:themeColor="text1"/>
                    <w:sz w:val="28"/>
                    <w:szCs w:val="28"/>
                    <w:lang w:val="en-US"/>
                  </w:rPr>
                  <m:t>/</m:t>
                </m:r>
                <m:sSup>
                  <m:sSupPr>
                    <m:ctrlPr>
                      <w:rPr>
                        <w:rFonts w:ascii="Cambria Math" w:hAnsi="Cambria Math"/>
                        <w:color w:val="000000" w:themeColor="text1"/>
                        <w:sz w:val="28"/>
                        <w:szCs w:val="28"/>
                        <w:lang w:val="en-US"/>
                      </w:rPr>
                    </m:ctrlPr>
                  </m:sSupPr>
                  <m:e>
                    <m:r>
                      <m:rPr>
                        <m:sty m:val="p"/>
                      </m:rPr>
                      <w:rPr>
                        <w:rFonts w:ascii="Cambria Math" w:hAnsi="Cambria Math"/>
                        <w:color w:val="000000" w:themeColor="text1"/>
                        <w:sz w:val="28"/>
                        <w:szCs w:val="28"/>
                        <w:lang w:val="en-US"/>
                      </w:rPr>
                      <m:t>(1+d)</m:t>
                    </m:r>
                  </m:e>
                  <m:sup>
                    <m:r>
                      <m:rPr>
                        <m:sty m:val="p"/>
                      </m:rPr>
                      <w:rPr>
                        <w:rFonts w:ascii="Cambria Math" w:hAnsi="Cambria Math"/>
                        <w:color w:val="000000" w:themeColor="text1"/>
                        <w:sz w:val="28"/>
                        <w:szCs w:val="28"/>
                        <w:lang w:val="en-US"/>
                      </w:rPr>
                      <m:t>i</m:t>
                    </m:r>
                  </m:sup>
                </m:sSup>
                <m:r>
                  <m:rPr>
                    <m:sty m:val="p"/>
                  </m:rPr>
                  <w:rPr>
                    <w:rFonts w:ascii="Cambria Math" w:hAnsi="Cambria Math"/>
                    <w:color w:val="000000" w:themeColor="text1"/>
                    <w:sz w:val="28"/>
                    <w:szCs w:val="28"/>
                    <w:lang w:val="en-US"/>
                  </w:rPr>
                  <m:t>]</m:t>
                </m:r>
              </m:e>
            </m:nary>
          </m:den>
        </m:f>
      </m:oMath>
      <w:r w:rsidRPr="00D549EE">
        <w:rPr>
          <w:color w:val="000000" w:themeColor="text1"/>
          <w:sz w:val="28"/>
          <w:szCs w:val="28"/>
          <w:lang w:val="en-US"/>
        </w:rPr>
        <w:t xml:space="preserve">                 </w:t>
      </w:r>
      <w:r w:rsidR="004C534D" w:rsidRPr="00D549EE">
        <w:rPr>
          <w:color w:val="000000" w:themeColor="text1"/>
          <w:sz w:val="28"/>
          <w:szCs w:val="28"/>
          <w:lang w:val="en-US"/>
        </w:rPr>
        <w:t xml:space="preserve">                                      </w:t>
      </w:r>
      <w:r w:rsidRPr="00D549EE">
        <w:rPr>
          <w:color w:val="000000" w:themeColor="text1"/>
          <w:sz w:val="28"/>
          <w:szCs w:val="28"/>
          <w:lang w:val="en-US"/>
        </w:rPr>
        <w:t>(</w:t>
      </w:r>
      <w:r w:rsidR="004C534D" w:rsidRPr="00D549EE">
        <w:rPr>
          <w:color w:val="000000" w:themeColor="text1"/>
          <w:sz w:val="28"/>
          <w:szCs w:val="28"/>
          <w:lang w:val="en-US"/>
        </w:rPr>
        <w:t>7</w:t>
      </w:r>
      <w:r w:rsidRPr="00D549EE">
        <w:rPr>
          <w:color w:val="000000" w:themeColor="text1"/>
          <w:sz w:val="28"/>
          <w:szCs w:val="28"/>
          <w:lang w:val="en-US"/>
        </w:rPr>
        <w:t>)</w:t>
      </w:r>
    </w:p>
    <w:p w14:paraId="0D5EBB3E" w14:textId="6ED60673" w:rsidR="004C534D" w:rsidRPr="00D549EE" w:rsidRDefault="004C534D" w:rsidP="00C9582F">
      <w:pPr>
        <w:pStyle w:val="a5"/>
        <w:contextualSpacing/>
        <w:rPr>
          <w:color w:val="000000" w:themeColor="text1"/>
          <w:sz w:val="28"/>
          <w:szCs w:val="28"/>
          <w:lang w:val="en-US"/>
        </w:rPr>
      </w:pPr>
      <w:r w:rsidRPr="00D549EE">
        <w:rPr>
          <w:color w:val="000000" w:themeColor="text1"/>
          <w:sz w:val="28"/>
          <w:szCs w:val="28"/>
          <w:lang w:val="en-US"/>
        </w:rPr>
        <w:t>w</w:t>
      </w:r>
      <w:r w:rsidR="00054B5D" w:rsidRPr="00D549EE">
        <w:rPr>
          <w:color w:val="000000" w:themeColor="text1"/>
          <w:sz w:val="28"/>
          <w:szCs w:val="28"/>
          <w:lang w:val="en-US"/>
        </w:rPr>
        <w:t>here</w:t>
      </w:r>
    </w:p>
    <w:p w14:paraId="21388DC3" w14:textId="1D20EC8C" w:rsidR="00054B5D" w:rsidRPr="00D549EE" w:rsidRDefault="00054B5D" w:rsidP="00C9582F">
      <w:pPr>
        <w:pStyle w:val="a5"/>
        <w:contextualSpacing/>
        <w:rPr>
          <w:sz w:val="28"/>
          <w:szCs w:val="28"/>
          <w:lang w:val="en-US"/>
        </w:rPr>
      </w:pPr>
      <w:r w:rsidRPr="00D549EE">
        <w:rPr>
          <w:sz w:val="28"/>
          <w:szCs w:val="28"/>
          <w:lang w:val="en-US"/>
        </w:rPr>
        <w:t>B</w:t>
      </w:r>
      <w:r w:rsidRPr="00D549EE">
        <w:rPr>
          <w:i/>
          <w:sz w:val="28"/>
          <w:szCs w:val="28"/>
          <w:lang w:val="en-US"/>
        </w:rPr>
        <w:t>i</w:t>
      </w:r>
      <w:r w:rsidRPr="00D549EE">
        <w:rPr>
          <w:sz w:val="28"/>
          <w:szCs w:val="28"/>
          <w:lang w:val="en-US"/>
        </w:rPr>
        <w:t xml:space="preserve"> - the project’s benefit in year </w:t>
      </w:r>
      <w:r w:rsidR="004C534D" w:rsidRPr="00D549EE">
        <w:rPr>
          <w:i/>
          <w:sz w:val="28"/>
          <w:szCs w:val="28"/>
          <w:lang w:val="en-US"/>
        </w:rPr>
        <w:t>i</w:t>
      </w:r>
      <w:r w:rsidR="004C534D" w:rsidRPr="00D549EE">
        <w:rPr>
          <w:sz w:val="28"/>
          <w:szCs w:val="28"/>
          <w:lang w:val="en-US"/>
        </w:rPr>
        <w:t>;</w:t>
      </w:r>
      <w:r w:rsidRPr="00D549EE">
        <w:rPr>
          <w:sz w:val="28"/>
          <w:szCs w:val="28"/>
          <w:lang w:val="en-US"/>
        </w:rPr>
        <w:br/>
        <w:t>C</w:t>
      </w:r>
      <w:r w:rsidRPr="00D549EE">
        <w:rPr>
          <w:i/>
          <w:sz w:val="28"/>
          <w:szCs w:val="28"/>
          <w:lang w:val="en-US"/>
        </w:rPr>
        <w:t>i</w:t>
      </w:r>
      <w:r w:rsidRPr="00D549EE">
        <w:rPr>
          <w:sz w:val="28"/>
          <w:szCs w:val="28"/>
          <w:lang w:val="en-US"/>
        </w:rPr>
        <w:t xml:space="preserve"> - the project’s costs in year </w:t>
      </w:r>
      <w:r w:rsidR="004C534D" w:rsidRPr="00D549EE">
        <w:rPr>
          <w:i/>
          <w:sz w:val="28"/>
          <w:szCs w:val="28"/>
          <w:lang w:val="en-US"/>
        </w:rPr>
        <w:t>i</w:t>
      </w:r>
      <w:r w:rsidR="004C534D" w:rsidRPr="00D549EE">
        <w:rPr>
          <w:sz w:val="28"/>
          <w:szCs w:val="28"/>
          <w:lang w:val="en-US"/>
        </w:rPr>
        <w:t>;</w:t>
      </w:r>
      <w:r w:rsidRPr="00D549EE">
        <w:rPr>
          <w:sz w:val="28"/>
          <w:szCs w:val="28"/>
          <w:lang w:val="en-US"/>
        </w:rPr>
        <w:br/>
        <w:t>n - the total number of years (life span)</w:t>
      </w:r>
      <w:r w:rsidR="004C534D" w:rsidRPr="00D549EE">
        <w:rPr>
          <w:sz w:val="28"/>
          <w:szCs w:val="28"/>
          <w:lang w:val="en-US"/>
        </w:rPr>
        <w:t>;</w:t>
      </w:r>
    </w:p>
    <w:p w14:paraId="11A33BA6" w14:textId="26DA3882" w:rsidR="00054B5D" w:rsidRPr="00D549EE" w:rsidRDefault="00054B5D" w:rsidP="00C9582F">
      <w:pPr>
        <w:pStyle w:val="a5"/>
        <w:contextualSpacing/>
        <w:rPr>
          <w:sz w:val="28"/>
          <w:szCs w:val="28"/>
          <w:lang w:val="en-US"/>
        </w:rPr>
      </w:pPr>
      <w:r w:rsidRPr="00D549EE">
        <w:rPr>
          <w:sz w:val="28"/>
          <w:szCs w:val="28"/>
          <w:lang w:val="en-US"/>
        </w:rPr>
        <w:t>d - the discount rate.</w:t>
      </w:r>
    </w:p>
    <w:p w14:paraId="3E33FF8F" w14:textId="77777777" w:rsidR="00054B5D" w:rsidRPr="00D549EE" w:rsidRDefault="00054B5D" w:rsidP="00C9582F">
      <w:pPr>
        <w:pStyle w:val="a5"/>
        <w:contextualSpacing/>
        <w:rPr>
          <w:sz w:val="28"/>
          <w:szCs w:val="28"/>
          <w:lang w:val="en-US"/>
        </w:rPr>
      </w:pPr>
    </w:p>
    <w:p w14:paraId="3103AD76" w14:textId="77777777" w:rsidR="00630F10" w:rsidRPr="00630F10" w:rsidRDefault="00054B5D" w:rsidP="00630F10">
      <w:pPr>
        <w:pStyle w:val="a5"/>
        <w:contextualSpacing/>
        <w:rPr>
          <w:sz w:val="28"/>
          <w:szCs w:val="28"/>
          <w:lang w:val="en-US"/>
        </w:rPr>
      </w:pPr>
      <w:r w:rsidRPr="00D549EE">
        <w:rPr>
          <w:sz w:val="28"/>
          <w:szCs w:val="28"/>
          <w:lang w:val="en-US"/>
        </w:rPr>
        <w:tab/>
      </w:r>
      <w:r w:rsidR="00630F10" w:rsidRPr="00630F10">
        <w:rPr>
          <w:sz w:val="28"/>
          <w:szCs w:val="28"/>
          <w:lang w:val="en-US"/>
        </w:rPr>
        <w:t xml:space="preserve">That is the ratio of the sum of the present value of all the expected benefits to the sum of the present value of all the expected costs. </w:t>
      </w:r>
    </w:p>
    <w:p w14:paraId="75225E8E" w14:textId="77777777" w:rsidR="00630F10" w:rsidRPr="00630F10" w:rsidRDefault="00630F10" w:rsidP="00777FC0">
      <w:pPr>
        <w:pStyle w:val="a5"/>
        <w:contextualSpacing/>
        <w:jc w:val="both"/>
        <w:rPr>
          <w:sz w:val="28"/>
          <w:szCs w:val="28"/>
          <w:lang w:val="en-US"/>
        </w:rPr>
      </w:pPr>
      <w:r w:rsidRPr="00630F10">
        <w:rPr>
          <w:sz w:val="28"/>
          <w:szCs w:val="28"/>
          <w:lang w:val="en-US"/>
        </w:rPr>
        <w:tab/>
        <w:t xml:space="preserve">The results understanding of BCR, if BCR&lt;0, the costs exceed the benefits in economic terms. Solely on this criterion, the project should not proceed. If  BCR=1, cost equals the benefits, the project must be allowed to proceed, but with little validity. If BCR&gt;0, the benefits exceed the costs, and the project must be allowed to proceed. </w:t>
      </w:r>
    </w:p>
    <w:p w14:paraId="429273DC" w14:textId="7FBF92B8" w:rsidR="00630F10" w:rsidRPr="00630F10" w:rsidRDefault="00777FC0" w:rsidP="00777FC0">
      <w:pPr>
        <w:pStyle w:val="a5"/>
        <w:contextualSpacing/>
        <w:jc w:val="both"/>
        <w:rPr>
          <w:sz w:val="28"/>
          <w:szCs w:val="28"/>
          <w:lang w:val="en-US"/>
        </w:rPr>
      </w:pPr>
      <w:r>
        <w:rPr>
          <w:sz w:val="28"/>
          <w:szCs w:val="28"/>
          <w:lang w:val="en-US"/>
        </w:rPr>
        <w:tab/>
      </w:r>
      <w:r w:rsidR="00630F10" w:rsidRPr="00630F10">
        <w:rPr>
          <w:sz w:val="28"/>
          <w:szCs w:val="28"/>
          <w:lang w:val="en-US"/>
        </w:rPr>
        <w:t>In contrast, cost-effectiveness analysis offers a cost estimate based on the ratio of costs and results — the natural units by which the effectiveness of the project is measured. This type of analysis is used for projects inappropriate to monetize effect, often in health services. Comparing results with costs makes evaluating projects related to the same subject area possible, depending on their effectiveness in terms of the natural results obtained. It is possible to avoid the so-called problem of uncertainty, which arises by reducing the achievements of projects and results from different subject areas to a single monetary expression.</w:t>
      </w:r>
    </w:p>
    <w:p w14:paraId="07738595" w14:textId="3F9E5CBE" w:rsidR="00630F10" w:rsidRPr="00630F10" w:rsidRDefault="00777FC0" w:rsidP="00777FC0">
      <w:pPr>
        <w:pStyle w:val="a5"/>
        <w:contextualSpacing/>
        <w:jc w:val="both"/>
        <w:rPr>
          <w:sz w:val="28"/>
          <w:szCs w:val="28"/>
          <w:lang w:val="en-US"/>
        </w:rPr>
      </w:pPr>
      <w:r>
        <w:rPr>
          <w:sz w:val="28"/>
          <w:szCs w:val="28"/>
          <w:lang w:val="en-US"/>
        </w:rPr>
        <w:tab/>
      </w:r>
      <w:r w:rsidR="00630F10" w:rsidRPr="00630F10">
        <w:rPr>
          <w:sz w:val="28"/>
          <w:szCs w:val="28"/>
          <w:lang w:val="en-US"/>
        </w:rPr>
        <w:t xml:space="preserve">To measure the social effectiveness of the impact of Islamic social Finance on solving the social problems, we suggest applying the assessment methodology used for the activities of non-profit organizations, with the allocation of three levels of results: </w:t>
      </w:r>
    </w:p>
    <w:p w14:paraId="75D8639E" w14:textId="3958C887" w:rsidR="00630F10" w:rsidRPr="00630F10" w:rsidRDefault="00777FC0" w:rsidP="00777FC0">
      <w:pPr>
        <w:pStyle w:val="a5"/>
        <w:contextualSpacing/>
        <w:jc w:val="both"/>
        <w:rPr>
          <w:sz w:val="28"/>
          <w:szCs w:val="28"/>
          <w:lang w:val="en-US"/>
        </w:rPr>
      </w:pPr>
      <w:r>
        <w:rPr>
          <w:sz w:val="28"/>
          <w:szCs w:val="28"/>
          <w:lang w:val="en-US"/>
        </w:rPr>
        <w:tab/>
      </w:r>
      <w:r w:rsidR="00630F10" w:rsidRPr="00630F10">
        <w:rPr>
          <w:sz w:val="28"/>
          <w:szCs w:val="28"/>
          <w:lang w:val="en-US"/>
        </w:rPr>
        <w:t>- direct results (outputs) – everything directly produced in the activation process. For example, the number of low-income families who receive social Islamic Finance services annually; the annual amount of food produced through social Islamic Finance tools and law.</w:t>
      </w:r>
    </w:p>
    <w:p w14:paraId="097290F9" w14:textId="1E11C547" w:rsidR="00630F10" w:rsidRPr="00630F10" w:rsidRDefault="00777FC0" w:rsidP="00777FC0">
      <w:pPr>
        <w:pStyle w:val="a5"/>
        <w:contextualSpacing/>
        <w:jc w:val="both"/>
        <w:rPr>
          <w:sz w:val="28"/>
          <w:szCs w:val="28"/>
          <w:lang w:val="en-US"/>
        </w:rPr>
      </w:pPr>
      <w:r>
        <w:rPr>
          <w:sz w:val="28"/>
          <w:szCs w:val="28"/>
          <w:lang w:val="en-US"/>
        </w:rPr>
        <w:tab/>
      </w:r>
      <w:r w:rsidR="00630F10" w:rsidRPr="00630F10">
        <w:rPr>
          <w:sz w:val="28"/>
          <w:szCs w:val="28"/>
          <w:lang w:val="en-US"/>
        </w:rPr>
        <w:t xml:space="preserve">-  social outcomes – changes that occurred intentionally or unintentionally due to the implementation of activities using social Islamic Finance tools. These are mainly changing in the state, behavior, and status of beneficiaries. In contrast to the direct result, the social result is not what the enterprise "produced" but the consequences of the activity - changes in their behavior. For example, this is the number of low-income families whose income has steadily increased due to receiving payments from Islamic social funds; the number of citizens with physical disabilities who are employed in an </w:t>
      </w:r>
      <w:r w:rsidR="00630F10" w:rsidRPr="00630F10">
        <w:rPr>
          <w:sz w:val="28"/>
          <w:szCs w:val="28"/>
          <w:lang w:val="en-US"/>
        </w:rPr>
        <w:lastRenderedPageBreak/>
        <w:t>enterprise created at the expense of Islamic social funds; the percentage of clients who have registered an improvement in their psychological state, and so on.</w:t>
      </w:r>
    </w:p>
    <w:p w14:paraId="56F9D22C" w14:textId="4048B040" w:rsidR="00777FC0" w:rsidRDefault="00777FC0" w:rsidP="00777FC0">
      <w:pPr>
        <w:pStyle w:val="a5"/>
        <w:contextualSpacing/>
        <w:jc w:val="both"/>
        <w:rPr>
          <w:sz w:val="28"/>
          <w:szCs w:val="28"/>
          <w:lang w:val="en-US"/>
        </w:rPr>
      </w:pPr>
      <w:r>
        <w:rPr>
          <w:sz w:val="28"/>
          <w:szCs w:val="28"/>
          <w:lang w:val="en-US"/>
        </w:rPr>
        <w:tab/>
      </w:r>
      <w:r w:rsidR="00630F10" w:rsidRPr="00630F10">
        <w:rPr>
          <w:sz w:val="28"/>
          <w:szCs w:val="28"/>
          <w:lang w:val="en-US"/>
        </w:rPr>
        <w:t xml:space="preserve">Determining the social effect is one of the most challenging tasks.- Social impact and effects are those favorable changes expected from the use of Islamic social funds, which can be manifested, for example, in changes in the conditions of raising children, the health of clients, their employment, or income. </w:t>
      </w:r>
      <w:r w:rsidR="00630F10" w:rsidRPr="00630F10">
        <w:rPr>
          <w:sz w:val="28"/>
          <w:szCs w:val="28"/>
          <w:lang w:val="en-US"/>
        </w:rPr>
        <w:tab/>
      </w:r>
    </w:p>
    <w:p w14:paraId="0B305B94" w14:textId="4900D719" w:rsidR="00630F10" w:rsidRPr="00630F10" w:rsidRDefault="00777FC0" w:rsidP="00777FC0">
      <w:pPr>
        <w:pStyle w:val="a5"/>
        <w:contextualSpacing/>
        <w:jc w:val="both"/>
        <w:rPr>
          <w:sz w:val="28"/>
          <w:szCs w:val="28"/>
          <w:lang w:val="en-US"/>
        </w:rPr>
      </w:pPr>
      <w:r>
        <w:rPr>
          <w:sz w:val="28"/>
          <w:szCs w:val="28"/>
          <w:lang w:val="en-US"/>
        </w:rPr>
        <w:tab/>
      </w:r>
      <w:r w:rsidR="00630F10" w:rsidRPr="00630F10">
        <w:rPr>
          <w:sz w:val="28"/>
          <w:szCs w:val="28"/>
          <w:lang w:val="en-US"/>
        </w:rPr>
        <w:t>In contrast to social results, social effects are usually remote in time and show changes (behavior, perception, attitude) and the positive results that can occur due to these changes not only in direct persons but also in society as a whole. For example, this is the percentage of well-off people who received education after the activities of the social Islamic Fund and subsequently received a well-paid job; the reduction in the crime rate in the region, others.</w:t>
      </w:r>
    </w:p>
    <w:p w14:paraId="5935FC4E" w14:textId="454480B4" w:rsidR="00630F10" w:rsidRPr="00630F10" w:rsidRDefault="00777FC0" w:rsidP="00777FC0">
      <w:pPr>
        <w:pStyle w:val="a5"/>
        <w:contextualSpacing/>
        <w:jc w:val="both"/>
        <w:rPr>
          <w:sz w:val="28"/>
          <w:szCs w:val="28"/>
          <w:lang w:val="en-US"/>
        </w:rPr>
      </w:pPr>
      <w:r>
        <w:rPr>
          <w:sz w:val="28"/>
          <w:szCs w:val="28"/>
          <w:lang w:val="en-US"/>
        </w:rPr>
        <w:tab/>
      </w:r>
      <w:r w:rsidR="00630F10" w:rsidRPr="00630F10">
        <w:rPr>
          <w:sz w:val="28"/>
          <w:szCs w:val="28"/>
          <w:lang w:val="en-US"/>
        </w:rPr>
        <w:t>To measure social performance in parallel with the three levels of results, it is also important to consider:</w:t>
      </w:r>
    </w:p>
    <w:p w14:paraId="071D1761" w14:textId="2AC9ED4A" w:rsidR="00630F10" w:rsidRPr="00630F10" w:rsidRDefault="00777FC0" w:rsidP="00777FC0">
      <w:pPr>
        <w:pStyle w:val="a5"/>
        <w:contextualSpacing/>
        <w:jc w:val="both"/>
        <w:rPr>
          <w:sz w:val="28"/>
          <w:szCs w:val="28"/>
          <w:lang w:val="en-US"/>
        </w:rPr>
      </w:pPr>
      <w:r>
        <w:rPr>
          <w:sz w:val="28"/>
          <w:szCs w:val="28"/>
          <w:lang w:val="en-US"/>
        </w:rPr>
        <w:tab/>
      </w:r>
      <w:r w:rsidR="00630F10" w:rsidRPr="00630F10">
        <w:rPr>
          <w:sz w:val="28"/>
          <w:szCs w:val="28"/>
          <w:lang w:val="en-US"/>
        </w:rPr>
        <w:t>- resources/inputs – everything necessary for implementing a project or enterprise: human, material, organizational, information, and other resources.</w:t>
      </w:r>
    </w:p>
    <w:p w14:paraId="02168BF4" w14:textId="1FA10813" w:rsidR="00630F10" w:rsidRPr="00630F10" w:rsidRDefault="00777FC0" w:rsidP="00777FC0">
      <w:pPr>
        <w:pStyle w:val="a5"/>
        <w:contextualSpacing/>
        <w:jc w:val="both"/>
        <w:rPr>
          <w:sz w:val="28"/>
          <w:szCs w:val="28"/>
          <w:lang w:val="en-US"/>
        </w:rPr>
      </w:pPr>
      <w:r>
        <w:rPr>
          <w:sz w:val="28"/>
          <w:szCs w:val="28"/>
          <w:lang w:val="en-US"/>
        </w:rPr>
        <w:tab/>
      </w:r>
      <w:r w:rsidR="00630F10" w:rsidRPr="00630F10">
        <w:rPr>
          <w:sz w:val="28"/>
          <w:szCs w:val="28"/>
          <w:lang w:val="en-US"/>
        </w:rPr>
        <w:t xml:space="preserve">- </w:t>
      </w:r>
      <w:r>
        <w:rPr>
          <w:sz w:val="28"/>
          <w:szCs w:val="28"/>
          <w:lang w:val="en-US"/>
        </w:rPr>
        <w:t>a</w:t>
      </w:r>
      <w:r w:rsidR="00630F10" w:rsidRPr="00630F10">
        <w:rPr>
          <w:sz w:val="28"/>
          <w:szCs w:val="28"/>
          <w:lang w:val="en-US"/>
        </w:rPr>
        <w:t>ctivities – specific actions carried out within the framework of the project or enterprise to achieve goals and objectives, such as using the initial resources and turning them into direct results, like providing specific social services.</w:t>
      </w:r>
    </w:p>
    <w:p w14:paraId="3603CD75" w14:textId="77777777" w:rsidR="00630F10" w:rsidRPr="00630F10" w:rsidRDefault="00630F10" w:rsidP="00777FC0">
      <w:pPr>
        <w:pStyle w:val="a5"/>
        <w:contextualSpacing/>
        <w:jc w:val="both"/>
        <w:rPr>
          <w:sz w:val="28"/>
          <w:szCs w:val="28"/>
          <w:lang w:val="en-US"/>
        </w:rPr>
      </w:pPr>
      <w:r w:rsidRPr="00630F10">
        <w:rPr>
          <w:sz w:val="28"/>
          <w:szCs w:val="28"/>
          <w:lang w:val="en-US"/>
        </w:rPr>
        <w:tab/>
        <w:t xml:space="preserve">Managing social impact and social outcomes is an essential but challenging task. Just as a social enterprise plan and builds a system for measuring financial indicators and goals, social entrepreneurs need to define their social goals clearly. </w:t>
      </w:r>
    </w:p>
    <w:p w14:paraId="4AEDD5BA" w14:textId="77777777" w:rsidR="00630F10" w:rsidRPr="00630F10" w:rsidRDefault="00630F10" w:rsidP="00777FC0">
      <w:pPr>
        <w:pStyle w:val="a5"/>
        <w:contextualSpacing/>
        <w:jc w:val="both"/>
        <w:rPr>
          <w:sz w:val="28"/>
          <w:szCs w:val="28"/>
          <w:lang w:val="en-US"/>
        </w:rPr>
      </w:pPr>
      <w:r w:rsidRPr="00630F10">
        <w:rPr>
          <w:sz w:val="28"/>
          <w:szCs w:val="28"/>
          <w:lang w:val="en-US"/>
        </w:rPr>
        <w:tab/>
        <w:t xml:space="preserve">Furthermore, there are approaches for estimating the social-economic effectiveness of implementing social projects, accounting expenses for the project integration, and the social and financial outcome effects. The plan of the activity, that is, the road map of the project's social-economic effectiveness assessment, is as a following: </w:t>
      </w:r>
    </w:p>
    <w:p w14:paraId="212D1158" w14:textId="77777777" w:rsidR="00630F10" w:rsidRPr="00630F10" w:rsidRDefault="00630F10" w:rsidP="00630F10">
      <w:pPr>
        <w:pStyle w:val="a5"/>
        <w:contextualSpacing/>
        <w:rPr>
          <w:sz w:val="28"/>
          <w:szCs w:val="28"/>
          <w:lang w:val="en-US"/>
        </w:rPr>
      </w:pPr>
      <w:r w:rsidRPr="00630F10">
        <w:rPr>
          <w:sz w:val="28"/>
          <w:szCs w:val="28"/>
          <w:lang w:val="en-US"/>
        </w:rPr>
        <w:t>1.</w:t>
      </w:r>
      <w:r w:rsidRPr="00630F10">
        <w:rPr>
          <w:sz w:val="28"/>
          <w:szCs w:val="28"/>
          <w:lang w:val="en-US"/>
        </w:rPr>
        <w:tab/>
        <w:t xml:space="preserve">Identifying the purposes and direct beneficiaries of the project. The project's purpose must be clearly defined as a quantifiable goal - formulated in the form of a socially significant result. </w:t>
      </w:r>
    </w:p>
    <w:p w14:paraId="58FF2F77" w14:textId="77777777" w:rsidR="00630F10" w:rsidRPr="00630F10" w:rsidRDefault="00630F10" w:rsidP="00630F10">
      <w:pPr>
        <w:pStyle w:val="a5"/>
        <w:contextualSpacing/>
        <w:rPr>
          <w:sz w:val="28"/>
          <w:szCs w:val="28"/>
          <w:lang w:val="en-US"/>
        </w:rPr>
      </w:pPr>
      <w:r w:rsidRPr="00630F10">
        <w:rPr>
          <w:sz w:val="28"/>
          <w:szCs w:val="28"/>
          <w:lang w:val="en-US"/>
        </w:rPr>
        <w:t>2.</w:t>
      </w:r>
      <w:r w:rsidRPr="00630F10">
        <w:rPr>
          <w:sz w:val="28"/>
          <w:szCs w:val="28"/>
          <w:lang w:val="en-US"/>
        </w:rPr>
        <w:tab/>
        <w:t xml:space="preserve">Determining the project as the social investments category. For example, the results of the realization of the project are saving public resources. </w:t>
      </w:r>
    </w:p>
    <w:p w14:paraId="50CCC18B" w14:textId="77777777" w:rsidR="00630F10" w:rsidRPr="00630F10" w:rsidRDefault="00630F10" w:rsidP="00630F10">
      <w:pPr>
        <w:pStyle w:val="a5"/>
        <w:contextualSpacing/>
        <w:rPr>
          <w:sz w:val="28"/>
          <w:szCs w:val="28"/>
          <w:lang w:val="en-US"/>
        </w:rPr>
      </w:pPr>
      <w:r w:rsidRPr="00630F10">
        <w:rPr>
          <w:sz w:val="28"/>
          <w:szCs w:val="28"/>
          <w:lang w:val="en-US"/>
        </w:rPr>
        <w:t>3.</w:t>
      </w:r>
      <w:r w:rsidRPr="00630F10">
        <w:rPr>
          <w:sz w:val="28"/>
          <w:szCs w:val="28"/>
          <w:lang w:val="en-US"/>
        </w:rPr>
        <w:tab/>
        <w:t xml:space="preserve">Defining the social outcomes and effects of the project that can be expressed in the form of cost (tenge) - saving public resources as a result of providing needy people with food baskets and clothes from the Islamic financial institutions' sources. </w:t>
      </w:r>
    </w:p>
    <w:p w14:paraId="5A29DF1D" w14:textId="77777777" w:rsidR="00630F10" w:rsidRPr="00630F10" w:rsidRDefault="00630F10" w:rsidP="00630F10">
      <w:pPr>
        <w:pStyle w:val="a5"/>
        <w:contextualSpacing/>
        <w:rPr>
          <w:sz w:val="28"/>
          <w:szCs w:val="28"/>
          <w:lang w:val="en-US"/>
        </w:rPr>
      </w:pPr>
      <w:r w:rsidRPr="00630F10">
        <w:rPr>
          <w:sz w:val="28"/>
          <w:szCs w:val="28"/>
          <w:lang w:val="en-US"/>
        </w:rPr>
        <w:t>4.</w:t>
      </w:r>
      <w:r w:rsidRPr="00630F10">
        <w:rPr>
          <w:sz w:val="28"/>
          <w:szCs w:val="28"/>
          <w:lang w:val="en-US"/>
        </w:rPr>
        <w:tab/>
        <w:t xml:space="preserve">Forecast to evaluate the values of socio-economic results of the project, financial revenues forecast, and financial analysis of indicators. </w:t>
      </w:r>
    </w:p>
    <w:p w14:paraId="136151C6" w14:textId="77777777" w:rsidR="00630F10" w:rsidRPr="00630F10" w:rsidRDefault="00630F10" w:rsidP="00630F10">
      <w:pPr>
        <w:pStyle w:val="a5"/>
        <w:contextualSpacing/>
        <w:rPr>
          <w:sz w:val="28"/>
          <w:szCs w:val="28"/>
          <w:lang w:val="en-US"/>
        </w:rPr>
      </w:pPr>
      <w:r w:rsidRPr="00630F10">
        <w:rPr>
          <w:sz w:val="28"/>
          <w:szCs w:val="28"/>
          <w:lang w:val="en-US"/>
        </w:rPr>
        <w:t>5.</w:t>
      </w:r>
      <w:r w:rsidRPr="00630F10">
        <w:rPr>
          <w:sz w:val="28"/>
          <w:szCs w:val="28"/>
          <w:lang w:val="en-US"/>
        </w:rPr>
        <w:tab/>
        <w:t>Calculation of the social achievements of the project, which can be expressed in units of cost, must be taken into account the average period of the providing social assistance within the project, the cost of one month/year of the assistance for one person.</w:t>
      </w:r>
    </w:p>
    <w:p w14:paraId="178AE489" w14:textId="77777777" w:rsidR="00630F10" w:rsidRPr="00630F10" w:rsidRDefault="00630F10" w:rsidP="00630F10">
      <w:pPr>
        <w:pStyle w:val="a5"/>
        <w:contextualSpacing/>
        <w:rPr>
          <w:sz w:val="28"/>
          <w:szCs w:val="28"/>
          <w:lang w:val="en-US"/>
        </w:rPr>
      </w:pPr>
      <w:r w:rsidRPr="00630F10">
        <w:rPr>
          <w:sz w:val="28"/>
          <w:szCs w:val="28"/>
          <w:lang w:val="en-US"/>
        </w:rPr>
        <w:t>6.</w:t>
      </w:r>
      <w:r w:rsidRPr="00630F10">
        <w:rPr>
          <w:sz w:val="28"/>
          <w:szCs w:val="28"/>
          <w:lang w:val="en-US"/>
        </w:rPr>
        <w:tab/>
        <w:t xml:space="preserve">Calculation of the total cost of the project: the list of the activity, the expenses on the realization of the activity, the expenses of the management of the project, and overall costs of the project. </w:t>
      </w:r>
    </w:p>
    <w:p w14:paraId="466E19CF" w14:textId="77777777" w:rsidR="00630F10" w:rsidRPr="00630F10" w:rsidRDefault="00630F10" w:rsidP="00630F10">
      <w:pPr>
        <w:pStyle w:val="a5"/>
        <w:contextualSpacing/>
        <w:rPr>
          <w:sz w:val="28"/>
          <w:szCs w:val="28"/>
          <w:lang w:val="en-US"/>
        </w:rPr>
      </w:pPr>
      <w:r w:rsidRPr="00630F10">
        <w:rPr>
          <w:sz w:val="28"/>
          <w:szCs w:val="28"/>
          <w:lang w:val="en-US"/>
        </w:rPr>
        <w:t>7.</w:t>
      </w:r>
      <w:r w:rsidRPr="00630F10">
        <w:rPr>
          <w:sz w:val="28"/>
          <w:szCs w:val="28"/>
          <w:lang w:val="en-US"/>
        </w:rPr>
        <w:tab/>
        <w:t xml:space="preserve">Calculation of the socio-economic effectiveness of the project. </w:t>
      </w:r>
    </w:p>
    <w:p w14:paraId="08E10354" w14:textId="77777777" w:rsidR="00630F10" w:rsidRPr="00630F10" w:rsidRDefault="00630F10" w:rsidP="00630F10">
      <w:pPr>
        <w:pStyle w:val="a5"/>
        <w:contextualSpacing/>
        <w:rPr>
          <w:sz w:val="28"/>
          <w:szCs w:val="28"/>
          <w:lang w:val="en-US"/>
        </w:rPr>
      </w:pPr>
    </w:p>
    <w:p w14:paraId="009AC5E7" w14:textId="462255EF" w:rsidR="0035372E" w:rsidRPr="00D549EE" w:rsidRDefault="00777FC0" w:rsidP="00630F10">
      <w:pPr>
        <w:pStyle w:val="a5"/>
        <w:contextualSpacing/>
        <w:rPr>
          <w:i/>
          <w:color w:val="000000" w:themeColor="text1"/>
          <w:sz w:val="32"/>
          <w:szCs w:val="32"/>
          <w:lang w:val="en-US"/>
        </w:rPr>
      </w:pPr>
      <w:r>
        <w:rPr>
          <w:sz w:val="28"/>
          <w:szCs w:val="28"/>
          <w:lang w:val="en-US"/>
        </w:rPr>
        <w:tab/>
      </w:r>
      <w:r w:rsidR="00630F10" w:rsidRPr="00630F10">
        <w:rPr>
          <w:sz w:val="28"/>
          <w:szCs w:val="28"/>
          <w:lang w:val="en-US"/>
        </w:rPr>
        <w:t>Thus, the Socio-Economic effectiveness is estimated as follows:</w:t>
      </w:r>
      <w:r w:rsidR="0035372E" w:rsidRPr="00D549EE">
        <w:rPr>
          <w:i/>
          <w:color w:val="000000" w:themeColor="text1"/>
          <w:sz w:val="32"/>
          <w:szCs w:val="32"/>
          <w:lang w:val="en-US"/>
        </w:rPr>
        <w:t xml:space="preserve"> </w:t>
      </w:r>
    </w:p>
    <w:p w14:paraId="209D06D5" w14:textId="0C432C2F" w:rsidR="00B242E0" w:rsidRPr="00D549EE" w:rsidRDefault="0035372E" w:rsidP="00C9582F">
      <w:pPr>
        <w:pStyle w:val="a3"/>
        <w:spacing w:line="240" w:lineRule="auto"/>
        <w:ind w:left="1060"/>
        <w:jc w:val="right"/>
        <w:rPr>
          <w:rFonts w:ascii="Times New Roman" w:hAnsi="Times New Roman"/>
          <w:i/>
          <w:color w:val="000000" w:themeColor="text1"/>
          <w:sz w:val="28"/>
          <w:szCs w:val="28"/>
          <w:lang w:val="en-US"/>
        </w:rPr>
      </w:pPr>
      <w:r w:rsidRPr="00D549EE">
        <w:rPr>
          <w:rFonts w:ascii="Times New Roman" w:hAnsi="Times New Roman"/>
          <w:b/>
          <w:color w:val="000000" w:themeColor="text1"/>
          <w:sz w:val="28"/>
          <w:szCs w:val="28"/>
          <w:lang w:val="en-US"/>
        </w:rPr>
        <w:t xml:space="preserve">          </w:t>
      </w:r>
      <w:r w:rsidRPr="00D549EE">
        <w:rPr>
          <w:rFonts w:ascii="Times New Roman" w:hAnsi="Times New Roman"/>
          <w:color w:val="000000" w:themeColor="text1"/>
          <w:sz w:val="28"/>
          <w:szCs w:val="28"/>
          <w:lang w:val="en-US"/>
        </w:rPr>
        <w:t>SEE</w:t>
      </w:r>
      <w:r w:rsidR="00B242E0" w:rsidRPr="00D549EE">
        <w:rPr>
          <w:rFonts w:ascii="Times New Roman" w:hAnsi="Times New Roman"/>
          <w:color w:val="000000" w:themeColor="text1"/>
          <w:sz w:val="28"/>
          <w:szCs w:val="28"/>
          <w:lang w:val="en-US"/>
        </w:rPr>
        <w:t>=</w:t>
      </w:r>
      <w:r w:rsidR="00BF6CA5" w:rsidRPr="00D549EE">
        <w:rPr>
          <w:rFonts w:ascii="Times New Roman" w:hAnsi="Times New Roman"/>
          <w:color w:val="000000" w:themeColor="text1"/>
          <w:sz w:val="28"/>
          <w:szCs w:val="28"/>
          <w:lang w:val="en-US"/>
        </w:rPr>
        <w:t xml:space="preserve"> </w:t>
      </w:r>
      <w:r w:rsidR="00B242E0" w:rsidRPr="00D549EE">
        <w:rPr>
          <w:rFonts w:ascii="Times New Roman" w:hAnsi="Times New Roman"/>
          <w:color w:val="000000" w:themeColor="text1"/>
          <w:sz w:val="28"/>
          <w:szCs w:val="28"/>
          <w:lang w:val="en-US"/>
        </w:rPr>
        <w:t>P</w:t>
      </w:r>
      <w:r w:rsidR="00BF6CA5" w:rsidRPr="00D549EE">
        <w:rPr>
          <w:rFonts w:ascii="Times New Roman" w:hAnsi="Times New Roman"/>
          <w:color w:val="000000" w:themeColor="text1"/>
          <w:sz w:val="28"/>
          <w:szCs w:val="28"/>
          <w:lang w:val="en-US"/>
        </w:rPr>
        <w:t>V</w:t>
      </w:r>
      <w:r w:rsidRPr="00D549EE">
        <w:rPr>
          <w:rFonts w:ascii="Times New Roman" w:hAnsi="Times New Roman"/>
          <w:color w:val="000000" w:themeColor="text1"/>
          <w:sz w:val="28"/>
          <w:szCs w:val="28"/>
          <w:lang w:val="en-US"/>
        </w:rPr>
        <w:t>R</w:t>
      </w:r>
      <w:r w:rsidR="00B242E0" w:rsidRPr="00D549EE">
        <w:rPr>
          <w:rFonts w:ascii="Times New Roman" w:hAnsi="Times New Roman"/>
          <w:color w:val="000000" w:themeColor="text1"/>
          <w:sz w:val="28"/>
          <w:szCs w:val="28"/>
          <w:lang w:val="en-US"/>
        </w:rPr>
        <w:t>/ P</w:t>
      </w:r>
      <w:r w:rsidR="00BF6CA5" w:rsidRPr="00D549EE">
        <w:rPr>
          <w:rFonts w:ascii="Times New Roman" w:hAnsi="Times New Roman"/>
          <w:color w:val="000000" w:themeColor="text1"/>
          <w:sz w:val="28"/>
          <w:szCs w:val="28"/>
          <w:lang w:val="en-US"/>
        </w:rPr>
        <w:t>V</w:t>
      </w:r>
      <w:r w:rsidRPr="00D549EE">
        <w:rPr>
          <w:rFonts w:ascii="Times New Roman" w:hAnsi="Times New Roman"/>
          <w:color w:val="000000" w:themeColor="text1"/>
          <w:sz w:val="28"/>
          <w:szCs w:val="28"/>
          <w:lang w:val="en-US"/>
        </w:rPr>
        <w:t>C</w:t>
      </w:r>
      <w:r w:rsidRPr="00D549EE">
        <w:rPr>
          <w:rFonts w:ascii="Times New Roman" w:hAnsi="Times New Roman"/>
          <w:i/>
          <w:color w:val="000000" w:themeColor="text1"/>
          <w:sz w:val="28"/>
          <w:szCs w:val="28"/>
          <w:lang w:val="en-US"/>
        </w:rPr>
        <w:t xml:space="preserve">                       </w:t>
      </w:r>
      <w:r w:rsidR="004C534D" w:rsidRPr="00D549EE">
        <w:rPr>
          <w:rFonts w:ascii="Times New Roman" w:hAnsi="Times New Roman"/>
          <w:i/>
          <w:color w:val="000000" w:themeColor="text1"/>
          <w:sz w:val="28"/>
          <w:szCs w:val="28"/>
          <w:lang w:val="en-US"/>
        </w:rPr>
        <w:t xml:space="preserve">                      </w:t>
      </w:r>
      <w:r w:rsidRPr="00D549EE">
        <w:rPr>
          <w:rFonts w:ascii="Times New Roman" w:hAnsi="Times New Roman"/>
          <w:i/>
          <w:color w:val="000000" w:themeColor="text1"/>
          <w:sz w:val="28"/>
          <w:szCs w:val="28"/>
          <w:lang w:val="en-US"/>
        </w:rPr>
        <w:t xml:space="preserve">        </w:t>
      </w:r>
      <w:r w:rsidR="00BF6CA5" w:rsidRPr="00D549EE">
        <w:rPr>
          <w:rFonts w:ascii="Times New Roman" w:hAnsi="Times New Roman"/>
          <w:i/>
          <w:color w:val="000000" w:themeColor="text1"/>
          <w:sz w:val="28"/>
          <w:szCs w:val="28"/>
          <w:lang w:val="en-US"/>
        </w:rPr>
        <w:t xml:space="preserve"> </w:t>
      </w:r>
      <w:r w:rsidR="00BF6CA5" w:rsidRPr="00D549EE">
        <w:rPr>
          <w:rFonts w:ascii="Times New Roman" w:hAnsi="Times New Roman"/>
          <w:color w:val="000000" w:themeColor="text1"/>
          <w:sz w:val="28"/>
          <w:szCs w:val="28"/>
          <w:lang w:val="en-US"/>
        </w:rPr>
        <w:t>(</w:t>
      </w:r>
      <w:r w:rsidR="004C534D" w:rsidRPr="00D549EE">
        <w:rPr>
          <w:rFonts w:ascii="Times New Roman" w:hAnsi="Times New Roman"/>
          <w:color w:val="000000" w:themeColor="text1"/>
          <w:sz w:val="28"/>
          <w:szCs w:val="28"/>
          <w:lang w:val="en-US"/>
        </w:rPr>
        <w:t>8</w:t>
      </w:r>
      <w:r w:rsidR="00BF6CA5" w:rsidRPr="00D549EE">
        <w:rPr>
          <w:rFonts w:ascii="Times New Roman" w:hAnsi="Times New Roman"/>
          <w:color w:val="000000" w:themeColor="text1"/>
          <w:sz w:val="28"/>
          <w:szCs w:val="28"/>
          <w:lang w:val="en-US"/>
        </w:rPr>
        <w:t>)</w:t>
      </w:r>
    </w:p>
    <w:p w14:paraId="1B385847" w14:textId="77777777" w:rsidR="00726017" w:rsidRPr="00D549EE" w:rsidRDefault="00726017" w:rsidP="00C9582F">
      <w:pPr>
        <w:pStyle w:val="a3"/>
        <w:spacing w:line="240" w:lineRule="auto"/>
        <w:ind w:left="1060"/>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 xml:space="preserve"> </w:t>
      </w:r>
    </w:p>
    <w:p w14:paraId="431FFA81" w14:textId="77777777" w:rsidR="004C534D" w:rsidRPr="00D549EE" w:rsidRDefault="0035372E" w:rsidP="00C9582F">
      <w:pPr>
        <w:pStyle w:val="a3"/>
        <w:spacing w:line="240" w:lineRule="auto"/>
        <w:ind w:left="0"/>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w</w:t>
      </w:r>
      <w:r w:rsidR="00726017" w:rsidRPr="00D549EE">
        <w:rPr>
          <w:rFonts w:ascii="Times New Roman" w:hAnsi="Times New Roman"/>
          <w:color w:val="000000" w:themeColor="text1"/>
          <w:sz w:val="28"/>
          <w:szCs w:val="28"/>
          <w:lang w:val="en-US"/>
        </w:rPr>
        <w:t>here</w:t>
      </w:r>
      <w:r w:rsidRPr="00D549EE">
        <w:rPr>
          <w:rFonts w:ascii="Times New Roman" w:hAnsi="Times New Roman"/>
          <w:color w:val="000000" w:themeColor="text1"/>
          <w:sz w:val="28"/>
          <w:szCs w:val="28"/>
          <w:lang w:val="en-US"/>
        </w:rPr>
        <w:t xml:space="preserve">                      </w:t>
      </w:r>
    </w:p>
    <w:p w14:paraId="3E72B12E" w14:textId="4D353134" w:rsidR="00726017" w:rsidRPr="00D549EE" w:rsidRDefault="00726017" w:rsidP="00C9582F">
      <w:pPr>
        <w:pStyle w:val="a3"/>
        <w:spacing w:line="240" w:lineRule="auto"/>
        <w:ind w:left="0"/>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PV</w:t>
      </w:r>
      <w:r w:rsidR="0035372E" w:rsidRPr="00D549EE">
        <w:rPr>
          <w:rFonts w:ascii="Times New Roman" w:hAnsi="Times New Roman"/>
          <w:color w:val="000000" w:themeColor="text1"/>
          <w:sz w:val="28"/>
          <w:szCs w:val="28"/>
          <w:lang w:val="en-US"/>
        </w:rPr>
        <w:t>R</w:t>
      </w:r>
      <w:r w:rsidR="00947F82" w:rsidRPr="00D549EE">
        <w:rPr>
          <w:rFonts w:ascii="Times New Roman" w:hAnsi="Times New Roman"/>
          <w:color w:val="000000" w:themeColor="text1"/>
          <w:sz w:val="28"/>
          <w:szCs w:val="28"/>
          <w:lang w:val="en-US"/>
        </w:rPr>
        <w:t xml:space="preserve"> </w:t>
      </w:r>
      <w:r w:rsidR="004C534D" w:rsidRPr="00D549EE">
        <w:rPr>
          <w:rFonts w:ascii="Times New Roman" w:hAnsi="Times New Roman"/>
          <w:color w:val="000000" w:themeColor="text1"/>
          <w:sz w:val="28"/>
          <w:szCs w:val="28"/>
          <w:lang w:val="en-US"/>
        </w:rPr>
        <w:t xml:space="preserve">– </w:t>
      </w:r>
      <w:r w:rsidR="00947F82" w:rsidRPr="00D549EE">
        <w:rPr>
          <w:rFonts w:ascii="Times New Roman" w:hAnsi="Times New Roman"/>
          <w:color w:val="000000" w:themeColor="text1"/>
          <w:sz w:val="28"/>
          <w:szCs w:val="28"/>
          <w:lang w:val="en-US"/>
        </w:rPr>
        <w:t>Present value of the result;</w:t>
      </w:r>
    </w:p>
    <w:p w14:paraId="593C1FF5" w14:textId="60A8BC32" w:rsidR="00947F82" w:rsidRPr="00D549EE" w:rsidRDefault="00947F82" w:rsidP="00C9582F">
      <w:pPr>
        <w:pStyle w:val="a3"/>
        <w:spacing w:line="240" w:lineRule="auto"/>
        <w:ind w:left="0"/>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 xml:space="preserve"> PV</w:t>
      </w:r>
      <w:r w:rsidR="0035372E" w:rsidRPr="00D549EE">
        <w:rPr>
          <w:rFonts w:ascii="Times New Roman" w:hAnsi="Times New Roman"/>
          <w:color w:val="000000" w:themeColor="text1"/>
          <w:sz w:val="28"/>
          <w:szCs w:val="28"/>
          <w:lang w:val="en-US"/>
        </w:rPr>
        <w:t xml:space="preserve">C </w:t>
      </w:r>
      <w:r w:rsidRPr="00D549EE">
        <w:rPr>
          <w:rFonts w:ascii="Times New Roman" w:hAnsi="Times New Roman"/>
          <w:color w:val="000000" w:themeColor="text1"/>
          <w:sz w:val="28"/>
          <w:szCs w:val="28"/>
          <w:lang w:val="en-US"/>
        </w:rPr>
        <w:t>– Present Value of the costs for implementing the project.</w:t>
      </w:r>
    </w:p>
    <w:p w14:paraId="31D83C98" w14:textId="7A933E18" w:rsidR="00B242E0" w:rsidRPr="00D549EE" w:rsidRDefault="00947F82" w:rsidP="00C9582F">
      <w:pPr>
        <w:pStyle w:val="a3"/>
        <w:spacing w:line="240" w:lineRule="auto"/>
        <w:ind w:left="1060"/>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 xml:space="preserve">          </w:t>
      </w:r>
    </w:p>
    <w:p w14:paraId="2FED36CD" w14:textId="77777777" w:rsidR="00777FC0" w:rsidRPr="00777FC0" w:rsidRDefault="00777FC0" w:rsidP="00777FC0">
      <w:pPr>
        <w:pStyle w:val="a3"/>
        <w:snapToGrid w:val="0"/>
        <w:spacing w:line="240" w:lineRule="auto"/>
        <w:ind w:left="0" w:firstLine="709"/>
        <w:jc w:val="both"/>
        <w:rPr>
          <w:rFonts w:ascii="Times New Roman" w:hAnsi="Times New Roman"/>
          <w:color w:val="000000"/>
          <w:sz w:val="28"/>
          <w:szCs w:val="28"/>
          <w:lang w:val="en-US"/>
        </w:rPr>
      </w:pPr>
      <w:r w:rsidRPr="00777FC0">
        <w:rPr>
          <w:rFonts w:ascii="Times New Roman" w:hAnsi="Times New Roman"/>
          <w:color w:val="000000"/>
          <w:sz w:val="28"/>
          <w:szCs w:val="28"/>
          <w:lang w:val="en-US"/>
        </w:rPr>
        <w:t xml:space="preserve">Considered approach for the assessment of social-economic effectiveness of the projects allows to make a forecast for till 5 years period and calculate the impact and effects of the implementation of the projects, and identify the actual effectiveness in the units (costs, number of persons, saving finance) for the future period. </w:t>
      </w:r>
    </w:p>
    <w:p w14:paraId="3A5C235A" w14:textId="77777777" w:rsidR="00777FC0" w:rsidRPr="00777FC0" w:rsidRDefault="00777FC0" w:rsidP="00777FC0">
      <w:pPr>
        <w:pStyle w:val="a3"/>
        <w:snapToGrid w:val="0"/>
        <w:spacing w:line="240" w:lineRule="auto"/>
        <w:ind w:left="0" w:firstLine="851"/>
        <w:jc w:val="both"/>
        <w:rPr>
          <w:rFonts w:ascii="Times New Roman" w:hAnsi="Times New Roman"/>
          <w:color w:val="000000"/>
          <w:sz w:val="28"/>
          <w:szCs w:val="28"/>
          <w:lang w:val="en-US"/>
        </w:rPr>
      </w:pPr>
      <w:r w:rsidRPr="00777FC0">
        <w:rPr>
          <w:rFonts w:ascii="Times New Roman" w:hAnsi="Times New Roman"/>
          <w:color w:val="000000"/>
          <w:sz w:val="28"/>
          <w:szCs w:val="28"/>
          <w:lang w:val="en-US"/>
        </w:rPr>
        <w:t xml:space="preserve">In conclusion, we assume that the social effectiveness is complicated for assessment criteria, as obtained effects changing for a specific period are significantly different at the country and individual levels. Accordingly, as a ratio of the received social effects and the implemented financial costs, social effectiveness is also challenging to assess and often cannot correspond with economic effectiveness, which involves maximizing profits while minimizing costs. There are about 300 different approaches and models of the world's social effects and impact assessment. This research considered the main of them adopted for the specifics and the features of Islamic finance. </w:t>
      </w:r>
    </w:p>
    <w:p w14:paraId="71D84673" w14:textId="7BC4F51B" w:rsidR="00D362E2" w:rsidRPr="00D549EE" w:rsidRDefault="00777FC0" w:rsidP="00777FC0">
      <w:pPr>
        <w:pStyle w:val="a3"/>
        <w:snapToGrid w:val="0"/>
        <w:spacing w:line="240" w:lineRule="auto"/>
        <w:ind w:left="0" w:firstLine="851"/>
        <w:jc w:val="both"/>
        <w:rPr>
          <w:rFonts w:ascii="Times New Roman" w:eastAsiaTheme="minorHAnsi" w:hAnsi="Times New Roman"/>
          <w:sz w:val="28"/>
          <w:szCs w:val="28"/>
          <w:lang w:val="en-US"/>
        </w:rPr>
      </w:pPr>
      <w:r w:rsidRPr="00777FC0">
        <w:rPr>
          <w:rFonts w:ascii="Times New Roman" w:hAnsi="Times New Roman"/>
          <w:color w:val="000000"/>
          <w:sz w:val="28"/>
          <w:szCs w:val="28"/>
          <w:lang w:val="en-US"/>
        </w:rPr>
        <w:t>By using the social factors and criteria in the context of Islamic Finance, the method of AHP has been adopted and implemented for the assessment of the macro-level social effects by six social factors: employment, environment, health, education, poverty, and consumption by the matrix of priority factors of experts A (formula 1) and vector X (formula 2) of the social effect of Islamic finance in Kazakhstan.</w:t>
      </w:r>
      <w:r w:rsidR="0006792B" w:rsidRPr="00D549EE">
        <w:rPr>
          <w:rFonts w:ascii="Times New Roman" w:eastAsiaTheme="minorHAnsi" w:hAnsi="Times New Roman"/>
          <w:sz w:val="28"/>
          <w:szCs w:val="28"/>
          <w:lang w:val="en-US"/>
        </w:rPr>
        <w:t xml:space="preserve"> </w:t>
      </w:r>
    </w:p>
    <w:p w14:paraId="702600D4" w14:textId="77777777" w:rsidR="00D362E2" w:rsidRPr="00D549EE" w:rsidRDefault="0006792B" w:rsidP="00C9582F">
      <w:pPr>
        <w:pStyle w:val="a3"/>
        <w:snapToGrid w:val="0"/>
        <w:spacing w:line="240" w:lineRule="auto"/>
        <w:ind w:left="0" w:firstLine="851"/>
        <w:jc w:val="both"/>
        <w:rPr>
          <w:rFonts w:ascii="Times New Roman" w:hAnsi="Times New Roman"/>
          <w:bCs/>
          <w:color w:val="000000" w:themeColor="text1"/>
          <w:sz w:val="28"/>
          <w:szCs w:val="28"/>
          <w:lang w:val="en-US"/>
        </w:rPr>
      </w:pPr>
      <w:r w:rsidRPr="00D549EE">
        <w:rPr>
          <w:rFonts w:ascii="Times New Roman" w:eastAsiaTheme="minorHAnsi" w:hAnsi="Times New Roman"/>
          <w:sz w:val="28"/>
          <w:szCs w:val="28"/>
          <w:lang w:val="en-US"/>
        </w:rPr>
        <w:t xml:space="preserve">Potential zakat collection in the country has been estimated by using approach of Kahf and Shirazi, adjusted for real situation </w:t>
      </w:r>
      <w:r w:rsidR="00B81DE1" w:rsidRPr="00D549EE">
        <w:rPr>
          <w:rFonts w:ascii="Times New Roman" w:eastAsiaTheme="minorHAnsi" w:hAnsi="Times New Roman"/>
          <w:sz w:val="28"/>
          <w:szCs w:val="28"/>
          <w:lang w:val="en-US"/>
        </w:rPr>
        <w:t xml:space="preserve">of the economic indicators of the country: Zakat potential = [GDP – </w:t>
      </w:r>
      <w:r w:rsidR="00B81DE1" w:rsidRPr="00D549EE">
        <w:rPr>
          <w:rFonts w:ascii="Times New Roman" w:hAnsi="Times New Roman"/>
          <w:sz w:val="28"/>
          <w:szCs w:val="28"/>
          <w:lang w:val="en-US"/>
        </w:rPr>
        <w:t xml:space="preserve">Economically active population – </w:t>
      </w:r>
      <w:r w:rsidR="00B81DE1" w:rsidRPr="00D549EE">
        <w:rPr>
          <w:rFonts w:ascii="Times New Roman" w:eastAsiaTheme="minorHAnsi" w:hAnsi="Times New Roman"/>
          <w:sz w:val="28"/>
          <w:szCs w:val="28"/>
          <w:lang w:val="en-US"/>
        </w:rPr>
        <w:t xml:space="preserve">Unemployment population – Poverty rate (PPP)] </w:t>
      </w:r>
      <m:oMath>
        <m:r>
          <m:rPr>
            <m:sty m:val="p"/>
          </m:rPr>
          <w:rPr>
            <w:rFonts w:ascii="Cambria Math" w:hAnsi="Cambria Math"/>
            <w:color w:val="000000" w:themeColor="text1"/>
            <w:sz w:val="28"/>
            <w:szCs w:val="28"/>
            <w:lang w:val="en-US"/>
          </w:rPr>
          <m:t>*</m:t>
        </m:r>
      </m:oMath>
      <w:r w:rsidR="00B81DE1" w:rsidRPr="00D549EE">
        <w:rPr>
          <w:rFonts w:ascii="Times New Roman" w:eastAsiaTheme="minorEastAsia" w:hAnsi="Times New Roman"/>
          <w:color w:val="000000" w:themeColor="text1"/>
          <w:sz w:val="28"/>
          <w:szCs w:val="28"/>
          <w:lang w:val="en-US"/>
        </w:rPr>
        <w:t xml:space="preserve"> Muslim population; obtained findings allow to evaluate resource shortfall of the country</w:t>
      </w:r>
      <m:oMath>
        <m:r>
          <w:rPr>
            <w:rFonts w:ascii="Cambria Math" w:hAnsi="Cambria Math"/>
            <w:color w:val="000000" w:themeColor="text1"/>
            <w:sz w:val="28"/>
            <w:szCs w:val="28"/>
            <w:lang w:val="en-US"/>
          </w:rPr>
          <m:t xml:space="preserve">  </m:t>
        </m:r>
        <m:nary>
          <m:naryPr>
            <m:chr m:val="∑"/>
            <m:limLoc m:val="undOvr"/>
            <m:ctrlPr>
              <w:rPr>
                <w:rFonts w:ascii="Cambria Math" w:hAnsi="Cambria Math"/>
                <w:bCs/>
                <w:color w:val="000000" w:themeColor="text1"/>
                <w:sz w:val="28"/>
                <w:szCs w:val="28"/>
                <w:lang w:val="en-US"/>
              </w:rPr>
            </m:ctrlPr>
          </m:naryPr>
          <m:sub>
            <m:r>
              <m:rPr>
                <m:sty m:val="p"/>
              </m:rPr>
              <w:rPr>
                <w:rFonts w:ascii="Cambria Math" w:hAnsi="Cambria Math"/>
                <w:color w:val="000000" w:themeColor="text1"/>
                <w:sz w:val="28"/>
                <w:szCs w:val="28"/>
                <w:lang w:val="en-US"/>
              </w:rPr>
              <m:t>t=1</m:t>
            </m:r>
          </m:sub>
          <m:sup>
            <m:r>
              <m:rPr>
                <m:sty m:val="p"/>
              </m:rPr>
              <w:rPr>
                <w:rFonts w:ascii="Cambria Math" w:hAnsi="Cambria Math"/>
                <w:color w:val="000000" w:themeColor="text1"/>
                <w:sz w:val="28"/>
                <w:szCs w:val="28"/>
                <w:lang w:val="en-US"/>
              </w:rPr>
              <m:t>q</m:t>
            </m:r>
          </m:sup>
          <m:e>
            <m:d>
              <m:dPr>
                <m:ctrlPr>
                  <w:rPr>
                    <w:rFonts w:ascii="Cambria Math" w:hAnsi="Cambria Math"/>
                    <w:bCs/>
                    <w:color w:val="000000" w:themeColor="text1"/>
                    <w:sz w:val="28"/>
                    <w:szCs w:val="28"/>
                    <w:lang w:val="en-US"/>
                  </w:rPr>
                </m:ctrlPr>
              </m:dPr>
              <m:e>
                <m:r>
                  <m:rPr>
                    <m:sty m:val="p"/>
                  </m:rPr>
                  <w:rPr>
                    <w:rFonts w:ascii="Cambria Math" w:hAnsi="Cambria Math"/>
                    <w:color w:val="000000" w:themeColor="text1"/>
                    <w:sz w:val="28"/>
                    <w:szCs w:val="28"/>
                    <w:lang w:val="en-US"/>
                  </w:rPr>
                  <m:t>Z-Yi</m:t>
                </m:r>
              </m:e>
            </m:d>
            <m:r>
              <m:rPr>
                <m:sty m:val="p"/>
              </m:rPr>
              <w:rPr>
                <w:rFonts w:ascii="Cambria Math" w:hAnsi="Cambria Math"/>
                <w:color w:val="000000" w:themeColor="text1"/>
                <w:sz w:val="28"/>
                <w:szCs w:val="28"/>
                <w:lang w:val="en-US"/>
              </w:rPr>
              <m:t>=PGI</m:t>
            </m:r>
          </m:e>
        </m:nary>
        <m:r>
          <m:rPr>
            <m:sty m:val="p"/>
          </m:rPr>
          <w:rPr>
            <w:rFonts w:ascii="Cambria Math" w:hAnsi="Cambria Math"/>
            <w:color w:val="000000" w:themeColor="text1"/>
            <w:sz w:val="28"/>
            <w:szCs w:val="28"/>
            <w:lang w:val="en-US"/>
          </w:rPr>
          <m:t>*NZ</m:t>
        </m:r>
      </m:oMath>
      <w:r w:rsidR="00B81DE1" w:rsidRPr="00D549EE">
        <w:rPr>
          <w:rFonts w:ascii="Times New Roman" w:eastAsiaTheme="minorEastAsia" w:hAnsi="Times New Roman"/>
          <w:bCs/>
          <w:color w:val="000000" w:themeColor="text1"/>
          <w:sz w:val="28"/>
          <w:szCs w:val="28"/>
          <w:lang w:val="en-US"/>
        </w:rPr>
        <w:t xml:space="preserve">, </w:t>
      </w:r>
      <w:r w:rsidR="00B81DE1" w:rsidRPr="00D549EE">
        <w:rPr>
          <w:rFonts w:ascii="Times New Roman" w:hAnsi="Times New Roman"/>
          <w:bCs/>
          <w:color w:val="000000" w:themeColor="text1"/>
          <w:sz w:val="28"/>
          <w:szCs w:val="28"/>
          <w:lang w:val="en-US"/>
        </w:rPr>
        <w:t>which indicates the amount of the necessary sources for the poverty alleviation in the country related to the GDP on the macrolevel.</w:t>
      </w:r>
    </w:p>
    <w:p w14:paraId="14A4F1B7" w14:textId="0F26B585" w:rsidR="005E3B49" w:rsidRPr="00D56E44" w:rsidRDefault="00B81DE1" w:rsidP="00CE3F04">
      <w:pPr>
        <w:pStyle w:val="a3"/>
        <w:snapToGrid w:val="0"/>
        <w:spacing w:line="240" w:lineRule="auto"/>
        <w:ind w:left="0" w:firstLine="851"/>
        <w:jc w:val="both"/>
        <w:rPr>
          <w:rFonts w:ascii="Times New Roman" w:hAnsi="Times New Roman"/>
          <w:color w:val="000000" w:themeColor="text1"/>
          <w:sz w:val="28"/>
          <w:szCs w:val="28"/>
          <w:lang w:val="en-US"/>
        </w:rPr>
      </w:pPr>
      <w:r w:rsidRPr="00D549EE">
        <w:rPr>
          <w:rFonts w:ascii="Times New Roman" w:hAnsi="Times New Roman"/>
          <w:color w:val="000000"/>
          <w:sz w:val="28"/>
          <w:szCs w:val="28"/>
          <w:lang w:val="en-US"/>
        </w:rPr>
        <w:t xml:space="preserve"> </w:t>
      </w:r>
      <w:r w:rsidR="005E3B49" w:rsidRPr="005E3B49">
        <w:rPr>
          <w:rFonts w:ascii="Times New Roman" w:hAnsi="Times New Roman"/>
          <w:color w:val="000000"/>
          <w:sz w:val="28"/>
          <w:szCs w:val="28"/>
          <w:lang w:val="en-US"/>
        </w:rPr>
        <w:t>The effectiveness of implementing the projects on a micro-level has been estimated during the research. The approaches are studied in the research provide the estimation of the effectiveness of the social effects of Islamic social finance and its impact in the form of saved funds from the public resources, that are from the state budget, and in the form of beneficiaries provided by social assistance</w:t>
      </w:r>
      <w:r w:rsidR="0006792B" w:rsidRPr="00D549EE">
        <w:rPr>
          <w:rFonts w:ascii="Times New Roman" w:hAnsi="Times New Roman"/>
          <w:color w:val="000000" w:themeColor="text1"/>
          <w:sz w:val="28"/>
          <w:szCs w:val="28"/>
          <w:lang w:val="en-US"/>
        </w:rPr>
        <w:t xml:space="preserve">: </w:t>
      </w:r>
      <m:oMath>
        <m:r>
          <m:rPr>
            <m:sty m:val="p"/>
          </m:rPr>
          <w:rPr>
            <w:rFonts w:ascii="Cambria Math" w:hAnsi="Cambria Math"/>
            <w:color w:val="000000" w:themeColor="text1"/>
            <w:sz w:val="28"/>
            <w:szCs w:val="28"/>
            <w:lang w:val="en-US"/>
          </w:rPr>
          <m:t xml:space="preserve">BCR= </m:t>
        </m:r>
        <m:f>
          <m:fPr>
            <m:ctrlPr>
              <w:rPr>
                <w:rFonts w:ascii="Cambria Math" w:hAnsi="Cambria Math"/>
                <w:color w:val="000000" w:themeColor="text1"/>
                <w:sz w:val="28"/>
                <w:szCs w:val="28"/>
                <w:lang w:val="en-US"/>
              </w:rPr>
            </m:ctrlPr>
          </m:fPr>
          <m:num>
            <m:r>
              <m:rPr>
                <m:sty m:val="p"/>
              </m:rPr>
              <w:rPr>
                <w:rFonts w:ascii="Cambria Math" w:hAnsi="Cambria Math"/>
                <w:color w:val="000000" w:themeColor="text1"/>
                <w:sz w:val="28"/>
                <w:szCs w:val="28"/>
                <w:lang w:val="en-US"/>
              </w:rPr>
              <m:t>[</m:t>
            </m:r>
            <m:nary>
              <m:naryPr>
                <m:chr m:val="∑"/>
                <m:limLoc m:val="undOvr"/>
                <m:subHide m:val="1"/>
                <m:supHide m:val="1"/>
                <m:ctrlPr>
                  <w:rPr>
                    <w:rFonts w:ascii="Cambria Math" w:hAnsi="Cambria Math"/>
                    <w:color w:val="000000" w:themeColor="text1"/>
                    <w:sz w:val="28"/>
                    <w:szCs w:val="28"/>
                    <w:lang w:val="en-US"/>
                  </w:rPr>
                </m:ctrlPr>
              </m:naryPr>
              <m:sub/>
              <m:sup/>
              <m:e>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en-US"/>
                      </w:rPr>
                      <m:t>B</m:t>
                    </m:r>
                  </m:e>
                  <m:sub>
                    <m:r>
                      <m:rPr>
                        <m:sty m:val="p"/>
                      </m:rPr>
                      <w:rPr>
                        <w:rFonts w:ascii="Cambria Math" w:hAnsi="Cambria Math"/>
                        <w:color w:val="000000" w:themeColor="text1"/>
                        <w:sz w:val="28"/>
                        <w:szCs w:val="28"/>
                        <w:lang w:val="en-US"/>
                      </w:rPr>
                      <m:t>i</m:t>
                    </m:r>
                  </m:sub>
                </m:sSub>
              </m:e>
            </m:nary>
            <m:r>
              <m:rPr>
                <m:sty m:val="p"/>
              </m:rPr>
              <w:rPr>
                <w:rFonts w:ascii="Cambria Math" w:hAnsi="Cambria Math"/>
                <w:color w:val="000000" w:themeColor="text1"/>
                <w:sz w:val="28"/>
                <w:szCs w:val="28"/>
                <w:lang w:val="en-US"/>
              </w:rPr>
              <m:t>/</m:t>
            </m:r>
            <m:sSup>
              <m:sSupPr>
                <m:ctrlPr>
                  <w:rPr>
                    <w:rFonts w:ascii="Cambria Math" w:hAnsi="Cambria Math"/>
                    <w:color w:val="000000" w:themeColor="text1"/>
                    <w:sz w:val="28"/>
                    <w:szCs w:val="28"/>
                    <w:lang w:val="en-US"/>
                  </w:rPr>
                </m:ctrlPr>
              </m:sSupPr>
              <m:e>
                <m:r>
                  <m:rPr>
                    <m:sty m:val="p"/>
                  </m:rPr>
                  <w:rPr>
                    <w:rFonts w:ascii="Cambria Math" w:hAnsi="Cambria Math"/>
                    <w:color w:val="000000" w:themeColor="text1"/>
                    <w:sz w:val="28"/>
                    <w:szCs w:val="28"/>
                    <w:lang w:val="en-US"/>
                  </w:rPr>
                  <m:t>(1+d)</m:t>
                </m:r>
              </m:e>
              <m:sup>
                <m:r>
                  <m:rPr>
                    <m:sty m:val="p"/>
                  </m:rPr>
                  <w:rPr>
                    <w:rFonts w:ascii="Cambria Math" w:hAnsi="Cambria Math"/>
                    <w:color w:val="000000" w:themeColor="text1"/>
                    <w:sz w:val="28"/>
                    <w:szCs w:val="28"/>
                    <w:lang w:val="en-US"/>
                  </w:rPr>
                  <m:t>i</m:t>
                </m:r>
              </m:sup>
            </m:sSup>
            <m:r>
              <m:rPr>
                <m:sty m:val="p"/>
              </m:rPr>
              <w:rPr>
                <w:rFonts w:ascii="Cambria Math" w:hAnsi="Cambria Math"/>
                <w:color w:val="000000" w:themeColor="text1"/>
                <w:sz w:val="28"/>
                <w:szCs w:val="28"/>
                <w:lang w:val="en-US"/>
              </w:rPr>
              <m:t>]</m:t>
            </m:r>
          </m:num>
          <m:den>
            <m:r>
              <m:rPr>
                <m:sty m:val="p"/>
              </m:rPr>
              <w:rPr>
                <w:rFonts w:ascii="Cambria Math" w:hAnsi="Cambria Math"/>
                <w:color w:val="000000" w:themeColor="text1"/>
                <w:sz w:val="28"/>
                <w:szCs w:val="28"/>
                <w:lang w:val="en-US"/>
              </w:rPr>
              <m:t>[</m:t>
            </m:r>
            <m:nary>
              <m:naryPr>
                <m:chr m:val="∑"/>
                <m:limLoc m:val="undOvr"/>
                <m:subHide m:val="1"/>
                <m:supHide m:val="1"/>
                <m:ctrlPr>
                  <w:rPr>
                    <w:rFonts w:ascii="Cambria Math" w:hAnsi="Cambria Math"/>
                    <w:color w:val="000000" w:themeColor="text1"/>
                    <w:sz w:val="28"/>
                    <w:szCs w:val="28"/>
                    <w:lang w:val="en-US"/>
                  </w:rPr>
                </m:ctrlPr>
              </m:naryPr>
              <m:sub/>
              <m:sup/>
              <m:e>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en-US"/>
                      </w:rPr>
                      <m:t>C</m:t>
                    </m:r>
                  </m:e>
                  <m:sub>
                    <m:r>
                      <m:rPr>
                        <m:sty m:val="p"/>
                      </m:rPr>
                      <w:rPr>
                        <w:rFonts w:ascii="Cambria Math" w:hAnsi="Cambria Math"/>
                        <w:color w:val="000000" w:themeColor="text1"/>
                        <w:sz w:val="28"/>
                        <w:szCs w:val="28"/>
                        <w:lang w:val="en-US"/>
                      </w:rPr>
                      <m:t>i</m:t>
                    </m:r>
                  </m:sub>
                </m:sSub>
                <m:r>
                  <m:rPr>
                    <m:sty m:val="p"/>
                  </m:rPr>
                  <w:rPr>
                    <w:rFonts w:ascii="Cambria Math" w:hAnsi="Cambria Math"/>
                    <w:color w:val="000000" w:themeColor="text1"/>
                    <w:sz w:val="28"/>
                    <w:szCs w:val="28"/>
                    <w:lang w:val="en-US"/>
                  </w:rPr>
                  <m:t>/</m:t>
                </m:r>
                <m:sSup>
                  <m:sSupPr>
                    <m:ctrlPr>
                      <w:rPr>
                        <w:rFonts w:ascii="Cambria Math" w:hAnsi="Cambria Math"/>
                        <w:color w:val="000000" w:themeColor="text1"/>
                        <w:sz w:val="28"/>
                        <w:szCs w:val="28"/>
                        <w:lang w:val="en-US"/>
                      </w:rPr>
                    </m:ctrlPr>
                  </m:sSupPr>
                  <m:e>
                    <m:r>
                      <m:rPr>
                        <m:sty m:val="p"/>
                      </m:rPr>
                      <w:rPr>
                        <w:rFonts w:ascii="Cambria Math" w:hAnsi="Cambria Math"/>
                        <w:color w:val="000000" w:themeColor="text1"/>
                        <w:sz w:val="28"/>
                        <w:szCs w:val="28"/>
                        <w:lang w:val="en-US"/>
                      </w:rPr>
                      <m:t>(1+d)</m:t>
                    </m:r>
                  </m:e>
                  <m:sup>
                    <m:r>
                      <m:rPr>
                        <m:sty m:val="p"/>
                      </m:rPr>
                      <w:rPr>
                        <w:rFonts w:ascii="Cambria Math" w:hAnsi="Cambria Math"/>
                        <w:color w:val="000000" w:themeColor="text1"/>
                        <w:sz w:val="28"/>
                        <w:szCs w:val="28"/>
                        <w:lang w:val="en-US"/>
                      </w:rPr>
                      <m:t>i</m:t>
                    </m:r>
                  </m:sup>
                </m:sSup>
                <m:r>
                  <m:rPr>
                    <m:sty m:val="p"/>
                  </m:rPr>
                  <w:rPr>
                    <w:rFonts w:ascii="Cambria Math" w:hAnsi="Cambria Math"/>
                    <w:color w:val="000000" w:themeColor="text1"/>
                    <w:sz w:val="28"/>
                    <w:szCs w:val="28"/>
                    <w:lang w:val="en-US"/>
                  </w:rPr>
                  <m:t>]</m:t>
                </m:r>
              </m:e>
            </m:nary>
          </m:den>
        </m:f>
        <m:r>
          <w:rPr>
            <w:rFonts w:ascii="Cambria Math" w:hAnsi="Cambria Math"/>
            <w:color w:val="000000" w:themeColor="text1"/>
            <w:sz w:val="28"/>
            <w:szCs w:val="28"/>
            <w:lang w:val="en-US"/>
          </w:rPr>
          <m:t>.</m:t>
        </m:r>
      </m:oMath>
      <w:r w:rsidR="0006792B" w:rsidRPr="00D549EE">
        <w:rPr>
          <w:rFonts w:ascii="Times New Roman" w:hAnsi="Times New Roman"/>
          <w:color w:val="000000" w:themeColor="text1"/>
          <w:sz w:val="28"/>
          <w:szCs w:val="28"/>
          <w:lang w:val="en-US"/>
        </w:rPr>
        <w:t xml:space="preserve"> </w:t>
      </w:r>
      <w:r w:rsidR="005E3B49" w:rsidRPr="005E3B49">
        <w:rPr>
          <w:rFonts w:ascii="Times New Roman" w:hAnsi="Times New Roman"/>
          <w:color w:val="000000" w:themeColor="text1"/>
          <w:sz w:val="28"/>
          <w:szCs w:val="28"/>
          <w:lang w:val="en-US"/>
        </w:rPr>
        <w:t>The microlevel’s assessment method allows for evaluating the social effectiveness in the form of savings of the needy and people with limited income, and the social effect of the realization of social business in the form of business activity instead of just giving the investment to the business funds as a charity</w:t>
      </w:r>
      <w:r w:rsidR="0006792B" w:rsidRPr="00D549EE">
        <w:rPr>
          <w:rFonts w:ascii="Times New Roman" w:hAnsi="Times New Roman"/>
          <w:color w:val="000000" w:themeColor="text1"/>
          <w:sz w:val="28"/>
          <w:szCs w:val="28"/>
          <w:lang w:val="en-US"/>
        </w:rPr>
        <w:t xml:space="preserve">: </w:t>
      </w:r>
      <w:r w:rsidR="004551A0" w:rsidRPr="00D549EE">
        <w:rPr>
          <w:rFonts w:ascii="Times New Roman" w:hAnsi="Times New Roman"/>
          <w:color w:val="000000" w:themeColor="text1"/>
          <w:sz w:val="28"/>
          <w:szCs w:val="28"/>
          <w:lang w:val="en-US"/>
        </w:rPr>
        <w:t xml:space="preserve"> </w:t>
      </w:r>
      <w:r w:rsidR="0006792B" w:rsidRPr="00D549EE">
        <w:rPr>
          <w:rFonts w:ascii="Times New Roman" w:hAnsi="Times New Roman"/>
          <w:color w:val="000000" w:themeColor="text1"/>
          <w:sz w:val="28"/>
          <w:szCs w:val="28"/>
          <w:lang w:val="en-US"/>
        </w:rPr>
        <w:t xml:space="preserve">SEE= PVR/ PVC – estimation of socioeconomic effectiveness. </w:t>
      </w:r>
    </w:p>
    <w:p w14:paraId="7C27BFCF" w14:textId="383D1544" w:rsidR="002607A6" w:rsidRDefault="00782128" w:rsidP="00C9582F">
      <w:pPr>
        <w:pStyle w:val="a3"/>
        <w:snapToGrid w:val="0"/>
        <w:spacing w:line="240" w:lineRule="auto"/>
        <w:ind w:left="360"/>
        <w:jc w:val="both"/>
        <w:rPr>
          <w:rFonts w:ascii="Times New Roman" w:hAnsi="Times New Roman"/>
          <w:b/>
          <w:color w:val="000000"/>
          <w:sz w:val="28"/>
          <w:szCs w:val="28"/>
          <w:lang w:val="en-US"/>
        </w:rPr>
      </w:pPr>
      <w:r w:rsidRPr="00D549EE">
        <w:rPr>
          <w:rFonts w:ascii="Times New Roman" w:hAnsi="Times New Roman"/>
          <w:b/>
          <w:color w:val="000000"/>
          <w:sz w:val="28"/>
          <w:szCs w:val="28"/>
          <w:lang w:val="en-US"/>
        </w:rPr>
        <w:lastRenderedPageBreak/>
        <w:t xml:space="preserve">2 THE SPECIFICS OF THE IMPLEMENTATION OF ISLAMIC FINANCE IN KAZAKHSTAN: ANALYSIS </w:t>
      </w:r>
      <w:r w:rsidR="00656519" w:rsidRPr="00D549EE">
        <w:rPr>
          <w:rFonts w:ascii="Times New Roman" w:hAnsi="Times New Roman"/>
          <w:b/>
          <w:bCs/>
          <w:color w:val="000000"/>
          <w:sz w:val="28"/>
          <w:szCs w:val="28"/>
          <w:lang w:val="en-US"/>
        </w:rPr>
        <w:t>AND ASSESSMENT</w:t>
      </w:r>
      <w:r w:rsidR="00656519" w:rsidRPr="00D549EE">
        <w:rPr>
          <w:rFonts w:ascii="Times New Roman" w:hAnsi="Times New Roman"/>
          <w:bCs/>
          <w:color w:val="000000"/>
          <w:sz w:val="28"/>
          <w:szCs w:val="28"/>
          <w:lang w:val="en-US"/>
        </w:rPr>
        <w:t xml:space="preserve"> </w:t>
      </w:r>
      <w:r w:rsidRPr="00D549EE">
        <w:rPr>
          <w:rFonts w:ascii="Times New Roman" w:hAnsi="Times New Roman"/>
          <w:b/>
          <w:color w:val="000000"/>
          <w:sz w:val="28"/>
          <w:szCs w:val="28"/>
          <w:lang w:val="en-US"/>
        </w:rPr>
        <w:t>OF SOCIAL PROSPECTS AND EFFECTS</w:t>
      </w:r>
    </w:p>
    <w:p w14:paraId="1A6596CA" w14:textId="77777777" w:rsidR="00537DC0" w:rsidRPr="00D549EE" w:rsidRDefault="00537DC0" w:rsidP="00C9582F">
      <w:pPr>
        <w:pStyle w:val="a3"/>
        <w:snapToGrid w:val="0"/>
        <w:spacing w:line="240" w:lineRule="auto"/>
        <w:ind w:left="360"/>
        <w:jc w:val="both"/>
        <w:rPr>
          <w:rFonts w:ascii="Times New Roman" w:hAnsi="Times New Roman"/>
          <w:b/>
          <w:color w:val="000000"/>
          <w:sz w:val="28"/>
          <w:szCs w:val="28"/>
          <w:lang w:val="en-US"/>
        </w:rPr>
      </w:pPr>
    </w:p>
    <w:p w14:paraId="1B617253" w14:textId="77777777" w:rsidR="00F12CBD" w:rsidRDefault="002607A6" w:rsidP="00F12CBD">
      <w:pPr>
        <w:pStyle w:val="a3"/>
        <w:snapToGrid w:val="0"/>
        <w:spacing w:line="240" w:lineRule="auto"/>
        <w:ind w:left="360"/>
        <w:jc w:val="both"/>
        <w:rPr>
          <w:rFonts w:ascii="Times New Roman" w:hAnsi="Times New Roman"/>
          <w:b/>
          <w:color w:val="000000"/>
          <w:sz w:val="28"/>
          <w:szCs w:val="28"/>
          <w:lang w:val="en-US"/>
        </w:rPr>
      </w:pPr>
      <w:r w:rsidRPr="00D549EE">
        <w:rPr>
          <w:rFonts w:ascii="Times New Roman" w:hAnsi="Times New Roman"/>
          <w:b/>
          <w:color w:val="000000"/>
          <w:sz w:val="28"/>
          <w:szCs w:val="28"/>
          <w:lang w:val="en-US"/>
        </w:rPr>
        <w:t xml:space="preserve">2.1 </w:t>
      </w:r>
      <w:r w:rsidR="0034411C" w:rsidRPr="00D549EE">
        <w:rPr>
          <w:rFonts w:ascii="Times New Roman" w:hAnsi="Times New Roman"/>
          <w:b/>
          <w:color w:val="000000"/>
          <w:sz w:val="28"/>
          <w:szCs w:val="28"/>
          <w:lang w:val="en-US"/>
        </w:rPr>
        <w:t xml:space="preserve">Analysis and assessment of the evolution of Islamic finance in the </w:t>
      </w:r>
      <w:r w:rsidR="00A0360E" w:rsidRPr="00D549EE">
        <w:rPr>
          <w:rFonts w:ascii="Times New Roman" w:hAnsi="Times New Roman"/>
          <w:b/>
          <w:color w:val="000000"/>
          <w:sz w:val="28"/>
          <w:szCs w:val="28"/>
          <w:lang w:val="en-US"/>
        </w:rPr>
        <w:t xml:space="preserve">economy of the </w:t>
      </w:r>
      <w:r w:rsidR="0034411C" w:rsidRPr="00D549EE">
        <w:rPr>
          <w:rFonts w:ascii="Times New Roman" w:hAnsi="Times New Roman"/>
          <w:b/>
          <w:color w:val="000000"/>
          <w:sz w:val="28"/>
          <w:szCs w:val="28"/>
          <w:lang w:val="en-US"/>
        </w:rPr>
        <w:t xml:space="preserve">Republic of Kazakhstan </w:t>
      </w:r>
    </w:p>
    <w:p w14:paraId="3A3C6FAF" w14:textId="05355F30" w:rsidR="00472134" w:rsidRDefault="00F12CBD" w:rsidP="00F12CBD">
      <w:pPr>
        <w:pStyle w:val="a3"/>
        <w:snapToGrid w:val="0"/>
        <w:spacing w:line="240" w:lineRule="auto"/>
        <w:ind w:left="360"/>
        <w:jc w:val="both"/>
        <w:rPr>
          <w:rFonts w:ascii="Times New Roman" w:hAnsi="Times New Roman"/>
          <w:bCs/>
          <w:color w:val="000000"/>
          <w:sz w:val="28"/>
          <w:szCs w:val="28"/>
          <w:lang w:val="en-US"/>
        </w:rPr>
      </w:pPr>
      <w:r>
        <w:rPr>
          <w:bCs/>
          <w:color w:val="000000"/>
          <w:sz w:val="28"/>
          <w:szCs w:val="28"/>
          <w:lang w:val="en-US"/>
        </w:rPr>
        <w:tab/>
      </w:r>
      <w:r w:rsidR="0028475F" w:rsidRPr="0028475F">
        <w:rPr>
          <w:rFonts w:ascii="Times New Roman" w:hAnsi="Times New Roman"/>
          <w:bCs/>
          <w:color w:val="000000"/>
          <w:sz w:val="28"/>
          <w:szCs w:val="28"/>
          <w:lang w:val="en-US"/>
        </w:rPr>
        <w:t>The Global financial crisis affected about all countries of the world affected Kazakhstan. There have been fluctuations and declines in various areas. In 2020, due to the biological crisis that led to the economic, and financial country plunged into recession for the first time in almost two decades.</w:t>
      </w:r>
    </w:p>
    <w:p w14:paraId="666B4E24" w14:textId="77777777" w:rsidR="0028475F" w:rsidRPr="00F12CBD" w:rsidRDefault="0028475F" w:rsidP="00F12CBD">
      <w:pPr>
        <w:pStyle w:val="a3"/>
        <w:snapToGrid w:val="0"/>
        <w:spacing w:line="240" w:lineRule="auto"/>
        <w:ind w:left="360"/>
        <w:jc w:val="both"/>
        <w:rPr>
          <w:rFonts w:ascii="Times New Roman" w:hAnsi="Times New Roman"/>
          <w:b/>
          <w:color w:val="000000"/>
          <w:sz w:val="28"/>
          <w:szCs w:val="28"/>
          <w:lang w:val="en-US"/>
        </w:rPr>
      </w:pPr>
    </w:p>
    <w:p w14:paraId="6BD79594" w14:textId="7AD47615" w:rsidR="00472134" w:rsidRPr="00D549EE" w:rsidRDefault="0028475F" w:rsidP="00C9582F">
      <w:pPr>
        <w:jc w:val="both"/>
        <w:rPr>
          <w:bCs/>
          <w:color w:val="000000"/>
          <w:sz w:val="28"/>
          <w:szCs w:val="28"/>
          <w:lang w:val="en-US"/>
        </w:rPr>
      </w:pPr>
      <w:r>
        <w:rPr>
          <w:bCs/>
          <w:color w:val="000000"/>
          <w:sz w:val="28"/>
          <w:szCs w:val="28"/>
          <w:lang w:val="en-US"/>
        </w:rPr>
        <w:tab/>
      </w:r>
      <w:r w:rsidR="00472134" w:rsidRPr="00D549EE">
        <w:rPr>
          <w:noProof/>
        </w:rPr>
        <w:drawing>
          <wp:inline distT="0" distB="0" distL="0" distR="0" wp14:anchorId="393A8650" wp14:editId="25C7BE18">
            <wp:extent cx="5502875" cy="1899920"/>
            <wp:effectExtent l="0" t="0" r="9525" b="17780"/>
            <wp:docPr id="24" name="Диаграмма 24">
              <a:extLst xmlns:a="http://schemas.openxmlformats.org/drawingml/2006/main">
                <a:ext uri="{FF2B5EF4-FFF2-40B4-BE49-F238E27FC236}">
                  <a16:creationId xmlns:a16="http://schemas.microsoft.com/office/drawing/2014/main" id="{02A20522-7F2D-E84F-8E6C-FB36842AB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AC20D55" w14:textId="71863FC1" w:rsidR="00472134" w:rsidRPr="00D549EE" w:rsidRDefault="00472134" w:rsidP="00C9582F">
      <w:pPr>
        <w:ind w:firstLine="708"/>
        <w:jc w:val="both"/>
        <w:rPr>
          <w:bCs/>
          <w:color w:val="000000"/>
          <w:sz w:val="28"/>
          <w:szCs w:val="28"/>
          <w:lang w:val="en-US"/>
        </w:rPr>
      </w:pPr>
    </w:p>
    <w:p w14:paraId="2159C9ED" w14:textId="7ABC601F" w:rsidR="005052D9" w:rsidRPr="00D549EE" w:rsidRDefault="00472134" w:rsidP="00C9582F">
      <w:pPr>
        <w:ind w:firstLine="708"/>
        <w:jc w:val="center"/>
        <w:rPr>
          <w:color w:val="000000" w:themeColor="text1"/>
          <w:sz w:val="28"/>
          <w:szCs w:val="28"/>
          <w:lang w:val="en-US"/>
        </w:rPr>
      </w:pPr>
      <w:r w:rsidRPr="00D549EE">
        <w:rPr>
          <w:bCs/>
          <w:color w:val="000000" w:themeColor="text1"/>
          <w:sz w:val="28"/>
          <w:szCs w:val="28"/>
          <w:lang w:val="en-US"/>
        </w:rPr>
        <w:t xml:space="preserve">Figure </w:t>
      </w:r>
      <w:r w:rsidR="00572EBD" w:rsidRPr="00D549EE">
        <w:rPr>
          <w:bCs/>
          <w:color w:val="000000" w:themeColor="text1"/>
          <w:sz w:val="28"/>
          <w:szCs w:val="28"/>
          <w:lang w:val="en-US"/>
        </w:rPr>
        <w:t>1</w:t>
      </w:r>
      <w:r w:rsidR="00894051" w:rsidRPr="00D549EE">
        <w:rPr>
          <w:bCs/>
          <w:color w:val="000000" w:themeColor="text1"/>
          <w:sz w:val="28"/>
          <w:szCs w:val="28"/>
          <w:lang w:val="en-US"/>
        </w:rPr>
        <w:t>5</w:t>
      </w:r>
      <w:r w:rsidR="005052D9" w:rsidRPr="00D549EE">
        <w:rPr>
          <w:bCs/>
          <w:color w:val="000000" w:themeColor="text1"/>
          <w:sz w:val="28"/>
          <w:szCs w:val="28"/>
          <w:lang w:val="en-US"/>
        </w:rPr>
        <w:t xml:space="preserve"> </w:t>
      </w:r>
      <w:r w:rsidR="005052D9" w:rsidRPr="00D549EE">
        <w:rPr>
          <w:sz w:val="28"/>
          <w:szCs w:val="28"/>
          <w:lang w:val="en-US"/>
        </w:rPr>
        <w:t xml:space="preserve">– </w:t>
      </w:r>
      <w:r w:rsidRPr="00D549EE">
        <w:rPr>
          <w:color w:val="000000" w:themeColor="text1"/>
          <w:sz w:val="28"/>
          <w:szCs w:val="28"/>
          <w:lang w:val="en-US"/>
        </w:rPr>
        <w:t xml:space="preserve">Growth (fall) GDP 1991-2020 </w:t>
      </w:r>
    </w:p>
    <w:p w14:paraId="0938F629" w14:textId="77777777" w:rsidR="005052D9" w:rsidRPr="00D549EE" w:rsidRDefault="005052D9" w:rsidP="00C9582F">
      <w:pPr>
        <w:ind w:firstLine="708"/>
        <w:jc w:val="center"/>
        <w:rPr>
          <w:color w:val="000000" w:themeColor="text1"/>
          <w:sz w:val="28"/>
          <w:szCs w:val="28"/>
          <w:lang w:val="en-US"/>
        </w:rPr>
      </w:pPr>
    </w:p>
    <w:p w14:paraId="4648D310" w14:textId="50AF2D89" w:rsidR="00472134" w:rsidRPr="00D549EE" w:rsidRDefault="005052D9" w:rsidP="00C9582F">
      <w:pPr>
        <w:ind w:firstLine="708"/>
        <w:rPr>
          <w:color w:val="000000" w:themeColor="text1"/>
          <w:lang w:val="en-US"/>
        </w:rPr>
      </w:pPr>
      <w:r w:rsidRPr="00D549EE">
        <w:rPr>
          <w:lang w:val="en-US"/>
        </w:rPr>
        <w:tab/>
        <w:t>Note – Source</w:t>
      </w:r>
      <w:r w:rsidRPr="00D549EE">
        <w:rPr>
          <w:color w:val="000000" w:themeColor="text1"/>
          <w:lang w:val="en-US"/>
        </w:rPr>
        <w:t xml:space="preserve"> </w:t>
      </w:r>
      <w:r w:rsidR="00472134" w:rsidRPr="00D549EE">
        <w:rPr>
          <w:color w:val="000000" w:themeColor="text1"/>
          <w:lang w:val="en-US"/>
        </w:rPr>
        <w:fldChar w:fldCharType="begin" w:fldLock="1"/>
      </w:r>
      <w:r w:rsidR="00CB6E54" w:rsidRPr="00D549EE">
        <w:rPr>
          <w:color w:val="000000" w:themeColor="text1"/>
          <w:lang w:val="en-US"/>
        </w:rPr>
        <w:instrText>ADDIN CSL_CITATION {"citationItems":[{"id":"ITEM-1","itemData":{"URL":"https://stat.gov.kz/official/dynamic","author":[{"dropping-particle":"","family":"Bureau of National Statistics","given":"","non-dropping-particle":"","parse-names":false,"suffix":""}],"id":"ITEM-1","issued":{"date-parts":[["2020"]]},"title":"The main socio-economic indicators of the Republic of Kazakhstan","type":"webpage"},"uris":["http://www.mendeley.com/documents/?uuid=6222d9be-20b4-4abc-8ce1-13c22a30da31"]}],"mendeley":{"formattedCitation":"[112]","plainTextFormattedCitation":"[112]","previouslyFormattedCitation":"[112]"},"properties":{"noteIndex":0},"schema":"https://github.com/citation-style-language/schema/raw/master/csl-citation.json"}</w:instrText>
      </w:r>
      <w:r w:rsidR="00472134" w:rsidRPr="00D549EE">
        <w:rPr>
          <w:color w:val="000000" w:themeColor="text1"/>
          <w:lang w:val="en-US"/>
        </w:rPr>
        <w:fldChar w:fldCharType="separate"/>
      </w:r>
      <w:r w:rsidR="00B25838" w:rsidRPr="00D549EE">
        <w:rPr>
          <w:noProof/>
          <w:color w:val="000000" w:themeColor="text1"/>
          <w:lang w:val="en-US"/>
        </w:rPr>
        <w:t>[112]</w:t>
      </w:r>
      <w:r w:rsidR="00472134" w:rsidRPr="00D549EE">
        <w:rPr>
          <w:color w:val="000000" w:themeColor="text1"/>
          <w:lang w:val="en-US"/>
        </w:rPr>
        <w:fldChar w:fldCharType="end"/>
      </w:r>
    </w:p>
    <w:p w14:paraId="19434D14" w14:textId="45F0C285" w:rsidR="00472134" w:rsidRPr="00D549EE" w:rsidRDefault="00472134" w:rsidP="00C9582F">
      <w:pPr>
        <w:ind w:firstLine="708"/>
        <w:jc w:val="both"/>
        <w:rPr>
          <w:color w:val="000000" w:themeColor="text1"/>
          <w:sz w:val="28"/>
          <w:szCs w:val="28"/>
          <w:lang w:val="en-US"/>
        </w:rPr>
      </w:pPr>
    </w:p>
    <w:p w14:paraId="40634261" w14:textId="56385CC1" w:rsidR="00472134" w:rsidRPr="00D549EE" w:rsidRDefault="00472134" w:rsidP="00C9582F">
      <w:pPr>
        <w:ind w:firstLine="708"/>
        <w:jc w:val="both"/>
        <w:rPr>
          <w:bCs/>
          <w:color w:val="000000"/>
          <w:sz w:val="28"/>
          <w:szCs w:val="28"/>
        </w:rPr>
      </w:pPr>
      <w:r w:rsidRPr="00D549EE">
        <w:rPr>
          <w:noProof/>
        </w:rPr>
        <w:drawing>
          <wp:inline distT="0" distB="0" distL="0" distR="0" wp14:anchorId="4B4B3E9D" wp14:editId="7AEE8DB3">
            <wp:extent cx="5301341" cy="1432045"/>
            <wp:effectExtent l="0" t="0" r="7620" b="15875"/>
            <wp:docPr id="25" name="Диаграмма 25">
              <a:extLst xmlns:a="http://schemas.openxmlformats.org/drawingml/2006/main">
                <a:ext uri="{FF2B5EF4-FFF2-40B4-BE49-F238E27FC236}">
                  <a16:creationId xmlns:a16="http://schemas.microsoft.com/office/drawing/2014/main" id="{22AA06AF-9CAB-2846-909B-7A86D8C71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AD9B594" w14:textId="77777777" w:rsidR="00472134" w:rsidRPr="00D549EE" w:rsidRDefault="00472134" w:rsidP="00C9582F">
      <w:pPr>
        <w:jc w:val="both"/>
        <w:rPr>
          <w:bCs/>
          <w:color w:val="000000"/>
          <w:sz w:val="28"/>
          <w:szCs w:val="28"/>
          <w:lang w:val="en-US"/>
        </w:rPr>
      </w:pPr>
    </w:p>
    <w:p w14:paraId="3C43F2A7" w14:textId="1E8DE643" w:rsidR="005052D9" w:rsidRPr="00D549EE" w:rsidRDefault="00472134" w:rsidP="00C9582F">
      <w:pPr>
        <w:ind w:firstLine="708"/>
        <w:jc w:val="center"/>
        <w:rPr>
          <w:color w:val="000000" w:themeColor="text1"/>
          <w:sz w:val="28"/>
          <w:szCs w:val="28"/>
          <w:lang w:val="en-US"/>
        </w:rPr>
      </w:pPr>
      <w:r w:rsidRPr="00D549EE">
        <w:rPr>
          <w:bCs/>
          <w:color w:val="000000" w:themeColor="text1"/>
          <w:sz w:val="28"/>
          <w:szCs w:val="28"/>
          <w:lang w:val="en-US"/>
        </w:rPr>
        <w:t xml:space="preserve">Figure </w:t>
      </w:r>
      <w:r w:rsidR="00572EBD" w:rsidRPr="00D549EE">
        <w:rPr>
          <w:bCs/>
          <w:color w:val="000000" w:themeColor="text1"/>
          <w:sz w:val="28"/>
          <w:szCs w:val="28"/>
          <w:lang w:val="en-US"/>
        </w:rPr>
        <w:t>1</w:t>
      </w:r>
      <w:r w:rsidR="00894051" w:rsidRPr="00D549EE">
        <w:rPr>
          <w:bCs/>
          <w:color w:val="000000" w:themeColor="text1"/>
          <w:sz w:val="28"/>
          <w:szCs w:val="28"/>
          <w:lang w:val="en-US"/>
        </w:rPr>
        <w:t>6</w:t>
      </w:r>
      <w:r w:rsidRPr="00D549EE">
        <w:rPr>
          <w:color w:val="000000" w:themeColor="text1"/>
          <w:sz w:val="28"/>
          <w:szCs w:val="28"/>
          <w:lang w:val="en-US"/>
        </w:rPr>
        <w:t xml:space="preserve"> </w:t>
      </w:r>
      <w:r w:rsidR="005052D9" w:rsidRPr="00D549EE">
        <w:rPr>
          <w:sz w:val="28"/>
          <w:szCs w:val="28"/>
          <w:lang w:val="en-US"/>
        </w:rPr>
        <w:t xml:space="preserve">– </w:t>
      </w:r>
      <w:r w:rsidRPr="00D549EE">
        <w:rPr>
          <w:color w:val="000000" w:themeColor="text1"/>
          <w:sz w:val="28"/>
          <w:szCs w:val="28"/>
          <w:lang w:val="en-US"/>
        </w:rPr>
        <w:t xml:space="preserve">Budget deficit (surplus) as a percentage of GDP, 2005-2020 </w:t>
      </w:r>
    </w:p>
    <w:p w14:paraId="20734B69" w14:textId="77777777" w:rsidR="005052D9" w:rsidRPr="00D549EE" w:rsidRDefault="005052D9" w:rsidP="00C9582F">
      <w:pPr>
        <w:ind w:firstLine="708"/>
        <w:rPr>
          <w:color w:val="000000" w:themeColor="text1"/>
          <w:sz w:val="28"/>
          <w:szCs w:val="28"/>
          <w:lang w:val="en-US"/>
        </w:rPr>
      </w:pPr>
    </w:p>
    <w:p w14:paraId="58D5E1AC" w14:textId="65CE33B4" w:rsidR="00472134" w:rsidRPr="00D549EE" w:rsidRDefault="005052D9" w:rsidP="00C9582F">
      <w:pPr>
        <w:ind w:firstLine="708"/>
        <w:rPr>
          <w:color w:val="000000" w:themeColor="text1"/>
          <w:lang w:val="en-US"/>
        </w:rPr>
      </w:pPr>
      <w:r w:rsidRPr="00D549EE">
        <w:rPr>
          <w:lang w:val="en-US"/>
        </w:rPr>
        <w:t>Note – Source</w:t>
      </w:r>
      <w:r w:rsidRPr="00D549EE">
        <w:rPr>
          <w:color w:val="000000" w:themeColor="text1"/>
          <w:lang w:val="en-US"/>
        </w:rPr>
        <w:t xml:space="preserve"> </w:t>
      </w:r>
      <w:r w:rsidR="00472134" w:rsidRPr="00D549EE">
        <w:rPr>
          <w:color w:val="000000" w:themeColor="text1"/>
          <w:lang w:val="en-US"/>
        </w:rPr>
        <w:fldChar w:fldCharType="begin" w:fldLock="1"/>
      </w:r>
      <w:r w:rsidR="00CB6E54" w:rsidRPr="00D549EE">
        <w:rPr>
          <w:color w:val="000000" w:themeColor="text1"/>
          <w:lang w:val="en-US"/>
        </w:rPr>
        <w:instrText>ADDIN CSL_CITATION {"citationItems":[{"id":"ITEM-1","itemData":{"URL":"https://stat.gov.kz/official/dynamic","author":[{"dropping-particle":"","family":"Bureau of National Statistics","given":"","non-dropping-particle":"","parse-names":false,"suffix":""}],"id":"ITEM-1","issued":{"date-parts":[["2020"]]},"title":"The main socio-economic indicators of the Republic of Kazakhstan","type":"webpage"},"uris":["http://www.mendeley.com/documents/?uuid=6222d9be-20b4-4abc-8ce1-13c22a30da31"]}],"mendeley":{"formattedCitation":"[112]","plainTextFormattedCitation":"[112]","previouslyFormattedCitation":"[112]"},"properties":{"noteIndex":0},"schema":"https://github.com/citation-style-language/schema/raw/master/csl-citation.json"}</w:instrText>
      </w:r>
      <w:r w:rsidR="00472134" w:rsidRPr="00D549EE">
        <w:rPr>
          <w:color w:val="000000" w:themeColor="text1"/>
          <w:lang w:val="en-US"/>
        </w:rPr>
        <w:fldChar w:fldCharType="separate"/>
      </w:r>
      <w:r w:rsidR="00B25838" w:rsidRPr="00D549EE">
        <w:rPr>
          <w:noProof/>
          <w:color w:val="000000" w:themeColor="text1"/>
          <w:lang w:val="en-US"/>
        </w:rPr>
        <w:t>[112]</w:t>
      </w:r>
      <w:r w:rsidR="00472134" w:rsidRPr="00D549EE">
        <w:rPr>
          <w:color w:val="000000" w:themeColor="text1"/>
          <w:lang w:val="en-US"/>
        </w:rPr>
        <w:fldChar w:fldCharType="end"/>
      </w:r>
    </w:p>
    <w:p w14:paraId="332A9BDF" w14:textId="04AA8DB6" w:rsidR="00676B3B" w:rsidRPr="00D549EE" w:rsidRDefault="00676B3B" w:rsidP="00C9582F">
      <w:pPr>
        <w:ind w:firstLine="708"/>
        <w:jc w:val="both"/>
        <w:rPr>
          <w:color w:val="000000" w:themeColor="text1"/>
          <w:sz w:val="28"/>
          <w:szCs w:val="28"/>
          <w:lang w:val="en-US"/>
        </w:rPr>
      </w:pPr>
    </w:p>
    <w:p w14:paraId="51C96D58" w14:textId="77777777" w:rsidR="0028475F" w:rsidRDefault="0028475F" w:rsidP="00C9582F">
      <w:pPr>
        <w:ind w:firstLine="708"/>
        <w:jc w:val="both"/>
        <w:rPr>
          <w:bCs/>
          <w:color w:val="000000"/>
          <w:sz w:val="28"/>
          <w:szCs w:val="28"/>
          <w:lang w:val="en-US"/>
        </w:rPr>
      </w:pPr>
      <w:r w:rsidRPr="0028475F">
        <w:rPr>
          <w:bCs/>
          <w:color w:val="000000"/>
          <w:sz w:val="28"/>
          <w:szCs w:val="28"/>
          <w:lang w:val="en-US"/>
        </w:rPr>
        <w:t>According to the World Factbook, Kazakhstan is in 11th place among export-oriented countries, with an export amount of 1 595 thousand barrels per day, which is more than 86 barrels per thousand people per day. The country produces Brent Crude oil and is a member of OIC (Organization of Islamic Cooperation).</w:t>
      </w:r>
    </w:p>
    <w:p w14:paraId="3740BE3B" w14:textId="3600A512" w:rsidR="00676B3B" w:rsidRPr="00D549EE" w:rsidRDefault="00CE1B45" w:rsidP="00C9582F">
      <w:pPr>
        <w:ind w:firstLine="708"/>
        <w:jc w:val="both"/>
        <w:rPr>
          <w:color w:val="000000" w:themeColor="text1"/>
          <w:sz w:val="28"/>
          <w:szCs w:val="28"/>
          <w:lang w:val="en-US"/>
        </w:rPr>
      </w:pPr>
      <w:r w:rsidRPr="00D549EE">
        <w:rPr>
          <w:noProof/>
        </w:rPr>
        <w:lastRenderedPageBreak/>
        <w:drawing>
          <wp:inline distT="0" distB="0" distL="0" distR="0" wp14:anchorId="44666B0D" wp14:editId="10980D12">
            <wp:extent cx="5114925" cy="1718797"/>
            <wp:effectExtent l="0" t="0" r="15875" b="8890"/>
            <wp:docPr id="8" name="Диаграмма 8">
              <a:extLst xmlns:a="http://schemas.openxmlformats.org/drawingml/2006/main">
                <a:ext uri="{FF2B5EF4-FFF2-40B4-BE49-F238E27FC236}">
                  <a16:creationId xmlns:a16="http://schemas.microsoft.com/office/drawing/2014/main" id="{673F93DF-1DA3-C648-B081-55A1F3D90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2527843" w14:textId="2BEC181D" w:rsidR="00AB5FDC" w:rsidRPr="00D549EE" w:rsidRDefault="00AB5FDC" w:rsidP="00C9582F">
      <w:pPr>
        <w:ind w:firstLine="708"/>
        <w:jc w:val="both"/>
        <w:rPr>
          <w:bCs/>
          <w:color w:val="000000"/>
          <w:sz w:val="28"/>
          <w:szCs w:val="28"/>
          <w:lang w:val="en-US"/>
        </w:rPr>
      </w:pPr>
      <w:r w:rsidRPr="00D549EE">
        <w:rPr>
          <w:bCs/>
          <w:color w:val="000000"/>
          <w:sz w:val="28"/>
          <w:szCs w:val="28"/>
          <w:lang w:val="en-US"/>
        </w:rPr>
        <w:t xml:space="preserve"> </w:t>
      </w:r>
    </w:p>
    <w:p w14:paraId="0106DBBA" w14:textId="3CD6C3E4" w:rsidR="005052D9" w:rsidRPr="00D549EE" w:rsidRDefault="00CE1B45" w:rsidP="00C9582F">
      <w:pPr>
        <w:ind w:firstLine="708"/>
        <w:jc w:val="center"/>
        <w:rPr>
          <w:b/>
          <w:bCs/>
          <w:color w:val="000000" w:themeColor="text1"/>
          <w:sz w:val="28"/>
          <w:szCs w:val="28"/>
          <w:lang w:val="en-US"/>
        </w:rPr>
      </w:pPr>
      <w:r w:rsidRPr="00D549EE">
        <w:rPr>
          <w:bCs/>
          <w:color w:val="000000" w:themeColor="text1"/>
          <w:sz w:val="28"/>
          <w:szCs w:val="28"/>
          <w:lang w:val="en-US"/>
        </w:rPr>
        <w:t xml:space="preserve">Figure </w:t>
      </w:r>
      <w:r w:rsidR="00572EBD" w:rsidRPr="00D549EE">
        <w:rPr>
          <w:bCs/>
          <w:color w:val="000000" w:themeColor="text1"/>
          <w:sz w:val="28"/>
          <w:szCs w:val="28"/>
          <w:lang w:val="en-US"/>
        </w:rPr>
        <w:t>1</w:t>
      </w:r>
      <w:r w:rsidR="00894051" w:rsidRPr="00D549EE">
        <w:rPr>
          <w:bCs/>
          <w:color w:val="000000" w:themeColor="text1"/>
          <w:sz w:val="28"/>
          <w:szCs w:val="28"/>
          <w:lang w:val="en-US"/>
        </w:rPr>
        <w:t>7</w:t>
      </w:r>
      <w:r w:rsidR="005052D9" w:rsidRPr="00D549EE">
        <w:rPr>
          <w:b/>
          <w:bCs/>
          <w:color w:val="000000" w:themeColor="text1"/>
          <w:sz w:val="28"/>
          <w:szCs w:val="28"/>
          <w:lang w:val="en-US"/>
        </w:rPr>
        <w:t xml:space="preserve"> </w:t>
      </w:r>
      <w:r w:rsidR="005052D9" w:rsidRPr="00D549EE">
        <w:rPr>
          <w:sz w:val="28"/>
          <w:szCs w:val="28"/>
          <w:lang w:val="en-US"/>
        </w:rPr>
        <w:t>–</w:t>
      </w:r>
      <w:r w:rsidRPr="00D549EE">
        <w:rPr>
          <w:b/>
          <w:bCs/>
          <w:color w:val="000000" w:themeColor="text1"/>
          <w:sz w:val="28"/>
          <w:szCs w:val="28"/>
          <w:lang w:val="en-US"/>
        </w:rPr>
        <w:t xml:space="preserve"> </w:t>
      </w:r>
      <w:r w:rsidRPr="00D549EE">
        <w:rPr>
          <w:bCs/>
          <w:color w:val="000000" w:themeColor="text1"/>
          <w:sz w:val="28"/>
          <w:szCs w:val="28"/>
          <w:lang w:val="en-US"/>
        </w:rPr>
        <w:t>Average annual Brent crude oil price in USD for barrel, 2005-2021</w:t>
      </w:r>
      <w:r w:rsidRPr="00D549EE">
        <w:rPr>
          <w:b/>
          <w:bCs/>
          <w:color w:val="000000" w:themeColor="text1"/>
          <w:sz w:val="28"/>
          <w:szCs w:val="28"/>
          <w:lang w:val="en-US"/>
        </w:rPr>
        <w:t xml:space="preserve"> </w:t>
      </w:r>
    </w:p>
    <w:p w14:paraId="3E75FD26" w14:textId="77777777" w:rsidR="005052D9" w:rsidRPr="00D549EE" w:rsidRDefault="005052D9" w:rsidP="00C9582F">
      <w:pPr>
        <w:ind w:firstLine="708"/>
        <w:rPr>
          <w:color w:val="000000" w:themeColor="text1"/>
          <w:sz w:val="28"/>
          <w:szCs w:val="28"/>
          <w:lang w:val="en-US"/>
        </w:rPr>
      </w:pPr>
    </w:p>
    <w:p w14:paraId="2F281EB2" w14:textId="7A674619" w:rsidR="00CE1B45" w:rsidRPr="00D549EE" w:rsidRDefault="005052D9" w:rsidP="00C9582F">
      <w:pPr>
        <w:ind w:firstLine="708"/>
        <w:rPr>
          <w:b/>
          <w:bCs/>
          <w:color w:val="000000" w:themeColor="text1"/>
          <w:lang w:val="en-US"/>
        </w:rPr>
      </w:pPr>
      <w:r w:rsidRPr="00D549EE">
        <w:rPr>
          <w:lang w:val="en-US"/>
        </w:rPr>
        <w:t>Note – Source</w:t>
      </w:r>
      <w:r w:rsidR="00F76207" w:rsidRPr="00D549EE">
        <w:rPr>
          <w:color w:val="000000" w:themeColor="text1"/>
          <w:lang w:val="en-US"/>
        </w:rPr>
        <w:t xml:space="preserve"> </w:t>
      </w:r>
      <w:r w:rsidR="00B40C05" w:rsidRPr="00D549EE">
        <w:rPr>
          <w:color w:val="000000" w:themeColor="text1"/>
          <w:lang w:val="en-US"/>
        </w:rPr>
        <w:fldChar w:fldCharType="begin" w:fldLock="1"/>
      </w:r>
      <w:r w:rsidR="00CB6E54" w:rsidRPr="00D549EE">
        <w:rPr>
          <w:color w:val="000000" w:themeColor="text1"/>
          <w:lang w:val="en-US"/>
        </w:rPr>
        <w:instrText>ADDIN CSL_CITATION {"citationItems":[{"id":"ITEM-1","itemData":{"abstract":"Acinetobacter baumannii contains RND-family efflux systems AdeABC and AdeIJK, which pump out a wide range of antimicrobial compounds, as judged from the MIC changes occurring upon deletion of the responsible genes. However, these studies may miss changes because of the high backgrounds generated by the remaining pumps and by β-lactamases, and it is unclear how the activities of these pumps compare quantitatively with those of the well-studied AcrAB-TolC system of Escherichia coli. We expressed adeABC and adeIJK of A. baumannii, as well as E. coli acrAB, in an E. coli host from which acrAB was deleted. The A. baumannii pumps were functional in E. coli, and the MIC changes that were observed largely confirmed the substrate range already reported, with important differences. Thus, the AdeABC system pumped out all β-lactams, an activity that was often missed in deletion studies. When the expression level of the pump genes was adjusted to a similar level for a comparison with AcrAB-TolC, we found that both A. baumannii efflux systems pumped out a wide range of compounds, but AdeABC was less effective than AcrAB-TolC in the extrusion of lipophilic β-lactams, novobiocin, and ethidium bromide, although it was more effective at tetracycline efflux. AdeIJK was remarkably more effective than a similar level of AcrAB-TolC in the efflux of β-lactams, novobiocin, and ethidium bromide, although it was less so in the efflux of erythromycin. These results thus allow us to compare these efflux systems on a quantitative basis, if we can assume that the heterologous systems are fully functional in the E. coli host.","author":[{"dropping-particle":"","family":"Hieminga","given":"Gerben","non-dropping-particle":"","parse-names":false,"suffix":""},{"dropping-particle":"","family":"Patterson","given":"Warren","non-dropping-particle":"","parse-names":false,"suffix":""}],"container-title":"The Bipartisan Policy Center","id":"ITEM-1","issue":"January","issued":{"date-parts":[["2021"]]},"number-of-pages":"1-22","title":"Energy outlook 2021","type":"report","volume":"2021"},"uris":["http://www.mendeley.com/documents/?uuid=5cedc393-0fd9-4832-b9fc-2dc9f7e15ad1"]}],"mendeley":{"formattedCitation":"[113]","plainTextFormattedCitation":"[113]","previouslyFormattedCitation":"[113]"},"properties":{"noteIndex":0},"schema":"https://github.com/citation-style-language/schema/raw/master/csl-citation.json"}</w:instrText>
      </w:r>
      <w:r w:rsidR="00B40C05" w:rsidRPr="00D549EE">
        <w:rPr>
          <w:color w:val="000000" w:themeColor="text1"/>
          <w:lang w:val="en-US"/>
        </w:rPr>
        <w:fldChar w:fldCharType="separate"/>
      </w:r>
      <w:r w:rsidR="00B25838" w:rsidRPr="00D549EE">
        <w:rPr>
          <w:noProof/>
          <w:color w:val="000000" w:themeColor="text1"/>
          <w:lang w:val="en-US"/>
        </w:rPr>
        <w:t>[113]</w:t>
      </w:r>
      <w:r w:rsidR="00B40C05" w:rsidRPr="00D549EE">
        <w:rPr>
          <w:color w:val="000000" w:themeColor="text1"/>
          <w:lang w:val="en-US"/>
        </w:rPr>
        <w:fldChar w:fldCharType="end"/>
      </w:r>
    </w:p>
    <w:p w14:paraId="170E1AE8" w14:textId="77777777" w:rsidR="006A1BB7" w:rsidRPr="00D549EE" w:rsidRDefault="006A1BB7" w:rsidP="00C9582F">
      <w:pPr>
        <w:ind w:firstLine="708"/>
        <w:jc w:val="both"/>
        <w:rPr>
          <w:bCs/>
          <w:color w:val="000000"/>
          <w:sz w:val="28"/>
          <w:szCs w:val="28"/>
          <w:lang w:val="en-US"/>
        </w:rPr>
      </w:pPr>
    </w:p>
    <w:p w14:paraId="6F12C63D" w14:textId="772DE81E" w:rsidR="00CE1B45" w:rsidRPr="00D549EE" w:rsidRDefault="006C07DE" w:rsidP="00C9582F">
      <w:pPr>
        <w:jc w:val="both"/>
        <w:rPr>
          <w:bCs/>
          <w:color w:val="000000"/>
          <w:sz w:val="28"/>
          <w:szCs w:val="28"/>
          <w:lang w:val="en-US"/>
        </w:rPr>
      </w:pPr>
      <w:r w:rsidRPr="00D549EE">
        <w:rPr>
          <w:bCs/>
          <w:color w:val="000000"/>
          <w:sz w:val="28"/>
          <w:szCs w:val="28"/>
          <w:lang w:val="en-US"/>
        </w:rPr>
        <w:tab/>
      </w:r>
      <w:r w:rsidR="00D01066" w:rsidRPr="00D01066">
        <w:rPr>
          <w:bCs/>
          <w:color w:val="000000"/>
          <w:sz w:val="28"/>
          <w:szCs w:val="28"/>
          <w:lang w:val="en-US"/>
        </w:rPr>
        <w:t>Brent Crude is considered a classification of sweet light crude oil and acts as a benchmark price for oil worldwide. It is considered a sweet light crude oil due to its low sulfur content and density. It may be easily refined into gasoline. There has long been a correlation between the growth rate of Kazakhstan's GDP and oil prices, as 44% of the state budget is formed from tax revenues of the oil and gas sector, and the share of the oil in the country's export structure is 58.1% in 2019 [112].</w:t>
      </w:r>
    </w:p>
    <w:p w14:paraId="71112A4E" w14:textId="77777777" w:rsidR="00CE1B45" w:rsidRPr="00D549EE" w:rsidRDefault="00CE1B45" w:rsidP="00C9582F">
      <w:pPr>
        <w:ind w:firstLine="708"/>
        <w:jc w:val="both"/>
        <w:rPr>
          <w:bCs/>
          <w:color w:val="000000"/>
          <w:sz w:val="28"/>
          <w:szCs w:val="28"/>
          <w:lang w:val="en-US"/>
        </w:rPr>
      </w:pPr>
    </w:p>
    <w:p w14:paraId="5D174C48" w14:textId="61D651D4" w:rsidR="00D4010B" w:rsidRPr="00D549EE" w:rsidRDefault="00D4010B" w:rsidP="00C9582F">
      <w:pPr>
        <w:jc w:val="both"/>
        <w:rPr>
          <w:bCs/>
          <w:color w:val="000000"/>
          <w:sz w:val="28"/>
          <w:szCs w:val="28"/>
          <w:lang w:val="en-US"/>
        </w:rPr>
      </w:pPr>
      <w:r w:rsidRPr="00D549EE">
        <w:rPr>
          <w:noProof/>
        </w:rPr>
        <w:drawing>
          <wp:inline distT="0" distB="0" distL="0" distR="0" wp14:anchorId="760E0C87" wp14:editId="4A8EDCBF">
            <wp:extent cx="5781040" cy="1788160"/>
            <wp:effectExtent l="0" t="0" r="10160" b="15240"/>
            <wp:docPr id="26" name="Диаграмма 26">
              <a:extLst xmlns:a="http://schemas.openxmlformats.org/drawingml/2006/main">
                <a:ext uri="{FF2B5EF4-FFF2-40B4-BE49-F238E27FC236}">
                  <a16:creationId xmlns:a16="http://schemas.microsoft.com/office/drawing/2014/main" id="{CA6EC27D-47F2-344C-A91E-82401C7F1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2CAC855" w14:textId="27487B34" w:rsidR="00472134" w:rsidRPr="00D549EE" w:rsidRDefault="00472134" w:rsidP="00C9582F">
      <w:pPr>
        <w:ind w:firstLine="708"/>
        <w:jc w:val="both"/>
        <w:rPr>
          <w:bCs/>
          <w:color w:val="000000"/>
          <w:sz w:val="28"/>
          <w:szCs w:val="28"/>
          <w:lang w:val="en-US"/>
        </w:rPr>
      </w:pPr>
    </w:p>
    <w:p w14:paraId="4C1451F5" w14:textId="1402EF0B" w:rsidR="005052D9" w:rsidRPr="00D549EE" w:rsidRDefault="00D4010B" w:rsidP="00C9582F">
      <w:pPr>
        <w:ind w:firstLine="708"/>
        <w:jc w:val="center"/>
        <w:rPr>
          <w:b/>
          <w:bCs/>
          <w:color w:val="000000" w:themeColor="text1"/>
          <w:sz w:val="28"/>
          <w:szCs w:val="28"/>
          <w:lang w:val="en-US"/>
        </w:rPr>
      </w:pPr>
      <w:r w:rsidRPr="00D549EE">
        <w:rPr>
          <w:bCs/>
          <w:color w:val="000000" w:themeColor="text1"/>
          <w:sz w:val="28"/>
          <w:szCs w:val="28"/>
          <w:lang w:val="en-US"/>
        </w:rPr>
        <w:t xml:space="preserve">Figure </w:t>
      </w:r>
      <w:r w:rsidR="00CE1B45" w:rsidRPr="00D549EE">
        <w:rPr>
          <w:bCs/>
          <w:color w:val="000000" w:themeColor="text1"/>
          <w:sz w:val="28"/>
          <w:szCs w:val="28"/>
          <w:lang w:val="en-US"/>
        </w:rPr>
        <w:t>1</w:t>
      </w:r>
      <w:r w:rsidR="008A63DC" w:rsidRPr="00D549EE">
        <w:rPr>
          <w:bCs/>
          <w:color w:val="000000" w:themeColor="text1"/>
          <w:sz w:val="28"/>
          <w:szCs w:val="28"/>
          <w:lang w:val="en-US"/>
        </w:rPr>
        <w:t>8</w:t>
      </w:r>
      <w:r w:rsidRPr="00D549EE">
        <w:rPr>
          <w:b/>
          <w:bCs/>
          <w:color w:val="000000" w:themeColor="text1"/>
          <w:sz w:val="28"/>
          <w:szCs w:val="28"/>
          <w:lang w:val="en-US"/>
        </w:rPr>
        <w:t xml:space="preserve"> </w:t>
      </w:r>
      <w:r w:rsidR="005052D9" w:rsidRPr="00D549EE">
        <w:rPr>
          <w:sz w:val="28"/>
          <w:szCs w:val="28"/>
          <w:lang w:val="en-US"/>
        </w:rPr>
        <w:t>–</w:t>
      </w:r>
      <w:r w:rsidR="005052D9" w:rsidRPr="00D549EE">
        <w:rPr>
          <w:b/>
          <w:bCs/>
          <w:color w:val="000000" w:themeColor="text1"/>
          <w:sz w:val="28"/>
          <w:szCs w:val="28"/>
          <w:lang w:val="en-US"/>
        </w:rPr>
        <w:t xml:space="preserve"> </w:t>
      </w:r>
      <w:r w:rsidRPr="00D549EE">
        <w:rPr>
          <w:bCs/>
          <w:color w:val="000000" w:themeColor="text1"/>
          <w:sz w:val="28"/>
          <w:szCs w:val="28"/>
          <w:lang w:val="en-US"/>
        </w:rPr>
        <w:t>Currency exchange rate KZT/USD, 1993-2020</w:t>
      </w:r>
      <w:r w:rsidRPr="00D549EE">
        <w:rPr>
          <w:b/>
          <w:bCs/>
          <w:color w:val="000000" w:themeColor="text1"/>
          <w:sz w:val="28"/>
          <w:szCs w:val="28"/>
          <w:lang w:val="en-US"/>
        </w:rPr>
        <w:t xml:space="preserve"> </w:t>
      </w:r>
    </w:p>
    <w:p w14:paraId="03858B2D" w14:textId="77777777" w:rsidR="005052D9" w:rsidRPr="00D549EE" w:rsidRDefault="005052D9" w:rsidP="00C9582F">
      <w:pPr>
        <w:ind w:firstLine="708"/>
        <w:jc w:val="center"/>
        <w:rPr>
          <w:color w:val="000000" w:themeColor="text1"/>
          <w:sz w:val="28"/>
          <w:szCs w:val="28"/>
          <w:lang w:val="en-US"/>
        </w:rPr>
      </w:pPr>
    </w:p>
    <w:p w14:paraId="65BD73B9" w14:textId="1C29E4A7" w:rsidR="00D4010B" w:rsidRPr="00D549EE" w:rsidRDefault="005052D9" w:rsidP="00C9582F">
      <w:pPr>
        <w:ind w:firstLine="708"/>
        <w:rPr>
          <w:b/>
          <w:bCs/>
          <w:color w:val="000000" w:themeColor="text1"/>
          <w:lang w:val="en-US"/>
        </w:rPr>
      </w:pPr>
      <w:r w:rsidRPr="00D549EE">
        <w:rPr>
          <w:lang w:val="en-US"/>
        </w:rPr>
        <w:t>Note – Source</w:t>
      </w:r>
      <w:r w:rsidRPr="00D549EE">
        <w:rPr>
          <w:color w:val="000000" w:themeColor="text1"/>
          <w:lang w:val="en-US"/>
        </w:rPr>
        <w:t xml:space="preserve"> </w:t>
      </w:r>
      <w:r w:rsidR="00F44CB5" w:rsidRPr="00D549EE">
        <w:rPr>
          <w:color w:val="000000" w:themeColor="text1"/>
          <w:lang w:val="en-US"/>
        </w:rPr>
        <w:fldChar w:fldCharType="begin" w:fldLock="1"/>
      </w:r>
      <w:r w:rsidR="00CB6E54" w:rsidRPr="00D549EE">
        <w:rPr>
          <w:color w:val="000000" w:themeColor="text1"/>
          <w:lang w:val="en-US"/>
        </w:rPr>
        <w:instrText>ADDIN CSL_CITATION {"citationItems":[{"id":"ITEM-1","itemData":{"URL":"https://stat.gov.kz/official/dynamic","author":[{"dropping-particle":"","family":"Bureau of National Statistics","given":"","non-dropping-particle":"","parse-names":false,"suffix":""}],"id":"ITEM-1","issued":{"date-parts":[["2020"]]},"title":"The main socio-economic indicators of the Republic of Kazakhstan","type":"webpage"},"uris":["http://www.mendeley.com/documents/?uuid=6222d9be-20b4-4abc-8ce1-13c22a30da31"]}],"mendeley":{"formattedCitation":"[112]","plainTextFormattedCitation":"[112]","previouslyFormattedCitation":"[112]"},"properties":{"noteIndex":0},"schema":"https://github.com/citation-style-language/schema/raw/master/csl-citation.json"}</w:instrText>
      </w:r>
      <w:r w:rsidR="00F44CB5" w:rsidRPr="00D549EE">
        <w:rPr>
          <w:color w:val="000000" w:themeColor="text1"/>
          <w:lang w:val="en-US"/>
        </w:rPr>
        <w:fldChar w:fldCharType="separate"/>
      </w:r>
      <w:r w:rsidR="00B25838" w:rsidRPr="00D549EE">
        <w:rPr>
          <w:noProof/>
          <w:color w:val="000000" w:themeColor="text1"/>
          <w:lang w:val="en-US"/>
        </w:rPr>
        <w:t>[112]</w:t>
      </w:r>
      <w:r w:rsidR="00F44CB5" w:rsidRPr="00D549EE">
        <w:rPr>
          <w:color w:val="000000" w:themeColor="text1"/>
          <w:lang w:val="en-US"/>
        </w:rPr>
        <w:fldChar w:fldCharType="end"/>
      </w:r>
    </w:p>
    <w:p w14:paraId="0F6E8B37" w14:textId="1CA0C736" w:rsidR="00440137" w:rsidRPr="00D549EE" w:rsidRDefault="00440137" w:rsidP="00C9582F">
      <w:pPr>
        <w:ind w:firstLine="708"/>
        <w:jc w:val="both"/>
        <w:rPr>
          <w:b/>
          <w:bCs/>
          <w:color w:val="000000" w:themeColor="text1"/>
          <w:sz w:val="28"/>
          <w:szCs w:val="28"/>
          <w:lang w:val="en-US"/>
        </w:rPr>
      </w:pPr>
    </w:p>
    <w:p w14:paraId="7DE6FF41" w14:textId="77777777" w:rsidR="00D01066" w:rsidRDefault="00D01066" w:rsidP="00C9582F">
      <w:pPr>
        <w:jc w:val="both"/>
        <w:rPr>
          <w:bCs/>
          <w:color w:val="000000" w:themeColor="text1"/>
          <w:sz w:val="28"/>
          <w:szCs w:val="28"/>
          <w:lang w:val="en-US"/>
        </w:rPr>
      </w:pPr>
      <w:r>
        <w:rPr>
          <w:bCs/>
          <w:color w:val="000000" w:themeColor="text1"/>
          <w:sz w:val="28"/>
          <w:szCs w:val="28"/>
          <w:lang w:val="en-US"/>
        </w:rPr>
        <w:tab/>
      </w:r>
      <w:r w:rsidRPr="00D01066">
        <w:rPr>
          <w:bCs/>
          <w:color w:val="000000" w:themeColor="text1"/>
          <w:sz w:val="28"/>
          <w:szCs w:val="28"/>
          <w:lang w:val="en-US"/>
        </w:rPr>
        <w:t xml:space="preserve">As can be seen from figure 16, the unemployment rate in the country is 4.9% of the employable population under 15 years old, from 9. 197 million people, that is 453 thousand unemployed population. There is some inconvenience in official statistics, a significant part of Kazakhstanis is classified as self-employed – 2.069 million, while their activities and income are completely different. These include entrepreneurs who have their own enterprises and are unproductively employed, including unpaid employees of family enterprises, whose incomes sometimes do not reach the minimum living costs.  </w:t>
      </w:r>
    </w:p>
    <w:p w14:paraId="46643017" w14:textId="368A979C" w:rsidR="00440137" w:rsidRPr="00D549EE" w:rsidRDefault="006811B4" w:rsidP="00C9582F">
      <w:pPr>
        <w:jc w:val="both"/>
        <w:rPr>
          <w:b/>
          <w:bCs/>
          <w:color w:val="000000" w:themeColor="text1"/>
          <w:sz w:val="28"/>
          <w:szCs w:val="28"/>
          <w:lang w:val="en-US"/>
        </w:rPr>
      </w:pPr>
      <w:r w:rsidRPr="00D549EE">
        <w:rPr>
          <w:noProof/>
        </w:rPr>
        <w:lastRenderedPageBreak/>
        <w:drawing>
          <wp:inline distT="0" distB="0" distL="0" distR="0" wp14:anchorId="01AD9E7C" wp14:editId="1BCB292E">
            <wp:extent cx="6116320" cy="2602865"/>
            <wp:effectExtent l="0" t="0" r="17780" b="13335"/>
            <wp:docPr id="22" name="Диаграмма 22">
              <a:extLst xmlns:a="http://schemas.openxmlformats.org/drawingml/2006/main">
                <a:ext uri="{FF2B5EF4-FFF2-40B4-BE49-F238E27FC236}">
                  <a16:creationId xmlns:a16="http://schemas.microsoft.com/office/drawing/2014/main" id="{FD21CD01-9941-CD4F-8684-6DF624612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78B1B69" w14:textId="356A1A4A" w:rsidR="00440137" w:rsidRPr="00D549EE" w:rsidRDefault="00440137" w:rsidP="00C9582F">
      <w:pPr>
        <w:ind w:firstLine="708"/>
        <w:jc w:val="both"/>
        <w:rPr>
          <w:b/>
          <w:bCs/>
          <w:color w:val="000000" w:themeColor="text1"/>
          <w:sz w:val="28"/>
          <w:szCs w:val="28"/>
          <w:lang w:val="en-US"/>
        </w:rPr>
      </w:pPr>
    </w:p>
    <w:p w14:paraId="7FA1B98A" w14:textId="446B3730" w:rsidR="005052D9" w:rsidRPr="00D549EE" w:rsidRDefault="00440137" w:rsidP="00C9582F">
      <w:pPr>
        <w:ind w:firstLine="708"/>
        <w:jc w:val="center"/>
        <w:rPr>
          <w:b/>
          <w:bCs/>
          <w:color w:val="000000" w:themeColor="text1"/>
          <w:sz w:val="28"/>
          <w:szCs w:val="28"/>
          <w:lang w:val="en-US"/>
        </w:rPr>
      </w:pPr>
      <w:r w:rsidRPr="00D549EE">
        <w:rPr>
          <w:bCs/>
          <w:color w:val="000000" w:themeColor="text1"/>
          <w:sz w:val="28"/>
          <w:szCs w:val="28"/>
          <w:lang w:val="en-US"/>
        </w:rPr>
        <w:t>Figure 1</w:t>
      </w:r>
      <w:r w:rsidR="008A63DC" w:rsidRPr="00D549EE">
        <w:rPr>
          <w:bCs/>
          <w:color w:val="000000" w:themeColor="text1"/>
          <w:sz w:val="28"/>
          <w:szCs w:val="28"/>
          <w:lang w:val="en-US"/>
        </w:rPr>
        <w:t>9</w:t>
      </w:r>
      <w:r w:rsidR="005052D9" w:rsidRPr="00D549EE">
        <w:rPr>
          <w:b/>
          <w:bCs/>
          <w:color w:val="000000" w:themeColor="text1"/>
          <w:sz w:val="28"/>
          <w:szCs w:val="28"/>
          <w:lang w:val="en-US"/>
        </w:rPr>
        <w:t xml:space="preserve">  </w:t>
      </w:r>
      <w:r w:rsidR="005052D9" w:rsidRPr="00D549EE">
        <w:rPr>
          <w:sz w:val="28"/>
          <w:szCs w:val="28"/>
          <w:lang w:val="en-US"/>
        </w:rPr>
        <w:t>–</w:t>
      </w:r>
      <w:r w:rsidRPr="00D549EE">
        <w:rPr>
          <w:b/>
          <w:bCs/>
          <w:color w:val="000000" w:themeColor="text1"/>
          <w:sz w:val="28"/>
          <w:szCs w:val="28"/>
          <w:lang w:val="en-US"/>
        </w:rPr>
        <w:t xml:space="preserve"> </w:t>
      </w:r>
      <w:r w:rsidRPr="00D549EE">
        <w:rPr>
          <w:bCs/>
          <w:color w:val="000000" w:themeColor="text1"/>
          <w:sz w:val="28"/>
          <w:szCs w:val="28"/>
          <w:lang w:val="en-US"/>
        </w:rPr>
        <w:t>Unemployment rate 2000-2020</w:t>
      </w:r>
      <w:r w:rsidR="00CF6059" w:rsidRPr="00D549EE">
        <w:rPr>
          <w:bCs/>
          <w:color w:val="000000" w:themeColor="text1"/>
          <w:sz w:val="28"/>
          <w:szCs w:val="28"/>
          <w:lang w:val="en-US"/>
        </w:rPr>
        <w:t xml:space="preserve"> (% of employable population</w:t>
      </w:r>
      <w:r w:rsidR="000E3901" w:rsidRPr="00D549EE">
        <w:rPr>
          <w:bCs/>
          <w:color w:val="000000" w:themeColor="text1"/>
          <w:sz w:val="28"/>
          <w:szCs w:val="28"/>
          <w:lang w:val="en-US"/>
        </w:rPr>
        <w:t>, unemployed population, thousand people</w:t>
      </w:r>
      <w:r w:rsidR="00CF6059" w:rsidRPr="00D549EE">
        <w:rPr>
          <w:bCs/>
          <w:color w:val="000000" w:themeColor="text1"/>
          <w:sz w:val="28"/>
          <w:szCs w:val="28"/>
          <w:lang w:val="en-US"/>
        </w:rPr>
        <w:t xml:space="preserve">) </w:t>
      </w:r>
      <w:r w:rsidRPr="00D549EE">
        <w:rPr>
          <w:b/>
          <w:bCs/>
          <w:color w:val="000000" w:themeColor="text1"/>
          <w:sz w:val="28"/>
          <w:szCs w:val="28"/>
          <w:lang w:val="en-US"/>
        </w:rPr>
        <w:t xml:space="preserve"> </w:t>
      </w:r>
    </w:p>
    <w:p w14:paraId="23352C88" w14:textId="77777777" w:rsidR="005052D9" w:rsidRPr="00D549EE" w:rsidRDefault="005052D9" w:rsidP="00C9582F">
      <w:pPr>
        <w:ind w:firstLine="708"/>
        <w:jc w:val="center"/>
        <w:rPr>
          <w:color w:val="000000" w:themeColor="text1"/>
          <w:sz w:val="28"/>
          <w:szCs w:val="28"/>
          <w:lang w:val="en-US"/>
        </w:rPr>
      </w:pPr>
    </w:p>
    <w:p w14:paraId="2B65AB9B" w14:textId="7F8D3C2E" w:rsidR="00440137" w:rsidRPr="00D549EE" w:rsidRDefault="005052D9" w:rsidP="00C9582F">
      <w:pPr>
        <w:ind w:firstLine="708"/>
        <w:rPr>
          <w:b/>
          <w:bCs/>
          <w:color w:val="000000" w:themeColor="text1"/>
          <w:lang w:val="en-US"/>
        </w:rPr>
      </w:pPr>
      <w:r w:rsidRPr="00D549EE">
        <w:rPr>
          <w:lang w:val="en-US"/>
        </w:rPr>
        <w:t>Note – Source</w:t>
      </w:r>
      <w:r w:rsidRPr="00D549EE">
        <w:rPr>
          <w:color w:val="000000" w:themeColor="text1"/>
          <w:lang w:val="en-US"/>
        </w:rPr>
        <w:t xml:space="preserve"> </w:t>
      </w:r>
      <w:r w:rsidR="00440137" w:rsidRPr="00D549EE">
        <w:rPr>
          <w:color w:val="000000" w:themeColor="text1"/>
          <w:lang w:val="en-US"/>
        </w:rPr>
        <w:fldChar w:fldCharType="begin" w:fldLock="1"/>
      </w:r>
      <w:r w:rsidR="00CB6E54" w:rsidRPr="00D549EE">
        <w:rPr>
          <w:color w:val="000000" w:themeColor="text1"/>
          <w:lang w:val="en-US"/>
        </w:rPr>
        <w:instrText>ADDIN CSL_CITATION {"citationItems":[{"id":"ITEM-1","itemData":{"URL":"https://stat.gov.kz/official/dynamic","author":[{"dropping-particle":"","family":"Bureau of National Statistics","given":"","non-dropping-particle":"","parse-names":false,"suffix":""}],"id":"ITEM-1","issued":{"date-parts":[["2020"]]},"title":"The main socio-economic indicators of the Republic of Kazakhstan","type":"webpage"},"uris":["http://www.mendeley.com/documents/?uuid=6222d9be-20b4-4abc-8ce1-13c22a30da31"]}],"mendeley":{"formattedCitation":"[112]","plainTextFormattedCitation":"[112]","previouslyFormattedCitation":"[112]"},"properties":{"noteIndex":0},"schema":"https://github.com/citation-style-language/schema/raw/master/csl-citation.json"}</w:instrText>
      </w:r>
      <w:r w:rsidR="00440137" w:rsidRPr="00D549EE">
        <w:rPr>
          <w:color w:val="000000" w:themeColor="text1"/>
          <w:lang w:val="en-US"/>
        </w:rPr>
        <w:fldChar w:fldCharType="separate"/>
      </w:r>
      <w:r w:rsidR="00B25838" w:rsidRPr="00D549EE">
        <w:rPr>
          <w:noProof/>
          <w:color w:val="000000" w:themeColor="text1"/>
          <w:lang w:val="en-US"/>
        </w:rPr>
        <w:t>[112]</w:t>
      </w:r>
      <w:r w:rsidR="00440137" w:rsidRPr="00D549EE">
        <w:rPr>
          <w:color w:val="000000" w:themeColor="text1"/>
          <w:lang w:val="en-US"/>
        </w:rPr>
        <w:fldChar w:fldCharType="end"/>
      </w:r>
    </w:p>
    <w:p w14:paraId="427F5ED3" w14:textId="7FEF81F5" w:rsidR="00440137" w:rsidRPr="00D549EE" w:rsidRDefault="00440137" w:rsidP="00C9582F">
      <w:pPr>
        <w:ind w:firstLine="708"/>
        <w:jc w:val="both"/>
        <w:rPr>
          <w:b/>
          <w:bCs/>
          <w:color w:val="000000" w:themeColor="text1"/>
          <w:sz w:val="28"/>
          <w:szCs w:val="28"/>
          <w:lang w:val="en-US"/>
        </w:rPr>
      </w:pPr>
    </w:p>
    <w:p w14:paraId="438E2D59" w14:textId="06C9C447" w:rsidR="00440137" w:rsidRDefault="00D01066" w:rsidP="00C9582F">
      <w:pPr>
        <w:ind w:firstLine="708"/>
        <w:jc w:val="both"/>
        <w:rPr>
          <w:bCs/>
          <w:color w:val="000000" w:themeColor="text1"/>
          <w:sz w:val="28"/>
          <w:szCs w:val="28"/>
          <w:lang w:val="en-US"/>
        </w:rPr>
      </w:pPr>
      <w:r w:rsidRPr="00D01066">
        <w:rPr>
          <w:bCs/>
          <w:color w:val="000000" w:themeColor="text1"/>
          <w:sz w:val="28"/>
          <w:szCs w:val="28"/>
          <w:lang w:val="en-US"/>
        </w:rPr>
        <w:t>According to experts, most self-employed are low-income citizens with less than minimum living costs. Furthermore, 148.8 thousand people registered with the employment authorities as unemployed.</w:t>
      </w:r>
    </w:p>
    <w:p w14:paraId="057B7B8A" w14:textId="77777777" w:rsidR="00D01066" w:rsidRPr="00D549EE" w:rsidRDefault="00D01066" w:rsidP="00C9582F">
      <w:pPr>
        <w:ind w:firstLine="708"/>
        <w:jc w:val="both"/>
        <w:rPr>
          <w:b/>
          <w:bCs/>
          <w:color w:val="000000" w:themeColor="text1"/>
          <w:sz w:val="28"/>
          <w:szCs w:val="28"/>
          <w:lang w:val="en-US"/>
        </w:rPr>
      </w:pPr>
    </w:p>
    <w:p w14:paraId="37B1CB77" w14:textId="5D18443A" w:rsidR="000744BC" w:rsidRPr="00D549EE" w:rsidRDefault="008B66D4" w:rsidP="00C9582F">
      <w:pPr>
        <w:jc w:val="both"/>
        <w:rPr>
          <w:b/>
          <w:bCs/>
          <w:color w:val="000000" w:themeColor="text1"/>
          <w:sz w:val="28"/>
          <w:szCs w:val="28"/>
          <w:lang w:val="en-US"/>
        </w:rPr>
      </w:pPr>
      <w:r w:rsidRPr="00D549EE">
        <w:rPr>
          <w:noProof/>
        </w:rPr>
        <w:drawing>
          <wp:inline distT="0" distB="0" distL="0" distR="0" wp14:anchorId="06FE462E" wp14:editId="63D715C5">
            <wp:extent cx="5562600" cy="2743200"/>
            <wp:effectExtent l="0" t="0" r="12700" b="12700"/>
            <wp:docPr id="29" name="Диаграмма 29">
              <a:extLst xmlns:a="http://schemas.openxmlformats.org/drawingml/2006/main">
                <a:ext uri="{FF2B5EF4-FFF2-40B4-BE49-F238E27FC236}">
                  <a16:creationId xmlns:a16="http://schemas.microsoft.com/office/drawing/2014/main" id="{45C97181-28FD-2B47-AC27-0E4F65014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EB39980" w14:textId="77777777" w:rsidR="00F44CB5" w:rsidRPr="00D549EE" w:rsidRDefault="00F44CB5" w:rsidP="00C9582F">
      <w:pPr>
        <w:ind w:firstLine="708"/>
        <w:jc w:val="both"/>
        <w:rPr>
          <w:b/>
          <w:bCs/>
          <w:color w:val="000000" w:themeColor="text1"/>
          <w:sz w:val="28"/>
          <w:szCs w:val="28"/>
          <w:lang w:val="en-US"/>
        </w:rPr>
      </w:pPr>
    </w:p>
    <w:p w14:paraId="5C6B3ADC" w14:textId="04A6D787" w:rsidR="005052D9" w:rsidRPr="00D549EE" w:rsidRDefault="00F44CB5" w:rsidP="002C5672">
      <w:pPr>
        <w:ind w:firstLine="708"/>
        <w:jc w:val="center"/>
        <w:rPr>
          <w:color w:val="000000" w:themeColor="text1"/>
          <w:sz w:val="28"/>
          <w:szCs w:val="28"/>
          <w:lang w:val="en-US"/>
        </w:rPr>
      </w:pPr>
      <w:r w:rsidRPr="00D549EE">
        <w:rPr>
          <w:bCs/>
          <w:color w:val="000000" w:themeColor="text1"/>
          <w:sz w:val="28"/>
          <w:szCs w:val="28"/>
          <w:lang w:val="en-US"/>
        </w:rPr>
        <w:t xml:space="preserve">Figure </w:t>
      </w:r>
      <w:r w:rsidR="008A63DC" w:rsidRPr="00D549EE">
        <w:rPr>
          <w:bCs/>
          <w:color w:val="000000" w:themeColor="text1"/>
          <w:sz w:val="28"/>
          <w:szCs w:val="28"/>
          <w:lang w:val="en-US"/>
        </w:rPr>
        <w:t>20</w:t>
      </w:r>
      <w:r w:rsidR="005052D9" w:rsidRPr="00D549EE">
        <w:rPr>
          <w:b/>
          <w:bCs/>
          <w:color w:val="000000" w:themeColor="text1"/>
          <w:sz w:val="28"/>
          <w:szCs w:val="28"/>
          <w:lang w:val="en-US"/>
        </w:rPr>
        <w:t xml:space="preserve"> </w:t>
      </w:r>
      <w:r w:rsidR="005052D9" w:rsidRPr="00D549EE">
        <w:rPr>
          <w:sz w:val="28"/>
          <w:szCs w:val="28"/>
          <w:lang w:val="en-US"/>
        </w:rPr>
        <w:t>–</w:t>
      </w:r>
      <w:r w:rsidRPr="00D549EE">
        <w:rPr>
          <w:b/>
          <w:bCs/>
          <w:color w:val="000000" w:themeColor="text1"/>
          <w:sz w:val="28"/>
          <w:szCs w:val="28"/>
          <w:lang w:val="en-US"/>
        </w:rPr>
        <w:t xml:space="preserve"> </w:t>
      </w:r>
      <w:r w:rsidRPr="00D549EE">
        <w:rPr>
          <w:color w:val="000000" w:themeColor="text1"/>
          <w:sz w:val="28"/>
          <w:szCs w:val="28"/>
          <w:lang w:val="en-US"/>
        </w:rPr>
        <w:t xml:space="preserve">Poverty headcount ratio at national poverty line (% of total population) </w:t>
      </w:r>
      <w:r w:rsidR="008B66D4" w:rsidRPr="00D549EE">
        <w:rPr>
          <w:color w:val="000000" w:themeColor="text1"/>
          <w:sz w:val="28"/>
          <w:szCs w:val="28"/>
          <w:lang w:val="en-US"/>
        </w:rPr>
        <w:t xml:space="preserve">and </w:t>
      </w:r>
      <w:r w:rsidR="008B66D4" w:rsidRPr="00D549EE">
        <w:rPr>
          <w:bCs/>
          <w:color w:val="000000" w:themeColor="text1"/>
          <w:sz w:val="28"/>
          <w:szCs w:val="28"/>
          <w:lang w:val="en-US"/>
        </w:rPr>
        <w:t>the minimum wage in USD</w:t>
      </w:r>
      <w:r w:rsidR="008B66D4" w:rsidRPr="00D549EE">
        <w:rPr>
          <w:color w:val="000000" w:themeColor="text1"/>
          <w:sz w:val="28"/>
          <w:szCs w:val="28"/>
          <w:lang w:val="en-US"/>
        </w:rPr>
        <w:t xml:space="preserve"> </w:t>
      </w:r>
      <w:r w:rsidRPr="00D549EE">
        <w:rPr>
          <w:color w:val="000000" w:themeColor="text1"/>
          <w:sz w:val="28"/>
          <w:szCs w:val="28"/>
          <w:lang w:val="en-US"/>
        </w:rPr>
        <w:t>200</w:t>
      </w:r>
      <w:r w:rsidR="008B66D4" w:rsidRPr="00D549EE">
        <w:rPr>
          <w:color w:val="000000" w:themeColor="text1"/>
          <w:sz w:val="28"/>
          <w:szCs w:val="28"/>
          <w:lang w:val="en-US"/>
        </w:rPr>
        <w:t>0</w:t>
      </w:r>
      <w:r w:rsidRPr="00D549EE">
        <w:rPr>
          <w:color w:val="000000" w:themeColor="text1"/>
          <w:sz w:val="28"/>
          <w:szCs w:val="28"/>
          <w:lang w:val="en-US"/>
        </w:rPr>
        <w:t>-2020</w:t>
      </w:r>
    </w:p>
    <w:p w14:paraId="641B879A" w14:textId="77777777" w:rsidR="005052D9" w:rsidRPr="00D549EE" w:rsidRDefault="005052D9" w:rsidP="00C9582F">
      <w:pPr>
        <w:ind w:firstLine="708"/>
        <w:rPr>
          <w:lang w:val="en-US"/>
        </w:rPr>
      </w:pPr>
    </w:p>
    <w:p w14:paraId="506A891D" w14:textId="10610A8E" w:rsidR="00F44CB5" w:rsidRPr="00D549EE" w:rsidRDefault="005052D9" w:rsidP="00C9582F">
      <w:pPr>
        <w:ind w:firstLine="708"/>
        <w:rPr>
          <w:color w:val="000000"/>
          <w:lang w:val="en-US"/>
        </w:rPr>
      </w:pPr>
      <w:r w:rsidRPr="00D549EE">
        <w:rPr>
          <w:lang w:val="en-US"/>
        </w:rPr>
        <w:t>Note – Source</w:t>
      </w:r>
      <w:r w:rsidRPr="00D549EE">
        <w:rPr>
          <w:color w:val="000000" w:themeColor="text1"/>
          <w:lang w:val="en-US"/>
        </w:rPr>
        <w:t xml:space="preserve"> </w:t>
      </w:r>
      <w:r w:rsidR="00F44CB5" w:rsidRPr="00D549EE">
        <w:rPr>
          <w:color w:val="000000" w:themeColor="text1"/>
          <w:lang w:val="en-US"/>
        </w:rPr>
        <w:fldChar w:fldCharType="begin" w:fldLock="1"/>
      </w:r>
      <w:r w:rsidR="00CB6E54" w:rsidRPr="00D549EE">
        <w:rPr>
          <w:color w:val="000000" w:themeColor="text1"/>
          <w:lang w:val="en-US"/>
        </w:rPr>
        <w:instrText>ADDIN CSL_CITATION {"citationItems":[{"id":"ITEM-1","itemData":{"URL":"https://stat.gov.kz/official/dynamic","author":[{"dropping-particle":"","family":"Bureau of National Statistics","given":"","non-dropping-particle":"","parse-names":false,"suffix":""}],"id":"ITEM-1","issued":{"date-parts":[["2020"]]},"title":"The main socio-economic indicators of the Republic of Kazakhstan","type":"webpage"},"uris":["http://www.mendeley.com/documents/?uuid=6222d9be-20b4-4abc-8ce1-13c22a30da31"]}],"mendeley":{"formattedCitation":"[112]","plainTextFormattedCitation":"[112]","previouslyFormattedCitation":"[112]"},"properties":{"noteIndex":0},"schema":"https://github.com/citation-style-language/schema/raw/master/csl-citation.json"}</w:instrText>
      </w:r>
      <w:r w:rsidR="00F44CB5" w:rsidRPr="00D549EE">
        <w:rPr>
          <w:color w:val="000000" w:themeColor="text1"/>
          <w:lang w:val="en-US"/>
        </w:rPr>
        <w:fldChar w:fldCharType="separate"/>
      </w:r>
      <w:r w:rsidR="00B25838" w:rsidRPr="00D549EE">
        <w:rPr>
          <w:noProof/>
          <w:color w:val="000000" w:themeColor="text1"/>
          <w:lang w:val="en-US"/>
        </w:rPr>
        <w:t>[112]</w:t>
      </w:r>
      <w:r w:rsidR="00F44CB5" w:rsidRPr="00D549EE">
        <w:rPr>
          <w:color w:val="000000" w:themeColor="text1"/>
          <w:lang w:val="en-US"/>
        </w:rPr>
        <w:fldChar w:fldCharType="end"/>
      </w:r>
      <w:r w:rsidR="00F44CB5" w:rsidRPr="00D549EE">
        <w:rPr>
          <w:color w:val="000000" w:themeColor="text1"/>
          <w:lang w:val="en-US"/>
        </w:rPr>
        <w:t xml:space="preserve"> </w:t>
      </w:r>
    </w:p>
    <w:p w14:paraId="7A8BD1D0" w14:textId="77777777" w:rsidR="00DF4CF3" w:rsidRPr="00D549EE" w:rsidRDefault="00DF4CF3" w:rsidP="00C9582F">
      <w:pPr>
        <w:jc w:val="both"/>
        <w:rPr>
          <w:bCs/>
          <w:color w:val="000000" w:themeColor="text1"/>
          <w:sz w:val="28"/>
          <w:szCs w:val="28"/>
          <w:lang w:val="en-US"/>
        </w:rPr>
      </w:pPr>
    </w:p>
    <w:p w14:paraId="745DC218" w14:textId="6AFB3B41" w:rsidR="00D01066" w:rsidRPr="00D01066" w:rsidRDefault="00341645" w:rsidP="00D01066">
      <w:pPr>
        <w:jc w:val="both"/>
        <w:rPr>
          <w:bCs/>
          <w:color w:val="000000" w:themeColor="text1"/>
          <w:sz w:val="28"/>
          <w:szCs w:val="28"/>
          <w:lang w:val="en-US"/>
        </w:rPr>
      </w:pPr>
      <w:r w:rsidRPr="00D549EE">
        <w:rPr>
          <w:bCs/>
          <w:color w:val="000000" w:themeColor="text1"/>
          <w:sz w:val="28"/>
          <w:szCs w:val="28"/>
          <w:lang w:val="en-US"/>
        </w:rPr>
        <w:tab/>
      </w:r>
      <w:r w:rsidR="00D01066" w:rsidRPr="00D01066">
        <w:rPr>
          <w:bCs/>
          <w:color w:val="000000" w:themeColor="text1"/>
          <w:sz w:val="28"/>
          <w:szCs w:val="28"/>
          <w:lang w:val="en-US"/>
        </w:rPr>
        <w:t xml:space="preserve">The estimated Gross National savings in the present to GDP started from 2017 as a ratio of gross national savings in current local currency and GDP in current local </w:t>
      </w:r>
      <w:r w:rsidR="00D01066" w:rsidRPr="00D01066">
        <w:rPr>
          <w:bCs/>
          <w:color w:val="000000" w:themeColor="text1"/>
          <w:sz w:val="28"/>
          <w:szCs w:val="28"/>
          <w:lang w:val="en-US"/>
        </w:rPr>
        <w:lastRenderedPageBreak/>
        <w:t>currency. For Kazakhstan, this indicator is 28.03% of GDP for 2020 and showed the fluctuation and little growth for the last ten years from 26.31% in 2010.</w:t>
      </w:r>
    </w:p>
    <w:p w14:paraId="4BEC1398" w14:textId="77777777" w:rsidR="00D01066" w:rsidRPr="00D01066" w:rsidRDefault="00D01066" w:rsidP="00D01066">
      <w:pPr>
        <w:jc w:val="both"/>
        <w:rPr>
          <w:bCs/>
          <w:color w:val="000000" w:themeColor="text1"/>
          <w:sz w:val="28"/>
          <w:szCs w:val="28"/>
          <w:lang w:val="en-US"/>
        </w:rPr>
      </w:pPr>
      <w:r w:rsidRPr="00D01066">
        <w:rPr>
          <w:bCs/>
          <w:color w:val="000000" w:themeColor="text1"/>
          <w:sz w:val="28"/>
          <w:szCs w:val="28"/>
          <w:lang w:val="en-US"/>
        </w:rPr>
        <w:tab/>
        <w:t>In 2001 the country had 11% of the population as very poor (1.90$ per day) and 31% as relatively poor (3.10$ a day). According to the national poverty line, about 47 percent of Kazakhstan's population was poor in 2001. Kazakhstan successfully reduced this indicator to almost zero level in 2013, but as a result of the crisis and pandemic, the national poverty line estimation is 5,3% of the total population. In 2020, the poverty line is set at 70% of the minimum living costs, which is about 79 US dollars, 32 668 tenge for 2020. It means for being poor in statistics and by the rules in the country monthly income must be just 55.4 US dollars, 22 868 tenge, less than 1.90 US dollars per day, 1.84 US dollars, and this indicator is considered for extremally poor population in the World. However, Kazakhstan is ranked by the World Bank as a lower-middle-income country. The poverty line is US dollars 5.5 per day by PPP, 165 US dollars per month. However, the minimum wage in the country is only 102 US dollars, 42 500 tenge (2020, Figure 20). According to some experts, 70% of the population is socially vulnerable, or the proto-middle class, which is between the middle class and the poor [114], while 25% of the population does not have their own housing [115]. Nowadays, poverty is associated not with unemployment but with the low incomes of the population due to employed citizens living in poverty.</w:t>
      </w:r>
    </w:p>
    <w:p w14:paraId="3AB8983E" w14:textId="77777777" w:rsidR="00D01066" w:rsidRPr="00D01066" w:rsidRDefault="00D01066" w:rsidP="00D01066">
      <w:pPr>
        <w:jc w:val="both"/>
        <w:rPr>
          <w:bCs/>
          <w:color w:val="000000" w:themeColor="text1"/>
          <w:sz w:val="28"/>
          <w:szCs w:val="28"/>
          <w:lang w:val="en-US"/>
        </w:rPr>
      </w:pPr>
      <w:r w:rsidRPr="00D01066">
        <w:rPr>
          <w:bCs/>
          <w:color w:val="000000" w:themeColor="text1"/>
          <w:sz w:val="28"/>
          <w:szCs w:val="28"/>
          <w:lang w:val="en-US"/>
        </w:rPr>
        <w:tab/>
        <w:t>The instability of the national currency, the excess of expenses over income, to some extent associated with the state provision for supporting second-tier banks, and inflation have led to a decrease in the population's real incomes. The country's financial system consists mainly of the banking sector, insurance, and stock market, which occupy a smaller share.</w:t>
      </w:r>
    </w:p>
    <w:p w14:paraId="56B55D30" w14:textId="77777777" w:rsidR="00D01066" w:rsidRPr="00D01066" w:rsidRDefault="00D01066" w:rsidP="00D01066">
      <w:pPr>
        <w:jc w:val="both"/>
        <w:rPr>
          <w:bCs/>
          <w:color w:val="000000" w:themeColor="text1"/>
          <w:sz w:val="28"/>
          <w:szCs w:val="28"/>
          <w:lang w:val="en-US"/>
        </w:rPr>
      </w:pPr>
      <w:r w:rsidRPr="00D01066">
        <w:rPr>
          <w:bCs/>
          <w:color w:val="000000" w:themeColor="text1"/>
          <w:sz w:val="28"/>
          <w:szCs w:val="28"/>
          <w:lang w:val="en-US"/>
        </w:rPr>
        <w:tab/>
        <w:t xml:space="preserve">The role of the banking sector in the development of the economy has been declining for the past few years and has now reached a shallow level. The banking sector is represented by 22 Banks, including 2 full-fledged Islamic Banks and 14 Banks with foreign participation. The total banking assets are 68.7 billion US dollars [116]. The asset-to-GDP ratio is 38.4%, and the level of bank loans to GDP is 20% [117], while in developed countries, this indicator is at 100% and above level. According to the data from S&amp;P Global Ratings, the share of problem loans is about 20% of the total volume of loans in the Kazakhstani banking system. The National Bank of Kazakhstan, the central bank, aims to ensure price stability in the country and perform the following tasks: developing and conducting monetary policy, ensuring the payment systems' functioning, and contributing to the financial system stability. According to the central bank's primary objective, there is a monetary policy based on the inflation targeting regime (4-6%) with a floating national currency exchange from 2015, before it was the regime based on exchange rate targeting as the export-oriented developing country [116]. Generally, the central bank does not interfere in the exchange rate formation. However, it has the right to intervene in the cases of dramatic national currency fluctuations and spends monthly for interventions from the National Fund.  </w:t>
      </w:r>
    </w:p>
    <w:p w14:paraId="06C4CC0A" w14:textId="77777777" w:rsidR="00D01066" w:rsidRPr="00D01066" w:rsidRDefault="00D01066" w:rsidP="00D01066">
      <w:pPr>
        <w:jc w:val="both"/>
        <w:rPr>
          <w:bCs/>
          <w:color w:val="000000" w:themeColor="text1"/>
          <w:sz w:val="28"/>
          <w:szCs w:val="28"/>
          <w:lang w:val="en-US"/>
        </w:rPr>
      </w:pPr>
      <w:r w:rsidRPr="00D01066">
        <w:rPr>
          <w:bCs/>
          <w:color w:val="000000" w:themeColor="text1"/>
          <w:sz w:val="28"/>
          <w:szCs w:val="28"/>
          <w:lang w:val="en-US"/>
        </w:rPr>
        <w:tab/>
        <w:t xml:space="preserve">If to turn to the country's stock market, the capitalization indicator for the GDP is 46%, a relatively low value the indicator. The indicator of the stock market's capitalization to the GDP is about 19%. According to a World Bank report, this indicator rich the 125-150% of the GDP [118]. The volume of transactions in the </w:t>
      </w:r>
      <w:r w:rsidRPr="00D01066">
        <w:rPr>
          <w:bCs/>
          <w:color w:val="000000" w:themeColor="text1"/>
          <w:sz w:val="28"/>
          <w:szCs w:val="28"/>
          <w:lang w:val="en-US"/>
        </w:rPr>
        <w:lastRenderedPageBreak/>
        <w:t xml:space="preserve">securities market sector is about 3.5% of the total trading volume. The volume of trading with government securities is estimated at 20% of the total volume of transactions in the securities market sector. It must be mentioned that the volume of transactions in the "money market" sector is 87% of the total trading volume during the period. Despite the positive growth dynamics of the securities market, its influence and role in the economy of Kazakhstan are still insufficient. </w:t>
      </w:r>
    </w:p>
    <w:p w14:paraId="46D447B1" w14:textId="77777777" w:rsidR="00D01066" w:rsidRPr="00D01066" w:rsidRDefault="00D01066" w:rsidP="00D01066">
      <w:pPr>
        <w:jc w:val="both"/>
        <w:rPr>
          <w:bCs/>
          <w:color w:val="000000" w:themeColor="text1"/>
          <w:sz w:val="28"/>
          <w:szCs w:val="28"/>
          <w:lang w:val="en-US"/>
        </w:rPr>
      </w:pPr>
      <w:r w:rsidRPr="00D01066">
        <w:rPr>
          <w:bCs/>
          <w:color w:val="000000" w:themeColor="text1"/>
          <w:sz w:val="28"/>
          <w:szCs w:val="28"/>
          <w:lang w:val="en-US"/>
        </w:rPr>
        <w:tab/>
        <w:t xml:space="preserve">In the search for alternative solutions to the deepening crisis and declining of the country's economic indicators, the study explores the benefits of Islamic finance and an Islamic economy designed to provide for basic human needs without neglecting moral law and Islamic law. The key includes social solidarity by providing conditions for unity and cooperation between capital and labor, achieving social justice through reasonable wages, and eliminating unemployment [31] [42]. </w:t>
      </w:r>
    </w:p>
    <w:p w14:paraId="58CF23A5" w14:textId="77777777" w:rsidR="00D01066" w:rsidRPr="00D01066" w:rsidRDefault="00D01066" w:rsidP="00D01066">
      <w:pPr>
        <w:jc w:val="both"/>
        <w:rPr>
          <w:bCs/>
          <w:color w:val="000000" w:themeColor="text1"/>
          <w:sz w:val="28"/>
          <w:szCs w:val="28"/>
          <w:lang w:val="en-US"/>
        </w:rPr>
      </w:pPr>
      <w:r w:rsidRPr="00D01066">
        <w:rPr>
          <w:bCs/>
          <w:color w:val="000000" w:themeColor="text1"/>
          <w:sz w:val="28"/>
          <w:szCs w:val="28"/>
          <w:lang w:val="en-US"/>
        </w:rPr>
        <w:tab/>
        <w:t>The introduction of Islamic finance in Kazakhstan can be traced back to 1992 when Albaraka Kazakhstan was established, which became the first foreign investor to invest 100 million US dollars in the country's economy. The first Regional Office of the Islamic Development Bank across Central Asia was opened in Almaty, and the country became a member of IDB in 1998. Projects and initiatives undertaken by the IDB Group have allowed the country to overcome some significant economic and social challenges [119].</w:t>
      </w:r>
    </w:p>
    <w:p w14:paraId="1D9762AF" w14:textId="77777777" w:rsidR="00D01066" w:rsidRPr="00D01066" w:rsidRDefault="00D01066" w:rsidP="00D01066">
      <w:pPr>
        <w:jc w:val="both"/>
        <w:rPr>
          <w:bCs/>
          <w:color w:val="000000" w:themeColor="text1"/>
          <w:sz w:val="28"/>
          <w:szCs w:val="28"/>
          <w:lang w:val="en-US"/>
        </w:rPr>
      </w:pPr>
      <w:r w:rsidRPr="00D01066">
        <w:rPr>
          <w:bCs/>
          <w:color w:val="000000" w:themeColor="text1"/>
          <w:sz w:val="28"/>
          <w:szCs w:val="28"/>
          <w:lang w:val="en-US"/>
        </w:rPr>
        <w:tab/>
        <w:t xml:space="preserve">Kazakhstan became the first country in the Commonwealth of Independent States (CIS) and Central Asia to introduce Islamic banking legislation and create the legal basis for the development of this market segment in 2009 [120]. There have been many activities for the Islamic finance development of the country, as the main goal is to be an Islamic finance hub in the region. Kazakhstan improved its Islamic finance country index position to 18 ranks in 2018 from 24 in 2017 as a significant regional player [47] (Islamic finance development in Kazakhstan in Appendix C). The country has established the legal framework for the organization of Islamic banks, Islamic investment funds, Islamic insurance, and leasing companies, involving the Islamic capital market, which would enable Islamic securities to be issued [121]. Tax legislation has been amended to create a level playing field vis-à-vis conventional players in terms of tax neutrality by applying the pro-rata method of Value Added Tax offset for the customers of Islamic banks. </w:t>
      </w:r>
    </w:p>
    <w:p w14:paraId="53B1A312" w14:textId="77777777" w:rsidR="00D01066" w:rsidRPr="00D01066" w:rsidRDefault="00D01066" w:rsidP="00D01066">
      <w:pPr>
        <w:jc w:val="both"/>
        <w:rPr>
          <w:bCs/>
          <w:color w:val="000000" w:themeColor="text1"/>
          <w:sz w:val="28"/>
          <w:szCs w:val="28"/>
          <w:lang w:val="en-US"/>
        </w:rPr>
      </w:pPr>
      <w:r w:rsidRPr="00D01066">
        <w:rPr>
          <w:bCs/>
          <w:color w:val="000000" w:themeColor="text1"/>
          <w:sz w:val="28"/>
          <w:szCs w:val="28"/>
          <w:lang w:val="en-US"/>
        </w:rPr>
        <w:tab/>
        <w:t xml:space="preserve">The Law of the Republic of Kazakhstan "On Amendments and Additions to Certain Legislative Acts of the Republic of Kazakhstan on the Organization and Activity of Islamic Banks and the Organization of Islamic Finance," signed by the President of the Republic on February 12, 2009, laid the foundation for the development of Islamic banking in the country. The following table illustrates all amendments and additions to legislative acts of the country that were adopted for Islamic finance. </w:t>
      </w:r>
    </w:p>
    <w:p w14:paraId="1149CBA1" w14:textId="60C9DF06" w:rsidR="00FE0CA2" w:rsidRPr="00D549EE" w:rsidRDefault="00D01066" w:rsidP="00D01066">
      <w:pPr>
        <w:jc w:val="both"/>
        <w:rPr>
          <w:bCs/>
          <w:color w:val="000000" w:themeColor="text1"/>
          <w:sz w:val="28"/>
          <w:szCs w:val="28"/>
          <w:lang w:val="en-US"/>
        </w:rPr>
      </w:pPr>
      <w:r w:rsidRPr="00D01066">
        <w:rPr>
          <w:bCs/>
          <w:color w:val="000000" w:themeColor="text1"/>
          <w:sz w:val="28"/>
          <w:szCs w:val="28"/>
          <w:lang w:val="en-US"/>
        </w:rPr>
        <w:tab/>
        <w:t>It is also worth noting the potential role of Islamic finance in helping to solve several state economic problems, such as financial support for small and medium-sized businesses, social programs, expanding the list of services provided by the financial sector, and developing halal industry and promoting educational programs.</w:t>
      </w:r>
    </w:p>
    <w:p w14:paraId="675B32B0" w14:textId="77777777" w:rsidR="00D01066" w:rsidRDefault="00D01066" w:rsidP="00C9582F">
      <w:pPr>
        <w:pStyle w:val="HTML"/>
        <w:rPr>
          <w:rFonts w:ascii="Times New Roman" w:hAnsi="Times New Roman" w:cs="Times New Roman"/>
          <w:bCs/>
          <w:color w:val="000000" w:themeColor="text1"/>
          <w:sz w:val="28"/>
          <w:szCs w:val="28"/>
          <w:lang w:val="en-US"/>
        </w:rPr>
      </w:pPr>
    </w:p>
    <w:p w14:paraId="151F470D" w14:textId="77777777" w:rsidR="00D01066" w:rsidRDefault="00D01066" w:rsidP="00C9582F">
      <w:pPr>
        <w:pStyle w:val="HTML"/>
        <w:rPr>
          <w:rFonts w:ascii="Times New Roman" w:hAnsi="Times New Roman" w:cs="Times New Roman"/>
          <w:bCs/>
          <w:color w:val="000000" w:themeColor="text1"/>
          <w:sz w:val="28"/>
          <w:szCs w:val="28"/>
          <w:lang w:val="en-US"/>
        </w:rPr>
      </w:pPr>
    </w:p>
    <w:p w14:paraId="3DECD246" w14:textId="30B46F51" w:rsidR="00E2135F" w:rsidRPr="00D549EE" w:rsidRDefault="00E2135F" w:rsidP="00C9582F">
      <w:pPr>
        <w:pStyle w:val="HTML"/>
        <w:rPr>
          <w:rFonts w:ascii="Times New Roman" w:hAnsi="Times New Roman" w:cs="Times New Roman"/>
          <w:sz w:val="28"/>
          <w:szCs w:val="28"/>
          <w:lang w:val="en-US"/>
        </w:rPr>
      </w:pPr>
      <w:r w:rsidRPr="00D549EE">
        <w:rPr>
          <w:rFonts w:ascii="Times New Roman" w:hAnsi="Times New Roman" w:cs="Times New Roman"/>
          <w:bCs/>
          <w:color w:val="000000" w:themeColor="text1"/>
          <w:sz w:val="28"/>
          <w:szCs w:val="28"/>
          <w:lang w:val="en-US"/>
        </w:rPr>
        <w:lastRenderedPageBreak/>
        <w:t xml:space="preserve">Table </w:t>
      </w:r>
      <w:r w:rsidR="00A655E2" w:rsidRPr="00D549EE">
        <w:rPr>
          <w:rFonts w:ascii="Times New Roman" w:hAnsi="Times New Roman" w:cs="Times New Roman"/>
          <w:bCs/>
          <w:color w:val="000000" w:themeColor="text1"/>
          <w:sz w:val="28"/>
          <w:szCs w:val="28"/>
          <w:lang w:val="en-US"/>
        </w:rPr>
        <w:t>21</w:t>
      </w:r>
      <w:r w:rsidR="005052D9" w:rsidRPr="00D549EE">
        <w:rPr>
          <w:rFonts w:ascii="Times New Roman" w:hAnsi="Times New Roman" w:cs="Times New Roman"/>
          <w:color w:val="000000" w:themeColor="text1"/>
          <w:sz w:val="28"/>
          <w:szCs w:val="28"/>
          <w:lang w:val="en-US"/>
        </w:rPr>
        <w:t xml:space="preserve"> </w:t>
      </w:r>
      <w:r w:rsidR="005052D9" w:rsidRPr="00D549EE">
        <w:rPr>
          <w:rFonts w:ascii="Times New Roman" w:hAnsi="Times New Roman" w:cs="Times New Roman"/>
          <w:sz w:val="28"/>
          <w:szCs w:val="28"/>
          <w:lang w:val="en-US"/>
        </w:rPr>
        <w:t>–</w:t>
      </w:r>
      <w:r w:rsidRPr="00D549EE">
        <w:rPr>
          <w:rFonts w:ascii="Times New Roman" w:hAnsi="Times New Roman" w:cs="Times New Roman"/>
          <w:color w:val="000000" w:themeColor="text1"/>
          <w:sz w:val="28"/>
          <w:szCs w:val="28"/>
          <w:lang w:val="en-US"/>
        </w:rPr>
        <w:t xml:space="preserve"> </w:t>
      </w:r>
      <w:r w:rsidRPr="00D549EE">
        <w:rPr>
          <w:rFonts w:ascii="Times New Roman" w:hAnsi="Times New Roman" w:cs="Times New Roman"/>
          <w:sz w:val="28"/>
          <w:szCs w:val="28"/>
          <w:lang w:val="en-US"/>
        </w:rPr>
        <w:t>Amendments and additions to legislative acts</w:t>
      </w:r>
    </w:p>
    <w:p w14:paraId="613040E0" w14:textId="77777777" w:rsidR="005052D9" w:rsidRPr="00D549EE" w:rsidRDefault="005052D9" w:rsidP="00C9582F">
      <w:pPr>
        <w:pStyle w:val="HTML"/>
        <w:rPr>
          <w:rFonts w:ascii="Times New Roman" w:hAnsi="Times New Roman" w:cs="Times New Roman"/>
          <w:color w:val="000000" w:themeColor="text1"/>
          <w:sz w:val="28"/>
          <w:szCs w:val="28"/>
          <w:lang w:val="en-US"/>
        </w:rPr>
      </w:pPr>
    </w:p>
    <w:tbl>
      <w:tblPr>
        <w:tblStyle w:val="a9"/>
        <w:tblW w:w="0" w:type="auto"/>
        <w:tblInd w:w="5" w:type="dxa"/>
        <w:tblLook w:val="04A0" w:firstRow="1" w:lastRow="0" w:firstColumn="1" w:lastColumn="0" w:noHBand="0" w:noVBand="1"/>
      </w:tblPr>
      <w:tblGrid>
        <w:gridCol w:w="659"/>
        <w:gridCol w:w="3330"/>
        <w:gridCol w:w="5255"/>
      </w:tblGrid>
      <w:tr w:rsidR="00E2135F" w:rsidRPr="00D549EE" w14:paraId="2272F681" w14:textId="77777777" w:rsidTr="00B84BB8">
        <w:tc>
          <w:tcPr>
            <w:tcW w:w="659" w:type="dxa"/>
          </w:tcPr>
          <w:p w14:paraId="414B9FFF" w14:textId="77777777" w:rsidR="00E2135F" w:rsidRPr="00D549EE" w:rsidRDefault="00E2135F" w:rsidP="00D30C6C">
            <w:pPr>
              <w:rPr>
                <w:sz w:val="22"/>
                <w:szCs w:val="22"/>
              </w:rPr>
            </w:pPr>
            <w:r w:rsidRPr="00D549EE">
              <w:rPr>
                <w:sz w:val="22"/>
                <w:szCs w:val="22"/>
              </w:rPr>
              <w:t>№</w:t>
            </w:r>
          </w:p>
        </w:tc>
        <w:tc>
          <w:tcPr>
            <w:tcW w:w="3330" w:type="dxa"/>
          </w:tcPr>
          <w:p w14:paraId="0D45C7F1" w14:textId="77777777" w:rsidR="00E2135F" w:rsidRPr="00D549EE" w:rsidRDefault="00E2135F" w:rsidP="00D30C6C">
            <w:pPr>
              <w:rPr>
                <w:sz w:val="22"/>
                <w:szCs w:val="22"/>
                <w:lang w:val="en-US"/>
              </w:rPr>
            </w:pPr>
            <w:r w:rsidRPr="00D549EE">
              <w:rPr>
                <w:sz w:val="22"/>
                <w:szCs w:val="22"/>
                <w:lang w:val="en-US"/>
              </w:rPr>
              <w:t>Legislative act</w:t>
            </w:r>
          </w:p>
        </w:tc>
        <w:tc>
          <w:tcPr>
            <w:tcW w:w="5255" w:type="dxa"/>
          </w:tcPr>
          <w:p w14:paraId="491414E8" w14:textId="15FDDC96" w:rsidR="00E2135F" w:rsidRPr="00D549EE" w:rsidRDefault="00BB735F" w:rsidP="00D30C6C">
            <w:pPr>
              <w:rPr>
                <w:sz w:val="22"/>
                <w:szCs w:val="22"/>
              </w:rPr>
            </w:pPr>
            <w:r w:rsidRPr="00D549EE">
              <w:rPr>
                <w:sz w:val="22"/>
                <w:szCs w:val="22"/>
                <w:lang w:val="en-US"/>
              </w:rPr>
              <w:t>A</w:t>
            </w:r>
            <w:r w:rsidR="00E2135F" w:rsidRPr="00D549EE">
              <w:rPr>
                <w:sz w:val="22"/>
                <w:szCs w:val="22"/>
                <w:lang w:val="en-US"/>
              </w:rPr>
              <w:t>mendments</w:t>
            </w:r>
            <w:r w:rsidRPr="00D549EE">
              <w:rPr>
                <w:sz w:val="22"/>
                <w:szCs w:val="22"/>
                <w:lang w:val="en-US"/>
              </w:rPr>
              <w:t>’</w:t>
            </w:r>
            <w:r w:rsidR="00E2135F" w:rsidRPr="00D549EE">
              <w:rPr>
                <w:sz w:val="22"/>
                <w:szCs w:val="22"/>
              </w:rPr>
              <w:t xml:space="preserve"> description and direction</w:t>
            </w:r>
          </w:p>
        </w:tc>
      </w:tr>
      <w:tr w:rsidR="00E2135F" w:rsidRPr="00FC685D" w14:paraId="684C0608" w14:textId="77777777" w:rsidTr="00B84BB8">
        <w:tc>
          <w:tcPr>
            <w:tcW w:w="659" w:type="dxa"/>
          </w:tcPr>
          <w:p w14:paraId="2F676DC2" w14:textId="77777777" w:rsidR="00E2135F" w:rsidRPr="00D549EE" w:rsidRDefault="00E2135F" w:rsidP="00D30C6C">
            <w:pPr>
              <w:rPr>
                <w:sz w:val="22"/>
                <w:szCs w:val="22"/>
              </w:rPr>
            </w:pPr>
            <w:r w:rsidRPr="00D549EE">
              <w:rPr>
                <w:sz w:val="22"/>
                <w:szCs w:val="22"/>
              </w:rPr>
              <w:t>1</w:t>
            </w:r>
          </w:p>
        </w:tc>
        <w:tc>
          <w:tcPr>
            <w:tcW w:w="3330" w:type="dxa"/>
          </w:tcPr>
          <w:p w14:paraId="2DEA7C7A" w14:textId="1916AA12" w:rsidR="00E2135F" w:rsidRPr="00D549EE" w:rsidRDefault="00E2135F" w:rsidP="00D30C6C">
            <w:pPr>
              <w:rPr>
                <w:sz w:val="22"/>
                <w:szCs w:val="22"/>
                <w:lang w:val="en-US"/>
              </w:rPr>
            </w:pPr>
            <w:r w:rsidRPr="00D549EE">
              <w:rPr>
                <w:sz w:val="22"/>
                <w:szCs w:val="22"/>
                <w:lang w:val="en-US"/>
              </w:rPr>
              <w:t xml:space="preserve">Law </w:t>
            </w:r>
            <w:r w:rsidR="00B421AB" w:rsidRPr="00D549EE">
              <w:rPr>
                <w:sz w:val="22"/>
                <w:szCs w:val="22"/>
                <w:lang w:val="en-US"/>
              </w:rPr>
              <w:t>“</w:t>
            </w:r>
            <w:r w:rsidRPr="00D549EE">
              <w:rPr>
                <w:sz w:val="22"/>
                <w:szCs w:val="22"/>
                <w:lang w:val="en-US"/>
              </w:rPr>
              <w:t>On banks and banking</w:t>
            </w:r>
            <w:r w:rsidR="00B421AB" w:rsidRPr="00D549EE">
              <w:rPr>
                <w:sz w:val="22"/>
                <w:szCs w:val="22"/>
                <w:lang w:val="en-US"/>
              </w:rPr>
              <w:t xml:space="preserve"> </w:t>
            </w:r>
            <w:r w:rsidRPr="00D549EE">
              <w:rPr>
                <w:sz w:val="22"/>
                <w:szCs w:val="22"/>
                <w:lang w:val="en-US"/>
              </w:rPr>
              <w:t>activities”</w:t>
            </w:r>
            <w:r w:rsidR="00B421AB" w:rsidRPr="00D549EE">
              <w:rPr>
                <w:sz w:val="22"/>
                <w:szCs w:val="22"/>
                <w:lang w:val="en-US"/>
              </w:rPr>
              <w:t xml:space="preserve"> </w:t>
            </w:r>
          </w:p>
        </w:tc>
        <w:tc>
          <w:tcPr>
            <w:tcW w:w="5255" w:type="dxa"/>
          </w:tcPr>
          <w:p w14:paraId="17B6155C" w14:textId="77777777" w:rsidR="00E2135F" w:rsidRPr="00D549EE" w:rsidRDefault="00E2135F" w:rsidP="00D30C6C">
            <w:pPr>
              <w:rPr>
                <w:sz w:val="22"/>
                <w:szCs w:val="22"/>
                <w:lang w:val="en-US"/>
              </w:rPr>
            </w:pPr>
            <w:r w:rsidRPr="00D549EE">
              <w:rPr>
                <w:sz w:val="22"/>
                <w:szCs w:val="22"/>
                <w:lang w:val="en-US"/>
              </w:rPr>
              <w:t>- the creation of a legal framework for the functioning of Islamic banks;</w:t>
            </w:r>
          </w:p>
          <w:p w14:paraId="3F5E3760" w14:textId="77777777" w:rsidR="00E2135F" w:rsidRPr="00D549EE" w:rsidRDefault="00E2135F" w:rsidP="00D30C6C">
            <w:pPr>
              <w:rPr>
                <w:sz w:val="22"/>
                <w:szCs w:val="22"/>
                <w:lang w:val="en-US"/>
              </w:rPr>
            </w:pPr>
            <w:r w:rsidRPr="00D549EE">
              <w:rPr>
                <w:sz w:val="22"/>
                <w:szCs w:val="22"/>
                <w:lang w:val="en-US"/>
              </w:rPr>
              <w:t>- determination of the forms and methods of state regulation and supervision of the activities of Islamic banks;</w:t>
            </w:r>
          </w:p>
          <w:p w14:paraId="54EB7749" w14:textId="64E68E26" w:rsidR="00E2135F" w:rsidRPr="00D549EE" w:rsidRDefault="00E2135F" w:rsidP="00D30C6C">
            <w:pPr>
              <w:rPr>
                <w:sz w:val="22"/>
                <w:szCs w:val="22"/>
                <w:lang w:val="en-US"/>
              </w:rPr>
            </w:pPr>
            <w:r w:rsidRPr="00D549EE">
              <w:rPr>
                <w:sz w:val="22"/>
                <w:szCs w:val="22"/>
                <w:lang w:val="en-US"/>
              </w:rPr>
              <w:t>- determination of the list and procedure for the implementation of Islamic banking operations;</w:t>
            </w:r>
          </w:p>
        </w:tc>
      </w:tr>
      <w:tr w:rsidR="00E2135F" w:rsidRPr="00FC685D" w14:paraId="692DDD27" w14:textId="77777777" w:rsidTr="00490C92">
        <w:trPr>
          <w:trHeight w:val="1184"/>
        </w:trPr>
        <w:tc>
          <w:tcPr>
            <w:tcW w:w="659" w:type="dxa"/>
          </w:tcPr>
          <w:p w14:paraId="47904AEE" w14:textId="77777777" w:rsidR="00E2135F" w:rsidRPr="00D549EE" w:rsidRDefault="00E2135F" w:rsidP="00D30C6C">
            <w:pPr>
              <w:rPr>
                <w:sz w:val="22"/>
                <w:szCs w:val="22"/>
              </w:rPr>
            </w:pPr>
            <w:r w:rsidRPr="00D549EE">
              <w:rPr>
                <w:sz w:val="22"/>
                <w:szCs w:val="22"/>
              </w:rPr>
              <w:t>2</w:t>
            </w:r>
          </w:p>
          <w:p w14:paraId="05976721" w14:textId="77777777" w:rsidR="00E2135F" w:rsidRPr="00D549EE" w:rsidRDefault="00E2135F" w:rsidP="00D30C6C">
            <w:pPr>
              <w:rPr>
                <w:sz w:val="22"/>
                <w:szCs w:val="22"/>
              </w:rPr>
            </w:pPr>
          </w:p>
          <w:p w14:paraId="1C5C0839" w14:textId="77777777" w:rsidR="00E2135F" w:rsidRPr="00D549EE" w:rsidRDefault="00E2135F" w:rsidP="00D30C6C">
            <w:pPr>
              <w:rPr>
                <w:sz w:val="22"/>
                <w:szCs w:val="22"/>
              </w:rPr>
            </w:pPr>
          </w:p>
          <w:p w14:paraId="11B44522" w14:textId="77777777" w:rsidR="00E2135F" w:rsidRPr="00D549EE" w:rsidRDefault="00E2135F" w:rsidP="00D30C6C">
            <w:pPr>
              <w:rPr>
                <w:sz w:val="22"/>
                <w:szCs w:val="22"/>
              </w:rPr>
            </w:pPr>
          </w:p>
          <w:p w14:paraId="4BCCD556" w14:textId="77777777" w:rsidR="00E2135F" w:rsidRPr="00D549EE" w:rsidRDefault="00E2135F" w:rsidP="00D30C6C">
            <w:pPr>
              <w:rPr>
                <w:sz w:val="22"/>
                <w:szCs w:val="22"/>
              </w:rPr>
            </w:pPr>
          </w:p>
          <w:p w14:paraId="0C210FA0" w14:textId="77777777" w:rsidR="00E2135F" w:rsidRPr="00D549EE" w:rsidRDefault="00E2135F" w:rsidP="00D30C6C">
            <w:pPr>
              <w:rPr>
                <w:sz w:val="22"/>
                <w:szCs w:val="22"/>
              </w:rPr>
            </w:pPr>
          </w:p>
        </w:tc>
        <w:tc>
          <w:tcPr>
            <w:tcW w:w="3330" w:type="dxa"/>
          </w:tcPr>
          <w:p w14:paraId="6B611642" w14:textId="549CDFB3" w:rsidR="00E2135F" w:rsidRPr="00D549EE" w:rsidRDefault="00E2135F" w:rsidP="00D30C6C">
            <w:pPr>
              <w:rPr>
                <w:sz w:val="22"/>
                <w:szCs w:val="22"/>
                <w:lang w:val="en-US"/>
              </w:rPr>
            </w:pPr>
            <w:r w:rsidRPr="00D549EE">
              <w:rPr>
                <w:sz w:val="22"/>
                <w:szCs w:val="22"/>
                <w:lang w:val="en-US"/>
              </w:rPr>
              <w:t xml:space="preserve">The law </w:t>
            </w:r>
            <w:r w:rsidR="00B421AB" w:rsidRPr="00D549EE">
              <w:rPr>
                <w:sz w:val="22"/>
                <w:szCs w:val="22"/>
                <w:lang w:val="en-US"/>
              </w:rPr>
              <w:t>“</w:t>
            </w:r>
            <w:r w:rsidRPr="00D549EE">
              <w:rPr>
                <w:sz w:val="22"/>
                <w:szCs w:val="22"/>
                <w:lang w:val="en-US"/>
              </w:rPr>
              <w:t>On the securities market</w:t>
            </w:r>
            <w:r w:rsidR="00B421AB" w:rsidRPr="00D549EE">
              <w:rPr>
                <w:sz w:val="22"/>
                <w:szCs w:val="22"/>
                <w:lang w:val="en-US"/>
              </w:rPr>
              <w:t>”</w:t>
            </w:r>
            <w:r w:rsidRPr="00D549EE">
              <w:rPr>
                <w:sz w:val="22"/>
                <w:szCs w:val="22"/>
                <w:lang w:val="en-US"/>
              </w:rPr>
              <w:t xml:space="preserve"> </w:t>
            </w:r>
          </w:p>
          <w:p w14:paraId="069FD778" w14:textId="77777777" w:rsidR="00E2135F" w:rsidRPr="00D549EE" w:rsidRDefault="00E2135F" w:rsidP="00D30C6C">
            <w:pPr>
              <w:rPr>
                <w:sz w:val="22"/>
                <w:szCs w:val="22"/>
                <w:lang w:val="en-US"/>
              </w:rPr>
            </w:pPr>
          </w:p>
          <w:p w14:paraId="3D19C2E0" w14:textId="77777777" w:rsidR="00E2135F" w:rsidRPr="00D549EE" w:rsidRDefault="00E2135F" w:rsidP="00D30C6C">
            <w:pPr>
              <w:rPr>
                <w:sz w:val="22"/>
                <w:szCs w:val="22"/>
                <w:lang w:val="en-US"/>
              </w:rPr>
            </w:pPr>
          </w:p>
          <w:p w14:paraId="55C42A7C" w14:textId="77777777" w:rsidR="00E2135F" w:rsidRPr="00D549EE" w:rsidRDefault="00E2135F" w:rsidP="00D30C6C">
            <w:pPr>
              <w:rPr>
                <w:sz w:val="22"/>
                <w:szCs w:val="22"/>
                <w:lang w:val="en-US"/>
              </w:rPr>
            </w:pPr>
          </w:p>
        </w:tc>
        <w:tc>
          <w:tcPr>
            <w:tcW w:w="5255" w:type="dxa"/>
          </w:tcPr>
          <w:p w14:paraId="619EC1F8" w14:textId="77777777" w:rsidR="00E2135F" w:rsidRPr="00D549EE" w:rsidRDefault="00E2135F" w:rsidP="00D30C6C">
            <w:pPr>
              <w:rPr>
                <w:sz w:val="22"/>
                <w:szCs w:val="22"/>
                <w:lang w:val="en-US"/>
              </w:rPr>
            </w:pPr>
            <w:r w:rsidRPr="00D549EE">
              <w:rPr>
                <w:sz w:val="22"/>
                <w:szCs w:val="22"/>
                <w:lang w:val="en-US"/>
              </w:rPr>
              <w:t>- introducing the concept of Islamic securities (sukuk) and basic concepts related to Islamic securities;</w:t>
            </w:r>
          </w:p>
          <w:p w14:paraId="228428A7" w14:textId="77777777" w:rsidR="00E2135F" w:rsidRPr="00D549EE" w:rsidRDefault="00E2135F" w:rsidP="00D30C6C">
            <w:pPr>
              <w:rPr>
                <w:sz w:val="22"/>
                <w:szCs w:val="22"/>
                <w:lang w:val="en-US"/>
              </w:rPr>
            </w:pPr>
            <w:r w:rsidRPr="00D549EE">
              <w:rPr>
                <w:sz w:val="22"/>
                <w:szCs w:val="22"/>
                <w:lang w:val="en-US"/>
              </w:rPr>
              <w:t>- identification of types of Islamic securities;</w:t>
            </w:r>
          </w:p>
          <w:p w14:paraId="4318552D" w14:textId="77777777" w:rsidR="00E2135F" w:rsidRPr="00D549EE" w:rsidRDefault="00E2135F" w:rsidP="00D30C6C">
            <w:pPr>
              <w:rPr>
                <w:sz w:val="22"/>
                <w:szCs w:val="22"/>
                <w:lang w:val="en-US"/>
              </w:rPr>
            </w:pPr>
            <w:r w:rsidRPr="00D549EE">
              <w:rPr>
                <w:sz w:val="22"/>
                <w:szCs w:val="22"/>
                <w:lang w:val="en-US"/>
              </w:rPr>
              <w:t>- requirements for the Islamic securities issue prospectus;</w:t>
            </w:r>
          </w:p>
          <w:p w14:paraId="17887644" w14:textId="77777777" w:rsidR="00E2135F" w:rsidRPr="00D549EE" w:rsidRDefault="00E2135F" w:rsidP="00D30C6C">
            <w:pPr>
              <w:rPr>
                <w:sz w:val="22"/>
                <w:szCs w:val="22"/>
                <w:lang w:val="en-US"/>
              </w:rPr>
            </w:pPr>
            <w:r w:rsidRPr="00D549EE">
              <w:rPr>
                <w:sz w:val="22"/>
                <w:szCs w:val="22"/>
                <w:lang w:val="en-US"/>
              </w:rPr>
              <w:t>- presence of a representative of the holder of Islamic securities;</w:t>
            </w:r>
          </w:p>
        </w:tc>
      </w:tr>
      <w:tr w:rsidR="00E2135F" w:rsidRPr="00FC685D" w14:paraId="3E277637" w14:textId="77777777" w:rsidTr="00B84BB8">
        <w:tc>
          <w:tcPr>
            <w:tcW w:w="659" w:type="dxa"/>
          </w:tcPr>
          <w:p w14:paraId="1F8A01D4" w14:textId="77777777" w:rsidR="00E2135F" w:rsidRPr="00D549EE" w:rsidRDefault="00E2135F" w:rsidP="00D30C6C">
            <w:pPr>
              <w:rPr>
                <w:sz w:val="22"/>
                <w:szCs w:val="22"/>
              </w:rPr>
            </w:pPr>
            <w:r w:rsidRPr="00D549EE">
              <w:rPr>
                <w:sz w:val="22"/>
                <w:szCs w:val="22"/>
              </w:rPr>
              <w:t>3</w:t>
            </w:r>
          </w:p>
        </w:tc>
        <w:tc>
          <w:tcPr>
            <w:tcW w:w="3330" w:type="dxa"/>
          </w:tcPr>
          <w:p w14:paraId="0C74E1A2" w14:textId="3CBBC9FB" w:rsidR="00E2135F" w:rsidRPr="00D549EE" w:rsidRDefault="00E2135F" w:rsidP="00D30C6C">
            <w:pPr>
              <w:rPr>
                <w:sz w:val="22"/>
                <w:szCs w:val="22"/>
                <w:lang w:val="en-US"/>
              </w:rPr>
            </w:pPr>
            <w:r w:rsidRPr="00D549EE">
              <w:rPr>
                <w:sz w:val="22"/>
                <w:szCs w:val="22"/>
                <w:lang w:val="en-US"/>
              </w:rPr>
              <w:t xml:space="preserve">Tax code </w:t>
            </w:r>
          </w:p>
        </w:tc>
        <w:tc>
          <w:tcPr>
            <w:tcW w:w="5255" w:type="dxa"/>
          </w:tcPr>
          <w:p w14:paraId="7B00BF7E" w14:textId="77777777" w:rsidR="00E2135F" w:rsidRPr="00D549EE" w:rsidRDefault="00E2135F" w:rsidP="00D30C6C">
            <w:pPr>
              <w:rPr>
                <w:sz w:val="22"/>
                <w:szCs w:val="22"/>
                <w:lang w:val="en-US"/>
              </w:rPr>
            </w:pPr>
            <w:r w:rsidRPr="00D549EE">
              <w:rPr>
                <w:sz w:val="22"/>
                <w:szCs w:val="22"/>
                <w:lang w:val="en-US"/>
              </w:rPr>
              <w:t>- determining types of Islamic banking related to financial services and exempted from value added tax, as well as types of Islamic securities and income from them;</w:t>
            </w:r>
          </w:p>
          <w:p w14:paraId="66BF3517" w14:textId="77777777" w:rsidR="00E2135F" w:rsidRPr="00D549EE" w:rsidRDefault="00E2135F" w:rsidP="00D30C6C">
            <w:pPr>
              <w:rPr>
                <w:sz w:val="22"/>
                <w:szCs w:val="22"/>
                <w:lang w:val="en-US"/>
              </w:rPr>
            </w:pPr>
            <w:r w:rsidRPr="00D549EE">
              <w:rPr>
                <w:sz w:val="22"/>
                <w:szCs w:val="22"/>
                <w:lang w:val="en-US"/>
              </w:rPr>
              <w:t>- highlighting the concept of investment deposit, investment deposit income and the procedure for their taxation;</w:t>
            </w:r>
          </w:p>
          <w:p w14:paraId="506497FC" w14:textId="77777777" w:rsidR="00E2135F" w:rsidRPr="00D549EE" w:rsidRDefault="00E2135F" w:rsidP="00D30C6C">
            <w:pPr>
              <w:rPr>
                <w:sz w:val="22"/>
                <w:szCs w:val="22"/>
                <w:lang w:val="en-US"/>
              </w:rPr>
            </w:pPr>
            <w:r w:rsidRPr="00D549EE">
              <w:rPr>
                <w:sz w:val="22"/>
                <w:szCs w:val="22"/>
                <w:lang w:val="en-US"/>
              </w:rPr>
              <w:t>- the conditionality of the conditions for adjusting the total annual income received by an Islamic special purpose company (SPV) in order to avoid double taxation of Islamic securities;</w:t>
            </w:r>
          </w:p>
        </w:tc>
      </w:tr>
      <w:tr w:rsidR="00E2135F" w:rsidRPr="00FC685D" w14:paraId="2703885F" w14:textId="77777777" w:rsidTr="00B84BB8">
        <w:tc>
          <w:tcPr>
            <w:tcW w:w="659" w:type="dxa"/>
          </w:tcPr>
          <w:p w14:paraId="0AEEE364" w14:textId="77777777" w:rsidR="00E2135F" w:rsidRPr="00D549EE" w:rsidRDefault="00E2135F" w:rsidP="00D30C6C">
            <w:pPr>
              <w:rPr>
                <w:sz w:val="22"/>
                <w:szCs w:val="22"/>
              </w:rPr>
            </w:pPr>
            <w:r w:rsidRPr="00D549EE">
              <w:rPr>
                <w:sz w:val="22"/>
                <w:szCs w:val="22"/>
              </w:rPr>
              <w:t>4</w:t>
            </w:r>
          </w:p>
        </w:tc>
        <w:tc>
          <w:tcPr>
            <w:tcW w:w="3330" w:type="dxa"/>
          </w:tcPr>
          <w:p w14:paraId="09962AC7" w14:textId="4ED63672" w:rsidR="00E2135F" w:rsidRPr="00D549EE" w:rsidRDefault="00E2135F" w:rsidP="00D30C6C">
            <w:pPr>
              <w:rPr>
                <w:sz w:val="22"/>
                <w:szCs w:val="22"/>
                <w:lang w:val="en-US"/>
              </w:rPr>
            </w:pPr>
            <w:r w:rsidRPr="00D549EE">
              <w:rPr>
                <w:sz w:val="22"/>
                <w:szCs w:val="22"/>
              </w:rPr>
              <w:t xml:space="preserve">Civil code </w:t>
            </w:r>
          </w:p>
        </w:tc>
        <w:tc>
          <w:tcPr>
            <w:tcW w:w="5255" w:type="dxa"/>
          </w:tcPr>
          <w:p w14:paraId="60F3D7A7" w14:textId="77777777" w:rsidR="00E2135F" w:rsidRPr="00D549EE" w:rsidRDefault="00E2135F" w:rsidP="00D30C6C">
            <w:pPr>
              <w:rPr>
                <w:sz w:val="22"/>
                <w:szCs w:val="22"/>
                <w:lang w:val="en-US"/>
              </w:rPr>
            </w:pPr>
            <w:r w:rsidRPr="00D549EE">
              <w:rPr>
                <w:sz w:val="22"/>
                <w:szCs w:val="22"/>
                <w:lang w:val="en-US"/>
              </w:rPr>
              <w:t>- identifying the basic laws governing relations in Islamic finance;</w:t>
            </w:r>
          </w:p>
          <w:p w14:paraId="05A506D3" w14:textId="77777777" w:rsidR="00E2135F" w:rsidRPr="00D549EE" w:rsidRDefault="00E2135F" w:rsidP="00D30C6C">
            <w:pPr>
              <w:rPr>
                <w:sz w:val="22"/>
                <w:szCs w:val="22"/>
                <w:lang w:val="en-US"/>
              </w:rPr>
            </w:pPr>
            <w:r w:rsidRPr="00D549EE">
              <w:rPr>
                <w:sz w:val="22"/>
                <w:szCs w:val="22"/>
                <w:lang w:val="en-US"/>
              </w:rPr>
              <w:t>- identifying features of an Islamic bank loan agreement;</w:t>
            </w:r>
          </w:p>
        </w:tc>
      </w:tr>
      <w:tr w:rsidR="00E2135F" w:rsidRPr="00D549EE" w14:paraId="1354EC76" w14:textId="77777777" w:rsidTr="00B84BB8">
        <w:tc>
          <w:tcPr>
            <w:tcW w:w="659" w:type="dxa"/>
          </w:tcPr>
          <w:p w14:paraId="4D93756F" w14:textId="77777777" w:rsidR="00E2135F" w:rsidRPr="00D549EE" w:rsidRDefault="00E2135F" w:rsidP="00D30C6C">
            <w:pPr>
              <w:rPr>
                <w:sz w:val="22"/>
                <w:szCs w:val="22"/>
              </w:rPr>
            </w:pPr>
            <w:r w:rsidRPr="00D549EE">
              <w:rPr>
                <w:sz w:val="22"/>
                <w:szCs w:val="22"/>
              </w:rPr>
              <w:t>5</w:t>
            </w:r>
          </w:p>
        </w:tc>
        <w:tc>
          <w:tcPr>
            <w:tcW w:w="3330" w:type="dxa"/>
          </w:tcPr>
          <w:p w14:paraId="2D0D03C2" w14:textId="2225B354" w:rsidR="00E2135F" w:rsidRPr="00D549EE" w:rsidRDefault="00E2135F" w:rsidP="00D30C6C">
            <w:pPr>
              <w:rPr>
                <w:sz w:val="22"/>
                <w:szCs w:val="22"/>
                <w:lang w:val="en-US"/>
              </w:rPr>
            </w:pPr>
            <w:r w:rsidRPr="00D549EE">
              <w:rPr>
                <w:sz w:val="22"/>
                <w:szCs w:val="22"/>
                <w:lang w:val="en-US"/>
              </w:rPr>
              <w:t xml:space="preserve">The law </w:t>
            </w:r>
            <w:r w:rsidR="00BB735F" w:rsidRPr="00D549EE">
              <w:rPr>
                <w:sz w:val="22"/>
                <w:szCs w:val="22"/>
                <w:lang w:val="en-US"/>
              </w:rPr>
              <w:t>“</w:t>
            </w:r>
            <w:r w:rsidRPr="00D549EE">
              <w:rPr>
                <w:sz w:val="22"/>
                <w:szCs w:val="22"/>
                <w:lang w:val="en-US"/>
              </w:rPr>
              <w:t>On investment</w:t>
            </w:r>
            <w:r w:rsidR="00B46164" w:rsidRPr="00D549EE">
              <w:rPr>
                <w:sz w:val="22"/>
                <w:szCs w:val="22"/>
                <w:lang w:val="en-US"/>
              </w:rPr>
              <w:t xml:space="preserve"> and v</w:t>
            </w:r>
            <w:r w:rsidR="00EC5033" w:rsidRPr="00D549EE">
              <w:rPr>
                <w:sz w:val="22"/>
                <w:szCs w:val="22"/>
                <w:lang w:val="en-US"/>
              </w:rPr>
              <w:t>e</w:t>
            </w:r>
            <w:r w:rsidR="00B46164" w:rsidRPr="00D549EE">
              <w:rPr>
                <w:sz w:val="22"/>
                <w:szCs w:val="22"/>
                <w:lang w:val="en-US"/>
              </w:rPr>
              <w:t>nture</w:t>
            </w:r>
            <w:r w:rsidRPr="00D549EE">
              <w:rPr>
                <w:sz w:val="22"/>
                <w:szCs w:val="22"/>
                <w:lang w:val="en-US"/>
              </w:rPr>
              <w:t xml:space="preserve"> funds”</w:t>
            </w:r>
          </w:p>
        </w:tc>
        <w:tc>
          <w:tcPr>
            <w:tcW w:w="5255" w:type="dxa"/>
          </w:tcPr>
          <w:p w14:paraId="6755FA8C" w14:textId="77777777" w:rsidR="00E2135F" w:rsidRPr="00D549EE" w:rsidRDefault="00E2135F" w:rsidP="00D30C6C">
            <w:pPr>
              <w:rPr>
                <w:sz w:val="22"/>
                <w:szCs w:val="22"/>
                <w:lang w:val="en-US"/>
              </w:rPr>
            </w:pPr>
            <w:r w:rsidRPr="00D549EE">
              <w:rPr>
                <w:sz w:val="22"/>
                <w:szCs w:val="22"/>
                <w:lang w:val="en-US"/>
              </w:rPr>
              <w:t>- the procedure for creating Islamic investment funds;</w:t>
            </w:r>
          </w:p>
          <w:p w14:paraId="6879BB3A" w14:textId="77777777" w:rsidR="00E2135F" w:rsidRPr="00D549EE" w:rsidRDefault="00E2135F" w:rsidP="00D30C6C">
            <w:pPr>
              <w:rPr>
                <w:sz w:val="22"/>
                <w:szCs w:val="22"/>
                <w:lang w:val="en-US"/>
              </w:rPr>
            </w:pPr>
            <w:r w:rsidRPr="00D549EE">
              <w:rPr>
                <w:sz w:val="22"/>
                <w:szCs w:val="22"/>
                <w:lang w:val="en-US"/>
              </w:rPr>
              <w:t>- the duties of the representative of the holders of Islamic securities of Islamic investment funds are performed by the custodian;</w:t>
            </w:r>
          </w:p>
          <w:p w14:paraId="21108F44" w14:textId="77777777" w:rsidR="00E2135F" w:rsidRPr="00D549EE" w:rsidRDefault="00E2135F" w:rsidP="00D30C6C">
            <w:pPr>
              <w:rPr>
                <w:sz w:val="22"/>
                <w:szCs w:val="22"/>
              </w:rPr>
            </w:pPr>
            <w:r w:rsidRPr="00D549EE">
              <w:rPr>
                <w:sz w:val="22"/>
                <w:szCs w:val="22"/>
              </w:rPr>
              <w:t xml:space="preserve">- Islamic Investment </w:t>
            </w:r>
            <w:r w:rsidRPr="00D549EE">
              <w:rPr>
                <w:sz w:val="22"/>
                <w:szCs w:val="22"/>
                <w:lang w:val="en-US"/>
              </w:rPr>
              <w:t xml:space="preserve">fund </w:t>
            </w:r>
            <w:r w:rsidRPr="00D549EE">
              <w:rPr>
                <w:sz w:val="22"/>
                <w:szCs w:val="22"/>
              </w:rPr>
              <w:t>Declaration;</w:t>
            </w:r>
          </w:p>
        </w:tc>
      </w:tr>
      <w:tr w:rsidR="00E2135F" w:rsidRPr="00FC685D" w14:paraId="325A6A0C" w14:textId="77777777" w:rsidTr="00B84BB8">
        <w:tc>
          <w:tcPr>
            <w:tcW w:w="659" w:type="dxa"/>
          </w:tcPr>
          <w:p w14:paraId="3C002CA8" w14:textId="77777777" w:rsidR="00E2135F" w:rsidRPr="00D549EE" w:rsidRDefault="00E2135F" w:rsidP="00D30C6C">
            <w:pPr>
              <w:rPr>
                <w:sz w:val="22"/>
                <w:szCs w:val="22"/>
              </w:rPr>
            </w:pPr>
            <w:r w:rsidRPr="00D549EE">
              <w:rPr>
                <w:sz w:val="22"/>
                <w:szCs w:val="22"/>
              </w:rPr>
              <w:t>6</w:t>
            </w:r>
          </w:p>
        </w:tc>
        <w:tc>
          <w:tcPr>
            <w:tcW w:w="3330" w:type="dxa"/>
          </w:tcPr>
          <w:p w14:paraId="6DBDEEF0" w14:textId="57BE9E92" w:rsidR="00E2135F" w:rsidRPr="00D549EE" w:rsidRDefault="00E2135F" w:rsidP="00D30C6C">
            <w:pPr>
              <w:rPr>
                <w:sz w:val="22"/>
                <w:szCs w:val="22"/>
                <w:lang w:val="en-US"/>
              </w:rPr>
            </w:pPr>
            <w:r w:rsidRPr="00D549EE">
              <w:rPr>
                <w:sz w:val="22"/>
                <w:szCs w:val="22"/>
                <w:lang w:val="en-US"/>
              </w:rPr>
              <w:t xml:space="preserve">The law </w:t>
            </w:r>
            <w:r w:rsidR="00BB735F" w:rsidRPr="00D549EE">
              <w:rPr>
                <w:sz w:val="22"/>
                <w:szCs w:val="22"/>
                <w:lang w:val="en-US"/>
              </w:rPr>
              <w:t>“</w:t>
            </w:r>
            <w:r w:rsidRPr="00D549EE">
              <w:rPr>
                <w:sz w:val="22"/>
                <w:szCs w:val="22"/>
                <w:lang w:val="en-US"/>
              </w:rPr>
              <w:t>On state registration of rights to real estate and transactions with it</w:t>
            </w:r>
            <w:r w:rsidR="00BB735F" w:rsidRPr="00D549EE">
              <w:rPr>
                <w:sz w:val="22"/>
                <w:szCs w:val="22"/>
                <w:lang w:val="en-US"/>
              </w:rPr>
              <w:t>”</w:t>
            </w:r>
            <w:r w:rsidRPr="00D549EE">
              <w:rPr>
                <w:sz w:val="22"/>
                <w:szCs w:val="22"/>
                <w:lang w:val="en-US"/>
              </w:rPr>
              <w:t xml:space="preserve"> </w:t>
            </w:r>
          </w:p>
        </w:tc>
        <w:tc>
          <w:tcPr>
            <w:tcW w:w="5255" w:type="dxa"/>
          </w:tcPr>
          <w:p w14:paraId="2A845916" w14:textId="77777777" w:rsidR="00E2135F" w:rsidRPr="00D549EE" w:rsidRDefault="00E2135F" w:rsidP="00D30C6C">
            <w:pPr>
              <w:rPr>
                <w:sz w:val="22"/>
                <w:szCs w:val="22"/>
                <w:lang w:val="en-US"/>
              </w:rPr>
            </w:pPr>
            <w:r w:rsidRPr="00D549EE">
              <w:rPr>
                <w:sz w:val="22"/>
                <w:szCs w:val="22"/>
                <w:lang w:val="en-US"/>
              </w:rPr>
              <w:t>- establish the procedure for state registration of rights to immovable property acquired by an Islamic bank as a trustee at the expense of investment deposits;</w:t>
            </w:r>
          </w:p>
        </w:tc>
      </w:tr>
      <w:tr w:rsidR="00E2135F" w:rsidRPr="00FC685D" w14:paraId="1401D6F1" w14:textId="77777777" w:rsidTr="00B84BB8">
        <w:tc>
          <w:tcPr>
            <w:tcW w:w="659" w:type="dxa"/>
          </w:tcPr>
          <w:p w14:paraId="51A32C05" w14:textId="77777777" w:rsidR="00E2135F" w:rsidRPr="00D549EE" w:rsidRDefault="00E2135F" w:rsidP="00D30C6C">
            <w:pPr>
              <w:rPr>
                <w:sz w:val="22"/>
                <w:szCs w:val="22"/>
              </w:rPr>
            </w:pPr>
            <w:r w:rsidRPr="00D549EE">
              <w:rPr>
                <w:sz w:val="22"/>
                <w:szCs w:val="22"/>
              </w:rPr>
              <w:t>7</w:t>
            </w:r>
          </w:p>
        </w:tc>
        <w:tc>
          <w:tcPr>
            <w:tcW w:w="3330" w:type="dxa"/>
          </w:tcPr>
          <w:p w14:paraId="7BDC979A" w14:textId="76A62CDC" w:rsidR="00E2135F" w:rsidRPr="00D549EE" w:rsidRDefault="00E2135F" w:rsidP="00D30C6C">
            <w:pPr>
              <w:rPr>
                <w:sz w:val="22"/>
                <w:szCs w:val="22"/>
                <w:lang w:val="en-US"/>
              </w:rPr>
            </w:pPr>
            <w:r w:rsidRPr="00D549EE">
              <w:rPr>
                <w:sz w:val="22"/>
                <w:szCs w:val="22"/>
                <w:lang w:val="en-US"/>
              </w:rPr>
              <w:t xml:space="preserve">The law </w:t>
            </w:r>
            <w:r w:rsidR="00B46164" w:rsidRPr="00D549EE">
              <w:rPr>
                <w:sz w:val="22"/>
                <w:szCs w:val="22"/>
                <w:lang w:val="en-US"/>
              </w:rPr>
              <w:t>“O</w:t>
            </w:r>
            <w:r w:rsidRPr="00D549EE">
              <w:rPr>
                <w:sz w:val="22"/>
                <w:szCs w:val="22"/>
                <w:lang w:val="en-US"/>
              </w:rPr>
              <w:t>n licensing</w:t>
            </w:r>
            <w:r w:rsidR="00B46164" w:rsidRPr="00D549EE">
              <w:rPr>
                <w:sz w:val="22"/>
                <w:szCs w:val="22"/>
                <w:lang w:val="en-US"/>
              </w:rPr>
              <w:t>”</w:t>
            </w:r>
            <w:r w:rsidRPr="00D549EE">
              <w:rPr>
                <w:sz w:val="22"/>
                <w:szCs w:val="22"/>
                <w:lang w:val="en-US"/>
              </w:rPr>
              <w:t xml:space="preserve"> </w:t>
            </w:r>
          </w:p>
        </w:tc>
        <w:tc>
          <w:tcPr>
            <w:tcW w:w="5255" w:type="dxa"/>
          </w:tcPr>
          <w:p w14:paraId="58B0DC57" w14:textId="77777777" w:rsidR="00E2135F" w:rsidRPr="00D549EE" w:rsidRDefault="00E2135F" w:rsidP="00D30C6C">
            <w:pPr>
              <w:rPr>
                <w:sz w:val="22"/>
                <w:szCs w:val="22"/>
                <w:lang w:val="en-US"/>
              </w:rPr>
            </w:pPr>
            <w:r w:rsidRPr="00D549EE">
              <w:rPr>
                <w:sz w:val="22"/>
                <w:szCs w:val="22"/>
                <w:lang w:val="en-US"/>
              </w:rPr>
              <w:t>- determination of the license required for banking operations carried out by Islamic banks;</w:t>
            </w:r>
          </w:p>
        </w:tc>
      </w:tr>
      <w:tr w:rsidR="00E2135F" w:rsidRPr="00FC685D" w14:paraId="1E59A9AC" w14:textId="77777777" w:rsidTr="00B84BB8">
        <w:tc>
          <w:tcPr>
            <w:tcW w:w="659" w:type="dxa"/>
          </w:tcPr>
          <w:p w14:paraId="259F8D28" w14:textId="77777777" w:rsidR="00E2135F" w:rsidRPr="00D549EE" w:rsidRDefault="00E2135F" w:rsidP="00D30C6C">
            <w:pPr>
              <w:rPr>
                <w:sz w:val="22"/>
                <w:szCs w:val="22"/>
              </w:rPr>
            </w:pPr>
            <w:r w:rsidRPr="00D549EE">
              <w:rPr>
                <w:sz w:val="22"/>
                <w:szCs w:val="22"/>
              </w:rPr>
              <w:t>8</w:t>
            </w:r>
          </w:p>
        </w:tc>
        <w:tc>
          <w:tcPr>
            <w:tcW w:w="3330" w:type="dxa"/>
          </w:tcPr>
          <w:p w14:paraId="74F6F472" w14:textId="2EE4EF0F" w:rsidR="00E2135F" w:rsidRPr="00D549EE" w:rsidRDefault="00E2135F" w:rsidP="00D30C6C">
            <w:pPr>
              <w:rPr>
                <w:sz w:val="22"/>
                <w:szCs w:val="22"/>
                <w:lang w:val="en-US"/>
              </w:rPr>
            </w:pPr>
            <w:r w:rsidRPr="00D549EE">
              <w:rPr>
                <w:sz w:val="22"/>
                <w:szCs w:val="22"/>
                <w:lang w:val="en-US"/>
              </w:rPr>
              <w:t xml:space="preserve">Law “On Mandatory Guarantee of Deposits Placed in Second-Tier Banks” </w:t>
            </w:r>
          </w:p>
        </w:tc>
        <w:tc>
          <w:tcPr>
            <w:tcW w:w="5255" w:type="dxa"/>
          </w:tcPr>
          <w:p w14:paraId="410CAD1B" w14:textId="77777777" w:rsidR="00E2135F" w:rsidRPr="00D549EE" w:rsidRDefault="00E2135F" w:rsidP="00D30C6C">
            <w:pPr>
              <w:rPr>
                <w:sz w:val="22"/>
                <w:szCs w:val="22"/>
                <w:lang w:val="en-US"/>
              </w:rPr>
            </w:pPr>
            <w:r w:rsidRPr="00D549EE">
              <w:rPr>
                <w:sz w:val="22"/>
                <w:szCs w:val="22"/>
                <w:lang w:val="en-US"/>
              </w:rPr>
              <w:t>- designation with the exception of interest-free demand deposits and investment deposits placed in Islamic banks from the number of deposits to be guaranteed.</w:t>
            </w:r>
          </w:p>
        </w:tc>
      </w:tr>
      <w:tr w:rsidR="00A046B6" w:rsidRPr="00FC685D" w14:paraId="2DBD924B" w14:textId="77777777" w:rsidTr="00B84BB8">
        <w:tc>
          <w:tcPr>
            <w:tcW w:w="659" w:type="dxa"/>
          </w:tcPr>
          <w:p w14:paraId="7C461F4A" w14:textId="5CA20AE8" w:rsidR="00A046B6" w:rsidRPr="00D549EE" w:rsidRDefault="00A046B6" w:rsidP="00D30C6C">
            <w:pPr>
              <w:rPr>
                <w:sz w:val="22"/>
                <w:szCs w:val="22"/>
                <w:lang w:val="en-US"/>
              </w:rPr>
            </w:pPr>
            <w:r w:rsidRPr="00D549EE">
              <w:rPr>
                <w:sz w:val="22"/>
                <w:szCs w:val="22"/>
                <w:lang w:val="en-US"/>
              </w:rPr>
              <w:t>9</w:t>
            </w:r>
          </w:p>
        </w:tc>
        <w:tc>
          <w:tcPr>
            <w:tcW w:w="3330" w:type="dxa"/>
          </w:tcPr>
          <w:p w14:paraId="292B4974" w14:textId="2E8E7EAB" w:rsidR="00A046B6" w:rsidRPr="00D549EE" w:rsidRDefault="00A046B6" w:rsidP="00D30C6C">
            <w:pPr>
              <w:rPr>
                <w:sz w:val="22"/>
                <w:szCs w:val="22"/>
                <w:lang w:val="en-US"/>
              </w:rPr>
            </w:pPr>
            <w:r w:rsidRPr="00D549EE">
              <w:rPr>
                <w:sz w:val="22"/>
                <w:szCs w:val="22"/>
                <w:lang w:val="en-US"/>
              </w:rPr>
              <w:t xml:space="preserve">Law </w:t>
            </w:r>
            <w:r w:rsidR="00520325" w:rsidRPr="00D549EE">
              <w:rPr>
                <w:sz w:val="22"/>
                <w:szCs w:val="22"/>
                <w:lang w:val="en-US"/>
              </w:rPr>
              <w:t>“O</w:t>
            </w:r>
            <w:r w:rsidRPr="00D549EE">
              <w:rPr>
                <w:sz w:val="22"/>
                <w:szCs w:val="22"/>
                <w:lang w:val="en-US"/>
              </w:rPr>
              <w:t xml:space="preserve">n Insurance and Insurance activity” </w:t>
            </w:r>
          </w:p>
        </w:tc>
        <w:tc>
          <w:tcPr>
            <w:tcW w:w="5255" w:type="dxa"/>
          </w:tcPr>
          <w:p w14:paraId="7CADAC72" w14:textId="70900A9B" w:rsidR="00A046B6" w:rsidRPr="00D549EE" w:rsidRDefault="00A046B6" w:rsidP="00D30C6C">
            <w:pPr>
              <w:rPr>
                <w:sz w:val="22"/>
                <w:szCs w:val="22"/>
                <w:lang w:val="en-US"/>
              </w:rPr>
            </w:pPr>
            <w:r w:rsidRPr="00D549EE">
              <w:rPr>
                <w:sz w:val="22"/>
                <w:szCs w:val="22"/>
                <w:lang w:val="en-US"/>
              </w:rPr>
              <w:t xml:space="preserve">-adaptation of takaful activities, from 2015 added the rules of takaful and retakaful operators creation.  </w:t>
            </w:r>
          </w:p>
        </w:tc>
      </w:tr>
      <w:tr w:rsidR="00520325" w:rsidRPr="00FC685D" w14:paraId="555DDA5B" w14:textId="77777777" w:rsidTr="00B84BB8">
        <w:tc>
          <w:tcPr>
            <w:tcW w:w="659" w:type="dxa"/>
          </w:tcPr>
          <w:p w14:paraId="1BB9C4DC" w14:textId="5A652D61" w:rsidR="00520325" w:rsidRPr="00D549EE" w:rsidRDefault="00520325" w:rsidP="00D30C6C">
            <w:pPr>
              <w:rPr>
                <w:sz w:val="22"/>
                <w:szCs w:val="22"/>
                <w:lang w:val="en-US"/>
              </w:rPr>
            </w:pPr>
            <w:r w:rsidRPr="00D549EE">
              <w:rPr>
                <w:sz w:val="22"/>
                <w:szCs w:val="22"/>
                <w:lang w:val="en-US"/>
              </w:rPr>
              <w:t>10</w:t>
            </w:r>
          </w:p>
        </w:tc>
        <w:tc>
          <w:tcPr>
            <w:tcW w:w="3330" w:type="dxa"/>
          </w:tcPr>
          <w:p w14:paraId="40C1EB76" w14:textId="4E129099" w:rsidR="00520325" w:rsidRPr="00D549EE" w:rsidRDefault="00520325" w:rsidP="00D30C6C">
            <w:pPr>
              <w:rPr>
                <w:sz w:val="22"/>
                <w:szCs w:val="22"/>
                <w:lang w:val="en-US"/>
              </w:rPr>
            </w:pPr>
            <w:r w:rsidRPr="00D549EE">
              <w:rPr>
                <w:sz w:val="22"/>
                <w:szCs w:val="22"/>
                <w:lang w:val="en-US"/>
              </w:rPr>
              <w:t xml:space="preserve">Law “On Securities market” </w:t>
            </w:r>
          </w:p>
        </w:tc>
        <w:tc>
          <w:tcPr>
            <w:tcW w:w="5255" w:type="dxa"/>
          </w:tcPr>
          <w:p w14:paraId="6A72E8E7" w14:textId="2290525F" w:rsidR="00520325" w:rsidRPr="00D549EE" w:rsidRDefault="00520325" w:rsidP="00D30C6C">
            <w:pPr>
              <w:rPr>
                <w:sz w:val="22"/>
                <w:szCs w:val="22"/>
                <w:lang w:val="en-US"/>
              </w:rPr>
            </w:pPr>
            <w:r w:rsidRPr="00D549EE">
              <w:rPr>
                <w:sz w:val="22"/>
                <w:szCs w:val="22"/>
                <w:lang w:val="en-US"/>
              </w:rPr>
              <w:t xml:space="preserve">-definition the features of the issue and circulation of Islamic securities. There is no interpretation of sukuk, instead of are given the definition of Islamic rental certificates and Islamic certificates of participation. </w:t>
            </w:r>
          </w:p>
        </w:tc>
      </w:tr>
      <w:tr w:rsidR="00E2135F" w:rsidRPr="00FC685D" w14:paraId="4AE1F9D3" w14:textId="77777777" w:rsidTr="00B84BB8">
        <w:tc>
          <w:tcPr>
            <w:tcW w:w="9244" w:type="dxa"/>
            <w:gridSpan w:val="3"/>
          </w:tcPr>
          <w:p w14:paraId="70CEDC2F" w14:textId="3652C4AA" w:rsidR="00E2135F" w:rsidRPr="00D549EE" w:rsidRDefault="005052D9" w:rsidP="00D30C6C">
            <w:pPr>
              <w:ind w:left="587"/>
              <w:rPr>
                <w:sz w:val="22"/>
                <w:szCs w:val="22"/>
                <w:lang w:val="en-US"/>
              </w:rPr>
            </w:pPr>
            <w:r w:rsidRPr="00D549EE">
              <w:rPr>
                <w:color w:val="000000"/>
                <w:sz w:val="22"/>
                <w:szCs w:val="22"/>
                <w:lang w:val="en"/>
              </w:rPr>
              <w:t xml:space="preserve">Note </w:t>
            </w:r>
            <w:r w:rsidRPr="00D549EE">
              <w:rPr>
                <w:sz w:val="22"/>
                <w:szCs w:val="22"/>
                <w:lang w:val="en-US"/>
              </w:rPr>
              <w:t xml:space="preserve">– </w:t>
            </w:r>
            <w:r w:rsidR="000204D1" w:rsidRPr="00D549EE">
              <w:rPr>
                <w:sz w:val="22"/>
                <w:szCs w:val="22"/>
                <w:lang w:val="en-US"/>
              </w:rPr>
              <w:t xml:space="preserve"> </w:t>
            </w:r>
            <w:r w:rsidR="00C503D7" w:rsidRPr="00D549EE">
              <w:rPr>
                <w:sz w:val="22"/>
                <w:szCs w:val="22"/>
                <w:lang w:val="en-US"/>
              </w:rPr>
              <w:t xml:space="preserve">Source </w:t>
            </w:r>
            <w:r w:rsidR="000204D1" w:rsidRPr="00D549EE">
              <w:rPr>
                <w:sz w:val="22"/>
                <w:szCs w:val="22"/>
                <w:lang w:val="en-US"/>
              </w:rPr>
              <w:fldChar w:fldCharType="begin" w:fldLock="1"/>
            </w:r>
            <w:r w:rsidR="00CB6E54" w:rsidRPr="00D549EE">
              <w:rPr>
                <w:sz w:val="22"/>
                <w:szCs w:val="22"/>
                <w:lang w:val="en-US"/>
              </w:rPr>
              <w:instrText>ADDIN CSL_CITATION {"citationItems":[{"id":"ITEM-1","itemData":{"author":[{"dropping-particle":"","family":"Sagiyeva","given":"Rimma К","non-dropping-particle":"","parse-names":false,"suffix":""},{"dropping-particle":"","family":"Kuanova","given":"Laura A","non-dropping-particle":"","parse-names":false,"suffix":""}],"container-title":"Economy: Strategy and Practice","id":"ITEM-1","issue":"3","issued":{"date-parts":[["2019"]]},"page":"39-48","title":"Analysis of Islamic Finance development in Kazakhstan : overview and prospects","type":"article-journal","volume":"14"},"uris":["http://www.mendeley.com/documents/?uuid=d6a2b9b9-8f57-40b3-8daa-7eaba2715c75"]}],"mendeley":{"formattedCitation":"[122]","plainTextFormattedCitation":"[122]","previouslyFormattedCitation":"[122]"},"properties":{"noteIndex":0},"schema":"https://github.com/citation-style-language/schema/raw/master/csl-citation.json"}</w:instrText>
            </w:r>
            <w:r w:rsidR="000204D1" w:rsidRPr="00D549EE">
              <w:rPr>
                <w:sz w:val="22"/>
                <w:szCs w:val="22"/>
                <w:lang w:val="en-US"/>
              </w:rPr>
              <w:fldChar w:fldCharType="separate"/>
            </w:r>
            <w:r w:rsidR="00B25838" w:rsidRPr="00D549EE">
              <w:rPr>
                <w:noProof/>
                <w:sz w:val="22"/>
                <w:szCs w:val="22"/>
                <w:lang w:val="en-US"/>
              </w:rPr>
              <w:t>[122]</w:t>
            </w:r>
            <w:r w:rsidR="000204D1" w:rsidRPr="00D549EE">
              <w:rPr>
                <w:sz w:val="22"/>
                <w:szCs w:val="22"/>
                <w:lang w:val="en-US"/>
              </w:rPr>
              <w:fldChar w:fldCharType="end"/>
            </w:r>
            <w:r w:rsidR="00C503D7" w:rsidRPr="00D549EE">
              <w:rPr>
                <w:sz w:val="22"/>
                <w:szCs w:val="22"/>
                <w:lang w:val="en-US"/>
              </w:rPr>
              <w:t xml:space="preserve"> </w:t>
            </w:r>
            <w:r w:rsidRPr="00D549EE">
              <w:rPr>
                <w:sz w:val="22"/>
                <w:szCs w:val="22"/>
                <w:lang w:val="en-US"/>
              </w:rPr>
              <w:t>Compiled by author</w:t>
            </w:r>
            <w:r w:rsidRPr="00D549EE">
              <w:rPr>
                <w:color w:val="000000"/>
                <w:sz w:val="22"/>
                <w:szCs w:val="22"/>
                <w:lang w:val="en"/>
              </w:rPr>
              <w:t xml:space="preserve"> on the basis of </w:t>
            </w:r>
            <w:r w:rsidR="00E2135F" w:rsidRPr="00D549EE">
              <w:rPr>
                <w:color w:val="000000"/>
                <w:sz w:val="22"/>
                <w:szCs w:val="22"/>
                <w:lang w:val="en"/>
              </w:rPr>
              <w:t>L</w:t>
            </w:r>
            <w:r w:rsidRPr="00D549EE">
              <w:rPr>
                <w:color w:val="000000"/>
                <w:sz w:val="22"/>
                <w:szCs w:val="22"/>
                <w:lang w:val="en"/>
              </w:rPr>
              <w:t>a</w:t>
            </w:r>
            <w:r w:rsidR="00E2135F" w:rsidRPr="00D549EE">
              <w:rPr>
                <w:color w:val="000000"/>
                <w:sz w:val="22"/>
                <w:szCs w:val="22"/>
                <w:lang w:val="en"/>
              </w:rPr>
              <w:t>w of the RK</w:t>
            </w:r>
            <w:r w:rsidR="00E2135F" w:rsidRPr="00D549EE">
              <w:rPr>
                <w:sz w:val="22"/>
                <w:szCs w:val="22"/>
                <w:lang w:val="en-US"/>
              </w:rPr>
              <w:t xml:space="preserve"> </w:t>
            </w:r>
          </w:p>
        </w:tc>
      </w:tr>
    </w:tbl>
    <w:p w14:paraId="2C3B5222" w14:textId="77777777" w:rsidR="00223A87" w:rsidRDefault="00223A87" w:rsidP="00C9582F">
      <w:pPr>
        <w:pStyle w:val="figurecaption"/>
        <w:numPr>
          <w:ilvl w:val="0"/>
          <w:numId w:val="0"/>
        </w:numPr>
        <w:rPr>
          <w:noProof w:val="0"/>
          <w:color w:val="000000" w:themeColor="text1"/>
          <w:sz w:val="28"/>
          <w:szCs w:val="28"/>
          <w:lang w:eastAsia="ru-RU"/>
        </w:rPr>
      </w:pPr>
    </w:p>
    <w:p w14:paraId="564EBC02" w14:textId="4386070A" w:rsidR="002B62F8" w:rsidRDefault="00223A87" w:rsidP="00C9582F">
      <w:pPr>
        <w:pStyle w:val="figurecaption"/>
        <w:numPr>
          <w:ilvl w:val="0"/>
          <w:numId w:val="0"/>
        </w:numPr>
        <w:rPr>
          <w:noProof w:val="0"/>
          <w:color w:val="000000" w:themeColor="text1"/>
          <w:sz w:val="28"/>
          <w:szCs w:val="28"/>
          <w:lang w:eastAsia="ru-RU"/>
        </w:rPr>
      </w:pPr>
      <w:r>
        <w:rPr>
          <w:noProof w:val="0"/>
          <w:color w:val="000000" w:themeColor="text1"/>
          <w:sz w:val="28"/>
          <w:szCs w:val="28"/>
          <w:lang w:eastAsia="ru-RU"/>
        </w:rPr>
        <w:tab/>
      </w:r>
      <w:r w:rsidRPr="00223A87">
        <w:rPr>
          <w:noProof w:val="0"/>
          <w:color w:val="000000" w:themeColor="text1"/>
          <w:sz w:val="28"/>
          <w:szCs w:val="28"/>
          <w:lang w:eastAsia="ru-RU"/>
        </w:rPr>
        <w:t xml:space="preserve">The introduction of Islamic finance started earlier than Al-Hilal bank was established by the attraction of financing in the market of Islamic interbank capital by second-tier banks of Kazakhstan from 2006. From 2010 the number of Islamic banking assets and the trend of changes </w:t>
      </w:r>
      <w:r w:rsidR="009C3257">
        <w:rPr>
          <w:noProof w:val="0"/>
          <w:color w:val="000000" w:themeColor="text1"/>
          <w:sz w:val="28"/>
          <w:szCs w:val="28"/>
          <w:lang w:eastAsia="ru-RU"/>
        </w:rPr>
        <w:t>is</w:t>
      </w:r>
      <w:r w:rsidRPr="00223A87">
        <w:rPr>
          <w:noProof w:val="0"/>
          <w:color w:val="000000" w:themeColor="text1"/>
          <w:sz w:val="28"/>
          <w:szCs w:val="28"/>
          <w:lang w:eastAsia="ru-RU"/>
        </w:rPr>
        <w:t xml:space="preserve"> given in the following table.</w:t>
      </w:r>
    </w:p>
    <w:p w14:paraId="4FCD7F9F" w14:textId="77777777" w:rsidR="002B62F8" w:rsidRDefault="002B62F8" w:rsidP="00C9582F">
      <w:pPr>
        <w:pStyle w:val="figurecaption"/>
        <w:numPr>
          <w:ilvl w:val="0"/>
          <w:numId w:val="0"/>
        </w:numPr>
        <w:rPr>
          <w:bCs/>
          <w:color w:val="000000" w:themeColor="text1"/>
          <w:sz w:val="28"/>
          <w:szCs w:val="28"/>
        </w:rPr>
      </w:pPr>
    </w:p>
    <w:p w14:paraId="28F999ED" w14:textId="511FE628" w:rsidR="00E2135F" w:rsidRPr="00D549EE" w:rsidRDefault="00E2135F" w:rsidP="00C9582F">
      <w:pPr>
        <w:pStyle w:val="figurecaption"/>
        <w:numPr>
          <w:ilvl w:val="0"/>
          <w:numId w:val="0"/>
        </w:numPr>
        <w:rPr>
          <w:sz w:val="28"/>
          <w:szCs w:val="28"/>
        </w:rPr>
      </w:pPr>
      <w:r w:rsidRPr="00D549EE">
        <w:rPr>
          <w:bCs/>
          <w:color w:val="000000" w:themeColor="text1"/>
          <w:sz w:val="28"/>
          <w:szCs w:val="28"/>
        </w:rPr>
        <w:t xml:space="preserve">Table </w:t>
      </w:r>
      <w:r w:rsidR="00BB735F" w:rsidRPr="00D549EE">
        <w:rPr>
          <w:bCs/>
          <w:color w:val="000000" w:themeColor="text1"/>
          <w:sz w:val="28"/>
          <w:szCs w:val="28"/>
        </w:rPr>
        <w:t>2</w:t>
      </w:r>
      <w:r w:rsidR="00A655E2" w:rsidRPr="00D549EE">
        <w:rPr>
          <w:bCs/>
          <w:color w:val="000000" w:themeColor="text1"/>
          <w:sz w:val="28"/>
          <w:szCs w:val="28"/>
        </w:rPr>
        <w:t>2</w:t>
      </w:r>
      <w:r w:rsidR="005052D9" w:rsidRPr="00D549EE">
        <w:rPr>
          <w:color w:val="000000" w:themeColor="text1"/>
          <w:sz w:val="28"/>
          <w:szCs w:val="28"/>
        </w:rPr>
        <w:t xml:space="preserve"> </w:t>
      </w:r>
      <w:r w:rsidR="005052D9" w:rsidRPr="00D549EE">
        <w:rPr>
          <w:sz w:val="28"/>
          <w:szCs w:val="28"/>
        </w:rPr>
        <w:t>–</w:t>
      </w:r>
      <w:r w:rsidRPr="00D549EE">
        <w:rPr>
          <w:color w:val="000000" w:themeColor="text1"/>
          <w:sz w:val="28"/>
          <w:szCs w:val="28"/>
        </w:rPr>
        <w:t xml:space="preserve"> </w:t>
      </w:r>
      <w:r w:rsidRPr="00D549EE">
        <w:rPr>
          <w:sz w:val="28"/>
          <w:szCs w:val="28"/>
          <w:lang w:val="en"/>
        </w:rPr>
        <w:t>Islamic banking assets 2010-20</w:t>
      </w:r>
      <w:r w:rsidR="00BB735F" w:rsidRPr="00D549EE">
        <w:rPr>
          <w:sz w:val="28"/>
          <w:szCs w:val="28"/>
          <w:lang w:val="en"/>
        </w:rPr>
        <w:t>20</w:t>
      </w:r>
      <w:r w:rsidRPr="00D549EE">
        <w:rPr>
          <w:sz w:val="28"/>
          <w:szCs w:val="28"/>
          <w:lang w:val="en"/>
        </w:rPr>
        <w:t xml:space="preserve"> in Kazakhstan</w:t>
      </w:r>
    </w:p>
    <w:tbl>
      <w:tblPr>
        <w:tblStyle w:val="a9"/>
        <w:tblW w:w="0" w:type="auto"/>
        <w:tblLook w:val="0000" w:firstRow="0" w:lastRow="0" w:firstColumn="0" w:lastColumn="0" w:noHBand="0" w:noVBand="0"/>
      </w:tblPr>
      <w:tblGrid>
        <w:gridCol w:w="1783"/>
        <w:gridCol w:w="616"/>
        <w:gridCol w:w="716"/>
        <w:gridCol w:w="716"/>
        <w:gridCol w:w="716"/>
        <w:gridCol w:w="716"/>
        <w:gridCol w:w="716"/>
        <w:gridCol w:w="716"/>
        <w:gridCol w:w="716"/>
        <w:gridCol w:w="716"/>
        <w:gridCol w:w="716"/>
        <w:gridCol w:w="716"/>
      </w:tblGrid>
      <w:tr w:rsidR="00131859" w:rsidRPr="00D549EE" w14:paraId="1D7539D9" w14:textId="39FDDB8F" w:rsidTr="00490C92">
        <w:trPr>
          <w:trHeight w:val="268"/>
        </w:trPr>
        <w:tc>
          <w:tcPr>
            <w:tcW w:w="0" w:type="auto"/>
          </w:tcPr>
          <w:p w14:paraId="0A92F484" w14:textId="77777777" w:rsidR="007F58A8" w:rsidRPr="00D549EE" w:rsidRDefault="007F58A8" w:rsidP="00C9582F">
            <w:pPr>
              <w:pStyle w:val="tablecolhead"/>
              <w:jc w:val="both"/>
              <w:rPr>
                <w:b w:val="0"/>
                <w:sz w:val="20"/>
                <w:szCs w:val="20"/>
              </w:rPr>
            </w:pPr>
            <w:r w:rsidRPr="00D549EE">
              <w:rPr>
                <w:b w:val="0"/>
                <w:sz w:val="20"/>
                <w:szCs w:val="20"/>
              </w:rPr>
              <w:t>Year</w:t>
            </w:r>
          </w:p>
        </w:tc>
        <w:tc>
          <w:tcPr>
            <w:tcW w:w="0" w:type="auto"/>
          </w:tcPr>
          <w:p w14:paraId="42BB1025" w14:textId="77777777" w:rsidR="007F58A8" w:rsidRPr="00D549EE" w:rsidRDefault="007F58A8" w:rsidP="00C9582F">
            <w:pPr>
              <w:pStyle w:val="tablecolhead"/>
              <w:jc w:val="both"/>
              <w:rPr>
                <w:b w:val="0"/>
                <w:sz w:val="20"/>
                <w:szCs w:val="20"/>
              </w:rPr>
            </w:pPr>
            <w:r w:rsidRPr="00D549EE">
              <w:rPr>
                <w:b w:val="0"/>
                <w:sz w:val="20"/>
                <w:szCs w:val="20"/>
              </w:rPr>
              <w:t>2010</w:t>
            </w:r>
          </w:p>
        </w:tc>
        <w:tc>
          <w:tcPr>
            <w:tcW w:w="0" w:type="auto"/>
          </w:tcPr>
          <w:p w14:paraId="1D672B05" w14:textId="77777777" w:rsidR="007F58A8" w:rsidRPr="00D549EE" w:rsidRDefault="007F58A8" w:rsidP="00C9582F">
            <w:pPr>
              <w:pStyle w:val="tablecolhead"/>
              <w:jc w:val="both"/>
              <w:rPr>
                <w:b w:val="0"/>
                <w:sz w:val="20"/>
                <w:szCs w:val="20"/>
              </w:rPr>
            </w:pPr>
            <w:r w:rsidRPr="00D549EE">
              <w:rPr>
                <w:b w:val="0"/>
                <w:sz w:val="20"/>
                <w:szCs w:val="20"/>
              </w:rPr>
              <w:t>2011</w:t>
            </w:r>
          </w:p>
        </w:tc>
        <w:tc>
          <w:tcPr>
            <w:tcW w:w="0" w:type="auto"/>
          </w:tcPr>
          <w:p w14:paraId="19EA0E8C" w14:textId="77777777" w:rsidR="007F58A8" w:rsidRPr="00D549EE" w:rsidRDefault="007F58A8" w:rsidP="00C9582F">
            <w:pPr>
              <w:pStyle w:val="tablecolhead"/>
              <w:jc w:val="both"/>
              <w:rPr>
                <w:b w:val="0"/>
                <w:sz w:val="20"/>
                <w:szCs w:val="20"/>
              </w:rPr>
            </w:pPr>
            <w:r w:rsidRPr="00D549EE">
              <w:rPr>
                <w:b w:val="0"/>
                <w:sz w:val="20"/>
                <w:szCs w:val="20"/>
              </w:rPr>
              <w:t>2012</w:t>
            </w:r>
          </w:p>
        </w:tc>
        <w:tc>
          <w:tcPr>
            <w:tcW w:w="0" w:type="auto"/>
          </w:tcPr>
          <w:p w14:paraId="433CDF62" w14:textId="77777777" w:rsidR="007F58A8" w:rsidRPr="00D549EE" w:rsidRDefault="007F58A8" w:rsidP="00C9582F">
            <w:pPr>
              <w:pStyle w:val="tablecolhead"/>
              <w:jc w:val="both"/>
              <w:rPr>
                <w:b w:val="0"/>
                <w:sz w:val="20"/>
                <w:szCs w:val="20"/>
              </w:rPr>
            </w:pPr>
            <w:r w:rsidRPr="00D549EE">
              <w:rPr>
                <w:b w:val="0"/>
                <w:sz w:val="20"/>
                <w:szCs w:val="20"/>
              </w:rPr>
              <w:t>2013</w:t>
            </w:r>
          </w:p>
        </w:tc>
        <w:tc>
          <w:tcPr>
            <w:tcW w:w="0" w:type="auto"/>
          </w:tcPr>
          <w:p w14:paraId="11529A3B" w14:textId="77777777" w:rsidR="007F58A8" w:rsidRPr="00D549EE" w:rsidRDefault="007F58A8" w:rsidP="00C9582F">
            <w:pPr>
              <w:pStyle w:val="tablecolhead"/>
              <w:jc w:val="both"/>
              <w:rPr>
                <w:b w:val="0"/>
                <w:sz w:val="20"/>
                <w:szCs w:val="20"/>
              </w:rPr>
            </w:pPr>
            <w:r w:rsidRPr="00D549EE">
              <w:rPr>
                <w:b w:val="0"/>
                <w:sz w:val="20"/>
                <w:szCs w:val="20"/>
              </w:rPr>
              <w:t>2014</w:t>
            </w:r>
          </w:p>
        </w:tc>
        <w:tc>
          <w:tcPr>
            <w:tcW w:w="0" w:type="auto"/>
          </w:tcPr>
          <w:p w14:paraId="28F384EE" w14:textId="77777777" w:rsidR="007F58A8" w:rsidRPr="00D549EE" w:rsidRDefault="007F58A8" w:rsidP="00C9582F">
            <w:pPr>
              <w:pStyle w:val="tablecolhead"/>
              <w:jc w:val="both"/>
              <w:rPr>
                <w:b w:val="0"/>
                <w:sz w:val="20"/>
                <w:szCs w:val="20"/>
              </w:rPr>
            </w:pPr>
            <w:r w:rsidRPr="00D549EE">
              <w:rPr>
                <w:b w:val="0"/>
                <w:sz w:val="20"/>
                <w:szCs w:val="20"/>
              </w:rPr>
              <w:t>2015</w:t>
            </w:r>
          </w:p>
        </w:tc>
        <w:tc>
          <w:tcPr>
            <w:tcW w:w="0" w:type="auto"/>
          </w:tcPr>
          <w:p w14:paraId="213F5A7B" w14:textId="77777777" w:rsidR="007F58A8" w:rsidRPr="00D549EE" w:rsidRDefault="007F58A8" w:rsidP="00C9582F">
            <w:pPr>
              <w:pStyle w:val="tablecolhead"/>
              <w:jc w:val="both"/>
              <w:rPr>
                <w:b w:val="0"/>
                <w:sz w:val="20"/>
                <w:szCs w:val="20"/>
              </w:rPr>
            </w:pPr>
            <w:r w:rsidRPr="00D549EE">
              <w:rPr>
                <w:b w:val="0"/>
                <w:sz w:val="20"/>
                <w:szCs w:val="20"/>
              </w:rPr>
              <w:t xml:space="preserve">2016 </w:t>
            </w:r>
          </w:p>
        </w:tc>
        <w:tc>
          <w:tcPr>
            <w:tcW w:w="0" w:type="auto"/>
          </w:tcPr>
          <w:p w14:paraId="167EE71E" w14:textId="77777777" w:rsidR="007F58A8" w:rsidRPr="00D549EE" w:rsidRDefault="007F58A8" w:rsidP="00C9582F">
            <w:pPr>
              <w:pStyle w:val="tablecolhead"/>
              <w:jc w:val="both"/>
              <w:rPr>
                <w:b w:val="0"/>
                <w:sz w:val="20"/>
                <w:szCs w:val="20"/>
              </w:rPr>
            </w:pPr>
            <w:r w:rsidRPr="00D549EE">
              <w:rPr>
                <w:b w:val="0"/>
                <w:sz w:val="20"/>
                <w:szCs w:val="20"/>
              </w:rPr>
              <w:t>2017</w:t>
            </w:r>
          </w:p>
        </w:tc>
        <w:tc>
          <w:tcPr>
            <w:tcW w:w="0" w:type="auto"/>
          </w:tcPr>
          <w:p w14:paraId="4CFB094A" w14:textId="7812276A" w:rsidR="007F58A8" w:rsidRPr="00D549EE" w:rsidRDefault="007F58A8" w:rsidP="00C9582F">
            <w:pPr>
              <w:pStyle w:val="tablecolhead"/>
              <w:jc w:val="both"/>
              <w:rPr>
                <w:b w:val="0"/>
                <w:sz w:val="20"/>
                <w:szCs w:val="20"/>
              </w:rPr>
            </w:pPr>
            <w:r w:rsidRPr="00D549EE">
              <w:rPr>
                <w:b w:val="0"/>
                <w:sz w:val="20"/>
                <w:szCs w:val="20"/>
              </w:rPr>
              <w:t>2018</w:t>
            </w:r>
          </w:p>
        </w:tc>
        <w:tc>
          <w:tcPr>
            <w:tcW w:w="0" w:type="auto"/>
          </w:tcPr>
          <w:p w14:paraId="7D170DB9" w14:textId="27E9B2D0" w:rsidR="007F58A8" w:rsidRPr="00D549EE" w:rsidRDefault="007F58A8" w:rsidP="00C9582F">
            <w:pPr>
              <w:pStyle w:val="tablecolhead"/>
              <w:jc w:val="both"/>
              <w:rPr>
                <w:b w:val="0"/>
                <w:sz w:val="20"/>
                <w:szCs w:val="20"/>
              </w:rPr>
            </w:pPr>
            <w:r w:rsidRPr="00D549EE">
              <w:rPr>
                <w:b w:val="0"/>
                <w:sz w:val="20"/>
                <w:szCs w:val="20"/>
              </w:rPr>
              <w:t>2019</w:t>
            </w:r>
          </w:p>
        </w:tc>
        <w:tc>
          <w:tcPr>
            <w:tcW w:w="0" w:type="auto"/>
          </w:tcPr>
          <w:p w14:paraId="5ADCD67D" w14:textId="3BDA46A4" w:rsidR="007F58A8" w:rsidRPr="00D549EE" w:rsidRDefault="007F58A8" w:rsidP="00C9582F">
            <w:pPr>
              <w:pStyle w:val="tablecolhead"/>
              <w:jc w:val="both"/>
              <w:rPr>
                <w:b w:val="0"/>
                <w:sz w:val="20"/>
                <w:szCs w:val="20"/>
              </w:rPr>
            </w:pPr>
            <w:r w:rsidRPr="00D549EE">
              <w:rPr>
                <w:b w:val="0"/>
                <w:sz w:val="20"/>
                <w:szCs w:val="20"/>
              </w:rPr>
              <w:t>2020</w:t>
            </w:r>
          </w:p>
        </w:tc>
      </w:tr>
      <w:tr w:rsidR="00131859" w:rsidRPr="00D549EE" w14:paraId="6E54947C" w14:textId="651D5592" w:rsidTr="00490C92">
        <w:trPr>
          <w:trHeight w:val="315"/>
        </w:trPr>
        <w:tc>
          <w:tcPr>
            <w:tcW w:w="0" w:type="auto"/>
          </w:tcPr>
          <w:p w14:paraId="35390C67" w14:textId="77777777" w:rsidR="007F58A8" w:rsidRPr="00D549EE" w:rsidRDefault="007F58A8" w:rsidP="00C9582F">
            <w:pPr>
              <w:pStyle w:val="tablecopy"/>
              <w:rPr>
                <w:sz w:val="20"/>
                <w:szCs w:val="20"/>
                <w:lang w:val="ru-RU"/>
              </w:rPr>
            </w:pPr>
            <w:r w:rsidRPr="00D549EE">
              <w:rPr>
                <w:sz w:val="20"/>
                <w:szCs w:val="20"/>
              </w:rPr>
              <w:t>IB assets, mln KZT</w:t>
            </w:r>
          </w:p>
        </w:tc>
        <w:tc>
          <w:tcPr>
            <w:tcW w:w="0" w:type="auto"/>
          </w:tcPr>
          <w:p w14:paraId="689DABB3" w14:textId="0F239C9B" w:rsidR="007F58A8" w:rsidRPr="00D549EE" w:rsidRDefault="007F58A8" w:rsidP="00C9582F">
            <w:pPr>
              <w:rPr>
                <w:sz w:val="20"/>
                <w:szCs w:val="20"/>
              </w:rPr>
            </w:pPr>
            <w:r w:rsidRPr="00D549EE">
              <w:rPr>
                <w:sz w:val="20"/>
                <w:szCs w:val="20"/>
              </w:rPr>
              <w:t>6508</w:t>
            </w:r>
          </w:p>
        </w:tc>
        <w:tc>
          <w:tcPr>
            <w:tcW w:w="0" w:type="auto"/>
          </w:tcPr>
          <w:p w14:paraId="03D0DB88" w14:textId="643B94D6" w:rsidR="007F58A8" w:rsidRPr="00D549EE" w:rsidRDefault="007F58A8" w:rsidP="00C9582F">
            <w:pPr>
              <w:rPr>
                <w:sz w:val="20"/>
                <w:szCs w:val="20"/>
              </w:rPr>
            </w:pPr>
            <w:r w:rsidRPr="00D549EE">
              <w:rPr>
                <w:sz w:val="20"/>
                <w:szCs w:val="20"/>
              </w:rPr>
              <w:t>11166</w:t>
            </w:r>
          </w:p>
        </w:tc>
        <w:tc>
          <w:tcPr>
            <w:tcW w:w="0" w:type="auto"/>
          </w:tcPr>
          <w:p w14:paraId="7E829A4A" w14:textId="5CC9CE3A" w:rsidR="007F58A8" w:rsidRPr="00D549EE" w:rsidRDefault="007F58A8" w:rsidP="00C9582F">
            <w:pPr>
              <w:rPr>
                <w:sz w:val="20"/>
                <w:szCs w:val="20"/>
              </w:rPr>
            </w:pPr>
            <w:r w:rsidRPr="00D549EE">
              <w:rPr>
                <w:sz w:val="20"/>
                <w:szCs w:val="20"/>
              </w:rPr>
              <w:t>12022</w:t>
            </w:r>
          </w:p>
        </w:tc>
        <w:tc>
          <w:tcPr>
            <w:tcW w:w="0" w:type="auto"/>
          </w:tcPr>
          <w:p w14:paraId="7365F753" w14:textId="44F963E8" w:rsidR="007F58A8" w:rsidRPr="00D549EE" w:rsidRDefault="007F58A8" w:rsidP="00C9582F">
            <w:pPr>
              <w:rPr>
                <w:sz w:val="20"/>
                <w:szCs w:val="20"/>
              </w:rPr>
            </w:pPr>
            <w:r w:rsidRPr="00D549EE">
              <w:rPr>
                <w:sz w:val="20"/>
                <w:szCs w:val="20"/>
              </w:rPr>
              <w:t>17042</w:t>
            </w:r>
          </w:p>
        </w:tc>
        <w:tc>
          <w:tcPr>
            <w:tcW w:w="0" w:type="auto"/>
          </w:tcPr>
          <w:p w14:paraId="29CE2177" w14:textId="2E7A9725" w:rsidR="007F58A8" w:rsidRPr="00D549EE" w:rsidRDefault="007F58A8" w:rsidP="00C9582F">
            <w:pPr>
              <w:rPr>
                <w:sz w:val="20"/>
                <w:szCs w:val="20"/>
              </w:rPr>
            </w:pPr>
            <w:r w:rsidRPr="00D549EE">
              <w:rPr>
                <w:sz w:val="20"/>
                <w:szCs w:val="20"/>
              </w:rPr>
              <w:t>14148</w:t>
            </w:r>
          </w:p>
        </w:tc>
        <w:tc>
          <w:tcPr>
            <w:tcW w:w="0" w:type="auto"/>
          </w:tcPr>
          <w:p w14:paraId="63E6A4E0" w14:textId="30053471" w:rsidR="007F58A8" w:rsidRPr="00D549EE" w:rsidRDefault="007F58A8" w:rsidP="00C9582F">
            <w:pPr>
              <w:rPr>
                <w:sz w:val="20"/>
                <w:szCs w:val="20"/>
              </w:rPr>
            </w:pPr>
            <w:r w:rsidRPr="00D549EE">
              <w:rPr>
                <w:sz w:val="20"/>
                <w:szCs w:val="20"/>
              </w:rPr>
              <w:t>26737</w:t>
            </w:r>
          </w:p>
        </w:tc>
        <w:tc>
          <w:tcPr>
            <w:tcW w:w="0" w:type="auto"/>
          </w:tcPr>
          <w:p w14:paraId="22500CA1" w14:textId="6D70CB7D" w:rsidR="007F58A8" w:rsidRPr="00D549EE" w:rsidRDefault="007F58A8" w:rsidP="00C9582F">
            <w:pPr>
              <w:rPr>
                <w:sz w:val="20"/>
                <w:szCs w:val="20"/>
              </w:rPr>
            </w:pPr>
            <w:r w:rsidRPr="00D549EE">
              <w:rPr>
                <w:sz w:val="20"/>
                <w:szCs w:val="20"/>
              </w:rPr>
              <w:t>21225</w:t>
            </w:r>
          </w:p>
        </w:tc>
        <w:tc>
          <w:tcPr>
            <w:tcW w:w="0" w:type="auto"/>
          </w:tcPr>
          <w:p w14:paraId="74013B80" w14:textId="38ABD2AE" w:rsidR="007F58A8" w:rsidRPr="00D549EE" w:rsidRDefault="007F58A8" w:rsidP="00C9582F">
            <w:pPr>
              <w:rPr>
                <w:sz w:val="20"/>
                <w:szCs w:val="20"/>
              </w:rPr>
            </w:pPr>
            <w:r w:rsidRPr="00D549EE">
              <w:rPr>
                <w:sz w:val="20"/>
                <w:szCs w:val="20"/>
              </w:rPr>
              <w:t>38986</w:t>
            </w:r>
          </w:p>
        </w:tc>
        <w:tc>
          <w:tcPr>
            <w:tcW w:w="0" w:type="auto"/>
          </w:tcPr>
          <w:p w14:paraId="7C2EA36A" w14:textId="32BE3CF8" w:rsidR="007F58A8" w:rsidRPr="00D549EE" w:rsidRDefault="003C7E93" w:rsidP="00C9582F">
            <w:pPr>
              <w:rPr>
                <w:sz w:val="20"/>
                <w:szCs w:val="20"/>
                <w:lang w:val="en-US"/>
              </w:rPr>
            </w:pPr>
            <w:r w:rsidRPr="00D549EE">
              <w:rPr>
                <w:sz w:val="20"/>
                <w:szCs w:val="20"/>
                <w:lang w:val="en-US"/>
              </w:rPr>
              <w:t>50154</w:t>
            </w:r>
          </w:p>
        </w:tc>
        <w:tc>
          <w:tcPr>
            <w:tcW w:w="0" w:type="auto"/>
          </w:tcPr>
          <w:p w14:paraId="7399F1AE" w14:textId="4735D52D" w:rsidR="007F58A8" w:rsidRPr="00D549EE" w:rsidRDefault="003C7E93" w:rsidP="00C9582F">
            <w:pPr>
              <w:rPr>
                <w:sz w:val="20"/>
                <w:szCs w:val="20"/>
                <w:lang w:val="en-US"/>
              </w:rPr>
            </w:pPr>
            <w:r w:rsidRPr="00D549EE">
              <w:rPr>
                <w:sz w:val="20"/>
                <w:szCs w:val="20"/>
                <w:lang w:val="en-US"/>
              </w:rPr>
              <w:t>54392</w:t>
            </w:r>
          </w:p>
        </w:tc>
        <w:tc>
          <w:tcPr>
            <w:tcW w:w="0" w:type="auto"/>
          </w:tcPr>
          <w:p w14:paraId="3168ABEA" w14:textId="77400C71" w:rsidR="007F58A8" w:rsidRPr="00D549EE" w:rsidRDefault="00131859" w:rsidP="00C9582F">
            <w:pPr>
              <w:rPr>
                <w:sz w:val="20"/>
                <w:szCs w:val="20"/>
                <w:lang w:val="en-US"/>
              </w:rPr>
            </w:pPr>
            <w:r w:rsidRPr="00D549EE">
              <w:rPr>
                <w:sz w:val="20"/>
                <w:szCs w:val="20"/>
                <w:lang w:val="en-US"/>
              </w:rPr>
              <w:t>80894</w:t>
            </w:r>
          </w:p>
        </w:tc>
      </w:tr>
      <w:tr w:rsidR="00131859" w:rsidRPr="00D549EE" w14:paraId="4FA211FB" w14:textId="1797FCBD" w:rsidTr="00490C92">
        <w:trPr>
          <w:trHeight w:val="340"/>
        </w:trPr>
        <w:tc>
          <w:tcPr>
            <w:tcW w:w="0" w:type="auto"/>
          </w:tcPr>
          <w:p w14:paraId="3DD143F8" w14:textId="77777777" w:rsidR="007F58A8" w:rsidRPr="00D549EE" w:rsidRDefault="007F58A8" w:rsidP="00C9582F">
            <w:pPr>
              <w:pStyle w:val="tablecopy"/>
              <w:rPr>
                <w:sz w:val="20"/>
                <w:szCs w:val="20"/>
              </w:rPr>
            </w:pPr>
            <w:r w:rsidRPr="00D549EE">
              <w:rPr>
                <w:color w:val="212121"/>
                <w:sz w:val="20"/>
                <w:szCs w:val="20"/>
              </w:rPr>
              <w:t>Trend</w:t>
            </w:r>
            <w:r w:rsidRPr="00D549EE">
              <w:rPr>
                <w:color w:val="212121"/>
                <w:sz w:val="20"/>
                <w:szCs w:val="20"/>
                <w:lang w:val="en"/>
              </w:rPr>
              <w:t>, %</w:t>
            </w:r>
          </w:p>
        </w:tc>
        <w:tc>
          <w:tcPr>
            <w:tcW w:w="0" w:type="auto"/>
          </w:tcPr>
          <w:p w14:paraId="202962BA" w14:textId="77777777" w:rsidR="007F58A8" w:rsidRPr="00D549EE" w:rsidRDefault="007F58A8" w:rsidP="00C9582F">
            <w:pPr>
              <w:rPr>
                <w:sz w:val="20"/>
                <w:szCs w:val="20"/>
              </w:rPr>
            </w:pPr>
            <w:r w:rsidRPr="00D549EE">
              <w:rPr>
                <w:sz w:val="20"/>
                <w:szCs w:val="20"/>
              </w:rPr>
              <w:t>-</w:t>
            </w:r>
          </w:p>
        </w:tc>
        <w:tc>
          <w:tcPr>
            <w:tcW w:w="0" w:type="auto"/>
          </w:tcPr>
          <w:p w14:paraId="6EBD470B" w14:textId="77777777" w:rsidR="007F58A8" w:rsidRPr="00D549EE" w:rsidRDefault="007F58A8" w:rsidP="00C9582F">
            <w:pPr>
              <w:rPr>
                <w:sz w:val="20"/>
                <w:szCs w:val="20"/>
              </w:rPr>
            </w:pPr>
            <w:r w:rsidRPr="00D549EE">
              <w:rPr>
                <w:sz w:val="20"/>
                <w:szCs w:val="20"/>
              </w:rPr>
              <w:t>71.6</w:t>
            </w:r>
          </w:p>
        </w:tc>
        <w:tc>
          <w:tcPr>
            <w:tcW w:w="0" w:type="auto"/>
          </w:tcPr>
          <w:p w14:paraId="6E5B6A27" w14:textId="77777777" w:rsidR="007F58A8" w:rsidRPr="00D549EE" w:rsidRDefault="007F58A8" w:rsidP="00C9582F">
            <w:pPr>
              <w:rPr>
                <w:sz w:val="20"/>
                <w:szCs w:val="20"/>
              </w:rPr>
            </w:pPr>
            <w:r w:rsidRPr="00D549EE">
              <w:rPr>
                <w:sz w:val="20"/>
                <w:szCs w:val="20"/>
              </w:rPr>
              <w:t>7.7</w:t>
            </w:r>
          </w:p>
        </w:tc>
        <w:tc>
          <w:tcPr>
            <w:tcW w:w="0" w:type="auto"/>
          </w:tcPr>
          <w:p w14:paraId="44044F6E" w14:textId="77777777" w:rsidR="007F58A8" w:rsidRPr="00D549EE" w:rsidRDefault="007F58A8" w:rsidP="00C9582F">
            <w:pPr>
              <w:rPr>
                <w:sz w:val="20"/>
                <w:szCs w:val="20"/>
              </w:rPr>
            </w:pPr>
            <w:r w:rsidRPr="00D549EE">
              <w:rPr>
                <w:sz w:val="20"/>
                <w:szCs w:val="20"/>
              </w:rPr>
              <w:t>41.8</w:t>
            </w:r>
          </w:p>
        </w:tc>
        <w:tc>
          <w:tcPr>
            <w:tcW w:w="0" w:type="auto"/>
          </w:tcPr>
          <w:p w14:paraId="74681323" w14:textId="77777777" w:rsidR="007F58A8" w:rsidRPr="00D549EE" w:rsidRDefault="007F58A8" w:rsidP="00C9582F">
            <w:pPr>
              <w:rPr>
                <w:sz w:val="20"/>
                <w:szCs w:val="20"/>
              </w:rPr>
            </w:pPr>
            <w:r w:rsidRPr="00D549EE">
              <w:rPr>
                <w:sz w:val="20"/>
                <w:szCs w:val="20"/>
              </w:rPr>
              <w:t>-17</w:t>
            </w:r>
          </w:p>
        </w:tc>
        <w:tc>
          <w:tcPr>
            <w:tcW w:w="0" w:type="auto"/>
          </w:tcPr>
          <w:p w14:paraId="57B3204C" w14:textId="77777777" w:rsidR="007F58A8" w:rsidRPr="00D549EE" w:rsidRDefault="007F58A8" w:rsidP="00C9582F">
            <w:pPr>
              <w:rPr>
                <w:sz w:val="20"/>
                <w:szCs w:val="20"/>
              </w:rPr>
            </w:pPr>
            <w:r w:rsidRPr="00D549EE">
              <w:rPr>
                <w:sz w:val="20"/>
                <w:szCs w:val="20"/>
              </w:rPr>
              <w:t>89</w:t>
            </w:r>
          </w:p>
        </w:tc>
        <w:tc>
          <w:tcPr>
            <w:tcW w:w="0" w:type="auto"/>
          </w:tcPr>
          <w:p w14:paraId="0DEAE3BF" w14:textId="1B98BA40" w:rsidR="007F58A8" w:rsidRPr="00D549EE" w:rsidRDefault="00131859" w:rsidP="00C9582F">
            <w:pPr>
              <w:rPr>
                <w:sz w:val="20"/>
                <w:szCs w:val="20"/>
              </w:rPr>
            </w:pPr>
            <w:r w:rsidRPr="00D549EE">
              <w:rPr>
                <w:sz w:val="20"/>
                <w:szCs w:val="20"/>
                <w:lang w:val="en-US"/>
              </w:rPr>
              <w:t>-</w:t>
            </w:r>
            <w:r w:rsidR="007F58A8" w:rsidRPr="00D549EE">
              <w:rPr>
                <w:sz w:val="20"/>
                <w:szCs w:val="20"/>
              </w:rPr>
              <w:t>20.6</w:t>
            </w:r>
          </w:p>
        </w:tc>
        <w:tc>
          <w:tcPr>
            <w:tcW w:w="0" w:type="auto"/>
          </w:tcPr>
          <w:p w14:paraId="072FCB97" w14:textId="77777777" w:rsidR="007F58A8" w:rsidRPr="00D549EE" w:rsidRDefault="007F58A8" w:rsidP="00C9582F">
            <w:pPr>
              <w:rPr>
                <w:sz w:val="20"/>
                <w:szCs w:val="20"/>
              </w:rPr>
            </w:pPr>
            <w:r w:rsidRPr="00D549EE">
              <w:rPr>
                <w:sz w:val="20"/>
                <w:szCs w:val="20"/>
              </w:rPr>
              <w:t>83.7</w:t>
            </w:r>
          </w:p>
        </w:tc>
        <w:tc>
          <w:tcPr>
            <w:tcW w:w="0" w:type="auto"/>
          </w:tcPr>
          <w:p w14:paraId="4780CB62" w14:textId="3C1AF67B" w:rsidR="007F58A8" w:rsidRPr="00D549EE" w:rsidRDefault="00131859" w:rsidP="00C9582F">
            <w:pPr>
              <w:rPr>
                <w:sz w:val="20"/>
                <w:szCs w:val="20"/>
                <w:lang w:val="en-US"/>
              </w:rPr>
            </w:pPr>
            <w:r w:rsidRPr="00D549EE">
              <w:rPr>
                <w:sz w:val="20"/>
                <w:szCs w:val="20"/>
                <w:lang w:val="en-US"/>
              </w:rPr>
              <w:t>28.6</w:t>
            </w:r>
          </w:p>
        </w:tc>
        <w:tc>
          <w:tcPr>
            <w:tcW w:w="0" w:type="auto"/>
          </w:tcPr>
          <w:p w14:paraId="7F02D337" w14:textId="118E39E6" w:rsidR="007F58A8" w:rsidRPr="00D549EE" w:rsidRDefault="00131859" w:rsidP="00C9582F">
            <w:pPr>
              <w:rPr>
                <w:sz w:val="20"/>
                <w:szCs w:val="20"/>
                <w:lang w:val="en-US"/>
              </w:rPr>
            </w:pPr>
            <w:r w:rsidRPr="00D549EE">
              <w:rPr>
                <w:sz w:val="20"/>
                <w:szCs w:val="20"/>
                <w:lang w:val="en-US"/>
              </w:rPr>
              <w:t>8.5</w:t>
            </w:r>
          </w:p>
        </w:tc>
        <w:tc>
          <w:tcPr>
            <w:tcW w:w="0" w:type="auto"/>
          </w:tcPr>
          <w:p w14:paraId="3CC79223" w14:textId="1597F10E" w:rsidR="007F58A8" w:rsidRPr="00D549EE" w:rsidRDefault="00FC2E9A" w:rsidP="00C9582F">
            <w:pPr>
              <w:rPr>
                <w:sz w:val="20"/>
                <w:szCs w:val="20"/>
                <w:lang w:val="en-US"/>
              </w:rPr>
            </w:pPr>
            <w:r w:rsidRPr="00D549EE">
              <w:rPr>
                <w:sz w:val="20"/>
                <w:szCs w:val="20"/>
                <w:lang w:val="en-US"/>
              </w:rPr>
              <w:t>48.7</w:t>
            </w:r>
          </w:p>
        </w:tc>
      </w:tr>
      <w:tr w:rsidR="007F58A8" w:rsidRPr="00FC685D" w14:paraId="58D30994" w14:textId="4F3E1A63" w:rsidTr="00490C92">
        <w:trPr>
          <w:trHeight w:val="340"/>
        </w:trPr>
        <w:tc>
          <w:tcPr>
            <w:tcW w:w="0" w:type="auto"/>
            <w:gridSpan w:val="12"/>
          </w:tcPr>
          <w:p w14:paraId="1C87215B" w14:textId="6BAB66B8" w:rsidR="007F58A8" w:rsidRPr="00D549EE" w:rsidRDefault="005052D9" w:rsidP="00C9582F">
            <w:pPr>
              <w:ind w:left="597"/>
              <w:rPr>
                <w:sz w:val="20"/>
                <w:szCs w:val="20"/>
                <w:lang w:val="en-US"/>
              </w:rPr>
            </w:pPr>
            <w:r w:rsidRPr="00D549EE">
              <w:rPr>
                <w:sz w:val="20"/>
                <w:szCs w:val="20"/>
                <w:lang w:val="en-US"/>
              </w:rPr>
              <w:t>Note –</w:t>
            </w:r>
            <w:r w:rsidR="00BD63EE" w:rsidRPr="00D549EE">
              <w:rPr>
                <w:sz w:val="20"/>
                <w:szCs w:val="20"/>
                <w:lang w:val="en-US"/>
              </w:rPr>
              <w:t xml:space="preserve"> </w:t>
            </w:r>
            <w:r w:rsidR="00DB1656" w:rsidRPr="00D549EE">
              <w:rPr>
                <w:sz w:val="20"/>
                <w:szCs w:val="20"/>
                <w:lang w:val="en-US"/>
              </w:rPr>
              <w:t xml:space="preserve">Compiled </w:t>
            </w:r>
            <w:r w:rsidR="007F58A8" w:rsidRPr="00D549EE">
              <w:rPr>
                <w:sz w:val="20"/>
                <w:szCs w:val="20"/>
                <w:lang w:val="en"/>
              </w:rPr>
              <w:t>by the author</w:t>
            </w:r>
            <w:r w:rsidRPr="00D549EE">
              <w:rPr>
                <w:sz w:val="20"/>
                <w:szCs w:val="20"/>
                <w:lang w:val="en"/>
              </w:rPr>
              <w:t xml:space="preserve"> on the basis of</w:t>
            </w:r>
            <w:r w:rsidR="007F58A8" w:rsidRPr="00D549EE">
              <w:rPr>
                <w:sz w:val="20"/>
                <w:szCs w:val="20"/>
                <w:lang w:val="en"/>
              </w:rPr>
              <w:t xml:space="preserve"> </w:t>
            </w:r>
            <w:r w:rsidR="007F58A8" w:rsidRPr="00D549EE">
              <w:rPr>
                <w:sz w:val="20"/>
                <w:szCs w:val="20"/>
                <w:lang w:val="en-US"/>
              </w:rPr>
              <w:t>source</w:t>
            </w:r>
            <w:r w:rsidR="00903E8A" w:rsidRPr="00D549EE">
              <w:rPr>
                <w:sz w:val="20"/>
                <w:szCs w:val="20"/>
                <w:lang w:val="en-US"/>
              </w:rPr>
              <w:t xml:space="preserve"> </w:t>
            </w:r>
            <w:r w:rsidR="008526A0" w:rsidRPr="00D549EE">
              <w:rPr>
                <w:sz w:val="20"/>
                <w:szCs w:val="20"/>
                <w:lang w:val="en-US"/>
              </w:rPr>
              <w:fldChar w:fldCharType="begin" w:fldLock="1"/>
            </w:r>
            <w:r w:rsidR="00CB6E54" w:rsidRPr="00D549EE">
              <w:rPr>
                <w:sz w:val="20"/>
                <w:szCs w:val="20"/>
                <w:lang w:val="en-US"/>
              </w:rPr>
              <w:instrText>ADDIN CSL_CITATION {"citationItems":[{"id":"ITEM-1","itemData":{"author":[{"dropping-particle":"","family":"Kuanova","given":"Laura","non-dropping-particle":"","parse-names":false,"suffix":""}],"container-title":"Transit economics","id":"ITEM-1","issue":"3 (4)","issued":{"date-parts":[["2018"]]},"title":"Econometric model of the development of Islamic finance in Kazakhstan","type":"article-journal"},"uris":["http://www.mendeley.com/documents/?uuid=b8180a4b-2be3-4bfc-9026-93a3cadc79bd"]}],"mendeley":{"formattedCitation":"[123]","plainTextFormattedCitation":"[123]","previouslyFormattedCitation":"[123]"},"properties":{"noteIndex":0},"schema":"https://github.com/citation-style-language/schema/raw/master/csl-citation.json"}</w:instrText>
            </w:r>
            <w:r w:rsidR="008526A0" w:rsidRPr="00D549EE">
              <w:rPr>
                <w:sz w:val="20"/>
                <w:szCs w:val="20"/>
                <w:lang w:val="en-US"/>
              </w:rPr>
              <w:fldChar w:fldCharType="separate"/>
            </w:r>
            <w:r w:rsidR="00B25838" w:rsidRPr="00D549EE">
              <w:rPr>
                <w:noProof/>
                <w:sz w:val="20"/>
                <w:szCs w:val="20"/>
                <w:lang w:val="en-US"/>
              </w:rPr>
              <w:t>[123]</w:t>
            </w:r>
            <w:r w:rsidR="008526A0" w:rsidRPr="00D549EE">
              <w:rPr>
                <w:sz w:val="20"/>
                <w:szCs w:val="20"/>
                <w:lang w:val="en-US"/>
              </w:rPr>
              <w:fldChar w:fldCharType="end"/>
            </w:r>
            <w:r w:rsidR="007F58A8" w:rsidRPr="00D549EE">
              <w:rPr>
                <w:sz w:val="20"/>
                <w:szCs w:val="20"/>
                <w:lang w:val="en-US"/>
              </w:rPr>
              <w:t xml:space="preserve"> </w:t>
            </w:r>
            <w:r w:rsidR="00C503D7" w:rsidRPr="00D549EE">
              <w:rPr>
                <w:rStyle w:val="a8"/>
                <w:color w:val="000000" w:themeColor="text1"/>
                <w:sz w:val="20"/>
                <w:szCs w:val="20"/>
                <w:lang w:val="en-US"/>
              </w:rPr>
              <w:fldChar w:fldCharType="begin" w:fldLock="1"/>
            </w:r>
            <w:r w:rsidR="00CB6E54" w:rsidRPr="00D549EE">
              <w:rPr>
                <w:rStyle w:val="a8"/>
                <w:color w:val="000000" w:themeColor="text1"/>
                <w:sz w:val="20"/>
                <w:szCs w:val="20"/>
                <w:lang w:val="en-US"/>
              </w:rPr>
              <w:instrText>ADDIN CSL_CITATION {"citationItems":[{"id":"ITEM-1","itemData":{"author":[{"dropping-particle":"","family":"Sagiyeva","given":"Rimma К","non-dropping-particle":"","parse-names":false,"suffix":""},{"dropping-particle":"","family":"Kuanova","given":"Laura A","non-dropping-particle":"","parse-names":false,"suffix":""}],"container-title":"Economy: Strategy and Practice","id":"ITEM-1","issue":"3","issued":{"date-parts":[["2019"]]},"page":"39-48","title":"Analysis of Islamic Finance development in Kazakhstan : overview and prospects","type":"article-journal","volume":"14"},"uris":["http://www.mendeley.com/documents/?uuid=d6a2b9b9-8f57-40b3-8daa-7eaba2715c75"]}],"mendeley":{"formattedCitation":"[122]","plainTextFormattedCitation":"[122]","previouslyFormattedCitation":"[122]"},"properties":{"noteIndex":0},"schema":"https://github.com/citation-style-language/schema/raw/master/csl-citation.json"}</w:instrText>
            </w:r>
            <w:r w:rsidR="00C503D7" w:rsidRPr="00D549EE">
              <w:rPr>
                <w:rStyle w:val="a8"/>
                <w:color w:val="000000" w:themeColor="text1"/>
                <w:sz w:val="20"/>
                <w:szCs w:val="20"/>
                <w:lang w:val="en-US"/>
              </w:rPr>
              <w:fldChar w:fldCharType="separate"/>
            </w:r>
            <w:r w:rsidR="00B25838" w:rsidRPr="00D549EE">
              <w:rPr>
                <w:rStyle w:val="a8"/>
                <w:noProof/>
                <w:color w:val="000000" w:themeColor="text1"/>
                <w:sz w:val="20"/>
                <w:szCs w:val="20"/>
                <w:u w:val="none"/>
                <w:lang w:val="en-US"/>
              </w:rPr>
              <w:t>[122]</w:t>
            </w:r>
            <w:r w:rsidR="00C503D7" w:rsidRPr="00D549EE">
              <w:rPr>
                <w:rStyle w:val="a8"/>
                <w:color w:val="000000" w:themeColor="text1"/>
                <w:sz w:val="20"/>
                <w:szCs w:val="20"/>
                <w:lang w:val="en-US"/>
              </w:rPr>
              <w:fldChar w:fldCharType="end"/>
            </w:r>
          </w:p>
        </w:tc>
      </w:tr>
    </w:tbl>
    <w:p w14:paraId="3323609D" w14:textId="77777777" w:rsidR="00E2135F" w:rsidRPr="00D549EE" w:rsidRDefault="00E2135F" w:rsidP="00C9582F">
      <w:pPr>
        <w:pStyle w:val="HTML"/>
        <w:rPr>
          <w:rFonts w:ascii="Times New Roman" w:hAnsi="Times New Roman" w:cs="Times New Roman"/>
          <w:color w:val="212121"/>
          <w:sz w:val="28"/>
          <w:szCs w:val="28"/>
          <w:lang w:val="en-US"/>
        </w:rPr>
      </w:pPr>
    </w:p>
    <w:p w14:paraId="6BEFEFB1" w14:textId="77777777" w:rsidR="009C3257" w:rsidRPr="009C3257" w:rsidRDefault="00E2135F" w:rsidP="009C3257">
      <w:pPr>
        <w:pStyle w:val="HTML"/>
        <w:rPr>
          <w:rFonts w:ascii="Times New Roman" w:hAnsi="Times New Roman" w:cs="Times New Roman"/>
          <w:color w:val="212121"/>
          <w:sz w:val="28"/>
          <w:szCs w:val="28"/>
          <w:lang w:val="en-US"/>
        </w:rPr>
      </w:pPr>
      <w:r w:rsidRPr="00D549EE">
        <w:rPr>
          <w:rFonts w:ascii="Times New Roman" w:hAnsi="Times New Roman" w:cs="Times New Roman"/>
          <w:color w:val="212121"/>
          <w:sz w:val="28"/>
          <w:szCs w:val="28"/>
          <w:lang w:val="en-US"/>
        </w:rPr>
        <w:tab/>
      </w:r>
      <w:r w:rsidR="009C3257" w:rsidRPr="009C3257">
        <w:rPr>
          <w:rFonts w:ascii="Times New Roman" w:hAnsi="Times New Roman" w:cs="Times New Roman"/>
          <w:color w:val="212121"/>
          <w:sz w:val="28"/>
          <w:szCs w:val="28"/>
          <w:lang w:val="en-US"/>
        </w:rPr>
        <w:t xml:space="preserve">As can be seen from the above data from table 22, Islamic banking assets had intricated dynamic of change, which started from a rapid increase in 2011, 71,6%, but the following year, the Islamic banking assets growth rate was just over 8%. In 2014 and 2016, data had a negative trend of about 20%. However, in 2015 and 2017, Islamic banking increased by 89%-83,7%, respectively, and the growth of Islamic banking assets in 2020 was 48.7% compared to 2019 despite the pandemic crisis. </w:t>
      </w:r>
    </w:p>
    <w:p w14:paraId="6ECB402D" w14:textId="77777777" w:rsidR="009C3257" w:rsidRPr="009C3257" w:rsidRDefault="009C3257" w:rsidP="009C3257">
      <w:pPr>
        <w:pStyle w:val="HTML"/>
        <w:rPr>
          <w:rFonts w:ascii="Times New Roman" w:hAnsi="Times New Roman" w:cs="Times New Roman"/>
          <w:color w:val="212121"/>
          <w:sz w:val="28"/>
          <w:szCs w:val="28"/>
          <w:lang w:val="en-US"/>
        </w:rPr>
      </w:pPr>
      <w:r w:rsidRPr="009C3257">
        <w:rPr>
          <w:rFonts w:ascii="Times New Roman" w:hAnsi="Times New Roman" w:cs="Times New Roman"/>
          <w:color w:val="212121"/>
          <w:sz w:val="28"/>
          <w:szCs w:val="28"/>
          <w:lang w:val="en-US"/>
        </w:rPr>
        <w:tab/>
        <w:t xml:space="preserve">It should be mentioned that from 2010 to 2020 (10 years), Islamic banking grew by more than 11 times in Kazakhstan, but the volume of assets of Islamic banks is less than 1% of all assets of the banking system [123]. In the total of two domestic Islamic banks, there are 5 branches and offices with 177 employees. More than 90% of the financial transactions are based on commodity Murabaha contracts and 8.5% on ijara contracts. </w:t>
      </w:r>
    </w:p>
    <w:p w14:paraId="0669E753" w14:textId="77777777" w:rsidR="009C3257" w:rsidRPr="009C3257" w:rsidRDefault="009C3257" w:rsidP="009C3257">
      <w:pPr>
        <w:pStyle w:val="HTML"/>
        <w:rPr>
          <w:rFonts w:ascii="Times New Roman" w:hAnsi="Times New Roman" w:cs="Times New Roman"/>
          <w:color w:val="212121"/>
          <w:sz w:val="28"/>
          <w:szCs w:val="28"/>
          <w:lang w:val="en-US"/>
        </w:rPr>
      </w:pPr>
      <w:r w:rsidRPr="009C3257">
        <w:rPr>
          <w:rFonts w:ascii="Times New Roman" w:hAnsi="Times New Roman" w:cs="Times New Roman"/>
          <w:color w:val="212121"/>
          <w:sz w:val="28"/>
          <w:szCs w:val="28"/>
          <w:lang w:val="en-US"/>
        </w:rPr>
        <w:tab/>
        <w:t xml:space="preserve">These days, globally, Islamic finance assets are estimated at 2.88 trillion US dollars and are presented by 1462 Islamic financial institutions [124]. The value of outstanding Sukuk is 536 billion US dollars, and 137 billion US dollars is the value of Islamic funds [4]. The banking sector is leading in all Islamic financial industry areas.  </w:t>
      </w:r>
    </w:p>
    <w:p w14:paraId="0C2CFBEF" w14:textId="27DC2110" w:rsidR="00037FC0" w:rsidRPr="00D549EE" w:rsidRDefault="009C3257" w:rsidP="009C3257">
      <w:pPr>
        <w:pStyle w:val="HTML"/>
        <w:rPr>
          <w:rFonts w:ascii="Times New Roman" w:hAnsi="Times New Roman" w:cs="Times New Roman"/>
          <w:color w:val="000000" w:themeColor="text1"/>
          <w:sz w:val="28"/>
          <w:szCs w:val="28"/>
          <w:lang w:val="en-US"/>
        </w:rPr>
      </w:pPr>
      <w:r w:rsidRPr="009C3257">
        <w:rPr>
          <w:rFonts w:ascii="Times New Roman" w:hAnsi="Times New Roman" w:cs="Times New Roman"/>
          <w:color w:val="212121"/>
          <w:sz w:val="28"/>
          <w:szCs w:val="28"/>
          <w:lang w:val="en-US"/>
        </w:rPr>
        <w:tab/>
        <w:t>The figure above illustrates the changing dynamic of the conventional and Islamic financial assets over the last 13 years.</w:t>
      </w:r>
      <w:r w:rsidR="00037FC0" w:rsidRPr="00D549EE">
        <w:rPr>
          <w:rFonts w:ascii="Times New Roman" w:hAnsi="Times New Roman" w:cs="Times New Roman"/>
          <w:color w:val="000000" w:themeColor="text1"/>
          <w:sz w:val="28"/>
          <w:szCs w:val="28"/>
          <w:lang w:val="en-US"/>
        </w:rPr>
        <w:t xml:space="preserve"> </w:t>
      </w:r>
    </w:p>
    <w:p w14:paraId="44CC18F7" w14:textId="77777777" w:rsidR="00490C92" w:rsidRPr="00D549EE" w:rsidRDefault="00490C92" w:rsidP="00C9582F">
      <w:pPr>
        <w:pStyle w:val="HTML"/>
        <w:rPr>
          <w:rFonts w:ascii="Times New Roman" w:hAnsi="Times New Roman" w:cs="Times New Roman"/>
          <w:color w:val="212121"/>
          <w:sz w:val="28"/>
          <w:szCs w:val="28"/>
          <w:lang w:val="en-US"/>
        </w:rPr>
      </w:pPr>
    </w:p>
    <w:p w14:paraId="3A12B595" w14:textId="6FDB0D3D" w:rsidR="00037FC0" w:rsidRPr="00D549EE" w:rsidRDefault="00AD73AD" w:rsidP="00C9582F">
      <w:pPr>
        <w:pStyle w:val="HTML"/>
        <w:rPr>
          <w:rFonts w:ascii="Times New Roman" w:hAnsi="Times New Roman" w:cs="Times New Roman"/>
          <w:color w:val="212121"/>
          <w:sz w:val="28"/>
          <w:szCs w:val="28"/>
          <w:lang w:val="en-US"/>
        </w:rPr>
      </w:pPr>
      <w:r w:rsidRPr="00D549EE">
        <w:rPr>
          <w:rFonts w:ascii="Times New Roman" w:hAnsi="Times New Roman" w:cs="Times New Roman"/>
          <w:noProof/>
        </w:rPr>
        <w:drawing>
          <wp:inline distT="0" distB="0" distL="0" distR="0" wp14:anchorId="4197E12F" wp14:editId="1EF0F970">
            <wp:extent cx="5901690" cy="1820488"/>
            <wp:effectExtent l="0" t="0" r="16510" b="8890"/>
            <wp:docPr id="51" name="Диаграмма 51">
              <a:extLst xmlns:a="http://schemas.openxmlformats.org/drawingml/2006/main">
                <a:ext uri="{FF2B5EF4-FFF2-40B4-BE49-F238E27FC236}">
                  <a16:creationId xmlns:a16="http://schemas.microsoft.com/office/drawing/2014/main" id="{224F5597-13BD-2042-8693-08DCBD2A9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3C48896" w14:textId="77777777" w:rsidR="00037FC0" w:rsidRPr="00D549EE" w:rsidRDefault="00037FC0" w:rsidP="00C9582F">
      <w:pPr>
        <w:pStyle w:val="HTML"/>
        <w:rPr>
          <w:rFonts w:ascii="Times New Roman" w:hAnsi="Times New Roman" w:cs="Times New Roman"/>
          <w:color w:val="212121"/>
          <w:sz w:val="28"/>
          <w:szCs w:val="28"/>
          <w:lang w:val="en-US"/>
        </w:rPr>
      </w:pPr>
    </w:p>
    <w:p w14:paraId="6F6A5A14" w14:textId="4830319D" w:rsidR="004B57A5" w:rsidRPr="00D549EE" w:rsidRDefault="00B4594E" w:rsidP="006644D6">
      <w:pPr>
        <w:ind w:firstLine="708"/>
        <w:jc w:val="center"/>
        <w:rPr>
          <w:color w:val="000000" w:themeColor="text1"/>
          <w:sz w:val="28"/>
          <w:szCs w:val="28"/>
          <w:lang w:val="en-US"/>
        </w:rPr>
      </w:pPr>
      <w:r w:rsidRPr="00D549EE">
        <w:rPr>
          <w:bCs/>
          <w:color w:val="000000" w:themeColor="text1"/>
          <w:sz w:val="28"/>
          <w:szCs w:val="28"/>
          <w:lang w:val="en-US"/>
        </w:rPr>
        <w:t xml:space="preserve">Figure </w:t>
      </w:r>
      <w:r w:rsidR="00490C92" w:rsidRPr="00D549EE">
        <w:rPr>
          <w:bCs/>
          <w:color w:val="000000" w:themeColor="text1"/>
          <w:sz w:val="28"/>
          <w:szCs w:val="28"/>
          <w:lang w:val="en-US"/>
        </w:rPr>
        <w:t>21</w:t>
      </w:r>
      <w:r w:rsidRPr="00D549EE">
        <w:rPr>
          <w:b/>
          <w:bCs/>
          <w:color w:val="000000" w:themeColor="text1"/>
          <w:sz w:val="28"/>
          <w:szCs w:val="28"/>
          <w:lang w:val="en-US"/>
        </w:rPr>
        <w:t xml:space="preserve"> </w:t>
      </w:r>
      <w:r w:rsidRPr="00D549EE">
        <w:rPr>
          <w:sz w:val="28"/>
          <w:szCs w:val="28"/>
          <w:lang w:val="en-US"/>
        </w:rPr>
        <w:t>–</w:t>
      </w:r>
      <w:r w:rsidRPr="00D549EE">
        <w:rPr>
          <w:b/>
          <w:bCs/>
          <w:color w:val="000000" w:themeColor="text1"/>
          <w:sz w:val="28"/>
          <w:szCs w:val="28"/>
          <w:lang w:val="en-US"/>
        </w:rPr>
        <w:t xml:space="preserve"> </w:t>
      </w:r>
      <w:r w:rsidRPr="00D549EE">
        <w:rPr>
          <w:color w:val="000000" w:themeColor="text1"/>
          <w:sz w:val="28"/>
          <w:szCs w:val="28"/>
          <w:lang w:val="en-US"/>
        </w:rPr>
        <w:t>Conventional and Islamic Financial assets changing rate</w:t>
      </w:r>
      <w:r w:rsidRPr="00D549EE">
        <w:rPr>
          <w:bCs/>
          <w:color w:val="000000" w:themeColor="text1"/>
          <w:sz w:val="28"/>
          <w:szCs w:val="28"/>
          <w:lang w:val="en-US"/>
        </w:rPr>
        <w:t xml:space="preserve"> </w:t>
      </w:r>
      <w:r w:rsidR="00E16385" w:rsidRPr="00D549EE">
        <w:rPr>
          <w:bCs/>
          <w:color w:val="000000" w:themeColor="text1"/>
          <w:sz w:val="28"/>
          <w:szCs w:val="28"/>
          <w:lang w:val="en-US"/>
        </w:rPr>
        <w:t xml:space="preserve">for </w:t>
      </w:r>
      <w:r w:rsidRPr="00D549EE">
        <w:rPr>
          <w:color w:val="000000" w:themeColor="text1"/>
          <w:sz w:val="28"/>
          <w:szCs w:val="28"/>
          <w:lang w:val="en-US"/>
        </w:rPr>
        <w:t>200</w:t>
      </w:r>
      <w:r w:rsidR="00E16385" w:rsidRPr="00D549EE">
        <w:rPr>
          <w:color w:val="000000" w:themeColor="text1"/>
          <w:sz w:val="28"/>
          <w:szCs w:val="28"/>
          <w:lang w:val="en-US"/>
        </w:rPr>
        <w:t>7</w:t>
      </w:r>
      <w:r w:rsidRPr="00D549EE">
        <w:rPr>
          <w:color w:val="000000" w:themeColor="text1"/>
          <w:sz w:val="28"/>
          <w:szCs w:val="28"/>
          <w:lang w:val="en-US"/>
        </w:rPr>
        <w:t>-20</w:t>
      </w:r>
      <w:r w:rsidR="00E16385" w:rsidRPr="00D549EE">
        <w:rPr>
          <w:color w:val="000000" w:themeColor="text1"/>
          <w:sz w:val="28"/>
          <w:szCs w:val="28"/>
          <w:lang w:val="en-US"/>
        </w:rPr>
        <w:t>19, in %</w:t>
      </w:r>
    </w:p>
    <w:p w14:paraId="4B3A6BE6" w14:textId="77777777" w:rsidR="00B4594E" w:rsidRPr="00D549EE" w:rsidRDefault="00B4594E" w:rsidP="00C9582F">
      <w:pPr>
        <w:ind w:firstLine="708"/>
        <w:rPr>
          <w:lang w:val="en-US"/>
        </w:rPr>
      </w:pPr>
    </w:p>
    <w:p w14:paraId="1B4A29E1" w14:textId="1B01CB25" w:rsidR="00B4594E" w:rsidRPr="00D549EE" w:rsidRDefault="00B4594E" w:rsidP="00C9582F">
      <w:pPr>
        <w:ind w:firstLine="708"/>
        <w:rPr>
          <w:color w:val="000000" w:themeColor="text1"/>
          <w:lang w:val="en-US"/>
        </w:rPr>
      </w:pPr>
      <w:r w:rsidRPr="00D549EE">
        <w:rPr>
          <w:lang w:val="en-US"/>
        </w:rPr>
        <w:t xml:space="preserve">Note – </w:t>
      </w:r>
      <w:r w:rsidR="001D5881">
        <w:rPr>
          <w:lang w:val="en-US"/>
        </w:rPr>
        <w:t xml:space="preserve">Compiled by the author </w:t>
      </w:r>
      <w:r w:rsidR="00E16385" w:rsidRPr="00D549EE">
        <w:rPr>
          <w:color w:val="000000" w:themeColor="text1"/>
          <w:lang w:val="en-US"/>
        </w:rPr>
        <w:t xml:space="preserve"> </w:t>
      </w:r>
    </w:p>
    <w:p w14:paraId="356EC88D" w14:textId="7610980B" w:rsidR="00E16385" w:rsidRPr="00D549EE" w:rsidRDefault="00E16385" w:rsidP="00C9582F">
      <w:pPr>
        <w:ind w:firstLine="708"/>
        <w:rPr>
          <w:color w:val="000000" w:themeColor="text1"/>
          <w:lang w:val="en-US"/>
        </w:rPr>
      </w:pPr>
    </w:p>
    <w:p w14:paraId="017E3986" w14:textId="77777777" w:rsidR="003C5B30" w:rsidRPr="003C5B30" w:rsidRDefault="003C5B30" w:rsidP="003C5B30">
      <w:pPr>
        <w:ind w:firstLine="708"/>
        <w:jc w:val="both"/>
        <w:rPr>
          <w:color w:val="000000" w:themeColor="text1"/>
          <w:sz w:val="28"/>
          <w:szCs w:val="28"/>
          <w:lang w:val="en-US"/>
        </w:rPr>
      </w:pPr>
      <w:r w:rsidRPr="003C5B30">
        <w:rPr>
          <w:color w:val="000000" w:themeColor="text1"/>
          <w:sz w:val="28"/>
          <w:szCs w:val="28"/>
          <w:lang w:val="en-US"/>
        </w:rPr>
        <w:t xml:space="preserve">For the considered period, there is given the rate of changing of the financial assets of the conventional and Islamic financial markets. During the financial crisis and after, there was a growth of 0.7% and 5.9% in conventional financial assets, while </w:t>
      </w:r>
      <w:r w:rsidRPr="003C5B30">
        <w:rPr>
          <w:color w:val="000000" w:themeColor="text1"/>
          <w:sz w:val="28"/>
          <w:szCs w:val="28"/>
          <w:lang w:val="en-US"/>
        </w:rPr>
        <w:lastRenderedPageBreak/>
        <w:t xml:space="preserve">Islamic financial assets grew 28.6% and 26%. When the conventional financial market decreased by 1.8% in assets in 2015 and 0.9% in 2018, Islamic financial assets grew by 8.2% in 2015 and 6.6% in 2018 [125]. This growth of Islamic financial assets is due to the stability and resilience to crises of Islamic finance, as discussed earlier. </w:t>
      </w:r>
    </w:p>
    <w:p w14:paraId="62717FC7" w14:textId="77777777" w:rsidR="003C5B30" w:rsidRPr="003C5B30" w:rsidRDefault="003C5B30" w:rsidP="003C5B30">
      <w:pPr>
        <w:ind w:firstLine="708"/>
        <w:jc w:val="both"/>
        <w:rPr>
          <w:color w:val="000000" w:themeColor="text1"/>
          <w:sz w:val="28"/>
          <w:szCs w:val="28"/>
          <w:lang w:val="en-US"/>
        </w:rPr>
      </w:pPr>
      <w:r w:rsidRPr="003C5B30">
        <w:rPr>
          <w:color w:val="000000" w:themeColor="text1"/>
          <w:sz w:val="28"/>
          <w:szCs w:val="28"/>
          <w:lang w:val="en-US"/>
        </w:rPr>
        <w:t>The Pandemic crisis-affected to all economies across the world and the Islamic finance industry was also affected. Despite the crisis, there have been new players in Islamic banking and investment for the last year in various parts of the world (UAE, UK, Tajikistan, and Uganda). However, there has been a growth in Islamic financial assets for the last year by 13.9% for 2019-2020, and still expected the growth to 3.69 trillion US dollars by experts’ estimation.</w:t>
      </w:r>
    </w:p>
    <w:p w14:paraId="204BE351" w14:textId="373FD4AE" w:rsidR="00764B9C" w:rsidRPr="00D549EE" w:rsidRDefault="003C5B30" w:rsidP="003C5B30">
      <w:pPr>
        <w:ind w:firstLine="708"/>
        <w:jc w:val="both"/>
        <w:rPr>
          <w:sz w:val="28"/>
          <w:szCs w:val="28"/>
          <w:lang w:val="en-US"/>
        </w:rPr>
      </w:pPr>
      <w:r w:rsidRPr="003C5B30">
        <w:rPr>
          <w:color w:val="000000" w:themeColor="text1"/>
          <w:sz w:val="28"/>
          <w:szCs w:val="28"/>
          <w:lang w:val="en-US"/>
        </w:rPr>
        <w:t>In order to determine the potential of financial resources that will possibly be attracted to Islamic financial institutions in the future, the authors decided to consider the financial services market in Kazakhstan. These days, the main tools for the allocation of capital in the financial market of the country are deposits and bank accounts, securities, and retirement services. Banks are leaders in attracting funds from the population and organizations because the stock market is insufficiently developed. Therefore the funds on bank deposits can be considered potential resources for Islamic financial instruments (Table 23).</w:t>
      </w:r>
    </w:p>
    <w:p w14:paraId="1A5C5FD0" w14:textId="77777777" w:rsidR="00764B9C" w:rsidRPr="00D549EE" w:rsidRDefault="00764B9C" w:rsidP="00C9582F">
      <w:pPr>
        <w:jc w:val="both"/>
        <w:rPr>
          <w:sz w:val="28"/>
          <w:szCs w:val="28"/>
          <w:lang w:val="en-US"/>
        </w:rPr>
      </w:pPr>
    </w:p>
    <w:p w14:paraId="64D469AE" w14:textId="66E8C955" w:rsidR="00764B9C" w:rsidRPr="00D549EE" w:rsidRDefault="00764B9C" w:rsidP="00C9582F">
      <w:pPr>
        <w:jc w:val="both"/>
        <w:rPr>
          <w:b/>
          <w:sz w:val="28"/>
          <w:szCs w:val="28"/>
          <w:lang w:val="en-US"/>
        </w:rPr>
      </w:pPr>
      <w:r w:rsidRPr="00D549EE">
        <w:rPr>
          <w:sz w:val="28"/>
          <w:szCs w:val="28"/>
          <w:lang w:val="en-US"/>
        </w:rPr>
        <w:t xml:space="preserve">Table </w:t>
      </w:r>
      <w:r w:rsidR="007A3937" w:rsidRPr="00D549EE">
        <w:rPr>
          <w:sz w:val="28"/>
          <w:szCs w:val="28"/>
          <w:lang w:val="en-US"/>
        </w:rPr>
        <w:t>2</w:t>
      </w:r>
      <w:r w:rsidR="00A655E2" w:rsidRPr="00D549EE">
        <w:rPr>
          <w:sz w:val="28"/>
          <w:szCs w:val="28"/>
          <w:lang w:val="en-US"/>
        </w:rPr>
        <w:t>3</w:t>
      </w:r>
      <w:r w:rsidR="005052D9" w:rsidRPr="00D549EE">
        <w:rPr>
          <w:b/>
          <w:sz w:val="28"/>
          <w:szCs w:val="28"/>
          <w:lang w:val="en-US"/>
        </w:rPr>
        <w:t xml:space="preserve"> </w:t>
      </w:r>
      <w:r w:rsidR="005052D9" w:rsidRPr="00D549EE">
        <w:rPr>
          <w:sz w:val="28"/>
          <w:szCs w:val="28"/>
          <w:lang w:val="en-US"/>
        </w:rPr>
        <w:t>–</w:t>
      </w:r>
      <w:r w:rsidR="005052D9" w:rsidRPr="00D549EE">
        <w:rPr>
          <w:lang w:val="en-US"/>
        </w:rPr>
        <w:t xml:space="preserve"> </w:t>
      </w:r>
      <w:r w:rsidRPr="00D549EE">
        <w:rPr>
          <w:sz w:val="28"/>
          <w:szCs w:val="28"/>
          <w:lang w:val="en-US"/>
        </w:rPr>
        <w:t>Estimation of Islamic Banks assets</w:t>
      </w:r>
      <w:r w:rsidR="007A3937" w:rsidRPr="00D549EE">
        <w:rPr>
          <w:sz w:val="28"/>
          <w:szCs w:val="28"/>
          <w:lang w:val="en-US"/>
        </w:rPr>
        <w:t xml:space="preserve"> and forecast</w:t>
      </w:r>
    </w:p>
    <w:p w14:paraId="43E71E1D" w14:textId="77777777" w:rsidR="00764B9C" w:rsidRPr="00D549EE" w:rsidRDefault="00764B9C" w:rsidP="00C9582F">
      <w:pPr>
        <w:jc w:val="both"/>
        <w:textAlignment w:val="top"/>
        <w:rPr>
          <w:sz w:val="28"/>
          <w:szCs w:val="28"/>
          <w:lang w:val="en-US"/>
        </w:rPr>
      </w:pPr>
    </w:p>
    <w:tbl>
      <w:tblPr>
        <w:tblStyle w:val="a9"/>
        <w:tblW w:w="0" w:type="auto"/>
        <w:tblLook w:val="04A0" w:firstRow="1" w:lastRow="0" w:firstColumn="1" w:lastColumn="0" w:noHBand="0" w:noVBand="1"/>
      </w:tblPr>
      <w:tblGrid>
        <w:gridCol w:w="4202"/>
        <w:gridCol w:w="2343"/>
        <w:gridCol w:w="2843"/>
      </w:tblGrid>
      <w:tr w:rsidR="007A3937" w:rsidRPr="00D549EE" w14:paraId="05AF4AFB" w14:textId="4BE1A59D" w:rsidTr="00791578">
        <w:trPr>
          <w:trHeight w:val="260"/>
        </w:trPr>
        <w:tc>
          <w:tcPr>
            <w:tcW w:w="0" w:type="auto"/>
            <w:noWrap/>
            <w:hideMark/>
          </w:tcPr>
          <w:p w14:paraId="147B1993" w14:textId="4C7E6EB3" w:rsidR="007A3937" w:rsidRPr="00D549EE" w:rsidRDefault="007A3937" w:rsidP="00C9582F">
            <w:pPr>
              <w:rPr>
                <w:bCs/>
                <w:color w:val="000000" w:themeColor="text1"/>
                <w:lang w:val="en-US"/>
              </w:rPr>
            </w:pPr>
            <w:r w:rsidRPr="00D549EE">
              <w:rPr>
                <w:bCs/>
                <w:color w:val="000000" w:themeColor="text1"/>
                <w:lang w:val="en-US"/>
              </w:rPr>
              <w:t>Indicators</w:t>
            </w:r>
          </w:p>
        </w:tc>
        <w:tc>
          <w:tcPr>
            <w:tcW w:w="0" w:type="auto"/>
          </w:tcPr>
          <w:p w14:paraId="31334FAD" w14:textId="52B161B8" w:rsidR="007A3937" w:rsidRPr="00D549EE" w:rsidRDefault="007A3937" w:rsidP="00C9582F">
            <w:pPr>
              <w:rPr>
                <w:bCs/>
                <w:color w:val="000000" w:themeColor="text1"/>
                <w:lang w:val="en-US"/>
              </w:rPr>
            </w:pPr>
            <w:r w:rsidRPr="00D549EE">
              <w:rPr>
                <w:bCs/>
                <w:color w:val="000000" w:themeColor="text1"/>
                <w:lang w:val="en-US"/>
              </w:rPr>
              <w:t>Thousand tenge</w:t>
            </w:r>
            <w:r w:rsidR="00507574" w:rsidRPr="00D549EE">
              <w:rPr>
                <w:bCs/>
                <w:color w:val="000000" w:themeColor="text1"/>
                <w:lang w:val="en-US"/>
              </w:rPr>
              <w:t xml:space="preserve">, </w:t>
            </w:r>
            <w:r w:rsidRPr="00D549EE">
              <w:rPr>
                <w:bCs/>
                <w:color w:val="000000" w:themeColor="text1"/>
                <w:lang w:val="en-US"/>
              </w:rPr>
              <w:t>2020</w:t>
            </w:r>
          </w:p>
        </w:tc>
        <w:tc>
          <w:tcPr>
            <w:tcW w:w="0" w:type="auto"/>
          </w:tcPr>
          <w:p w14:paraId="2A9B6236" w14:textId="39E8AE70" w:rsidR="007A3937" w:rsidRPr="00D549EE" w:rsidRDefault="007A3937" w:rsidP="00C9582F">
            <w:pPr>
              <w:rPr>
                <w:bCs/>
                <w:color w:val="000000" w:themeColor="text1"/>
                <w:lang w:val="en-US"/>
              </w:rPr>
            </w:pPr>
            <w:r w:rsidRPr="00D549EE">
              <w:rPr>
                <w:bCs/>
                <w:color w:val="000000" w:themeColor="text1"/>
                <w:lang w:val="en-US"/>
              </w:rPr>
              <w:t>Thousand US dollars</w:t>
            </w:r>
            <w:r w:rsidR="00507574" w:rsidRPr="00D549EE">
              <w:rPr>
                <w:bCs/>
                <w:color w:val="000000" w:themeColor="text1"/>
                <w:lang w:val="en-US"/>
              </w:rPr>
              <w:t>,</w:t>
            </w:r>
            <w:r w:rsidRPr="00D549EE">
              <w:rPr>
                <w:bCs/>
                <w:color w:val="000000" w:themeColor="text1"/>
                <w:lang w:val="en-US"/>
              </w:rPr>
              <w:t xml:space="preserve"> 2020</w:t>
            </w:r>
          </w:p>
        </w:tc>
      </w:tr>
      <w:tr w:rsidR="007A3937" w:rsidRPr="00D549EE" w14:paraId="45899C0D" w14:textId="261373DB" w:rsidTr="00791578">
        <w:trPr>
          <w:trHeight w:val="260"/>
        </w:trPr>
        <w:tc>
          <w:tcPr>
            <w:tcW w:w="0" w:type="auto"/>
            <w:noWrap/>
            <w:hideMark/>
          </w:tcPr>
          <w:p w14:paraId="30DC3462" w14:textId="77777777" w:rsidR="007A3937" w:rsidRPr="00D549EE" w:rsidRDefault="007A3937" w:rsidP="00C9582F">
            <w:pPr>
              <w:rPr>
                <w:color w:val="000000" w:themeColor="text1"/>
              </w:rPr>
            </w:pPr>
            <w:r w:rsidRPr="00D549EE">
              <w:rPr>
                <w:color w:val="000000" w:themeColor="text1"/>
              </w:rPr>
              <w:t>Total assets of banks</w:t>
            </w:r>
          </w:p>
        </w:tc>
        <w:tc>
          <w:tcPr>
            <w:tcW w:w="0" w:type="auto"/>
          </w:tcPr>
          <w:p w14:paraId="2A54A81B" w14:textId="2CC90304" w:rsidR="007A3937" w:rsidRPr="00D549EE" w:rsidRDefault="007A3937" w:rsidP="00C9582F">
            <w:r w:rsidRPr="00D549EE">
              <w:t>26 785 900 000</w:t>
            </w:r>
          </w:p>
        </w:tc>
        <w:tc>
          <w:tcPr>
            <w:tcW w:w="0" w:type="auto"/>
          </w:tcPr>
          <w:p w14:paraId="535061EA" w14:textId="0E49CE58" w:rsidR="007A3937" w:rsidRPr="00D549EE" w:rsidRDefault="007A3937" w:rsidP="00C9582F">
            <w:pPr>
              <w:rPr>
                <w:color w:val="000000" w:themeColor="text1"/>
                <w:lang w:val="en-US"/>
              </w:rPr>
            </w:pPr>
            <w:r w:rsidRPr="00D549EE">
              <w:rPr>
                <w:color w:val="000000" w:themeColor="text1"/>
                <w:lang w:val="en-US"/>
              </w:rPr>
              <w:t>63 638 070</w:t>
            </w:r>
          </w:p>
        </w:tc>
      </w:tr>
      <w:tr w:rsidR="007A3937" w:rsidRPr="00D549EE" w14:paraId="2778FA50" w14:textId="4DC9212D" w:rsidTr="00791578">
        <w:trPr>
          <w:trHeight w:val="260"/>
        </w:trPr>
        <w:tc>
          <w:tcPr>
            <w:tcW w:w="0" w:type="auto"/>
            <w:noWrap/>
            <w:hideMark/>
          </w:tcPr>
          <w:p w14:paraId="4B347590" w14:textId="77777777" w:rsidR="007A3937" w:rsidRPr="00D549EE" w:rsidRDefault="007A3937" w:rsidP="00C9582F">
            <w:pPr>
              <w:rPr>
                <w:color w:val="000000" w:themeColor="text1"/>
              </w:rPr>
            </w:pPr>
            <w:r w:rsidRPr="00D549EE">
              <w:rPr>
                <w:color w:val="000000" w:themeColor="text1"/>
              </w:rPr>
              <w:t>Assets of Islamic banks</w:t>
            </w:r>
          </w:p>
        </w:tc>
        <w:tc>
          <w:tcPr>
            <w:tcW w:w="0" w:type="auto"/>
          </w:tcPr>
          <w:p w14:paraId="05AFF786" w14:textId="2EFFF78F" w:rsidR="007A3937" w:rsidRPr="00D549EE" w:rsidRDefault="007A3937" w:rsidP="00C9582F">
            <w:r w:rsidRPr="00D549EE">
              <w:t>80 894 316</w:t>
            </w:r>
          </w:p>
        </w:tc>
        <w:tc>
          <w:tcPr>
            <w:tcW w:w="0" w:type="auto"/>
          </w:tcPr>
          <w:p w14:paraId="380AAD04" w14:textId="0F2A2169" w:rsidR="007A3937" w:rsidRPr="00D549EE" w:rsidRDefault="007A3937" w:rsidP="00C9582F">
            <w:pPr>
              <w:rPr>
                <w:color w:val="000000" w:themeColor="text1"/>
                <w:lang w:val="en-US"/>
              </w:rPr>
            </w:pPr>
            <w:r w:rsidRPr="00D549EE">
              <w:rPr>
                <w:color w:val="000000" w:themeColor="text1"/>
                <w:lang w:val="en-US"/>
              </w:rPr>
              <w:t>192 189</w:t>
            </w:r>
          </w:p>
        </w:tc>
      </w:tr>
      <w:tr w:rsidR="007A3937" w:rsidRPr="00D549EE" w14:paraId="375EDE0F" w14:textId="0C9C3AFD" w:rsidTr="00791578">
        <w:trPr>
          <w:trHeight w:val="260"/>
        </w:trPr>
        <w:tc>
          <w:tcPr>
            <w:tcW w:w="0" w:type="auto"/>
            <w:noWrap/>
            <w:hideMark/>
          </w:tcPr>
          <w:p w14:paraId="67278E4D" w14:textId="77777777" w:rsidR="007A3937" w:rsidRPr="00D549EE" w:rsidRDefault="007A3937" w:rsidP="00C9582F">
            <w:pPr>
              <w:rPr>
                <w:color w:val="000000" w:themeColor="text1"/>
                <w:lang w:val="en-US"/>
              </w:rPr>
            </w:pPr>
            <w:r w:rsidRPr="00D549EE">
              <w:rPr>
                <w:color w:val="000000" w:themeColor="text1"/>
                <w:lang w:val="en-US"/>
              </w:rPr>
              <w:t>Share of assets of Islamic banks</w:t>
            </w:r>
          </w:p>
        </w:tc>
        <w:tc>
          <w:tcPr>
            <w:tcW w:w="0" w:type="auto"/>
          </w:tcPr>
          <w:p w14:paraId="7F882C2C" w14:textId="064825BD" w:rsidR="007A3937" w:rsidRPr="00D549EE" w:rsidRDefault="007A3937" w:rsidP="00C9582F">
            <w:pPr>
              <w:rPr>
                <w:color w:val="000000" w:themeColor="text1"/>
                <w:lang w:val="en-US"/>
              </w:rPr>
            </w:pPr>
            <w:r w:rsidRPr="00D549EE">
              <w:rPr>
                <w:color w:val="000000" w:themeColor="text1"/>
                <w:lang w:val="en-US"/>
              </w:rPr>
              <w:t>0.30%</w:t>
            </w:r>
          </w:p>
        </w:tc>
        <w:tc>
          <w:tcPr>
            <w:tcW w:w="0" w:type="auto"/>
          </w:tcPr>
          <w:p w14:paraId="608FA8CA" w14:textId="0D30BE27" w:rsidR="007A3937" w:rsidRPr="00D549EE" w:rsidRDefault="007A3937" w:rsidP="00C9582F">
            <w:pPr>
              <w:rPr>
                <w:color w:val="000000" w:themeColor="text1"/>
                <w:lang w:val="en-US"/>
              </w:rPr>
            </w:pPr>
            <w:r w:rsidRPr="00D549EE">
              <w:rPr>
                <w:color w:val="000000" w:themeColor="text1"/>
                <w:lang w:val="en-US"/>
              </w:rPr>
              <w:t>0.30%</w:t>
            </w:r>
          </w:p>
        </w:tc>
      </w:tr>
      <w:tr w:rsidR="007A3937" w:rsidRPr="00D549EE" w14:paraId="67DD02DA" w14:textId="024B4605" w:rsidTr="00791578">
        <w:trPr>
          <w:trHeight w:val="260"/>
        </w:trPr>
        <w:tc>
          <w:tcPr>
            <w:tcW w:w="0" w:type="auto"/>
            <w:noWrap/>
            <w:hideMark/>
          </w:tcPr>
          <w:p w14:paraId="4D79C847" w14:textId="77777777" w:rsidR="007A3937" w:rsidRPr="00D549EE" w:rsidRDefault="007A3937" w:rsidP="00C9582F">
            <w:pPr>
              <w:rPr>
                <w:color w:val="000000" w:themeColor="text1"/>
              </w:rPr>
            </w:pPr>
            <w:r w:rsidRPr="00D549EE">
              <w:rPr>
                <w:color w:val="000000" w:themeColor="text1"/>
              </w:rPr>
              <w:t>Total deposits in banks</w:t>
            </w:r>
          </w:p>
        </w:tc>
        <w:tc>
          <w:tcPr>
            <w:tcW w:w="0" w:type="auto"/>
          </w:tcPr>
          <w:p w14:paraId="557F85E9" w14:textId="26EB93CE" w:rsidR="007A3937" w:rsidRPr="00D549EE" w:rsidRDefault="007A3937" w:rsidP="00C9582F">
            <w:r w:rsidRPr="00D549EE">
              <w:t>21</w:t>
            </w:r>
            <w:r w:rsidR="005B06FD" w:rsidRPr="00D549EE">
              <w:rPr>
                <w:lang w:val="en-US"/>
              </w:rPr>
              <w:t xml:space="preserve"> </w:t>
            </w:r>
            <w:r w:rsidRPr="00D549EE">
              <w:t>559</w:t>
            </w:r>
            <w:r w:rsidR="005B06FD" w:rsidRPr="00D549EE">
              <w:rPr>
                <w:lang w:val="en-US"/>
              </w:rPr>
              <w:t xml:space="preserve"> </w:t>
            </w:r>
            <w:r w:rsidRPr="00D549EE">
              <w:t>200</w:t>
            </w:r>
            <w:r w:rsidR="005B06FD" w:rsidRPr="00D549EE">
              <w:rPr>
                <w:lang w:val="en-US"/>
              </w:rPr>
              <w:t xml:space="preserve"> </w:t>
            </w:r>
            <w:r w:rsidRPr="00D549EE">
              <w:t>000</w:t>
            </w:r>
          </w:p>
        </w:tc>
        <w:tc>
          <w:tcPr>
            <w:tcW w:w="0" w:type="auto"/>
          </w:tcPr>
          <w:p w14:paraId="1CC9F23A" w14:textId="2F18F730" w:rsidR="007A3937" w:rsidRPr="00D549EE" w:rsidRDefault="007A3937" w:rsidP="00C9582F">
            <w:pPr>
              <w:rPr>
                <w:color w:val="000000" w:themeColor="text1"/>
                <w:lang w:val="en-US"/>
              </w:rPr>
            </w:pPr>
            <w:r w:rsidRPr="00D549EE">
              <w:rPr>
                <w:color w:val="000000" w:themeColor="text1"/>
                <w:lang w:val="en-US"/>
              </w:rPr>
              <w:t>51 220 451</w:t>
            </w:r>
          </w:p>
        </w:tc>
      </w:tr>
      <w:tr w:rsidR="007A3937" w:rsidRPr="00D549EE" w14:paraId="3DC7C149" w14:textId="0A5E6EB2" w:rsidTr="00791578">
        <w:trPr>
          <w:trHeight w:val="260"/>
        </w:trPr>
        <w:tc>
          <w:tcPr>
            <w:tcW w:w="0" w:type="auto"/>
            <w:noWrap/>
            <w:hideMark/>
          </w:tcPr>
          <w:p w14:paraId="24C36061" w14:textId="77777777" w:rsidR="007A3937" w:rsidRPr="00D549EE" w:rsidRDefault="007A3937" w:rsidP="00C9582F">
            <w:pPr>
              <w:rPr>
                <w:color w:val="000000" w:themeColor="text1"/>
              </w:rPr>
            </w:pPr>
            <w:r w:rsidRPr="00D549EE">
              <w:rPr>
                <w:color w:val="000000" w:themeColor="text1"/>
              </w:rPr>
              <w:t>Deposits in Islamic Banks</w:t>
            </w:r>
          </w:p>
        </w:tc>
        <w:tc>
          <w:tcPr>
            <w:tcW w:w="0" w:type="auto"/>
          </w:tcPr>
          <w:p w14:paraId="12CB3444" w14:textId="2164B1A6" w:rsidR="007A3937" w:rsidRPr="00D549EE" w:rsidRDefault="007A3937" w:rsidP="00C9582F">
            <w:pPr>
              <w:rPr>
                <w:color w:val="000000"/>
              </w:rPr>
            </w:pPr>
            <w:r w:rsidRPr="00D549EE">
              <w:rPr>
                <w:color w:val="000000"/>
              </w:rPr>
              <w:t>22 304 907</w:t>
            </w:r>
          </w:p>
        </w:tc>
        <w:tc>
          <w:tcPr>
            <w:tcW w:w="0" w:type="auto"/>
          </w:tcPr>
          <w:p w14:paraId="63C9620D" w14:textId="39145ABB" w:rsidR="007A3937" w:rsidRPr="00D549EE" w:rsidRDefault="007A3937" w:rsidP="00C9582F">
            <w:pPr>
              <w:rPr>
                <w:color w:val="000000" w:themeColor="text1"/>
                <w:lang w:val="en-US"/>
              </w:rPr>
            </w:pPr>
            <w:r w:rsidRPr="00D549EE">
              <w:rPr>
                <w:color w:val="000000" w:themeColor="text1"/>
                <w:lang w:val="en-US"/>
              </w:rPr>
              <w:t>52 992</w:t>
            </w:r>
          </w:p>
        </w:tc>
      </w:tr>
      <w:tr w:rsidR="007A3937" w:rsidRPr="00D549EE" w14:paraId="1FD50D7D" w14:textId="3FC38030" w:rsidTr="00791578">
        <w:trPr>
          <w:trHeight w:val="260"/>
        </w:trPr>
        <w:tc>
          <w:tcPr>
            <w:tcW w:w="0" w:type="auto"/>
            <w:noWrap/>
            <w:hideMark/>
          </w:tcPr>
          <w:p w14:paraId="334EE928" w14:textId="77777777" w:rsidR="007A3937" w:rsidRPr="00D549EE" w:rsidRDefault="007A3937" w:rsidP="00C9582F">
            <w:pPr>
              <w:rPr>
                <w:color w:val="000000" w:themeColor="text1"/>
                <w:lang w:val="en-US"/>
              </w:rPr>
            </w:pPr>
            <w:r w:rsidRPr="00D549EE">
              <w:rPr>
                <w:color w:val="000000" w:themeColor="text1"/>
                <w:lang w:val="en-US"/>
              </w:rPr>
              <w:t>Share of deposits in Islamic banks</w:t>
            </w:r>
          </w:p>
        </w:tc>
        <w:tc>
          <w:tcPr>
            <w:tcW w:w="0" w:type="auto"/>
          </w:tcPr>
          <w:p w14:paraId="6D85235A" w14:textId="5C746878" w:rsidR="007A3937" w:rsidRPr="00D549EE" w:rsidRDefault="007A3937" w:rsidP="00C9582F">
            <w:pPr>
              <w:rPr>
                <w:color w:val="000000" w:themeColor="text1"/>
                <w:lang w:val="en-US"/>
              </w:rPr>
            </w:pPr>
            <w:r w:rsidRPr="00D549EE">
              <w:rPr>
                <w:color w:val="000000" w:themeColor="text1"/>
                <w:lang w:val="en-US"/>
              </w:rPr>
              <w:t>0.10%</w:t>
            </w:r>
          </w:p>
        </w:tc>
        <w:tc>
          <w:tcPr>
            <w:tcW w:w="0" w:type="auto"/>
          </w:tcPr>
          <w:p w14:paraId="4A1987C1" w14:textId="466CD9F4" w:rsidR="007A3937" w:rsidRPr="00D549EE" w:rsidRDefault="007A3937" w:rsidP="00C9582F">
            <w:pPr>
              <w:rPr>
                <w:color w:val="000000" w:themeColor="text1"/>
                <w:lang w:val="en-US"/>
              </w:rPr>
            </w:pPr>
            <w:r w:rsidRPr="00D549EE">
              <w:rPr>
                <w:color w:val="000000" w:themeColor="text1"/>
                <w:lang w:val="en-US"/>
              </w:rPr>
              <w:t>0.10%</w:t>
            </w:r>
          </w:p>
        </w:tc>
      </w:tr>
      <w:tr w:rsidR="007A3937" w:rsidRPr="00D549EE" w14:paraId="23B464D3" w14:textId="5079DA8B" w:rsidTr="00791578">
        <w:trPr>
          <w:trHeight w:val="260"/>
        </w:trPr>
        <w:tc>
          <w:tcPr>
            <w:tcW w:w="0" w:type="auto"/>
            <w:noWrap/>
            <w:hideMark/>
          </w:tcPr>
          <w:p w14:paraId="4B732557" w14:textId="77777777" w:rsidR="007A3937" w:rsidRPr="00D549EE" w:rsidRDefault="007A3937" w:rsidP="00C9582F">
            <w:pPr>
              <w:rPr>
                <w:color w:val="000000" w:themeColor="text1"/>
                <w:lang w:val="en-US"/>
              </w:rPr>
            </w:pPr>
            <w:r w:rsidRPr="00D549EE">
              <w:rPr>
                <w:color w:val="000000" w:themeColor="text1"/>
                <w:lang w:val="en-US"/>
              </w:rPr>
              <w:t>Deposits to assets of banks</w:t>
            </w:r>
          </w:p>
        </w:tc>
        <w:tc>
          <w:tcPr>
            <w:tcW w:w="0" w:type="auto"/>
          </w:tcPr>
          <w:p w14:paraId="44EC8F07" w14:textId="31457400" w:rsidR="007A3937" w:rsidRPr="00D549EE" w:rsidRDefault="007A3937" w:rsidP="00C9582F">
            <w:pPr>
              <w:rPr>
                <w:color w:val="000000" w:themeColor="text1"/>
                <w:lang w:val="en-US"/>
              </w:rPr>
            </w:pPr>
            <w:r w:rsidRPr="00D549EE">
              <w:rPr>
                <w:color w:val="000000" w:themeColor="text1"/>
                <w:lang w:val="en-US"/>
              </w:rPr>
              <w:t>80.49%</w:t>
            </w:r>
          </w:p>
        </w:tc>
        <w:tc>
          <w:tcPr>
            <w:tcW w:w="0" w:type="auto"/>
          </w:tcPr>
          <w:p w14:paraId="6DC1E1C2" w14:textId="76BCA1B1" w:rsidR="007A3937" w:rsidRPr="00D549EE" w:rsidRDefault="007A3937" w:rsidP="00C9582F">
            <w:pPr>
              <w:rPr>
                <w:color w:val="000000" w:themeColor="text1"/>
                <w:lang w:val="en-US"/>
              </w:rPr>
            </w:pPr>
            <w:r w:rsidRPr="00D549EE">
              <w:rPr>
                <w:color w:val="000000" w:themeColor="text1"/>
                <w:lang w:val="en-US"/>
              </w:rPr>
              <w:t>80.49%</w:t>
            </w:r>
          </w:p>
        </w:tc>
      </w:tr>
      <w:tr w:rsidR="007A3937" w:rsidRPr="00D549EE" w14:paraId="69F7B356" w14:textId="41FEB275" w:rsidTr="00791578">
        <w:trPr>
          <w:trHeight w:val="260"/>
        </w:trPr>
        <w:tc>
          <w:tcPr>
            <w:tcW w:w="0" w:type="auto"/>
            <w:noWrap/>
            <w:hideMark/>
          </w:tcPr>
          <w:p w14:paraId="5A8CB423" w14:textId="77777777" w:rsidR="007A3937" w:rsidRPr="00D549EE" w:rsidRDefault="007A3937" w:rsidP="00C9582F">
            <w:pPr>
              <w:rPr>
                <w:color w:val="000000" w:themeColor="text1"/>
                <w:lang w:val="en-US"/>
              </w:rPr>
            </w:pPr>
            <w:r w:rsidRPr="00D549EE">
              <w:rPr>
                <w:color w:val="000000" w:themeColor="text1"/>
                <w:lang w:val="en-US"/>
              </w:rPr>
              <w:t>Deposit to assets of Islamic banks</w:t>
            </w:r>
          </w:p>
        </w:tc>
        <w:tc>
          <w:tcPr>
            <w:tcW w:w="0" w:type="auto"/>
          </w:tcPr>
          <w:p w14:paraId="728482D1" w14:textId="5E9FAA71" w:rsidR="007A3937" w:rsidRPr="00D549EE" w:rsidRDefault="007A3937" w:rsidP="00C9582F">
            <w:pPr>
              <w:rPr>
                <w:color w:val="000000" w:themeColor="text1"/>
                <w:lang w:val="en-US"/>
              </w:rPr>
            </w:pPr>
            <w:r w:rsidRPr="00D549EE">
              <w:rPr>
                <w:color w:val="000000" w:themeColor="text1"/>
                <w:lang w:val="en-US"/>
              </w:rPr>
              <w:t>27.57%</w:t>
            </w:r>
          </w:p>
        </w:tc>
        <w:tc>
          <w:tcPr>
            <w:tcW w:w="0" w:type="auto"/>
          </w:tcPr>
          <w:p w14:paraId="63110A65" w14:textId="1DFE51B1" w:rsidR="007A3937" w:rsidRPr="00D549EE" w:rsidRDefault="007A3937" w:rsidP="00C9582F">
            <w:pPr>
              <w:rPr>
                <w:color w:val="000000" w:themeColor="text1"/>
                <w:lang w:val="en-US"/>
              </w:rPr>
            </w:pPr>
            <w:r w:rsidRPr="00D549EE">
              <w:rPr>
                <w:color w:val="000000" w:themeColor="text1"/>
                <w:lang w:val="en-US"/>
              </w:rPr>
              <w:t>27.57%</w:t>
            </w:r>
          </w:p>
        </w:tc>
      </w:tr>
      <w:tr w:rsidR="005B06FD" w:rsidRPr="00D549EE" w14:paraId="29B2DD10" w14:textId="1FC8A101" w:rsidTr="00264655">
        <w:trPr>
          <w:trHeight w:val="260"/>
        </w:trPr>
        <w:tc>
          <w:tcPr>
            <w:tcW w:w="0" w:type="auto"/>
            <w:gridSpan w:val="3"/>
            <w:noWrap/>
            <w:hideMark/>
          </w:tcPr>
          <w:p w14:paraId="6ED574CF" w14:textId="66E3C00B" w:rsidR="005B06FD" w:rsidRPr="00D549EE" w:rsidRDefault="005B06FD" w:rsidP="00C9582F">
            <w:pPr>
              <w:jc w:val="center"/>
              <w:rPr>
                <w:bCs/>
                <w:color w:val="000000" w:themeColor="text1"/>
              </w:rPr>
            </w:pPr>
            <w:r w:rsidRPr="00D549EE">
              <w:rPr>
                <w:bCs/>
                <w:color w:val="000000" w:themeColor="text1"/>
                <w:lang w:val="en-US"/>
              </w:rPr>
              <w:t>Estimation</w:t>
            </w:r>
          </w:p>
        </w:tc>
      </w:tr>
      <w:tr w:rsidR="005B06FD" w:rsidRPr="00D549EE" w14:paraId="563ACF10" w14:textId="77777777" w:rsidTr="00264655">
        <w:trPr>
          <w:trHeight w:val="260"/>
        </w:trPr>
        <w:tc>
          <w:tcPr>
            <w:tcW w:w="0" w:type="auto"/>
            <w:noWrap/>
          </w:tcPr>
          <w:p w14:paraId="5D33C395" w14:textId="0FE6114E" w:rsidR="005B06FD" w:rsidRPr="00D549EE" w:rsidRDefault="005B06FD" w:rsidP="00C9582F">
            <w:pPr>
              <w:rPr>
                <w:bCs/>
                <w:color w:val="000000" w:themeColor="text1"/>
                <w:lang w:val="en-US"/>
              </w:rPr>
            </w:pPr>
            <w:r w:rsidRPr="00D549EE">
              <w:rPr>
                <w:color w:val="000000" w:themeColor="text1"/>
                <w:lang w:val="en-US"/>
              </w:rPr>
              <w:t>Share of Islamic banks (global)</w:t>
            </w:r>
          </w:p>
        </w:tc>
        <w:tc>
          <w:tcPr>
            <w:tcW w:w="0" w:type="auto"/>
            <w:gridSpan w:val="2"/>
          </w:tcPr>
          <w:p w14:paraId="1222A5AE" w14:textId="4788BC20" w:rsidR="005B06FD" w:rsidRPr="00D549EE" w:rsidRDefault="005B06FD" w:rsidP="00C9582F">
            <w:pPr>
              <w:jc w:val="center"/>
              <w:rPr>
                <w:bCs/>
                <w:color w:val="000000" w:themeColor="text1"/>
                <w:lang w:val="en-US"/>
              </w:rPr>
            </w:pPr>
            <w:r w:rsidRPr="00D549EE">
              <w:rPr>
                <w:bCs/>
                <w:color w:val="000000" w:themeColor="text1"/>
                <w:lang w:val="en-US"/>
              </w:rPr>
              <w:t>1%</w:t>
            </w:r>
          </w:p>
        </w:tc>
      </w:tr>
      <w:tr w:rsidR="007A3937" w:rsidRPr="00D549EE" w14:paraId="2581D32E" w14:textId="6826691A" w:rsidTr="00791578">
        <w:trPr>
          <w:trHeight w:val="260"/>
        </w:trPr>
        <w:tc>
          <w:tcPr>
            <w:tcW w:w="0" w:type="auto"/>
            <w:noWrap/>
            <w:hideMark/>
          </w:tcPr>
          <w:p w14:paraId="11948A6B" w14:textId="77777777" w:rsidR="007A3937" w:rsidRPr="00D549EE" w:rsidRDefault="007A3937" w:rsidP="00C9582F">
            <w:pPr>
              <w:rPr>
                <w:color w:val="000000" w:themeColor="text1"/>
                <w:lang w:val="en-US"/>
              </w:rPr>
            </w:pPr>
            <w:r w:rsidRPr="00D549EE">
              <w:rPr>
                <w:color w:val="000000" w:themeColor="text1"/>
                <w:lang w:val="en-US"/>
              </w:rPr>
              <w:t>An estimate of assets of Islamic banks</w:t>
            </w:r>
          </w:p>
        </w:tc>
        <w:tc>
          <w:tcPr>
            <w:tcW w:w="0" w:type="auto"/>
          </w:tcPr>
          <w:p w14:paraId="48E32F90" w14:textId="3287A01C" w:rsidR="007A3937" w:rsidRPr="00D549EE" w:rsidRDefault="007A3937" w:rsidP="00C9582F">
            <w:r w:rsidRPr="00D549EE">
              <w:t xml:space="preserve">267 859 000   </w:t>
            </w:r>
          </w:p>
        </w:tc>
        <w:tc>
          <w:tcPr>
            <w:tcW w:w="0" w:type="auto"/>
          </w:tcPr>
          <w:p w14:paraId="249AFFA3" w14:textId="144670F4" w:rsidR="007A3937" w:rsidRPr="00D549EE" w:rsidRDefault="007A3937" w:rsidP="00C9582F">
            <w:pPr>
              <w:rPr>
                <w:color w:val="000000" w:themeColor="text1"/>
              </w:rPr>
            </w:pPr>
            <w:r w:rsidRPr="00D549EE">
              <w:rPr>
                <w:color w:val="000000" w:themeColor="text1"/>
                <w:lang w:val="en-US"/>
              </w:rPr>
              <w:t>636 381</w:t>
            </w:r>
          </w:p>
        </w:tc>
      </w:tr>
      <w:tr w:rsidR="007A3937" w:rsidRPr="00D549EE" w14:paraId="00EBFD9A" w14:textId="694DC6FC" w:rsidTr="00791578">
        <w:trPr>
          <w:trHeight w:val="260"/>
        </w:trPr>
        <w:tc>
          <w:tcPr>
            <w:tcW w:w="0" w:type="auto"/>
            <w:noWrap/>
            <w:hideMark/>
          </w:tcPr>
          <w:p w14:paraId="008F4A21" w14:textId="2D0DE56F" w:rsidR="007A3937" w:rsidRPr="00D549EE" w:rsidRDefault="007A3937" w:rsidP="00C9582F">
            <w:pPr>
              <w:rPr>
                <w:color w:val="000000" w:themeColor="text1"/>
              </w:rPr>
            </w:pPr>
            <w:r w:rsidRPr="00D549EE">
              <w:rPr>
                <w:color w:val="000000" w:themeColor="text1"/>
              </w:rPr>
              <w:t xml:space="preserve">Growth potential </w:t>
            </w:r>
            <w:r w:rsidRPr="00D549EE">
              <w:rPr>
                <w:color w:val="000000" w:themeColor="text1"/>
                <w:lang w:val="en-US"/>
              </w:rPr>
              <w:t xml:space="preserve">Islamic </w:t>
            </w:r>
            <w:r w:rsidRPr="00D549EE">
              <w:rPr>
                <w:color w:val="000000" w:themeColor="text1"/>
              </w:rPr>
              <w:t>assets</w:t>
            </w:r>
          </w:p>
        </w:tc>
        <w:tc>
          <w:tcPr>
            <w:tcW w:w="0" w:type="auto"/>
          </w:tcPr>
          <w:p w14:paraId="17D62886" w14:textId="1575467A" w:rsidR="007A3937" w:rsidRPr="00D549EE" w:rsidRDefault="007A3937" w:rsidP="00C9582F">
            <w:pPr>
              <w:rPr>
                <w:color w:val="000000" w:themeColor="text1"/>
                <w:lang w:val="en-US"/>
              </w:rPr>
            </w:pPr>
            <w:r w:rsidRPr="00D549EE">
              <w:rPr>
                <w:color w:val="000000" w:themeColor="text1"/>
                <w:lang w:val="en-US"/>
              </w:rPr>
              <w:t>3.3</w:t>
            </w:r>
          </w:p>
        </w:tc>
        <w:tc>
          <w:tcPr>
            <w:tcW w:w="0" w:type="auto"/>
          </w:tcPr>
          <w:p w14:paraId="67D7A948" w14:textId="61A658C9" w:rsidR="007A3937" w:rsidRPr="00D549EE" w:rsidRDefault="007A3937" w:rsidP="00C9582F">
            <w:pPr>
              <w:rPr>
                <w:color w:val="000000" w:themeColor="text1"/>
                <w:lang w:val="en-US"/>
              </w:rPr>
            </w:pPr>
            <w:r w:rsidRPr="00D549EE">
              <w:rPr>
                <w:color w:val="000000" w:themeColor="text1"/>
                <w:lang w:val="en-US"/>
              </w:rPr>
              <w:t>3.3</w:t>
            </w:r>
          </w:p>
        </w:tc>
      </w:tr>
      <w:tr w:rsidR="007A3937" w:rsidRPr="00D549EE" w14:paraId="208B6681" w14:textId="57861309" w:rsidTr="00791578">
        <w:trPr>
          <w:trHeight w:val="260"/>
        </w:trPr>
        <w:tc>
          <w:tcPr>
            <w:tcW w:w="0" w:type="auto"/>
            <w:noWrap/>
            <w:hideMark/>
          </w:tcPr>
          <w:p w14:paraId="786CC0A4" w14:textId="77777777" w:rsidR="007A3937" w:rsidRPr="00D549EE" w:rsidRDefault="007A3937" w:rsidP="00C9582F">
            <w:pPr>
              <w:rPr>
                <w:color w:val="000000" w:themeColor="text1"/>
                <w:lang w:val="en-US"/>
              </w:rPr>
            </w:pPr>
            <w:r w:rsidRPr="00D549EE">
              <w:rPr>
                <w:color w:val="000000" w:themeColor="text1"/>
                <w:lang w:val="en-US"/>
              </w:rPr>
              <w:t>The estimate of deposits of Islamic banks</w:t>
            </w:r>
          </w:p>
        </w:tc>
        <w:tc>
          <w:tcPr>
            <w:tcW w:w="0" w:type="auto"/>
          </w:tcPr>
          <w:p w14:paraId="008F26BB" w14:textId="18160FB1" w:rsidR="007A3937" w:rsidRPr="00D549EE" w:rsidRDefault="007A3937" w:rsidP="00C9582F">
            <w:r w:rsidRPr="00D549EE">
              <w:rPr>
                <w:lang w:val="en-US"/>
              </w:rPr>
              <w:t xml:space="preserve"> </w:t>
            </w:r>
            <w:r w:rsidRPr="00D549EE">
              <w:t xml:space="preserve">215 592 000   </w:t>
            </w:r>
          </w:p>
        </w:tc>
        <w:tc>
          <w:tcPr>
            <w:tcW w:w="0" w:type="auto"/>
          </w:tcPr>
          <w:p w14:paraId="4D951EFA" w14:textId="1405E178" w:rsidR="007A3937" w:rsidRPr="00D549EE" w:rsidRDefault="007A3937" w:rsidP="00C9582F">
            <w:pPr>
              <w:rPr>
                <w:color w:val="000000" w:themeColor="text1"/>
                <w:lang w:val="en-US"/>
              </w:rPr>
            </w:pPr>
            <w:r w:rsidRPr="00D549EE">
              <w:rPr>
                <w:color w:val="000000" w:themeColor="text1"/>
                <w:lang w:val="en-US"/>
              </w:rPr>
              <w:t>512 205</w:t>
            </w:r>
          </w:p>
        </w:tc>
      </w:tr>
      <w:tr w:rsidR="007A3937" w:rsidRPr="00D549EE" w14:paraId="63F6AF3F" w14:textId="6CD24D6F" w:rsidTr="00791578">
        <w:trPr>
          <w:trHeight w:val="260"/>
        </w:trPr>
        <w:tc>
          <w:tcPr>
            <w:tcW w:w="0" w:type="auto"/>
            <w:noWrap/>
            <w:hideMark/>
          </w:tcPr>
          <w:p w14:paraId="1EE81DD6" w14:textId="017D8135" w:rsidR="007A3937" w:rsidRPr="00D549EE" w:rsidRDefault="007A3937" w:rsidP="00C9582F">
            <w:pPr>
              <w:rPr>
                <w:color w:val="000000" w:themeColor="text1"/>
              </w:rPr>
            </w:pPr>
            <w:r w:rsidRPr="00D549EE">
              <w:rPr>
                <w:color w:val="000000" w:themeColor="text1"/>
              </w:rPr>
              <w:t xml:space="preserve">Growth potential </w:t>
            </w:r>
            <w:r w:rsidRPr="00D549EE">
              <w:rPr>
                <w:color w:val="000000" w:themeColor="text1"/>
                <w:lang w:val="en-US"/>
              </w:rPr>
              <w:t xml:space="preserve">Islamic </w:t>
            </w:r>
            <w:r w:rsidRPr="00D549EE">
              <w:rPr>
                <w:color w:val="000000" w:themeColor="text1"/>
              </w:rPr>
              <w:t>deposits</w:t>
            </w:r>
          </w:p>
        </w:tc>
        <w:tc>
          <w:tcPr>
            <w:tcW w:w="0" w:type="auto"/>
          </w:tcPr>
          <w:p w14:paraId="7CD0C453" w14:textId="3391FF59" w:rsidR="007A3937" w:rsidRPr="00D549EE" w:rsidRDefault="007A3937" w:rsidP="00C9582F">
            <w:pPr>
              <w:rPr>
                <w:color w:val="000000" w:themeColor="text1"/>
                <w:lang w:val="en-US"/>
              </w:rPr>
            </w:pPr>
            <w:r w:rsidRPr="00D549EE">
              <w:rPr>
                <w:color w:val="000000" w:themeColor="text1"/>
                <w:lang w:val="en-US"/>
              </w:rPr>
              <w:t>9.7</w:t>
            </w:r>
          </w:p>
        </w:tc>
        <w:tc>
          <w:tcPr>
            <w:tcW w:w="0" w:type="auto"/>
          </w:tcPr>
          <w:p w14:paraId="5AF19BC0" w14:textId="1B9990E7" w:rsidR="007A3937" w:rsidRPr="00D549EE" w:rsidRDefault="007A3937" w:rsidP="00C9582F">
            <w:pPr>
              <w:rPr>
                <w:color w:val="000000" w:themeColor="text1"/>
                <w:lang w:val="en-US"/>
              </w:rPr>
            </w:pPr>
            <w:r w:rsidRPr="00D549EE">
              <w:rPr>
                <w:color w:val="000000" w:themeColor="text1"/>
                <w:lang w:val="en-US"/>
              </w:rPr>
              <w:t>9.7</w:t>
            </w:r>
          </w:p>
        </w:tc>
      </w:tr>
      <w:tr w:rsidR="005B06FD" w:rsidRPr="00FC685D" w14:paraId="54290C58" w14:textId="77777777" w:rsidTr="00264655">
        <w:trPr>
          <w:trHeight w:val="260"/>
        </w:trPr>
        <w:tc>
          <w:tcPr>
            <w:tcW w:w="0" w:type="auto"/>
            <w:gridSpan w:val="3"/>
            <w:noWrap/>
          </w:tcPr>
          <w:p w14:paraId="19650978" w14:textId="605176E5" w:rsidR="005B06FD" w:rsidRPr="00D549EE" w:rsidRDefault="005B06FD" w:rsidP="00C9582F">
            <w:pPr>
              <w:ind w:left="597"/>
              <w:rPr>
                <w:color w:val="000000" w:themeColor="text1"/>
                <w:lang w:val="en-US"/>
              </w:rPr>
            </w:pPr>
            <w:r w:rsidRPr="00D549EE">
              <w:rPr>
                <w:color w:val="000000" w:themeColor="text1"/>
                <w:lang w:val="en-US"/>
              </w:rPr>
              <w:t>Note – Compiled and estimated by the author</w:t>
            </w:r>
            <w:r w:rsidR="00AA02F0" w:rsidRPr="00D549EE">
              <w:rPr>
                <w:color w:val="000000" w:themeColor="text1"/>
                <w:lang w:val="en-US"/>
              </w:rPr>
              <w:t xml:space="preserve"> </w:t>
            </w:r>
            <w:r w:rsidR="00AA02F0" w:rsidRPr="00D549EE">
              <w:rPr>
                <w:color w:val="000000" w:themeColor="text1"/>
                <w:lang w:val="en-US"/>
              </w:rPr>
              <w:fldChar w:fldCharType="begin" w:fldLock="1"/>
            </w:r>
            <w:r w:rsidR="00AA02F0" w:rsidRPr="00D549EE">
              <w:rPr>
                <w:color w:val="000000" w:themeColor="text1"/>
                <w:lang w:val="en-US"/>
              </w:rPr>
              <w:instrText>ADDIN CSL_CITATION {"citationItems":[{"id":"ITEM-1","itemData":{"DOI":"https://doi.org/10.1108/QRFM-03-2020-0023","abstract":"Purpose This paper aims to take stock of the Islamic finance experience and aims to identify an approach for further development in Kazakhstan, using qualitative and quantitative assessments. Design/methodology/approach The paper presents a conceptual framework based on literature review and content analysis. Furthermore, the study uses a survey-based methodology to collect data and determine the prospects, challenges and possible remedies. The quantitative parameters of the potential of Islamic finance in Kazakhstan are based on the assessment of funds on bank deposits, which can be considered potential resources for Islamic financial instruments.","author":[{"dropping-particle":"","family":"Shirazi","given":"Nasim","non-dropping-particle":"","parse-names":false,"suffix":""},{"dropping-particle":"","family":"Kuanova","given":"Laura","non-dropping-particle":"","parse-names":false,"suffix":""},{"dropping-particle":"","family":"Ryskulov","given":"Adilbek","non-dropping-particle":"","parse-names":false,"suffix":""},{"dropping-particle":"","family":"Mukusheva","given":"Aziya","non-dropping-particle":"","parse-names":false,"suffix":""}],"container-title":"Qualitative Research in Financial Markets","id":"ITEM-1","issued":{"date-parts":[["2021"]]},"title":"The experience and the prospects of Islamic finance in Kazakhstan","type":"article-journal"},"uris":["http://www.mendeley.com/documents/?uuid=44f0af57-3208-471b-868a-248de1a742d4"]}],"mendeley":{"formattedCitation":"[42]","plainTextFormattedCitation":"[42]","previouslyFormattedCitation":"[42]"},"properties":{"noteIndex":0},"schema":"https://github.com/citation-style-language/schema/raw/master/csl-citation.json"}</w:instrText>
            </w:r>
            <w:r w:rsidR="00AA02F0" w:rsidRPr="00D549EE">
              <w:rPr>
                <w:color w:val="000000" w:themeColor="text1"/>
                <w:lang w:val="en-US"/>
              </w:rPr>
              <w:fldChar w:fldCharType="separate"/>
            </w:r>
            <w:r w:rsidR="00AA02F0" w:rsidRPr="00D549EE">
              <w:rPr>
                <w:noProof/>
                <w:color w:val="000000" w:themeColor="text1"/>
                <w:lang w:val="en-US"/>
              </w:rPr>
              <w:t>[42]</w:t>
            </w:r>
            <w:r w:rsidR="00AA02F0" w:rsidRPr="00D549EE">
              <w:rPr>
                <w:color w:val="000000" w:themeColor="text1"/>
                <w:lang w:val="en-US"/>
              </w:rPr>
              <w:fldChar w:fldCharType="end"/>
            </w:r>
          </w:p>
        </w:tc>
      </w:tr>
    </w:tbl>
    <w:p w14:paraId="4B350BC4" w14:textId="77777777" w:rsidR="00080E5B" w:rsidRPr="00D549EE" w:rsidRDefault="00C02DAA" w:rsidP="00C9582F">
      <w:pPr>
        <w:jc w:val="both"/>
        <w:textAlignment w:val="top"/>
        <w:rPr>
          <w:sz w:val="28"/>
          <w:szCs w:val="28"/>
          <w:lang w:val="en-US"/>
        </w:rPr>
      </w:pPr>
      <w:r w:rsidRPr="00D549EE">
        <w:rPr>
          <w:sz w:val="28"/>
          <w:szCs w:val="28"/>
          <w:lang w:val="en-US"/>
        </w:rPr>
        <w:tab/>
      </w:r>
    </w:p>
    <w:p w14:paraId="40AD4450" w14:textId="77777777" w:rsidR="00A90B86" w:rsidRPr="00A90B86" w:rsidRDefault="00C87ECD" w:rsidP="00A90B86">
      <w:pPr>
        <w:jc w:val="both"/>
        <w:textAlignment w:val="top"/>
        <w:rPr>
          <w:sz w:val="28"/>
          <w:szCs w:val="28"/>
          <w:lang w:val="en-US"/>
        </w:rPr>
      </w:pPr>
      <w:r w:rsidRPr="00D549EE">
        <w:rPr>
          <w:sz w:val="28"/>
          <w:szCs w:val="28"/>
          <w:lang w:val="en-US"/>
        </w:rPr>
        <w:tab/>
      </w:r>
      <w:r w:rsidR="00A90B86" w:rsidRPr="00A90B86">
        <w:rPr>
          <w:sz w:val="28"/>
          <w:szCs w:val="28"/>
          <w:lang w:val="en-US"/>
        </w:rPr>
        <w:t>Based on the financial indicators of banks for 2020, it can be seen that the share of Islamic Banking in the total assets of banks is 0.30%, and the share of Islamic bank deposits is only 0.10%. Estimating the growth potential of the share of Islamic Banking to the global average level of 1%, as well as based on the average ratio of deposits to assets of banks (80.49%) in 2020, it is possible to consider the growth potential of the assets of Islamic Banks to the level of more than 636 million US dollars, in national currency, there is increase to 267 billion tenge.</w:t>
      </w:r>
    </w:p>
    <w:p w14:paraId="5222982A" w14:textId="77777777" w:rsidR="00A90B86" w:rsidRPr="00A90B86" w:rsidRDefault="00A90B86" w:rsidP="00A90B86">
      <w:pPr>
        <w:jc w:val="both"/>
        <w:textAlignment w:val="top"/>
        <w:rPr>
          <w:sz w:val="28"/>
          <w:szCs w:val="28"/>
          <w:lang w:val="en-US"/>
        </w:rPr>
      </w:pPr>
      <w:r w:rsidRPr="00A90B86">
        <w:rPr>
          <w:sz w:val="28"/>
          <w:szCs w:val="28"/>
          <w:lang w:val="en-US"/>
        </w:rPr>
        <w:tab/>
        <w:t xml:space="preserve">During the research, there has been a method of assessing the potential size of Islamic banking assets based on the country's Muslim population and the average amount of the individual's deposit. </w:t>
      </w:r>
    </w:p>
    <w:p w14:paraId="50EED3F8" w14:textId="37885DE5" w:rsidR="00030FA4" w:rsidRPr="00D549EE" w:rsidRDefault="00A90B86" w:rsidP="00A90B86">
      <w:pPr>
        <w:jc w:val="both"/>
        <w:textAlignment w:val="top"/>
        <w:rPr>
          <w:sz w:val="28"/>
          <w:szCs w:val="28"/>
          <w:lang w:val="en-US"/>
        </w:rPr>
      </w:pPr>
      <w:r w:rsidRPr="00A90B86">
        <w:rPr>
          <w:sz w:val="28"/>
          <w:szCs w:val="28"/>
          <w:lang w:val="en-US"/>
        </w:rPr>
        <w:tab/>
        <w:t>According to 2020 data, the population of Kazakhstan in 2018 was 18.88 million people, while the share of the Muslim population of Kazakhstan - 70%. The majority of the population of Kazakhstan is loyal to Islamic values and, accordingly, to financial instruments based on the Shariah. Data show that the share of Islamic banking in the total volume of Kazakhstan deposits - is 0.2%. Meanwhile, the Kazakhstan population has 3 161 US dollars per capita income, almost 2.5 times more than the average amount of bank deposits, and only 0.38 propensity for saving</w:t>
      </w:r>
      <w:r w:rsidR="00030FA4" w:rsidRPr="00D549EE">
        <w:rPr>
          <w:sz w:val="28"/>
          <w:szCs w:val="28"/>
          <w:lang w:val="en-US"/>
        </w:rPr>
        <w:t xml:space="preserve">. </w:t>
      </w:r>
    </w:p>
    <w:p w14:paraId="054B6A6D" w14:textId="77777777" w:rsidR="00497894" w:rsidRPr="00D549EE" w:rsidRDefault="00497894" w:rsidP="00030FA4">
      <w:pPr>
        <w:jc w:val="both"/>
        <w:rPr>
          <w:sz w:val="28"/>
          <w:szCs w:val="28"/>
          <w:lang w:val="en-US"/>
        </w:rPr>
      </w:pPr>
    </w:p>
    <w:p w14:paraId="1F6CCF25" w14:textId="5DC8B774" w:rsidR="00764B9C" w:rsidRPr="00D549EE" w:rsidRDefault="00764B9C" w:rsidP="00030FA4">
      <w:pPr>
        <w:jc w:val="both"/>
        <w:rPr>
          <w:sz w:val="28"/>
          <w:szCs w:val="28"/>
          <w:lang w:val="en-US"/>
        </w:rPr>
      </w:pPr>
      <w:r w:rsidRPr="00D549EE">
        <w:rPr>
          <w:sz w:val="28"/>
          <w:szCs w:val="28"/>
          <w:lang w:val="en-US"/>
        </w:rPr>
        <w:t xml:space="preserve">Table </w:t>
      </w:r>
      <w:r w:rsidR="00317D3B" w:rsidRPr="00D549EE">
        <w:rPr>
          <w:sz w:val="28"/>
          <w:szCs w:val="28"/>
          <w:lang w:val="en-US"/>
        </w:rPr>
        <w:t>2</w:t>
      </w:r>
      <w:r w:rsidR="00A655E2" w:rsidRPr="00D549EE">
        <w:rPr>
          <w:sz w:val="28"/>
          <w:szCs w:val="28"/>
          <w:lang w:val="en-US"/>
        </w:rPr>
        <w:t>4</w:t>
      </w:r>
      <w:r w:rsidR="00C02DAA" w:rsidRPr="00D549EE">
        <w:rPr>
          <w:b/>
          <w:sz w:val="28"/>
          <w:szCs w:val="28"/>
          <w:lang w:val="en-US"/>
        </w:rPr>
        <w:t xml:space="preserve"> </w:t>
      </w:r>
      <w:r w:rsidR="00C02DAA" w:rsidRPr="00D549EE">
        <w:rPr>
          <w:sz w:val="28"/>
          <w:szCs w:val="28"/>
          <w:lang w:val="en-US"/>
        </w:rPr>
        <w:t>–</w:t>
      </w:r>
      <w:r w:rsidR="00B53821" w:rsidRPr="00D549EE">
        <w:rPr>
          <w:b/>
          <w:color w:val="000000" w:themeColor="text1"/>
          <w:sz w:val="28"/>
          <w:szCs w:val="28"/>
          <w:lang w:val="en-US"/>
        </w:rPr>
        <w:t xml:space="preserve"> </w:t>
      </w:r>
      <w:r w:rsidRPr="00D549EE">
        <w:rPr>
          <w:color w:val="212121"/>
          <w:sz w:val="28"/>
          <w:szCs w:val="28"/>
          <w:lang w:val="en"/>
        </w:rPr>
        <w:t>Potential Islamic financial resources in Kazakhstan</w:t>
      </w:r>
      <w:r w:rsidRPr="00D549EE">
        <w:rPr>
          <w:b/>
          <w:color w:val="212121"/>
          <w:sz w:val="28"/>
          <w:szCs w:val="28"/>
          <w:lang w:val="en"/>
        </w:rPr>
        <w:t xml:space="preserve"> </w:t>
      </w:r>
    </w:p>
    <w:p w14:paraId="2C538CD1" w14:textId="77777777" w:rsidR="00764B9C" w:rsidRPr="00D549EE" w:rsidRDefault="00764B9C" w:rsidP="00C9582F">
      <w:pPr>
        <w:jc w:val="both"/>
        <w:textAlignment w:val="top"/>
        <w:rPr>
          <w:color w:val="000000" w:themeColor="text1"/>
          <w:sz w:val="28"/>
          <w:szCs w:val="28"/>
          <w:lang w:val="en-US"/>
        </w:rPr>
      </w:pPr>
    </w:p>
    <w:tbl>
      <w:tblPr>
        <w:tblStyle w:val="a9"/>
        <w:tblW w:w="0" w:type="auto"/>
        <w:tblLook w:val="04A0" w:firstRow="1" w:lastRow="0" w:firstColumn="1" w:lastColumn="0" w:noHBand="0" w:noVBand="1"/>
      </w:tblPr>
      <w:tblGrid>
        <w:gridCol w:w="6909"/>
        <w:gridCol w:w="1936"/>
      </w:tblGrid>
      <w:tr w:rsidR="00C02DAA" w:rsidRPr="00D549EE" w14:paraId="6D8385FB" w14:textId="77777777" w:rsidTr="00317D3B">
        <w:tc>
          <w:tcPr>
            <w:tcW w:w="0" w:type="auto"/>
            <w:hideMark/>
          </w:tcPr>
          <w:p w14:paraId="1C4E079E" w14:textId="77777777" w:rsidR="00764B9C" w:rsidRPr="00D549EE" w:rsidRDefault="00764B9C" w:rsidP="00C9582F">
            <w:pPr>
              <w:rPr>
                <w:color w:val="000000" w:themeColor="text1"/>
                <w:lang w:val="en-US"/>
              </w:rPr>
            </w:pPr>
            <w:r w:rsidRPr="00D549EE">
              <w:rPr>
                <w:color w:val="000000" w:themeColor="text1"/>
                <w:lang w:val="en-US"/>
              </w:rPr>
              <w:t>Indicator</w:t>
            </w:r>
          </w:p>
        </w:tc>
        <w:tc>
          <w:tcPr>
            <w:tcW w:w="0" w:type="auto"/>
            <w:hideMark/>
          </w:tcPr>
          <w:p w14:paraId="7886FC21" w14:textId="3813F4BE" w:rsidR="00764B9C" w:rsidRPr="00D549EE" w:rsidRDefault="00764B9C" w:rsidP="00C9582F">
            <w:pPr>
              <w:rPr>
                <w:color w:val="000000" w:themeColor="text1"/>
                <w:lang w:val="en-US"/>
              </w:rPr>
            </w:pPr>
            <w:r w:rsidRPr="00D549EE">
              <w:rPr>
                <w:color w:val="000000" w:themeColor="text1"/>
                <w:lang w:val="en-US"/>
              </w:rPr>
              <w:t>Kazakhstan, 20</w:t>
            </w:r>
            <w:r w:rsidR="002F13F7" w:rsidRPr="00D549EE">
              <w:rPr>
                <w:color w:val="000000" w:themeColor="text1"/>
                <w:lang w:val="en-US"/>
              </w:rPr>
              <w:t>20</w:t>
            </w:r>
          </w:p>
        </w:tc>
      </w:tr>
      <w:tr w:rsidR="00C02DAA" w:rsidRPr="00D549EE" w14:paraId="09FE442D" w14:textId="77777777" w:rsidTr="00317D3B">
        <w:trPr>
          <w:trHeight w:val="342"/>
        </w:trPr>
        <w:tc>
          <w:tcPr>
            <w:tcW w:w="0" w:type="auto"/>
            <w:hideMark/>
          </w:tcPr>
          <w:p w14:paraId="69B7E218" w14:textId="77777777" w:rsidR="00764B9C" w:rsidRPr="00D549EE" w:rsidRDefault="00764B9C" w:rsidP="00C9582F">
            <w:pPr>
              <w:rPr>
                <w:color w:val="000000" w:themeColor="text1"/>
                <w:lang w:val="en-US"/>
              </w:rPr>
            </w:pPr>
            <w:r w:rsidRPr="00D549EE">
              <w:rPr>
                <w:color w:val="000000" w:themeColor="text1"/>
                <w:lang w:val="en-US"/>
              </w:rPr>
              <w:t xml:space="preserve">Population, million people </w:t>
            </w:r>
          </w:p>
        </w:tc>
        <w:tc>
          <w:tcPr>
            <w:tcW w:w="0" w:type="auto"/>
            <w:hideMark/>
          </w:tcPr>
          <w:p w14:paraId="4E69B2EC" w14:textId="77777777" w:rsidR="00764B9C" w:rsidRPr="00D549EE" w:rsidRDefault="00764B9C" w:rsidP="00C9582F">
            <w:pPr>
              <w:jc w:val="center"/>
              <w:rPr>
                <w:color w:val="000000" w:themeColor="text1"/>
                <w:lang w:val="en-US"/>
              </w:rPr>
            </w:pPr>
            <w:r w:rsidRPr="00D549EE">
              <w:rPr>
                <w:color w:val="000000" w:themeColor="text1"/>
                <w:lang w:val="en-US"/>
              </w:rPr>
              <w:t>18.88</w:t>
            </w:r>
          </w:p>
          <w:p w14:paraId="4801D968" w14:textId="77777777" w:rsidR="00764B9C" w:rsidRPr="00D549EE" w:rsidRDefault="00764B9C" w:rsidP="00C9582F">
            <w:pPr>
              <w:jc w:val="center"/>
              <w:rPr>
                <w:color w:val="000000" w:themeColor="text1"/>
                <w:u w:val="single"/>
                <w:lang w:val="en-US"/>
              </w:rPr>
            </w:pPr>
          </w:p>
        </w:tc>
      </w:tr>
      <w:tr w:rsidR="00C02DAA" w:rsidRPr="00D549EE" w14:paraId="1D03E991" w14:textId="77777777" w:rsidTr="00317D3B">
        <w:tc>
          <w:tcPr>
            <w:tcW w:w="0" w:type="auto"/>
            <w:hideMark/>
          </w:tcPr>
          <w:p w14:paraId="7A8A1A35" w14:textId="77777777" w:rsidR="00764B9C" w:rsidRPr="00D549EE" w:rsidRDefault="00764B9C" w:rsidP="00C9582F">
            <w:pPr>
              <w:rPr>
                <w:color w:val="000000" w:themeColor="text1"/>
                <w:lang w:val="en-US"/>
              </w:rPr>
            </w:pPr>
            <w:r w:rsidRPr="00D549EE">
              <w:rPr>
                <w:color w:val="000000" w:themeColor="text1"/>
                <w:lang w:val="en-US"/>
              </w:rPr>
              <w:t xml:space="preserve">Muslim population, million people  </w:t>
            </w:r>
          </w:p>
        </w:tc>
        <w:tc>
          <w:tcPr>
            <w:tcW w:w="0" w:type="auto"/>
            <w:hideMark/>
          </w:tcPr>
          <w:p w14:paraId="1F1C555F" w14:textId="77777777" w:rsidR="00764B9C" w:rsidRPr="00D549EE" w:rsidRDefault="00764B9C" w:rsidP="00C9582F">
            <w:pPr>
              <w:jc w:val="center"/>
              <w:rPr>
                <w:color w:val="000000" w:themeColor="text1"/>
                <w:lang w:val="en-US"/>
              </w:rPr>
            </w:pPr>
            <w:r w:rsidRPr="00D549EE">
              <w:rPr>
                <w:color w:val="000000" w:themeColor="text1"/>
                <w:lang w:val="en-US"/>
              </w:rPr>
              <w:t>13.29</w:t>
            </w:r>
          </w:p>
        </w:tc>
      </w:tr>
      <w:tr w:rsidR="00C02DAA" w:rsidRPr="00D549EE" w14:paraId="38D3BB0D" w14:textId="77777777" w:rsidTr="00317D3B">
        <w:tc>
          <w:tcPr>
            <w:tcW w:w="0" w:type="auto"/>
            <w:hideMark/>
          </w:tcPr>
          <w:p w14:paraId="3A24212A" w14:textId="77777777" w:rsidR="00764B9C" w:rsidRPr="00D549EE" w:rsidRDefault="00764B9C" w:rsidP="00C9582F">
            <w:pPr>
              <w:rPr>
                <w:color w:val="000000" w:themeColor="text1"/>
                <w:lang w:val="en-US"/>
              </w:rPr>
            </w:pPr>
            <w:r w:rsidRPr="00D549EE">
              <w:rPr>
                <w:color w:val="000000" w:themeColor="text1"/>
                <w:lang w:val="en-US"/>
              </w:rPr>
              <w:t xml:space="preserve">Average per capita income per year, US dollars </w:t>
            </w:r>
          </w:p>
        </w:tc>
        <w:tc>
          <w:tcPr>
            <w:tcW w:w="0" w:type="auto"/>
            <w:hideMark/>
          </w:tcPr>
          <w:p w14:paraId="171918A9" w14:textId="77777777" w:rsidR="00764B9C" w:rsidRPr="00D549EE" w:rsidRDefault="00764B9C" w:rsidP="00C9582F">
            <w:pPr>
              <w:jc w:val="center"/>
              <w:rPr>
                <w:color w:val="000000" w:themeColor="text1"/>
                <w:lang w:val="en-US"/>
              </w:rPr>
            </w:pPr>
            <w:r w:rsidRPr="00D549EE">
              <w:rPr>
                <w:color w:val="000000" w:themeColor="text1"/>
                <w:lang w:val="en-US"/>
              </w:rPr>
              <w:t>3 161</w:t>
            </w:r>
          </w:p>
        </w:tc>
      </w:tr>
      <w:tr w:rsidR="00C02DAA" w:rsidRPr="00D549EE" w14:paraId="7D07339C" w14:textId="77777777" w:rsidTr="00317D3B">
        <w:tc>
          <w:tcPr>
            <w:tcW w:w="0" w:type="auto"/>
            <w:hideMark/>
          </w:tcPr>
          <w:p w14:paraId="2DBBA948" w14:textId="77777777" w:rsidR="00764B9C" w:rsidRPr="00D549EE" w:rsidRDefault="00764B9C" w:rsidP="00C9582F">
            <w:pPr>
              <w:rPr>
                <w:color w:val="000000" w:themeColor="text1"/>
                <w:lang w:val="en-US"/>
              </w:rPr>
            </w:pPr>
            <w:r w:rsidRPr="00D549EE">
              <w:rPr>
                <w:color w:val="000000" w:themeColor="text1"/>
                <w:lang w:val="en-US"/>
              </w:rPr>
              <w:t xml:space="preserve">The volume of deposits of the population in Banks, billion US dollars </w:t>
            </w:r>
          </w:p>
        </w:tc>
        <w:tc>
          <w:tcPr>
            <w:tcW w:w="0" w:type="auto"/>
            <w:hideMark/>
          </w:tcPr>
          <w:p w14:paraId="1359F48B" w14:textId="1731A96F" w:rsidR="00764B9C" w:rsidRPr="00D549EE" w:rsidRDefault="00764B9C" w:rsidP="00C9582F">
            <w:pPr>
              <w:jc w:val="center"/>
              <w:rPr>
                <w:color w:val="000000" w:themeColor="text1"/>
                <w:lang w:val="en-US"/>
              </w:rPr>
            </w:pPr>
            <w:r w:rsidRPr="00D549EE">
              <w:rPr>
                <w:color w:val="000000" w:themeColor="text1"/>
                <w:lang w:val="en-US"/>
              </w:rPr>
              <w:t>2</w:t>
            </w:r>
            <w:r w:rsidR="009D7F31" w:rsidRPr="00D549EE">
              <w:rPr>
                <w:color w:val="000000" w:themeColor="text1"/>
                <w:lang w:val="en-US"/>
              </w:rPr>
              <w:t>5</w:t>
            </w:r>
            <w:r w:rsidRPr="00D549EE">
              <w:rPr>
                <w:color w:val="000000" w:themeColor="text1"/>
                <w:lang w:val="en-US"/>
              </w:rPr>
              <w:t>.07</w:t>
            </w:r>
          </w:p>
        </w:tc>
      </w:tr>
      <w:tr w:rsidR="00C02DAA" w:rsidRPr="00D549EE" w14:paraId="1C4E9426" w14:textId="77777777" w:rsidTr="00317D3B">
        <w:tc>
          <w:tcPr>
            <w:tcW w:w="0" w:type="auto"/>
            <w:hideMark/>
          </w:tcPr>
          <w:p w14:paraId="1853F3F1" w14:textId="77777777" w:rsidR="00764B9C" w:rsidRPr="00D549EE" w:rsidRDefault="00764B9C" w:rsidP="00C9582F">
            <w:pPr>
              <w:rPr>
                <w:color w:val="000000" w:themeColor="text1"/>
                <w:lang w:val="en-US"/>
              </w:rPr>
            </w:pPr>
            <w:r w:rsidRPr="00D549EE">
              <w:rPr>
                <w:color w:val="000000" w:themeColor="text1"/>
                <w:lang w:val="en-US"/>
              </w:rPr>
              <w:t xml:space="preserve">The average amount of the individual’s deposit, US dollars </w:t>
            </w:r>
          </w:p>
        </w:tc>
        <w:tc>
          <w:tcPr>
            <w:tcW w:w="0" w:type="auto"/>
            <w:hideMark/>
          </w:tcPr>
          <w:p w14:paraId="67C21939" w14:textId="77777777" w:rsidR="00764B9C" w:rsidRPr="00D549EE" w:rsidRDefault="00764B9C" w:rsidP="00C9582F">
            <w:pPr>
              <w:jc w:val="center"/>
              <w:rPr>
                <w:color w:val="000000" w:themeColor="text1"/>
                <w:lang w:val="en-US"/>
              </w:rPr>
            </w:pPr>
            <w:r w:rsidRPr="00D549EE">
              <w:rPr>
                <w:color w:val="000000" w:themeColor="text1"/>
                <w:lang w:val="en-US"/>
              </w:rPr>
              <w:t>1 222</w:t>
            </w:r>
          </w:p>
        </w:tc>
      </w:tr>
      <w:tr w:rsidR="00C02DAA" w:rsidRPr="00D549EE" w14:paraId="03E23352" w14:textId="77777777" w:rsidTr="00317D3B">
        <w:tc>
          <w:tcPr>
            <w:tcW w:w="0" w:type="auto"/>
          </w:tcPr>
          <w:p w14:paraId="0D9633A0" w14:textId="77777777" w:rsidR="00764B9C" w:rsidRPr="00D549EE" w:rsidRDefault="00764B9C" w:rsidP="00C9582F">
            <w:pPr>
              <w:rPr>
                <w:color w:val="000000" w:themeColor="text1"/>
                <w:lang w:val="en-US"/>
              </w:rPr>
            </w:pPr>
            <w:r w:rsidRPr="00D549EE">
              <w:rPr>
                <w:color w:val="000000" w:themeColor="text1"/>
                <w:lang w:val="en-US"/>
              </w:rPr>
              <w:t>Propensity to save</w:t>
            </w:r>
          </w:p>
        </w:tc>
        <w:tc>
          <w:tcPr>
            <w:tcW w:w="0" w:type="auto"/>
          </w:tcPr>
          <w:p w14:paraId="56472EFB" w14:textId="77777777" w:rsidR="00764B9C" w:rsidRPr="00D549EE" w:rsidRDefault="00764B9C" w:rsidP="00C9582F">
            <w:pPr>
              <w:jc w:val="center"/>
              <w:rPr>
                <w:color w:val="000000" w:themeColor="text1"/>
                <w:lang w:val="en-US"/>
              </w:rPr>
            </w:pPr>
            <w:r w:rsidRPr="00D549EE">
              <w:rPr>
                <w:color w:val="000000" w:themeColor="text1"/>
                <w:lang w:val="en-US"/>
              </w:rPr>
              <w:t>0.38</w:t>
            </w:r>
          </w:p>
        </w:tc>
      </w:tr>
      <w:tr w:rsidR="00C02DAA" w:rsidRPr="00D549EE" w14:paraId="15C11DC1" w14:textId="77777777" w:rsidTr="00317D3B">
        <w:tc>
          <w:tcPr>
            <w:tcW w:w="0" w:type="auto"/>
          </w:tcPr>
          <w:p w14:paraId="17D785FE" w14:textId="77777777" w:rsidR="00764B9C" w:rsidRPr="00D549EE" w:rsidRDefault="00764B9C" w:rsidP="00C9582F">
            <w:pPr>
              <w:rPr>
                <w:color w:val="000000" w:themeColor="text1"/>
                <w:lang w:val="en-US"/>
              </w:rPr>
            </w:pPr>
            <w:r w:rsidRPr="00D549EE">
              <w:rPr>
                <w:color w:val="000000" w:themeColor="text1"/>
                <w:lang w:val="en-US"/>
              </w:rPr>
              <w:t xml:space="preserve">Islamic banking share in total deposits, % </w:t>
            </w:r>
          </w:p>
        </w:tc>
        <w:tc>
          <w:tcPr>
            <w:tcW w:w="0" w:type="auto"/>
          </w:tcPr>
          <w:p w14:paraId="423C1367" w14:textId="77777777" w:rsidR="00764B9C" w:rsidRPr="00D549EE" w:rsidRDefault="00764B9C" w:rsidP="00C9582F">
            <w:pPr>
              <w:jc w:val="center"/>
              <w:rPr>
                <w:color w:val="000000" w:themeColor="text1"/>
                <w:lang w:val="en-US"/>
              </w:rPr>
            </w:pPr>
            <w:r w:rsidRPr="00D549EE">
              <w:rPr>
                <w:color w:val="000000" w:themeColor="text1"/>
                <w:lang w:val="en-US"/>
              </w:rPr>
              <w:t>0.2</w:t>
            </w:r>
          </w:p>
        </w:tc>
      </w:tr>
      <w:tr w:rsidR="00C02DAA" w:rsidRPr="00D549EE" w14:paraId="606B5ACE" w14:textId="77777777" w:rsidTr="00317D3B">
        <w:tc>
          <w:tcPr>
            <w:tcW w:w="0" w:type="auto"/>
            <w:hideMark/>
          </w:tcPr>
          <w:p w14:paraId="2C9F2598" w14:textId="3A1C1A8E" w:rsidR="00764B9C" w:rsidRPr="00D549EE" w:rsidRDefault="00764B9C" w:rsidP="00C9582F">
            <w:pPr>
              <w:rPr>
                <w:color w:val="000000" w:themeColor="text1"/>
                <w:lang w:val="en-US"/>
              </w:rPr>
            </w:pPr>
            <w:r w:rsidRPr="00D549EE">
              <w:rPr>
                <w:color w:val="000000" w:themeColor="text1"/>
                <w:lang w:val="en-US"/>
              </w:rPr>
              <w:t>Forecasted volume Islamic financ</w:t>
            </w:r>
            <w:r w:rsidR="00317D3B" w:rsidRPr="00D549EE">
              <w:rPr>
                <w:color w:val="000000" w:themeColor="text1"/>
                <w:lang w:val="en-US"/>
              </w:rPr>
              <w:t>ial resources</w:t>
            </w:r>
            <w:r w:rsidRPr="00D549EE">
              <w:rPr>
                <w:color w:val="000000" w:themeColor="text1"/>
                <w:lang w:val="en-US"/>
              </w:rPr>
              <w:t xml:space="preserve">, billion US dollars </w:t>
            </w:r>
          </w:p>
        </w:tc>
        <w:tc>
          <w:tcPr>
            <w:tcW w:w="0" w:type="auto"/>
            <w:hideMark/>
          </w:tcPr>
          <w:p w14:paraId="7071FFB3" w14:textId="77777777" w:rsidR="00764B9C" w:rsidRPr="00D549EE" w:rsidRDefault="00764B9C" w:rsidP="00C9582F">
            <w:pPr>
              <w:jc w:val="center"/>
              <w:rPr>
                <w:color w:val="000000" w:themeColor="text1"/>
                <w:lang w:val="en-US"/>
              </w:rPr>
            </w:pPr>
            <w:r w:rsidRPr="00D549EE">
              <w:rPr>
                <w:color w:val="000000" w:themeColor="text1"/>
                <w:lang w:val="en-US"/>
              </w:rPr>
              <w:t>16.24</w:t>
            </w:r>
          </w:p>
        </w:tc>
      </w:tr>
      <w:tr w:rsidR="00764B9C" w:rsidRPr="00FC685D" w14:paraId="14DA6C17" w14:textId="77777777" w:rsidTr="00205F37">
        <w:tc>
          <w:tcPr>
            <w:tcW w:w="0" w:type="auto"/>
            <w:gridSpan w:val="2"/>
          </w:tcPr>
          <w:p w14:paraId="11877684" w14:textId="47C601BE" w:rsidR="00764B9C" w:rsidRPr="00D549EE" w:rsidRDefault="00C02DAA" w:rsidP="00C9582F">
            <w:pPr>
              <w:ind w:firstLine="597"/>
              <w:textAlignment w:val="top"/>
              <w:rPr>
                <w:color w:val="000000" w:themeColor="text1"/>
                <w:lang w:val="en-US"/>
              </w:rPr>
            </w:pPr>
            <w:r w:rsidRPr="00D549EE">
              <w:rPr>
                <w:color w:val="000000" w:themeColor="text1"/>
                <w:lang w:val="en-US"/>
              </w:rPr>
              <w:t xml:space="preserve">Note </w:t>
            </w:r>
            <w:r w:rsidRPr="00D549EE">
              <w:rPr>
                <w:lang w:val="en-US"/>
              </w:rPr>
              <w:t>–</w:t>
            </w:r>
            <w:r w:rsidR="00317D3B" w:rsidRPr="00D549EE">
              <w:rPr>
                <w:lang w:val="en-US"/>
              </w:rPr>
              <w:t xml:space="preserve"> Compiled and estimated by the author</w:t>
            </w:r>
            <w:r w:rsidR="005A24C2">
              <w:rPr>
                <w:lang w:val="en-US"/>
              </w:rPr>
              <w:t xml:space="preserve"> [42]</w:t>
            </w:r>
          </w:p>
        </w:tc>
      </w:tr>
    </w:tbl>
    <w:p w14:paraId="6732ED3C" w14:textId="0EB67874" w:rsidR="00764B9C" w:rsidRPr="00D549EE" w:rsidRDefault="00764B9C" w:rsidP="00C9582F">
      <w:pPr>
        <w:jc w:val="both"/>
        <w:rPr>
          <w:sz w:val="28"/>
          <w:szCs w:val="28"/>
          <w:lang w:val="en-US"/>
        </w:rPr>
      </w:pPr>
      <w:r w:rsidRPr="00D549EE">
        <w:rPr>
          <w:sz w:val="28"/>
          <w:szCs w:val="28"/>
          <w:lang w:val="en-US"/>
        </w:rPr>
        <w:t xml:space="preserve"> </w:t>
      </w:r>
    </w:p>
    <w:p w14:paraId="14204037" w14:textId="77777777" w:rsidR="00A85DF2" w:rsidRPr="00A85DF2" w:rsidRDefault="00764B9C" w:rsidP="00A85DF2">
      <w:pPr>
        <w:pStyle w:val="HTML"/>
        <w:rPr>
          <w:rFonts w:ascii="Times New Roman" w:hAnsi="Times New Roman" w:cs="Times New Roman"/>
          <w:color w:val="222222"/>
          <w:sz w:val="28"/>
          <w:szCs w:val="28"/>
          <w:lang w:val="en-US"/>
        </w:rPr>
      </w:pPr>
      <w:r w:rsidRPr="00D549EE">
        <w:rPr>
          <w:rFonts w:ascii="Times New Roman" w:hAnsi="Times New Roman" w:cs="Times New Roman"/>
          <w:color w:val="222222"/>
          <w:sz w:val="28"/>
          <w:szCs w:val="28"/>
          <w:lang w:val="en-US"/>
        </w:rPr>
        <w:tab/>
      </w:r>
      <w:r w:rsidR="00A85DF2" w:rsidRPr="00A85DF2">
        <w:rPr>
          <w:rFonts w:ascii="Times New Roman" w:hAnsi="Times New Roman" w:cs="Times New Roman"/>
          <w:color w:val="222222"/>
          <w:sz w:val="28"/>
          <w:szCs w:val="28"/>
          <w:lang w:val="en-US"/>
        </w:rPr>
        <w:t>If to turn to the potential Islamic banking development in Kazakhstan, with the given average per capita income and a propensity for saving, the maximum amount of Islamic bank deposits could be expected by 16.24 billion US dollars. All the data presented are predictive since they do not consider the contributions of legal entities based on Shariah principles, the dynamics of which show significant growth in Kazakhstan, and do not consider the size of the non-Muslim population loyal to Islamic financial instruments.</w:t>
      </w:r>
    </w:p>
    <w:p w14:paraId="344C2ADD" w14:textId="77777777" w:rsidR="00A85DF2" w:rsidRPr="00A85DF2" w:rsidRDefault="00A85DF2" w:rsidP="00A85DF2">
      <w:pPr>
        <w:pStyle w:val="HTML"/>
        <w:rPr>
          <w:rFonts w:ascii="Times New Roman" w:hAnsi="Times New Roman" w:cs="Times New Roman"/>
          <w:color w:val="222222"/>
          <w:sz w:val="28"/>
          <w:szCs w:val="28"/>
          <w:lang w:val="en-US"/>
        </w:rPr>
      </w:pPr>
      <w:r w:rsidRPr="00A85DF2">
        <w:rPr>
          <w:rFonts w:ascii="Times New Roman" w:hAnsi="Times New Roman" w:cs="Times New Roman"/>
          <w:color w:val="222222"/>
          <w:sz w:val="28"/>
          <w:szCs w:val="28"/>
          <w:lang w:val="en-US"/>
        </w:rPr>
        <w:tab/>
        <w:t>Nowadays, the domestic market of Islamic finance is presented by two Islamic banks (Al-Hilal Bank and Zaman Bank), the Islamic leasing companies Ijara and Al-Saqr Finance, Mudaraba company [122].</w:t>
      </w:r>
    </w:p>
    <w:p w14:paraId="6915328E" w14:textId="77777777" w:rsidR="00A85DF2" w:rsidRPr="00A85DF2" w:rsidRDefault="00A85DF2" w:rsidP="00A85DF2">
      <w:pPr>
        <w:pStyle w:val="HTML"/>
        <w:rPr>
          <w:rFonts w:ascii="Times New Roman" w:hAnsi="Times New Roman" w:cs="Times New Roman"/>
          <w:color w:val="222222"/>
          <w:sz w:val="28"/>
          <w:szCs w:val="28"/>
          <w:lang w:val="en-US"/>
        </w:rPr>
      </w:pPr>
      <w:r w:rsidRPr="00A85DF2">
        <w:rPr>
          <w:rFonts w:ascii="Times New Roman" w:hAnsi="Times New Roman" w:cs="Times New Roman"/>
          <w:color w:val="222222"/>
          <w:sz w:val="28"/>
          <w:szCs w:val="28"/>
          <w:lang w:val="en-US"/>
        </w:rPr>
        <w:t>However, the future of Islamic finance is promising for many reasons. Firstly, most of Kazakhstan's population is Muslim, and there are 2404 mosques and 12 Muslim religious educational institutions (MNE of the RK).</w:t>
      </w:r>
    </w:p>
    <w:p w14:paraId="6D415C5B" w14:textId="77777777" w:rsidR="00A85DF2" w:rsidRPr="00A85DF2" w:rsidRDefault="00A85DF2" w:rsidP="00A85DF2">
      <w:pPr>
        <w:pStyle w:val="HTML"/>
        <w:rPr>
          <w:rFonts w:ascii="Times New Roman" w:hAnsi="Times New Roman" w:cs="Times New Roman"/>
          <w:color w:val="222222"/>
          <w:sz w:val="28"/>
          <w:szCs w:val="28"/>
          <w:lang w:val="en-US"/>
        </w:rPr>
      </w:pPr>
      <w:r w:rsidRPr="00A85DF2">
        <w:rPr>
          <w:rFonts w:ascii="Times New Roman" w:hAnsi="Times New Roman" w:cs="Times New Roman"/>
          <w:color w:val="222222"/>
          <w:sz w:val="28"/>
          <w:szCs w:val="28"/>
          <w:lang w:val="en-US"/>
        </w:rPr>
        <w:t xml:space="preserve">Kazakhstan is also considered a regional financial hub, and the development of Islamic finance is one of the six pillars of Astana International Financial Centre. Kazakhstan is thus an attractive platform for the development of Islamic finance in the region. The AIFC plans to become a regional Islamic finance hub for the countries of Central Asia and the CIS by providing specialized infrastructure, legal and tax regimes, as well as opportunities for professional development. Another salient point that should be considered here is that Kazakhstan has been a member of the UN for 27 years and helped develop the UN SDG 17.  </w:t>
      </w:r>
    </w:p>
    <w:p w14:paraId="7F81090A" w14:textId="77777777" w:rsidR="00A85DF2" w:rsidRPr="00A85DF2" w:rsidRDefault="00A85DF2" w:rsidP="00A85DF2">
      <w:pPr>
        <w:pStyle w:val="HTML"/>
        <w:rPr>
          <w:rFonts w:ascii="Times New Roman" w:hAnsi="Times New Roman" w:cs="Times New Roman"/>
          <w:color w:val="222222"/>
          <w:sz w:val="28"/>
          <w:szCs w:val="28"/>
          <w:lang w:val="en-US"/>
        </w:rPr>
      </w:pPr>
      <w:r w:rsidRPr="00A85DF2">
        <w:rPr>
          <w:rFonts w:ascii="Times New Roman" w:hAnsi="Times New Roman" w:cs="Times New Roman"/>
          <w:color w:val="222222"/>
          <w:sz w:val="28"/>
          <w:szCs w:val="28"/>
          <w:lang w:val="en-US"/>
        </w:rPr>
        <w:tab/>
        <w:t xml:space="preserve">Despite all the actions and developing programs to promote Islamic finance in the country with strong support from the state, Islamic banking assets are estimated to be much less than 1% of conventional banking assets. There have been qualitative analyses by survey within the focus group of the specialists in Islamic finance to obtain data for identifying the main challenges and barriers to further developing the Islamic financial industry in Kazakhstan. The reason for respondents' sampling and orientation on the opinion of the focus group is due to low awareness of the specifics of Islamic finance in Kazakhstan. The number of experts in the field is made quiet to meet the industry's high growth rate, and it is an obstacle to Islamic financial institutions [126]. By some estimates, the number of professionals in Islamic finance – is about 270 for all regions, including 2 banks, 2 ijara companies, AIFC, and academia (excluding supported specialists). </w:t>
      </w:r>
    </w:p>
    <w:p w14:paraId="1444B9C0" w14:textId="77777777" w:rsidR="00A85DF2" w:rsidRPr="00A85DF2" w:rsidRDefault="00A85DF2" w:rsidP="00A85DF2">
      <w:pPr>
        <w:pStyle w:val="HTML"/>
        <w:rPr>
          <w:rFonts w:ascii="Times New Roman" w:hAnsi="Times New Roman" w:cs="Times New Roman"/>
          <w:color w:val="222222"/>
          <w:sz w:val="28"/>
          <w:szCs w:val="28"/>
          <w:lang w:val="en-US"/>
        </w:rPr>
      </w:pPr>
      <w:r w:rsidRPr="00A85DF2">
        <w:rPr>
          <w:rFonts w:ascii="Times New Roman" w:hAnsi="Times New Roman" w:cs="Times New Roman"/>
          <w:color w:val="222222"/>
          <w:sz w:val="28"/>
          <w:szCs w:val="28"/>
          <w:lang w:val="en-US"/>
        </w:rPr>
        <w:tab/>
        <w:t xml:space="preserve">The survey was undertaken with 45 professionals in Islamic finance of the country and experts from overseas. Respondents can be divided into three groups: </w:t>
      </w:r>
    </w:p>
    <w:p w14:paraId="2B96AAA1" w14:textId="77777777" w:rsidR="00A85DF2" w:rsidRPr="00A85DF2" w:rsidRDefault="00A85DF2" w:rsidP="00A85DF2">
      <w:pPr>
        <w:pStyle w:val="HTML"/>
        <w:rPr>
          <w:rFonts w:ascii="Times New Roman" w:hAnsi="Times New Roman" w:cs="Times New Roman"/>
          <w:color w:val="222222"/>
          <w:sz w:val="28"/>
          <w:szCs w:val="28"/>
          <w:lang w:val="en-US"/>
        </w:rPr>
      </w:pPr>
      <w:r w:rsidRPr="00A85DF2">
        <w:rPr>
          <w:rFonts w:ascii="Times New Roman" w:hAnsi="Times New Roman" w:cs="Times New Roman"/>
          <w:color w:val="222222"/>
          <w:sz w:val="28"/>
          <w:szCs w:val="28"/>
          <w:lang w:val="en-US"/>
        </w:rPr>
        <w:t>1.</w:t>
      </w:r>
      <w:r w:rsidRPr="00A85DF2">
        <w:rPr>
          <w:rFonts w:ascii="Times New Roman" w:hAnsi="Times New Roman" w:cs="Times New Roman"/>
          <w:color w:val="222222"/>
          <w:sz w:val="28"/>
          <w:szCs w:val="28"/>
          <w:lang w:val="en-US"/>
        </w:rPr>
        <w:tab/>
        <w:t>Players from the Islamic finance industry – Astana International Financial Centre, Authority of AIFC, "Al-Hilal" Islamic Bank, Islamic Bank "Zaman-Bank," Al-Saqr Finance (Islamic leasing company), Waqyp Fund;</w:t>
      </w:r>
    </w:p>
    <w:p w14:paraId="4E1CBEF3" w14:textId="77777777" w:rsidR="00A85DF2" w:rsidRPr="00A85DF2" w:rsidRDefault="00A85DF2" w:rsidP="00A85DF2">
      <w:pPr>
        <w:pStyle w:val="HTML"/>
        <w:rPr>
          <w:rFonts w:ascii="Times New Roman" w:hAnsi="Times New Roman" w:cs="Times New Roman"/>
          <w:color w:val="222222"/>
          <w:sz w:val="28"/>
          <w:szCs w:val="28"/>
          <w:lang w:val="en-US"/>
        </w:rPr>
      </w:pPr>
      <w:r w:rsidRPr="00A85DF2">
        <w:rPr>
          <w:rFonts w:ascii="Times New Roman" w:hAnsi="Times New Roman" w:cs="Times New Roman"/>
          <w:color w:val="222222"/>
          <w:sz w:val="28"/>
          <w:szCs w:val="28"/>
          <w:lang w:val="en-US"/>
        </w:rPr>
        <w:t>2.</w:t>
      </w:r>
      <w:r w:rsidRPr="00A85DF2">
        <w:rPr>
          <w:rFonts w:ascii="Times New Roman" w:hAnsi="Times New Roman" w:cs="Times New Roman"/>
          <w:color w:val="222222"/>
          <w:sz w:val="28"/>
          <w:szCs w:val="28"/>
          <w:lang w:val="en-US"/>
        </w:rPr>
        <w:tab/>
        <w:t xml:space="preserve">Foreign experts involved in promoting Islamic finance in Kazakhstan and Central Asia – ICD, Islamic development Bank, ZICO Shariah (Malaysia), Amanie advisors (Malaysia). </w:t>
      </w:r>
    </w:p>
    <w:p w14:paraId="3FD64FA9" w14:textId="77777777" w:rsidR="00A85DF2" w:rsidRPr="00A85DF2" w:rsidRDefault="00A85DF2" w:rsidP="00A85DF2">
      <w:pPr>
        <w:pStyle w:val="HTML"/>
        <w:rPr>
          <w:rFonts w:ascii="Times New Roman" w:hAnsi="Times New Roman" w:cs="Times New Roman"/>
          <w:color w:val="222222"/>
          <w:sz w:val="28"/>
          <w:szCs w:val="28"/>
          <w:lang w:val="en-US"/>
        </w:rPr>
      </w:pPr>
      <w:r w:rsidRPr="00A85DF2">
        <w:rPr>
          <w:rFonts w:ascii="Times New Roman" w:hAnsi="Times New Roman" w:cs="Times New Roman"/>
          <w:color w:val="222222"/>
          <w:sz w:val="28"/>
          <w:szCs w:val="28"/>
          <w:lang w:val="en-US"/>
        </w:rPr>
        <w:t>3.</w:t>
      </w:r>
      <w:r w:rsidRPr="00A85DF2">
        <w:rPr>
          <w:rFonts w:ascii="Times New Roman" w:hAnsi="Times New Roman" w:cs="Times New Roman"/>
          <w:color w:val="222222"/>
          <w:sz w:val="28"/>
          <w:szCs w:val="28"/>
          <w:lang w:val="en-US"/>
        </w:rPr>
        <w:tab/>
        <w:t>Academia, universities with educational programs in Islamic finance – al-Farabi Kazakh National University, Hamad Bin Khalifa University (Qatar), Nur Mubarak University, INCEIF (Malaysia) Nazarbayev University.</w:t>
      </w:r>
    </w:p>
    <w:p w14:paraId="1BBAE901" w14:textId="77777777" w:rsidR="00A85DF2" w:rsidRPr="00A85DF2" w:rsidRDefault="00A85DF2" w:rsidP="00A85DF2">
      <w:pPr>
        <w:pStyle w:val="HTML"/>
        <w:rPr>
          <w:rFonts w:ascii="Times New Roman" w:hAnsi="Times New Roman" w:cs="Times New Roman"/>
          <w:color w:val="222222"/>
          <w:sz w:val="28"/>
          <w:szCs w:val="28"/>
          <w:lang w:val="en-US"/>
        </w:rPr>
      </w:pPr>
      <w:r w:rsidRPr="00A85DF2">
        <w:rPr>
          <w:rFonts w:ascii="Times New Roman" w:hAnsi="Times New Roman" w:cs="Times New Roman"/>
          <w:color w:val="222222"/>
          <w:sz w:val="28"/>
          <w:szCs w:val="28"/>
          <w:lang w:val="en-US"/>
        </w:rPr>
        <w:tab/>
        <w:t xml:space="preserve">There was a given survey from 11 questions, 2 of them open-ended, which requested respondents' comments, 6 of the questions offered multiple choice and 1 for Liker scale, 1 for matrix. The assessment of the obtained data there were used the simple descriptive statistics. </w:t>
      </w:r>
    </w:p>
    <w:p w14:paraId="5697646F" w14:textId="6C898056" w:rsidR="005905A6" w:rsidRPr="00D549EE" w:rsidRDefault="00A85DF2" w:rsidP="00A85DF2">
      <w:pPr>
        <w:pStyle w:val="HTML"/>
        <w:rPr>
          <w:rFonts w:ascii="Times New Roman" w:hAnsi="Times New Roman" w:cs="Times New Roman"/>
          <w:color w:val="000000"/>
          <w:sz w:val="28"/>
          <w:szCs w:val="28"/>
          <w:lang w:val="en-US"/>
        </w:rPr>
      </w:pPr>
      <w:r w:rsidRPr="00A85DF2">
        <w:rPr>
          <w:rFonts w:ascii="Times New Roman" w:hAnsi="Times New Roman" w:cs="Times New Roman"/>
          <w:color w:val="222222"/>
          <w:sz w:val="28"/>
          <w:szCs w:val="28"/>
          <w:lang w:val="en-US"/>
        </w:rPr>
        <w:tab/>
        <w:t>There should be mentioned that in the question about advantages (benefits) of Islamic financial instruments for Kazakhstan, which was given in the form of a matrix, 90% of respondents decided that reducing the impact of harmful products and practices is affects significant, as well as more than 90% answered that principle of financial justice is essential to the benefit of Islamic finance for the country.</w:t>
      </w:r>
      <w:r w:rsidR="005905A6" w:rsidRPr="00D549EE">
        <w:rPr>
          <w:rFonts w:ascii="Times New Roman" w:hAnsi="Times New Roman" w:cs="Times New Roman"/>
          <w:color w:val="000000"/>
          <w:sz w:val="28"/>
          <w:szCs w:val="28"/>
          <w:lang w:val="en-US"/>
        </w:rPr>
        <w:t xml:space="preserve"> </w:t>
      </w:r>
    </w:p>
    <w:p w14:paraId="12E81617" w14:textId="77777777" w:rsidR="007C6A86" w:rsidRPr="00D549EE" w:rsidRDefault="007C6A86" w:rsidP="00C9582F">
      <w:pPr>
        <w:pStyle w:val="HTML"/>
        <w:tabs>
          <w:tab w:val="left" w:pos="709"/>
        </w:tabs>
        <w:rPr>
          <w:rFonts w:ascii="Times New Roman" w:hAnsi="Times New Roman" w:cs="Times New Roman"/>
          <w:color w:val="222222"/>
          <w:sz w:val="28"/>
          <w:szCs w:val="28"/>
          <w:lang w:val="en"/>
        </w:rPr>
      </w:pPr>
    </w:p>
    <w:p w14:paraId="6CA4245A" w14:textId="77777777" w:rsidR="007C6A86" w:rsidRPr="00D549EE" w:rsidRDefault="007C6A86" w:rsidP="00C9582F">
      <w:pPr>
        <w:pStyle w:val="HTML"/>
        <w:tabs>
          <w:tab w:val="left" w:pos="709"/>
        </w:tabs>
        <w:jc w:val="center"/>
        <w:rPr>
          <w:rFonts w:ascii="Times New Roman" w:hAnsi="Times New Roman" w:cs="Times New Roman"/>
          <w:color w:val="222222"/>
          <w:sz w:val="28"/>
          <w:szCs w:val="28"/>
          <w:lang w:val="en"/>
        </w:rPr>
      </w:pPr>
      <w:r w:rsidRPr="00D549EE">
        <w:rPr>
          <w:rFonts w:ascii="Times New Roman" w:hAnsi="Times New Roman" w:cs="Times New Roman"/>
          <w:noProof/>
        </w:rPr>
        <w:drawing>
          <wp:inline distT="0" distB="0" distL="0" distR="0" wp14:anchorId="57C61BA2" wp14:editId="661F00B3">
            <wp:extent cx="5285683" cy="1671147"/>
            <wp:effectExtent l="0" t="0" r="10795" b="18415"/>
            <wp:docPr id="53" name="Диаграмма 5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0139325" w14:textId="77777777" w:rsidR="007C6A86" w:rsidRPr="00D549EE" w:rsidRDefault="007C6A86" w:rsidP="00C9582F">
      <w:pPr>
        <w:ind w:firstLine="708"/>
        <w:jc w:val="center"/>
        <w:rPr>
          <w:bCs/>
          <w:color w:val="000000" w:themeColor="text1"/>
          <w:sz w:val="28"/>
          <w:szCs w:val="28"/>
          <w:lang w:val="en-US"/>
        </w:rPr>
      </w:pPr>
    </w:p>
    <w:p w14:paraId="3A00D56C" w14:textId="6D935106" w:rsidR="007C6A86" w:rsidRPr="00D549EE" w:rsidRDefault="007C6A86" w:rsidP="002C5672">
      <w:pPr>
        <w:ind w:firstLine="708"/>
        <w:jc w:val="center"/>
        <w:rPr>
          <w:color w:val="000000" w:themeColor="text1"/>
          <w:sz w:val="28"/>
          <w:szCs w:val="28"/>
          <w:lang w:val="en-US"/>
        </w:rPr>
      </w:pPr>
      <w:r w:rsidRPr="00D549EE">
        <w:rPr>
          <w:bCs/>
          <w:color w:val="000000" w:themeColor="text1"/>
          <w:sz w:val="28"/>
          <w:szCs w:val="28"/>
          <w:lang w:val="en-US"/>
        </w:rPr>
        <w:t>Figure 18</w:t>
      </w:r>
      <w:r w:rsidRPr="00D549EE">
        <w:rPr>
          <w:b/>
          <w:bCs/>
          <w:color w:val="000000" w:themeColor="text1"/>
          <w:sz w:val="28"/>
          <w:szCs w:val="28"/>
          <w:lang w:val="en-US"/>
        </w:rPr>
        <w:t xml:space="preserve"> </w:t>
      </w:r>
      <w:r w:rsidRPr="00D549EE">
        <w:rPr>
          <w:sz w:val="28"/>
          <w:szCs w:val="28"/>
          <w:lang w:val="en-US"/>
        </w:rPr>
        <w:t>–</w:t>
      </w:r>
      <w:r w:rsidRPr="00D549EE">
        <w:rPr>
          <w:b/>
          <w:bCs/>
          <w:color w:val="000000" w:themeColor="text1"/>
          <w:sz w:val="28"/>
          <w:szCs w:val="28"/>
          <w:lang w:val="en-US"/>
        </w:rPr>
        <w:t xml:space="preserve"> </w:t>
      </w:r>
      <w:r w:rsidRPr="00D549EE">
        <w:rPr>
          <w:color w:val="000000" w:themeColor="text1"/>
          <w:sz w:val="28"/>
          <w:szCs w:val="28"/>
          <w:lang w:val="en-US"/>
        </w:rPr>
        <w:t>Experts’ assessment of the benefits of Islamic Finance for Kazakhstan</w:t>
      </w:r>
    </w:p>
    <w:p w14:paraId="26C6F1C0" w14:textId="0CA9D28A" w:rsidR="007C6A86" w:rsidRPr="005A24C2" w:rsidRDefault="005A24C2" w:rsidP="005A24C2">
      <w:pPr>
        <w:pStyle w:val="HTML"/>
        <w:tabs>
          <w:tab w:val="left" w:pos="709"/>
        </w:tabs>
        <w:rPr>
          <w:rFonts w:ascii="Times New Roman" w:hAnsi="Times New Roman" w:cs="Times New Roman"/>
          <w:lang w:val="en-US"/>
        </w:rPr>
      </w:pPr>
      <w:r>
        <w:rPr>
          <w:rFonts w:ascii="Times New Roman" w:hAnsi="Times New Roman" w:cs="Times New Roman"/>
          <w:lang w:val="en-US"/>
        </w:rPr>
        <w:tab/>
      </w:r>
      <w:r w:rsidR="007C6A86" w:rsidRPr="00D549EE">
        <w:rPr>
          <w:rFonts w:ascii="Times New Roman" w:hAnsi="Times New Roman" w:cs="Times New Roman"/>
          <w:lang w:val="en-US"/>
        </w:rPr>
        <w:t>Note – Compiled by the author</w:t>
      </w:r>
    </w:p>
    <w:p w14:paraId="1A6B6202" w14:textId="69411A65" w:rsidR="00295B54" w:rsidRDefault="005905A6" w:rsidP="00C9582F">
      <w:pPr>
        <w:pStyle w:val="HTML"/>
        <w:rPr>
          <w:rFonts w:ascii="Times New Roman" w:hAnsi="Times New Roman" w:cs="Times New Roman"/>
          <w:sz w:val="28"/>
          <w:szCs w:val="28"/>
          <w:lang w:val="en-US"/>
        </w:rPr>
      </w:pPr>
      <w:r w:rsidRPr="00D549EE">
        <w:rPr>
          <w:rFonts w:ascii="Times New Roman" w:eastAsiaTheme="minorHAnsi" w:hAnsi="Times New Roman" w:cs="Times New Roman"/>
          <w:color w:val="FF0000"/>
          <w:sz w:val="28"/>
          <w:szCs w:val="28"/>
          <w:lang w:val="en-US"/>
        </w:rPr>
        <w:tab/>
      </w:r>
      <w:r w:rsidRPr="00D549EE">
        <w:rPr>
          <w:rFonts w:ascii="Times New Roman" w:eastAsiaTheme="minorHAnsi" w:hAnsi="Times New Roman" w:cs="Times New Roman"/>
          <w:color w:val="000000" w:themeColor="text1"/>
          <w:sz w:val="28"/>
          <w:szCs w:val="28"/>
          <w:lang w:val="en-US"/>
        </w:rPr>
        <w:t xml:space="preserve">From the </w:t>
      </w:r>
      <w:r w:rsidRPr="00D549EE">
        <w:rPr>
          <w:rFonts w:ascii="Times New Roman" w:hAnsi="Times New Roman" w:cs="Times New Roman"/>
          <w:sz w:val="28"/>
          <w:szCs w:val="28"/>
          <w:lang w:val="en-US"/>
        </w:rPr>
        <w:t xml:space="preserve">institutional (legal, personnel, social, organizational, administrative) and economic (marketing strategies and tax incentives) barriers that should be overcome for the effective development of Islamic finance respondents identified </w:t>
      </w:r>
      <w:r w:rsidR="00021E99">
        <w:rPr>
          <w:rFonts w:ascii="Times New Roman" w:hAnsi="Times New Roman" w:cs="Times New Roman"/>
          <w:sz w:val="28"/>
          <w:szCs w:val="28"/>
          <w:lang w:val="en-US"/>
        </w:rPr>
        <w:t xml:space="preserve">the </w:t>
      </w:r>
      <w:r w:rsidRPr="00D549EE">
        <w:rPr>
          <w:rFonts w:ascii="Times New Roman" w:hAnsi="Times New Roman" w:cs="Times New Roman"/>
          <w:sz w:val="28"/>
          <w:szCs w:val="28"/>
          <w:lang w:val="en-US"/>
        </w:rPr>
        <w:t>following issues</w:t>
      </w:r>
      <w:r w:rsidR="00292BE1" w:rsidRPr="00D549EE">
        <w:rPr>
          <w:rFonts w:ascii="Times New Roman" w:hAnsi="Times New Roman" w:cs="Times New Roman"/>
          <w:color w:val="000000" w:themeColor="text1"/>
          <w:sz w:val="28"/>
          <w:szCs w:val="28"/>
          <w:lang w:val="en-US"/>
        </w:rPr>
        <w:t xml:space="preserve">: </w:t>
      </w:r>
      <w:r w:rsidR="00292BE1" w:rsidRPr="00D549EE">
        <w:rPr>
          <w:rFonts w:ascii="Times New Roman" w:hAnsi="Times New Roman" w:cs="Times New Roman"/>
          <w:sz w:val="28"/>
          <w:szCs w:val="28"/>
          <w:lang w:val="en-US"/>
        </w:rPr>
        <w:t xml:space="preserve">dedicated platform, promotion among the population, separation of religion from finance, spread knowledge; tax rules for Islamic non-bank institutions, remove VAT for trade-based products, introducing relaxation and preferences for IFI; </w:t>
      </w:r>
      <w:r w:rsidR="00BA6EFD" w:rsidRPr="00D549EE">
        <w:rPr>
          <w:rFonts w:ascii="Times New Roman" w:hAnsi="Times New Roman" w:cs="Times New Roman"/>
          <w:sz w:val="28"/>
          <w:szCs w:val="28"/>
          <w:lang w:val="en-US"/>
        </w:rPr>
        <w:t>s</w:t>
      </w:r>
      <w:r w:rsidR="00292BE1" w:rsidRPr="00D549EE">
        <w:rPr>
          <w:rFonts w:ascii="Times New Roman" w:hAnsi="Times New Roman" w:cs="Times New Roman"/>
          <w:sz w:val="28"/>
          <w:szCs w:val="28"/>
          <w:lang w:val="en-US"/>
        </w:rPr>
        <w:t>pecific Islamic finance law, allowing Islamic windows in conventional banks, clarifying legal acts; dedicated department, policies and procedures for the governance of IFI, Shariah council integration to the country’s financial control; increasing literacy and awareness of the population.</w:t>
      </w:r>
    </w:p>
    <w:p w14:paraId="019E8204" w14:textId="77777777" w:rsidR="005A24C2" w:rsidRPr="00D549EE" w:rsidRDefault="005A24C2" w:rsidP="00C9582F">
      <w:pPr>
        <w:pStyle w:val="HTML"/>
        <w:rPr>
          <w:rFonts w:ascii="Times New Roman" w:hAnsi="Times New Roman" w:cs="Times New Roman"/>
          <w:sz w:val="28"/>
          <w:szCs w:val="28"/>
          <w:lang w:val="en-US"/>
        </w:rPr>
      </w:pPr>
    </w:p>
    <w:p w14:paraId="01D91EA9" w14:textId="073EFBCA" w:rsidR="00295B54" w:rsidRPr="00D549EE" w:rsidRDefault="004A2142" w:rsidP="00C9582F">
      <w:pPr>
        <w:pStyle w:val="HTML"/>
        <w:rPr>
          <w:rFonts w:ascii="Times New Roman" w:hAnsi="Times New Roman" w:cs="Times New Roman"/>
          <w:sz w:val="28"/>
          <w:szCs w:val="28"/>
          <w:lang w:val="en-US"/>
        </w:rPr>
      </w:pPr>
      <w:r w:rsidRPr="00D549EE">
        <w:rPr>
          <w:rFonts w:ascii="Times New Roman" w:hAnsi="Times New Roman" w:cs="Times New Roman"/>
          <w:noProof/>
          <w:sz w:val="28"/>
          <w:szCs w:val="28"/>
        </w:rPr>
        <w:drawing>
          <wp:inline distT="0" distB="0" distL="0" distR="0" wp14:anchorId="164E2C5B" wp14:editId="7C20BEAA">
            <wp:extent cx="5855677" cy="205041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58341" cy="2051348"/>
                    </a:xfrm>
                    <a:prstGeom prst="rect">
                      <a:avLst/>
                    </a:prstGeom>
                  </pic:spPr>
                </pic:pic>
              </a:graphicData>
            </a:graphic>
          </wp:inline>
        </w:drawing>
      </w:r>
    </w:p>
    <w:p w14:paraId="7063EF33" w14:textId="77777777" w:rsidR="00295B54" w:rsidRPr="00D549EE" w:rsidRDefault="00295B54" w:rsidP="00C9582F">
      <w:pPr>
        <w:ind w:firstLine="708"/>
        <w:jc w:val="center"/>
        <w:rPr>
          <w:bCs/>
          <w:color w:val="000000" w:themeColor="text1"/>
          <w:sz w:val="28"/>
          <w:szCs w:val="28"/>
          <w:lang w:val="en-US"/>
        </w:rPr>
      </w:pPr>
    </w:p>
    <w:p w14:paraId="44DC59AF" w14:textId="39452E0A" w:rsidR="00295B54" w:rsidRPr="00D549EE" w:rsidRDefault="00295B54" w:rsidP="00C9582F">
      <w:pPr>
        <w:ind w:firstLine="708"/>
        <w:rPr>
          <w:color w:val="000000" w:themeColor="text1"/>
          <w:sz w:val="28"/>
          <w:szCs w:val="28"/>
          <w:lang w:val="en-US"/>
        </w:rPr>
      </w:pPr>
      <w:r w:rsidRPr="00D549EE">
        <w:rPr>
          <w:bCs/>
          <w:color w:val="000000" w:themeColor="text1"/>
          <w:sz w:val="28"/>
          <w:szCs w:val="28"/>
          <w:lang w:val="en-US"/>
        </w:rPr>
        <w:t>Figure 1</w:t>
      </w:r>
      <w:r w:rsidR="007C6A86" w:rsidRPr="00D549EE">
        <w:rPr>
          <w:bCs/>
          <w:color w:val="000000" w:themeColor="text1"/>
          <w:sz w:val="28"/>
          <w:szCs w:val="28"/>
          <w:lang w:val="en-US"/>
        </w:rPr>
        <w:t>9</w:t>
      </w:r>
      <w:r w:rsidRPr="00D549EE">
        <w:rPr>
          <w:b/>
          <w:bCs/>
          <w:color w:val="000000" w:themeColor="text1"/>
          <w:sz w:val="28"/>
          <w:szCs w:val="28"/>
          <w:lang w:val="en-US"/>
        </w:rPr>
        <w:t xml:space="preserve"> </w:t>
      </w:r>
      <w:r w:rsidRPr="00D549EE">
        <w:rPr>
          <w:sz w:val="28"/>
          <w:szCs w:val="28"/>
          <w:lang w:val="en-US"/>
        </w:rPr>
        <w:t>–</w:t>
      </w:r>
      <w:r w:rsidRPr="00D549EE">
        <w:rPr>
          <w:b/>
          <w:bCs/>
          <w:color w:val="000000" w:themeColor="text1"/>
          <w:sz w:val="28"/>
          <w:szCs w:val="28"/>
          <w:lang w:val="en-US"/>
        </w:rPr>
        <w:t xml:space="preserve"> </w:t>
      </w:r>
      <w:r w:rsidRPr="00D549EE">
        <w:rPr>
          <w:color w:val="000000" w:themeColor="text1"/>
          <w:sz w:val="28"/>
          <w:szCs w:val="28"/>
          <w:lang w:val="en-US"/>
        </w:rPr>
        <w:t xml:space="preserve">Experts’ assessment </w:t>
      </w:r>
      <w:r w:rsidR="00351F63" w:rsidRPr="00D549EE">
        <w:rPr>
          <w:color w:val="000000" w:themeColor="text1"/>
          <w:sz w:val="28"/>
          <w:szCs w:val="28"/>
          <w:lang w:val="en-US"/>
        </w:rPr>
        <w:t xml:space="preserve">of </w:t>
      </w:r>
      <w:r w:rsidRPr="00D549EE">
        <w:rPr>
          <w:color w:val="000000" w:themeColor="text1"/>
          <w:sz w:val="28"/>
          <w:szCs w:val="28"/>
          <w:lang w:val="en-US"/>
        </w:rPr>
        <w:t xml:space="preserve">Islamic Finance </w:t>
      </w:r>
      <w:r w:rsidR="00351F63" w:rsidRPr="00D549EE">
        <w:rPr>
          <w:color w:val="000000" w:themeColor="text1"/>
          <w:sz w:val="28"/>
          <w:szCs w:val="28"/>
          <w:lang w:val="en-US"/>
        </w:rPr>
        <w:t>in</w:t>
      </w:r>
      <w:r w:rsidRPr="00D549EE">
        <w:rPr>
          <w:color w:val="000000" w:themeColor="text1"/>
          <w:sz w:val="28"/>
          <w:szCs w:val="28"/>
          <w:lang w:val="en-US"/>
        </w:rPr>
        <w:t xml:space="preserve"> Kazakhstan</w:t>
      </w:r>
    </w:p>
    <w:p w14:paraId="56944B77" w14:textId="121FE9F4" w:rsidR="00295B54" w:rsidRPr="00D549EE" w:rsidRDefault="00295B54" w:rsidP="00C9582F">
      <w:pPr>
        <w:pStyle w:val="HTML"/>
        <w:rPr>
          <w:rFonts w:ascii="Times New Roman" w:hAnsi="Times New Roman" w:cs="Times New Roman"/>
          <w:sz w:val="28"/>
          <w:szCs w:val="28"/>
          <w:lang w:val="en-US"/>
        </w:rPr>
      </w:pPr>
    </w:p>
    <w:p w14:paraId="6D5EE152" w14:textId="7207B65A" w:rsidR="00295B54" w:rsidRPr="00D549EE" w:rsidRDefault="00845D86" w:rsidP="00C9582F">
      <w:pPr>
        <w:pStyle w:val="HTML"/>
        <w:rPr>
          <w:rFonts w:ascii="Times New Roman" w:hAnsi="Times New Roman" w:cs="Times New Roman"/>
          <w:sz w:val="28"/>
          <w:szCs w:val="28"/>
          <w:lang w:val="en-US"/>
        </w:rPr>
      </w:pPr>
      <w:r w:rsidRPr="00D549EE">
        <w:rPr>
          <w:rFonts w:ascii="Times New Roman" w:hAnsi="Times New Roman" w:cs="Times New Roman"/>
          <w:lang w:val="en-US"/>
        </w:rPr>
        <w:tab/>
      </w:r>
      <w:r w:rsidR="00351F63" w:rsidRPr="00D549EE">
        <w:rPr>
          <w:rFonts w:ascii="Times New Roman" w:hAnsi="Times New Roman" w:cs="Times New Roman"/>
          <w:lang w:val="en-US"/>
        </w:rPr>
        <w:t>Note – Compiled by the author</w:t>
      </w:r>
    </w:p>
    <w:p w14:paraId="7A7C84F1" w14:textId="77777777" w:rsidR="00295B54" w:rsidRPr="00D549EE" w:rsidRDefault="00295B54" w:rsidP="00C9582F">
      <w:pPr>
        <w:pStyle w:val="HTML"/>
        <w:rPr>
          <w:rFonts w:ascii="Times New Roman" w:hAnsi="Times New Roman" w:cs="Times New Roman"/>
          <w:sz w:val="28"/>
          <w:szCs w:val="28"/>
          <w:lang w:val="en-US"/>
        </w:rPr>
      </w:pPr>
    </w:p>
    <w:p w14:paraId="5DA55A83" w14:textId="77777777" w:rsidR="007D0B7F" w:rsidRPr="007D0B7F" w:rsidRDefault="005905A6" w:rsidP="007D0B7F">
      <w:pPr>
        <w:pStyle w:val="HTML"/>
        <w:rPr>
          <w:rFonts w:ascii="Times New Roman" w:hAnsi="Times New Roman" w:cs="Times New Roman"/>
          <w:color w:val="000000" w:themeColor="text1"/>
          <w:sz w:val="28"/>
          <w:szCs w:val="28"/>
          <w:lang w:val="en-US"/>
        </w:rPr>
      </w:pPr>
      <w:r w:rsidRPr="00D549EE">
        <w:rPr>
          <w:rFonts w:ascii="Times New Roman" w:eastAsiaTheme="minorHAnsi" w:hAnsi="Times New Roman" w:cs="Times New Roman"/>
          <w:color w:val="FF0000"/>
          <w:sz w:val="28"/>
          <w:szCs w:val="28"/>
          <w:lang w:val="en-US"/>
        </w:rPr>
        <w:tab/>
      </w:r>
      <w:r w:rsidR="007D0B7F" w:rsidRPr="007D0B7F">
        <w:rPr>
          <w:rFonts w:ascii="Times New Roman" w:hAnsi="Times New Roman" w:cs="Times New Roman"/>
          <w:color w:val="000000" w:themeColor="text1"/>
          <w:sz w:val="28"/>
          <w:szCs w:val="28"/>
          <w:lang w:val="en-US"/>
        </w:rPr>
        <w:t>Respondents were requested to give their opinion to identify the obstacles that would affect the Islamic finance inflows. According to respondents’ views, we detected a social problem: a lack of knowledge and low awareness of this sphere; 44.74% of respondents noted it. Factors such as the underdeveloped legal framework (23.68%) and the condition of the finance sector (26.32%) also play a negative role in Islamic finance inflows in Kazakhstan. The lack of Islamic financial technologies is considered a challenge only by 5.26% of respondents. 43.18% of respondents believe that creating specific and unified Islamic finance legislation will impact an increasing number of investors and issuers of Islamic financial instruments in Kazakhstan.</w:t>
      </w:r>
    </w:p>
    <w:p w14:paraId="2B8E3AB1" w14:textId="0DFF625A" w:rsidR="007D0B7F" w:rsidRPr="007D0B7F" w:rsidRDefault="007D0B7F" w:rsidP="007D0B7F">
      <w:pPr>
        <w:pStyle w:val="HTML"/>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b/>
      </w:r>
      <w:r w:rsidRPr="007D0B7F">
        <w:rPr>
          <w:rFonts w:ascii="Times New Roman" w:hAnsi="Times New Roman" w:cs="Times New Roman"/>
          <w:color w:val="000000" w:themeColor="text1"/>
          <w:sz w:val="28"/>
          <w:szCs w:val="28"/>
          <w:lang w:val="en-US"/>
        </w:rPr>
        <w:t>In contrast, others are sure that the relaxation of requirements for Islamic financial institutions will cope with the above task. The government suggested that it implement special shariah norms and standards, considering the tax incentives. An interesting idea was suggested about using tax holidays or other tax benefits for at least three years to spread Islamic financing of large investment projects.</w:t>
      </w:r>
    </w:p>
    <w:p w14:paraId="0A6E6FBF" w14:textId="77777777" w:rsidR="007D0B7F" w:rsidRPr="007D0B7F" w:rsidRDefault="007D0B7F" w:rsidP="007D0B7F">
      <w:pPr>
        <w:pStyle w:val="HTML"/>
        <w:rPr>
          <w:rFonts w:ascii="Times New Roman" w:hAnsi="Times New Roman" w:cs="Times New Roman"/>
          <w:color w:val="000000" w:themeColor="text1"/>
          <w:sz w:val="28"/>
          <w:szCs w:val="28"/>
          <w:lang w:val="en-US"/>
        </w:rPr>
      </w:pPr>
      <w:r w:rsidRPr="007D0B7F">
        <w:rPr>
          <w:rFonts w:ascii="Times New Roman" w:hAnsi="Times New Roman" w:cs="Times New Roman"/>
          <w:color w:val="000000" w:themeColor="text1"/>
          <w:sz w:val="28"/>
          <w:szCs w:val="28"/>
          <w:lang w:val="en-US"/>
        </w:rPr>
        <w:tab/>
        <w:t>Further authors tried to identify necessary changing in the investment climate of the country in order to increase the inflow of long-term Islamic investments. The main factor in the opinion of 63.64% of respondents for the investment climate is the improvement of the guarantee of the rights and legal protection of investors, and 21.21% believe that improving the guarantee of the use of income will affect the increase of the inflow of long-term Islamic investment in Kazakhstan. Only 15.15% of respondents answered that it is necessary to improve investment dispute resolution regulation.</w:t>
      </w:r>
    </w:p>
    <w:p w14:paraId="49C1A4E3" w14:textId="77777777" w:rsidR="007D0B7F" w:rsidRPr="007D0B7F" w:rsidRDefault="007D0B7F" w:rsidP="007D0B7F">
      <w:pPr>
        <w:pStyle w:val="HTML"/>
        <w:rPr>
          <w:rFonts w:ascii="Times New Roman" w:hAnsi="Times New Roman" w:cs="Times New Roman"/>
          <w:color w:val="000000" w:themeColor="text1"/>
          <w:sz w:val="28"/>
          <w:szCs w:val="28"/>
          <w:lang w:val="en-US"/>
        </w:rPr>
      </w:pPr>
      <w:r w:rsidRPr="007D0B7F">
        <w:rPr>
          <w:rFonts w:ascii="Times New Roman" w:hAnsi="Times New Roman" w:cs="Times New Roman"/>
          <w:color w:val="000000" w:themeColor="text1"/>
          <w:sz w:val="28"/>
          <w:szCs w:val="28"/>
          <w:lang w:val="en-US"/>
        </w:rPr>
        <w:tab/>
        <w:t>About 63% of interviewed people believe that financial technology promotes Islamic financial inclusion, while the rest of the respondents believe that financial technology can reduce the cost of financial intermediation for Islamic banks. Also, 31 professionals of Islamic finance note the importance of financial technology in increasing the number of participants in the Islamic securities market. Furthermore, 72% of respondents find financial technologies as Shariah-compliant.</w:t>
      </w:r>
    </w:p>
    <w:p w14:paraId="24DF82A4" w14:textId="77777777" w:rsidR="007D0B7F" w:rsidRPr="007D0B7F" w:rsidRDefault="007D0B7F" w:rsidP="007D0B7F">
      <w:pPr>
        <w:pStyle w:val="HTML"/>
        <w:rPr>
          <w:rFonts w:ascii="Times New Roman" w:hAnsi="Times New Roman" w:cs="Times New Roman"/>
          <w:color w:val="000000" w:themeColor="text1"/>
          <w:sz w:val="28"/>
          <w:szCs w:val="28"/>
          <w:lang w:val="en-US"/>
        </w:rPr>
      </w:pPr>
      <w:r w:rsidRPr="007D0B7F">
        <w:rPr>
          <w:rFonts w:ascii="Times New Roman" w:hAnsi="Times New Roman" w:cs="Times New Roman"/>
          <w:color w:val="000000" w:themeColor="text1"/>
          <w:sz w:val="28"/>
          <w:szCs w:val="28"/>
          <w:lang w:val="en-US"/>
        </w:rPr>
        <w:tab/>
        <w:t>The open-ended question requested comments from the respondents about the opportunities of blockchain technology, which leaves electronic traces of any transaction, ensuring the transparency and purity of financial transactions in the context of the value of Shariah. It will give Islamic banks and Islamic financial institutions competitiveness with conventional banks and financial institutions and assist in strengthening trust and confidence in promoting Islamic finance services. Respondents suggested that blockchain technologies complied with Shariah principles.</w:t>
      </w:r>
    </w:p>
    <w:p w14:paraId="2DA38FD1" w14:textId="76EA1A49" w:rsidR="007D0B7F" w:rsidRPr="007D0B7F" w:rsidRDefault="007D0B7F" w:rsidP="007D0B7F">
      <w:pPr>
        <w:pStyle w:val="HTML"/>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b/>
      </w:r>
      <w:r w:rsidRPr="007D0B7F">
        <w:rPr>
          <w:rFonts w:ascii="Times New Roman" w:hAnsi="Times New Roman" w:cs="Times New Roman"/>
          <w:color w:val="000000" w:themeColor="text1"/>
          <w:sz w:val="28"/>
          <w:szCs w:val="28"/>
          <w:lang w:val="en-US"/>
        </w:rPr>
        <w:t xml:space="preserve">More than 92% of respondents strongly believe that it is necessary to allow Islamic windows, branches, and subsidiaries in Kazakhstan to develop Islamic financial services by banks and allow Islamic financing products and services for non-Islamic banks and financial institutions instructions. Considering legally, to accurately identify the specifics of the use of Islamic Finance, there should be made clarifying legal acts in the legislation of Kazakhstan. Thereby, the government needs to allow the opening of Islamic windows (branches). Nowadays, to requirements and prudential norms of the creation and activity of Islamic banks in Kazakhstan, there is only one possible form of full-fledged Islamic bank with a Base Capital such as conventional banks of about 26 million US dollars.  </w:t>
      </w:r>
    </w:p>
    <w:p w14:paraId="76D10E47" w14:textId="77777777" w:rsidR="007D0B7F" w:rsidRPr="007D0B7F" w:rsidRDefault="007D0B7F" w:rsidP="007D0B7F">
      <w:pPr>
        <w:pStyle w:val="HTML"/>
        <w:rPr>
          <w:rFonts w:ascii="Times New Roman" w:hAnsi="Times New Roman" w:cs="Times New Roman"/>
          <w:color w:val="000000" w:themeColor="text1"/>
          <w:sz w:val="28"/>
          <w:szCs w:val="28"/>
          <w:lang w:val="en-US"/>
        </w:rPr>
      </w:pPr>
      <w:r w:rsidRPr="007D0B7F">
        <w:rPr>
          <w:rFonts w:ascii="Times New Roman" w:hAnsi="Times New Roman" w:cs="Times New Roman"/>
          <w:color w:val="000000" w:themeColor="text1"/>
          <w:sz w:val="28"/>
          <w:szCs w:val="28"/>
          <w:lang w:val="en-US"/>
        </w:rPr>
        <w:tab/>
        <w:t xml:space="preserve">The qualitative research of the professionals gives us the opportunity to analyze the factors that must be developed and factors that are already strong and can be used for improvement and increase the number of participants, the quality of financial products, and economic activity through Islamic financial services. </w:t>
      </w:r>
    </w:p>
    <w:p w14:paraId="3E48C890" w14:textId="227ED625" w:rsidR="007D0B7F" w:rsidRDefault="007D0B7F" w:rsidP="007D0B7F">
      <w:pPr>
        <w:pStyle w:val="HTML"/>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b/>
      </w:r>
      <w:r w:rsidRPr="007D0B7F">
        <w:rPr>
          <w:rFonts w:ascii="Times New Roman" w:hAnsi="Times New Roman" w:cs="Times New Roman"/>
          <w:color w:val="000000" w:themeColor="text1"/>
          <w:sz w:val="28"/>
          <w:szCs w:val="28"/>
          <w:lang w:val="en-US"/>
        </w:rPr>
        <w:t>An essential stage in assessing the effectiveness of Islamic finance is the measurement of the strategic prospects for its sustainable development, including identifying opportunities to realize its potential and identifying factors that contribute to or hinder the sustainable development of the Islamic financial system. During conducting the analysis there have been used following materials, such as the legislative framework of the country, foreign countries’ experiences explored earlier, results of qualitative analysis among experts and professionals in Islamic finance, results of the mass survey in Islamic finance social, and Islamic finance development master-plan for Kazakhstan. In ranking the significance of factors, we used the method of expert assessments, which consists in conducting a procedure for obtaining the assessment of factors based on the opinion of experts for subsequent decision-making. It should be noted that the factors identified by experts reasonably represent the internal strengths and weaknesses of Islamic finance and external opportunities and threats that favor or not the development of the area and have not lost their significance today.</w:t>
      </w:r>
    </w:p>
    <w:p w14:paraId="6B7C8172" w14:textId="77777777" w:rsidR="007D0B7F" w:rsidRDefault="007D0B7F" w:rsidP="007D0B7F">
      <w:pPr>
        <w:pStyle w:val="HTML"/>
        <w:rPr>
          <w:color w:val="000000" w:themeColor="text1"/>
          <w:sz w:val="28"/>
          <w:szCs w:val="28"/>
          <w:lang w:val="en-US"/>
        </w:rPr>
      </w:pPr>
    </w:p>
    <w:p w14:paraId="35C5224A" w14:textId="09430752" w:rsidR="00D3297A" w:rsidRPr="007D0B7F" w:rsidRDefault="00D3297A" w:rsidP="007D0B7F">
      <w:pPr>
        <w:pStyle w:val="HTML"/>
        <w:rPr>
          <w:rFonts w:ascii="Times New Roman" w:hAnsi="Times New Roman" w:cs="Times New Roman"/>
          <w:sz w:val="28"/>
          <w:szCs w:val="28"/>
          <w:lang w:val="en-US"/>
        </w:rPr>
      </w:pPr>
      <w:r w:rsidRPr="007D0B7F">
        <w:rPr>
          <w:rFonts w:ascii="Times New Roman" w:hAnsi="Times New Roman" w:cs="Times New Roman"/>
          <w:color w:val="000000" w:themeColor="text1"/>
          <w:sz w:val="28"/>
          <w:szCs w:val="28"/>
          <w:lang w:val="en-US"/>
        </w:rPr>
        <w:t xml:space="preserve">Table </w:t>
      </w:r>
      <w:r w:rsidR="00FE0CA2" w:rsidRPr="007D0B7F">
        <w:rPr>
          <w:rFonts w:ascii="Times New Roman" w:hAnsi="Times New Roman" w:cs="Times New Roman"/>
          <w:color w:val="000000" w:themeColor="text1"/>
          <w:sz w:val="28"/>
          <w:szCs w:val="28"/>
          <w:lang w:val="en-US"/>
        </w:rPr>
        <w:t>2</w:t>
      </w:r>
      <w:r w:rsidR="00A655E2" w:rsidRPr="007D0B7F">
        <w:rPr>
          <w:rFonts w:ascii="Times New Roman" w:hAnsi="Times New Roman" w:cs="Times New Roman"/>
          <w:color w:val="000000" w:themeColor="text1"/>
          <w:sz w:val="28"/>
          <w:szCs w:val="28"/>
          <w:lang w:val="en-US"/>
        </w:rPr>
        <w:t>5</w:t>
      </w:r>
      <w:r w:rsidR="00C02DAA" w:rsidRPr="007D0B7F">
        <w:rPr>
          <w:rFonts w:ascii="Times New Roman" w:hAnsi="Times New Roman" w:cs="Times New Roman"/>
          <w:b/>
          <w:color w:val="000000" w:themeColor="text1"/>
          <w:sz w:val="28"/>
          <w:szCs w:val="28"/>
          <w:lang w:val="en-US"/>
        </w:rPr>
        <w:t xml:space="preserve"> </w:t>
      </w:r>
      <w:r w:rsidR="00C02DAA" w:rsidRPr="007D0B7F">
        <w:rPr>
          <w:rFonts w:ascii="Times New Roman" w:hAnsi="Times New Roman" w:cs="Times New Roman"/>
          <w:sz w:val="28"/>
          <w:szCs w:val="28"/>
          <w:lang w:val="en-US"/>
        </w:rPr>
        <w:t>–</w:t>
      </w:r>
      <w:r w:rsidRPr="007D0B7F">
        <w:rPr>
          <w:rFonts w:ascii="Times New Roman" w:hAnsi="Times New Roman" w:cs="Times New Roman"/>
          <w:color w:val="000000" w:themeColor="text1"/>
          <w:sz w:val="28"/>
          <w:szCs w:val="28"/>
          <w:lang w:val="en-US"/>
        </w:rPr>
        <w:t xml:space="preserve"> </w:t>
      </w:r>
      <w:r w:rsidRPr="007D0B7F">
        <w:rPr>
          <w:rFonts w:ascii="Times New Roman" w:hAnsi="Times New Roman" w:cs="Times New Roman"/>
          <w:sz w:val="28"/>
          <w:szCs w:val="28"/>
          <w:lang w:val="en-US"/>
        </w:rPr>
        <w:t>SWOT analysis of Islamic Finance in Kazakhstan</w:t>
      </w:r>
    </w:p>
    <w:p w14:paraId="66C13358" w14:textId="77777777" w:rsidR="00D3297A" w:rsidRPr="00D549EE" w:rsidRDefault="00D3297A" w:rsidP="00C9582F">
      <w:pPr>
        <w:rPr>
          <w:lang w:val="en-US"/>
        </w:rPr>
      </w:pPr>
    </w:p>
    <w:tbl>
      <w:tblPr>
        <w:tblStyle w:val="a9"/>
        <w:tblW w:w="0" w:type="auto"/>
        <w:tblLook w:val="04A0" w:firstRow="1" w:lastRow="0" w:firstColumn="1" w:lastColumn="0" w:noHBand="0" w:noVBand="1"/>
      </w:tblPr>
      <w:tblGrid>
        <w:gridCol w:w="4815"/>
        <w:gridCol w:w="4808"/>
      </w:tblGrid>
      <w:tr w:rsidR="00D3297A" w:rsidRPr="00D549EE" w14:paraId="17CD79F4" w14:textId="77777777" w:rsidTr="005A24C2">
        <w:tc>
          <w:tcPr>
            <w:tcW w:w="4815" w:type="dxa"/>
            <w:tcBorders>
              <w:bottom w:val="single" w:sz="4" w:space="0" w:color="auto"/>
            </w:tcBorders>
          </w:tcPr>
          <w:p w14:paraId="1CDB953B" w14:textId="77777777" w:rsidR="00D3297A" w:rsidRPr="00D549EE" w:rsidRDefault="00D3297A" w:rsidP="00C9582F">
            <w:pPr>
              <w:jc w:val="center"/>
              <w:rPr>
                <w:b/>
                <w:sz w:val="25"/>
                <w:szCs w:val="25"/>
                <w:lang w:val="en-US"/>
              </w:rPr>
            </w:pPr>
            <w:r w:rsidRPr="00D549EE">
              <w:rPr>
                <w:b/>
                <w:sz w:val="25"/>
                <w:szCs w:val="25"/>
              </w:rPr>
              <w:t>Strengths</w:t>
            </w:r>
          </w:p>
        </w:tc>
        <w:tc>
          <w:tcPr>
            <w:tcW w:w="4808" w:type="dxa"/>
            <w:tcBorders>
              <w:bottom w:val="single" w:sz="4" w:space="0" w:color="auto"/>
            </w:tcBorders>
          </w:tcPr>
          <w:p w14:paraId="2EF8BF3E" w14:textId="77777777" w:rsidR="00D3297A" w:rsidRPr="00D549EE" w:rsidRDefault="00D3297A" w:rsidP="00C9582F">
            <w:pPr>
              <w:jc w:val="center"/>
              <w:rPr>
                <w:b/>
                <w:sz w:val="25"/>
                <w:szCs w:val="25"/>
                <w:lang w:val="en-US"/>
              </w:rPr>
            </w:pPr>
            <w:r w:rsidRPr="00D549EE">
              <w:rPr>
                <w:b/>
                <w:sz w:val="25"/>
                <w:szCs w:val="25"/>
              </w:rPr>
              <w:t>Weaknesses</w:t>
            </w:r>
          </w:p>
        </w:tc>
      </w:tr>
      <w:tr w:rsidR="00D3297A" w:rsidRPr="00FC685D" w14:paraId="7BD7C411" w14:textId="77777777" w:rsidTr="005A24C2">
        <w:tc>
          <w:tcPr>
            <w:tcW w:w="4815" w:type="dxa"/>
            <w:tcBorders>
              <w:bottom w:val="nil"/>
            </w:tcBorders>
          </w:tcPr>
          <w:p w14:paraId="40CC439B" w14:textId="28C5EFDF" w:rsidR="00D3297A" w:rsidRPr="00D549EE" w:rsidRDefault="00D3297A" w:rsidP="00C9582F">
            <w:pPr>
              <w:rPr>
                <w:sz w:val="25"/>
                <w:szCs w:val="25"/>
                <w:lang w:val="en-US"/>
              </w:rPr>
            </w:pPr>
            <w:r w:rsidRPr="00D549EE">
              <w:rPr>
                <w:sz w:val="25"/>
                <w:szCs w:val="25"/>
                <w:lang w:val="en-US"/>
              </w:rPr>
              <w:t>- Real asset</w:t>
            </w:r>
            <w:r w:rsidR="002049F9" w:rsidRPr="00D549EE">
              <w:rPr>
                <w:sz w:val="25"/>
                <w:szCs w:val="25"/>
                <w:lang w:val="en-US"/>
              </w:rPr>
              <w:t xml:space="preserve"> </w:t>
            </w:r>
            <w:r w:rsidRPr="00D549EE">
              <w:rPr>
                <w:sz w:val="25"/>
                <w:szCs w:val="25"/>
                <w:lang w:val="en-US"/>
              </w:rPr>
              <w:t xml:space="preserve">nature of IF and strong connection between real economy and finance </w:t>
            </w:r>
          </w:p>
          <w:p w14:paraId="774A7376" w14:textId="77777777" w:rsidR="00D3297A" w:rsidRPr="00D549EE" w:rsidRDefault="00D3297A" w:rsidP="00C9582F">
            <w:pPr>
              <w:rPr>
                <w:sz w:val="25"/>
                <w:szCs w:val="25"/>
                <w:lang w:val="en-US"/>
              </w:rPr>
            </w:pPr>
            <w:r w:rsidRPr="00D549EE">
              <w:rPr>
                <w:sz w:val="25"/>
                <w:szCs w:val="25"/>
                <w:lang w:val="en-US"/>
              </w:rPr>
              <w:t>- Strong support from the government</w:t>
            </w:r>
          </w:p>
          <w:p w14:paraId="7E3C741E" w14:textId="77777777" w:rsidR="00D3297A" w:rsidRPr="00D549EE" w:rsidRDefault="00D3297A" w:rsidP="00C9582F">
            <w:pPr>
              <w:rPr>
                <w:sz w:val="25"/>
                <w:szCs w:val="25"/>
                <w:lang w:val="en-US"/>
              </w:rPr>
            </w:pPr>
            <w:r w:rsidRPr="00D549EE">
              <w:rPr>
                <w:sz w:val="25"/>
                <w:szCs w:val="25"/>
                <w:lang w:val="en-US"/>
              </w:rPr>
              <w:t xml:space="preserve">-  Astana International Financial Centre, the Islamic Finance development one of the pillars </w:t>
            </w:r>
          </w:p>
          <w:p w14:paraId="703FA5A5" w14:textId="77777777" w:rsidR="00D3297A" w:rsidRPr="00D549EE" w:rsidRDefault="00D3297A" w:rsidP="00C9582F">
            <w:pPr>
              <w:rPr>
                <w:sz w:val="25"/>
                <w:szCs w:val="25"/>
                <w:lang w:val="en-US"/>
              </w:rPr>
            </w:pPr>
            <w:r w:rsidRPr="00D549EE">
              <w:rPr>
                <w:sz w:val="25"/>
                <w:szCs w:val="25"/>
                <w:lang w:val="en-US"/>
              </w:rPr>
              <w:t>-  Desire to the systematic approach by the Islamic finance development maps, financed by IDB</w:t>
            </w:r>
          </w:p>
          <w:p w14:paraId="54C2A9CB" w14:textId="77777777" w:rsidR="00D3297A" w:rsidRPr="00D549EE" w:rsidRDefault="00D3297A" w:rsidP="00C9582F">
            <w:pPr>
              <w:rPr>
                <w:sz w:val="25"/>
                <w:szCs w:val="25"/>
                <w:lang w:val="en-US"/>
              </w:rPr>
            </w:pPr>
            <w:r w:rsidRPr="00D549EE">
              <w:rPr>
                <w:sz w:val="25"/>
                <w:szCs w:val="25"/>
                <w:lang w:val="en-US"/>
              </w:rPr>
              <w:t xml:space="preserve">- Attraction additional resources from the IDB Group and international organizations for financing the country’s economy </w:t>
            </w:r>
          </w:p>
          <w:p w14:paraId="4AF8BE84" w14:textId="77777777" w:rsidR="00D3297A" w:rsidRPr="00D549EE" w:rsidRDefault="00D3297A" w:rsidP="00C9582F">
            <w:pPr>
              <w:rPr>
                <w:sz w:val="25"/>
                <w:szCs w:val="25"/>
                <w:lang w:val="en-US"/>
              </w:rPr>
            </w:pPr>
            <w:r w:rsidRPr="00D549EE">
              <w:rPr>
                <w:sz w:val="25"/>
                <w:szCs w:val="25"/>
                <w:lang w:val="en-US"/>
              </w:rPr>
              <w:t xml:space="preserve">- Legislative and regulatory framework of Islamic banking and Islamic finance implemented into conventional system </w:t>
            </w:r>
          </w:p>
          <w:p w14:paraId="43B1ABC3" w14:textId="77777777" w:rsidR="00D3297A" w:rsidRPr="00D549EE" w:rsidRDefault="00D3297A" w:rsidP="00C9582F">
            <w:pPr>
              <w:rPr>
                <w:sz w:val="25"/>
                <w:szCs w:val="25"/>
                <w:lang w:val="en-US"/>
              </w:rPr>
            </w:pPr>
            <w:r w:rsidRPr="00D549EE">
              <w:rPr>
                <w:sz w:val="25"/>
                <w:szCs w:val="25"/>
                <w:lang w:val="en-US"/>
              </w:rPr>
              <w:t>- Presence of certain institutional experience in implementation Islamic finance</w:t>
            </w:r>
          </w:p>
          <w:p w14:paraId="12174191" w14:textId="77777777" w:rsidR="00D3297A" w:rsidRPr="00D549EE" w:rsidRDefault="00D3297A" w:rsidP="00C9582F">
            <w:pPr>
              <w:rPr>
                <w:sz w:val="25"/>
                <w:szCs w:val="25"/>
                <w:lang w:val="en-US"/>
              </w:rPr>
            </w:pPr>
            <w:r w:rsidRPr="00D549EE">
              <w:rPr>
                <w:sz w:val="25"/>
                <w:szCs w:val="25"/>
                <w:lang w:val="en-US"/>
              </w:rPr>
              <w:t xml:space="preserve">- Assistance and financial support from the parent company (UAE government, al-Hilal Bank) </w:t>
            </w:r>
          </w:p>
          <w:p w14:paraId="213B1678" w14:textId="77777777" w:rsidR="00D3297A" w:rsidRPr="00D549EE" w:rsidRDefault="00D3297A" w:rsidP="00C9582F">
            <w:pPr>
              <w:rPr>
                <w:sz w:val="25"/>
                <w:szCs w:val="25"/>
                <w:lang w:val="en-US"/>
              </w:rPr>
            </w:pPr>
            <w:r w:rsidRPr="00D549EE">
              <w:rPr>
                <w:sz w:val="25"/>
                <w:szCs w:val="25"/>
                <w:lang w:val="en-US"/>
              </w:rPr>
              <w:t xml:space="preserve">- Clear understanding of the problems and barriers based on 10 years results </w:t>
            </w:r>
          </w:p>
          <w:p w14:paraId="72D9B54F" w14:textId="77777777" w:rsidR="00D3297A" w:rsidRPr="00D549EE" w:rsidRDefault="00D3297A" w:rsidP="00C9582F">
            <w:pPr>
              <w:rPr>
                <w:sz w:val="25"/>
                <w:szCs w:val="25"/>
                <w:lang w:val="en-US"/>
              </w:rPr>
            </w:pPr>
            <w:r w:rsidRPr="00D549EE">
              <w:rPr>
                <w:sz w:val="25"/>
                <w:szCs w:val="25"/>
                <w:lang w:val="en-US"/>
              </w:rPr>
              <w:t>-  Targeted and effective application of financial funds</w:t>
            </w:r>
          </w:p>
          <w:p w14:paraId="250D8EFD" w14:textId="77777777" w:rsidR="00D3297A" w:rsidRPr="00D549EE" w:rsidRDefault="00D3297A" w:rsidP="00C9582F">
            <w:pPr>
              <w:rPr>
                <w:sz w:val="25"/>
                <w:szCs w:val="25"/>
                <w:lang w:val="en-US"/>
              </w:rPr>
            </w:pPr>
            <w:r w:rsidRPr="00D549EE">
              <w:rPr>
                <w:sz w:val="25"/>
                <w:szCs w:val="25"/>
                <w:lang w:val="en-US"/>
              </w:rPr>
              <w:t>- The stability of the mechanisms and the no cases of Islamic bank failures in the world</w:t>
            </w:r>
          </w:p>
          <w:p w14:paraId="143339FC" w14:textId="77777777" w:rsidR="00D3297A" w:rsidRPr="00D549EE" w:rsidRDefault="00D3297A" w:rsidP="00C9582F">
            <w:pPr>
              <w:rPr>
                <w:sz w:val="25"/>
                <w:szCs w:val="25"/>
                <w:lang w:val="en-US"/>
              </w:rPr>
            </w:pPr>
            <w:r w:rsidRPr="00D549EE">
              <w:rPr>
                <w:sz w:val="25"/>
                <w:szCs w:val="25"/>
                <w:lang w:val="en-US"/>
              </w:rPr>
              <w:t xml:space="preserve">- Direct relationship with the development of the real economy and attitudes towards state program for industrial and innovative development </w:t>
            </w:r>
          </w:p>
          <w:p w14:paraId="0C442342" w14:textId="77777777" w:rsidR="00D3297A" w:rsidRPr="00D549EE" w:rsidRDefault="00D3297A" w:rsidP="00C9582F">
            <w:pPr>
              <w:rPr>
                <w:sz w:val="25"/>
                <w:szCs w:val="25"/>
                <w:lang w:val="en-US"/>
              </w:rPr>
            </w:pPr>
            <w:r w:rsidRPr="00D549EE">
              <w:rPr>
                <w:sz w:val="25"/>
                <w:szCs w:val="25"/>
                <w:lang w:val="en-US"/>
              </w:rPr>
              <w:t>- Sustainability oriented financial instruments, which based on absence of institutional features exposed to crises</w:t>
            </w:r>
          </w:p>
          <w:p w14:paraId="2D0962FC" w14:textId="77777777" w:rsidR="00D3297A" w:rsidRPr="00D549EE" w:rsidRDefault="00D3297A" w:rsidP="00C9582F">
            <w:pPr>
              <w:rPr>
                <w:sz w:val="25"/>
                <w:szCs w:val="25"/>
                <w:lang w:val="en-US"/>
              </w:rPr>
            </w:pPr>
            <w:r w:rsidRPr="00D549EE">
              <w:rPr>
                <w:b/>
                <w:bCs/>
                <w:sz w:val="25"/>
                <w:szCs w:val="25"/>
                <w:lang w:val="en-US"/>
              </w:rPr>
              <w:t xml:space="preserve">- </w:t>
            </w:r>
            <w:r w:rsidRPr="00D549EE">
              <w:rPr>
                <w:sz w:val="25"/>
                <w:szCs w:val="25"/>
                <w:lang w:val="en-US"/>
              </w:rPr>
              <w:t>There are mechanisms for weakening crises' effects</w:t>
            </w:r>
          </w:p>
          <w:p w14:paraId="5C272660" w14:textId="77777777" w:rsidR="00D3297A" w:rsidRPr="00D549EE" w:rsidRDefault="00D3297A" w:rsidP="00C9582F">
            <w:pPr>
              <w:rPr>
                <w:sz w:val="25"/>
                <w:szCs w:val="25"/>
                <w:lang w:val="en-US"/>
              </w:rPr>
            </w:pPr>
            <w:r w:rsidRPr="00D549EE">
              <w:rPr>
                <w:sz w:val="25"/>
                <w:szCs w:val="25"/>
                <w:lang w:val="en-US"/>
              </w:rPr>
              <w:t>- Social justice and social oriented financing for establishing equity</w:t>
            </w:r>
          </w:p>
          <w:p w14:paraId="64F81FFE" w14:textId="77777777" w:rsidR="00D3297A" w:rsidRPr="00D549EE" w:rsidRDefault="00D3297A" w:rsidP="00C9582F">
            <w:pPr>
              <w:rPr>
                <w:sz w:val="25"/>
                <w:szCs w:val="25"/>
                <w:lang w:val="en-US"/>
              </w:rPr>
            </w:pPr>
            <w:r w:rsidRPr="00D549EE">
              <w:rPr>
                <w:sz w:val="25"/>
                <w:szCs w:val="25"/>
                <w:lang w:val="en-US"/>
              </w:rPr>
              <w:t xml:space="preserve">- </w:t>
            </w:r>
            <w:r w:rsidRPr="00D549EE">
              <w:rPr>
                <w:color w:val="000000"/>
                <w:sz w:val="25"/>
                <w:szCs w:val="25"/>
                <w:lang w:val="en-US"/>
              </w:rPr>
              <w:t>Accelerating economic development, additional resources for activating real economic development</w:t>
            </w:r>
          </w:p>
        </w:tc>
        <w:tc>
          <w:tcPr>
            <w:tcW w:w="4808" w:type="dxa"/>
            <w:tcBorders>
              <w:bottom w:val="nil"/>
            </w:tcBorders>
          </w:tcPr>
          <w:p w14:paraId="1DF03B6D" w14:textId="77777777" w:rsidR="00D3297A" w:rsidRPr="00D549EE" w:rsidRDefault="00D3297A" w:rsidP="00C9582F">
            <w:pPr>
              <w:rPr>
                <w:sz w:val="25"/>
                <w:szCs w:val="25"/>
                <w:lang w:val="en-US"/>
              </w:rPr>
            </w:pPr>
            <w:r w:rsidRPr="00D549EE">
              <w:rPr>
                <w:sz w:val="25"/>
                <w:szCs w:val="25"/>
                <w:lang w:val="en-US"/>
              </w:rPr>
              <w:t>- Incomplete adaptation, poor synchronization of local banking and tax legislation for the specifics of Islamic finance</w:t>
            </w:r>
          </w:p>
          <w:p w14:paraId="24248A82" w14:textId="77777777" w:rsidR="00D3297A" w:rsidRPr="00D549EE" w:rsidRDefault="00D3297A" w:rsidP="00C9582F">
            <w:pPr>
              <w:rPr>
                <w:sz w:val="25"/>
                <w:szCs w:val="25"/>
                <w:lang w:val="en-US"/>
              </w:rPr>
            </w:pPr>
            <w:r w:rsidRPr="00D549EE">
              <w:rPr>
                <w:sz w:val="25"/>
                <w:szCs w:val="25"/>
                <w:lang w:val="en-US"/>
              </w:rPr>
              <w:t>- Formal attitude from the executive body of the state</w:t>
            </w:r>
          </w:p>
          <w:p w14:paraId="28E262C3" w14:textId="77777777" w:rsidR="00D3297A" w:rsidRPr="00D549EE" w:rsidRDefault="00D3297A" w:rsidP="00C9582F">
            <w:pPr>
              <w:rPr>
                <w:sz w:val="25"/>
                <w:szCs w:val="25"/>
                <w:lang w:val="en-US"/>
              </w:rPr>
            </w:pPr>
            <w:r w:rsidRPr="00D549EE">
              <w:rPr>
                <w:sz w:val="25"/>
                <w:szCs w:val="25"/>
                <w:lang w:val="en-US"/>
              </w:rPr>
              <w:t>- Full-fledged model of the Islamic banking with domination of the conventional system</w:t>
            </w:r>
          </w:p>
          <w:p w14:paraId="0FF39BE6" w14:textId="77777777" w:rsidR="00D3297A" w:rsidRPr="00D549EE" w:rsidRDefault="00D3297A" w:rsidP="00C9582F">
            <w:pPr>
              <w:rPr>
                <w:sz w:val="25"/>
                <w:szCs w:val="25"/>
                <w:lang w:val="en-US"/>
              </w:rPr>
            </w:pPr>
            <w:r w:rsidRPr="00D549EE">
              <w:rPr>
                <w:sz w:val="25"/>
                <w:szCs w:val="25"/>
                <w:lang w:val="en-US"/>
              </w:rPr>
              <w:t>- Limited number of professionals with experience in Islamic finance and its instruments</w:t>
            </w:r>
          </w:p>
          <w:p w14:paraId="0FB07DDB" w14:textId="77777777" w:rsidR="00D3297A" w:rsidRPr="00D549EE" w:rsidRDefault="00D3297A" w:rsidP="00C9582F">
            <w:pPr>
              <w:rPr>
                <w:sz w:val="25"/>
                <w:szCs w:val="25"/>
                <w:lang w:val="en-US"/>
              </w:rPr>
            </w:pPr>
            <w:r w:rsidRPr="00D549EE">
              <w:rPr>
                <w:sz w:val="25"/>
                <w:szCs w:val="25"/>
                <w:lang w:val="en-US"/>
              </w:rPr>
              <w:t>- Low financial literacy, poor awareness population and business about Islamic finance products and its effects</w:t>
            </w:r>
          </w:p>
          <w:p w14:paraId="00D8EFFD" w14:textId="77777777" w:rsidR="00D3297A" w:rsidRPr="00D549EE" w:rsidRDefault="00D3297A" w:rsidP="00C9582F">
            <w:pPr>
              <w:rPr>
                <w:sz w:val="25"/>
                <w:szCs w:val="25"/>
                <w:lang w:val="en-US"/>
              </w:rPr>
            </w:pPr>
            <w:r w:rsidRPr="00D549EE">
              <w:rPr>
                <w:sz w:val="25"/>
                <w:szCs w:val="25"/>
                <w:lang w:val="en-US"/>
              </w:rPr>
              <w:t>- Dependence of subsidiary Islamic financial institutions on politics and parenting activities</w:t>
            </w:r>
          </w:p>
          <w:p w14:paraId="1D7B5D95" w14:textId="77777777" w:rsidR="00D3297A" w:rsidRPr="00D549EE" w:rsidRDefault="00D3297A" w:rsidP="00C9582F">
            <w:pPr>
              <w:rPr>
                <w:sz w:val="25"/>
                <w:szCs w:val="25"/>
                <w:lang w:val="en-US"/>
              </w:rPr>
            </w:pPr>
            <w:r w:rsidRPr="00D549EE">
              <w:rPr>
                <w:sz w:val="25"/>
                <w:szCs w:val="25"/>
                <w:lang w:val="en-US"/>
              </w:rPr>
              <w:t>- Necessity of harmonization Shariah norms in the country</w:t>
            </w:r>
          </w:p>
          <w:p w14:paraId="20C1D81A" w14:textId="77777777" w:rsidR="00D3297A" w:rsidRPr="00D549EE" w:rsidRDefault="00D3297A" w:rsidP="00C9582F">
            <w:pPr>
              <w:rPr>
                <w:sz w:val="25"/>
                <w:szCs w:val="25"/>
                <w:lang w:val="en-US"/>
              </w:rPr>
            </w:pPr>
            <w:r w:rsidRPr="00D549EE">
              <w:rPr>
                <w:sz w:val="25"/>
                <w:szCs w:val="25"/>
                <w:lang w:val="en-US"/>
              </w:rPr>
              <w:t>- Profit and loss sharing principles of IF require documentary transparency and careful analysis</w:t>
            </w:r>
          </w:p>
          <w:p w14:paraId="478C1A8D" w14:textId="77777777" w:rsidR="00D3297A" w:rsidRPr="00D549EE" w:rsidRDefault="00D3297A" w:rsidP="00C9582F">
            <w:pPr>
              <w:rPr>
                <w:sz w:val="25"/>
                <w:szCs w:val="25"/>
                <w:lang w:val="en-US"/>
              </w:rPr>
            </w:pPr>
            <w:r w:rsidRPr="00D549EE">
              <w:rPr>
                <w:sz w:val="25"/>
                <w:szCs w:val="25"/>
                <w:lang w:val="en-US"/>
              </w:rPr>
              <w:t>- Mistrust of the population to fundamentally other financial products. Prejudice that Islamic finance is just marketing ploy of financial institutions;</w:t>
            </w:r>
          </w:p>
          <w:p w14:paraId="64E35EC9" w14:textId="77777777" w:rsidR="00D3297A" w:rsidRPr="00D549EE" w:rsidRDefault="00D3297A" w:rsidP="00C9582F">
            <w:pPr>
              <w:rPr>
                <w:sz w:val="25"/>
                <w:szCs w:val="25"/>
                <w:lang w:val="en-US"/>
              </w:rPr>
            </w:pPr>
            <w:r w:rsidRPr="00D549EE">
              <w:rPr>
                <w:sz w:val="25"/>
                <w:szCs w:val="25"/>
                <w:lang w:val="en-US"/>
              </w:rPr>
              <w:t xml:space="preserve">- Absence of coherence in the current legislation, using the individual approach </w:t>
            </w:r>
          </w:p>
          <w:p w14:paraId="01B8392A" w14:textId="77777777" w:rsidR="00D3297A" w:rsidRPr="00D549EE" w:rsidRDefault="00D3297A" w:rsidP="00C9582F">
            <w:pPr>
              <w:rPr>
                <w:sz w:val="25"/>
                <w:szCs w:val="25"/>
                <w:lang w:val="en-US"/>
              </w:rPr>
            </w:pPr>
            <w:r w:rsidRPr="00D549EE">
              <w:rPr>
                <w:sz w:val="25"/>
                <w:szCs w:val="25"/>
                <w:lang w:val="en-US"/>
              </w:rPr>
              <w:t xml:space="preserve">- Weak systemic promotion and lack of shared data access services contribute to possible frustration </w:t>
            </w:r>
          </w:p>
          <w:p w14:paraId="1375A234" w14:textId="77777777" w:rsidR="00D3297A" w:rsidRPr="00D549EE" w:rsidRDefault="00D3297A" w:rsidP="00C9582F">
            <w:pPr>
              <w:rPr>
                <w:sz w:val="25"/>
                <w:szCs w:val="25"/>
                <w:lang w:val="en-US"/>
              </w:rPr>
            </w:pPr>
            <w:r w:rsidRPr="00D549EE">
              <w:rPr>
                <w:sz w:val="25"/>
                <w:szCs w:val="25"/>
                <w:lang w:val="en-US"/>
              </w:rPr>
              <w:t>-Mistrust of the population to Islamic social institutions</w:t>
            </w:r>
          </w:p>
          <w:p w14:paraId="22DC633C" w14:textId="77777777" w:rsidR="00D3297A" w:rsidRPr="00D549EE" w:rsidRDefault="00D3297A" w:rsidP="00C9582F">
            <w:pPr>
              <w:rPr>
                <w:sz w:val="25"/>
                <w:szCs w:val="25"/>
                <w:lang w:val="en-US"/>
              </w:rPr>
            </w:pPr>
          </w:p>
        </w:tc>
      </w:tr>
    </w:tbl>
    <w:p w14:paraId="3814076D" w14:textId="544AB489" w:rsidR="00845D86" w:rsidRPr="00D549EE" w:rsidRDefault="00845D86">
      <w:pPr>
        <w:rPr>
          <w:lang w:val="en-US"/>
        </w:rPr>
      </w:pPr>
    </w:p>
    <w:p w14:paraId="50FCCA41" w14:textId="38EE8774" w:rsidR="004144F4" w:rsidRDefault="004144F4">
      <w:pPr>
        <w:rPr>
          <w:lang w:val="en-US"/>
        </w:rPr>
      </w:pPr>
    </w:p>
    <w:p w14:paraId="31CF493B" w14:textId="78392470" w:rsidR="005A24C2" w:rsidRDefault="005A24C2">
      <w:pPr>
        <w:rPr>
          <w:lang w:val="en-US"/>
        </w:rPr>
      </w:pPr>
    </w:p>
    <w:p w14:paraId="4337CBE2" w14:textId="4E9565DB" w:rsidR="005A24C2" w:rsidRDefault="005A24C2">
      <w:pPr>
        <w:rPr>
          <w:lang w:val="en-US"/>
        </w:rPr>
      </w:pPr>
    </w:p>
    <w:p w14:paraId="54716AB5" w14:textId="77777777" w:rsidR="005A24C2" w:rsidRPr="00D549EE" w:rsidRDefault="005A24C2">
      <w:pPr>
        <w:rPr>
          <w:lang w:val="en-US"/>
        </w:rPr>
      </w:pPr>
    </w:p>
    <w:p w14:paraId="217D32DF" w14:textId="5B15615D" w:rsidR="004144F4" w:rsidRPr="00D549EE" w:rsidRDefault="004144F4">
      <w:pPr>
        <w:rPr>
          <w:lang w:val="en-US"/>
        </w:rPr>
      </w:pPr>
    </w:p>
    <w:p w14:paraId="5E450A25" w14:textId="1E178E07" w:rsidR="004144F4" w:rsidRDefault="004144F4">
      <w:pPr>
        <w:rPr>
          <w:lang w:val="en-US"/>
        </w:rPr>
      </w:pPr>
    </w:p>
    <w:p w14:paraId="08B06815" w14:textId="21D63C54" w:rsidR="005A24C2" w:rsidRDefault="007D3085">
      <w:pPr>
        <w:rPr>
          <w:lang w:val="en-US"/>
        </w:rPr>
      </w:pPr>
      <w:r w:rsidRPr="007D3085">
        <w:rPr>
          <w:lang w:val="en-US"/>
        </w:rPr>
        <w:t>Continuation of table 1</w:t>
      </w:r>
    </w:p>
    <w:p w14:paraId="32D53191" w14:textId="77777777" w:rsidR="007D3085" w:rsidRPr="00D549EE" w:rsidRDefault="007D3085">
      <w:pPr>
        <w:rPr>
          <w:lang w:val="en-US"/>
        </w:rPr>
      </w:pPr>
    </w:p>
    <w:tbl>
      <w:tblPr>
        <w:tblStyle w:val="a9"/>
        <w:tblW w:w="0" w:type="auto"/>
        <w:tblLook w:val="04A0" w:firstRow="1" w:lastRow="0" w:firstColumn="1" w:lastColumn="0" w:noHBand="0" w:noVBand="1"/>
      </w:tblPr>
      <w:tblGrid>
        <w:gridCol w:w="4815"/>
        <w:gridCol w:w="4808"/>
      </w:tblGrid>
      <w:tr w:rsidR="004144F4" w:rsidRPr="00D549EE" w14:paraId="3FA6DFBC" w14:textId="77777777" w:rsidTr="00A63AA2">
        <w:tc>
          <w:tcPr>
            <w:tcW w:w="4815" w:type="dxa"/>
          </w:tcPr>
          <w:p w14:paraId="2B961642" w14:textId="7FE1F520" w:rsidR="004144F4" w:rsidRPr="00D549EE" w:rsidRDefault="004144F4" w:rsidP="004144F4">
            <w:pPr>
              <w:jc w:val="left"/>
              <w:rPr>
                <w:lang w:val="en-US"/>
              </w:rPr>
            </w:pPr>
            <w:r w:rsidRPr="00D549EE">
              <w:rPr>
                <w:lang w:val="en-US"/>
              </w:rPr>
              <w:t>1</w:t>
            </w:r>
          </w:p>
        </w:tc>
        <w:tc>
          <w:tcPr>
            <w:tcW w:w="4808" w:type="dxa"/>
          </w:tcPr>
          <w:p w14:paraId="37E0A1AB" w14:textId="1A85D7EB" w:rsidR="004144F4" w:rsidRPr="00D549EE" w:rsidRDefault="004144F4" w:rsidP="004144F4">
            <w:pPr>
              <w:jc w:val="left"/>
              <w:rPr>
                <w:lang w:val="en-US"/>
              </w:rPr>
            </w:pPr>
            <w:r w:rsidRPr="00D549EE">
              <w:rPr>
                <w:lang w:val="en-US"/>
              </w:rPr>
              <w:t>2</w:t>
            </w:r>
          </w:p>
        </w:tc>
      </w:tr>
      <w:tr w:rsidR="00D3297A" w:rsidRPr="00D549EE" w14:paraId="7E275010" w14:textId="77777777" w:rsidTr="00A63AA2">
        <w:tc>
          <w:tcPr>
            <w:tcW w:w="4815" w:type="dxa"/>
          </w:tcPr>
          <w:p w14:paraId="1F89C720" w14:textId="77777777" w:rsidR="00D3297A" w:rsidRPr="00D549EE" w:rsidRDefault="00D3297A" w:rsidP="00C9582F">
            <w:pPr>
              <w:jc w:val="center"/>
              <w:rPr>
                <w:b/>
                <w:lang w:val="en-US"/>
              </w:rPr>
            </w:pPr>
            <w:r w:rsidRPr="00D549EE">
              <w:rPr>
                <w:b/>
              </w:rPr>
              <w:t>Opportunities</w:t>
            </w:r>
          </w:p>
        </w:tc>
        <w:tc>
          <w:tcPr>
            <w:tcW w:w="4808" w:type="dxa"/>
          </w:tcPr>
          <w:p w14:paraId="03A8CF5A" w14:textId="77777777" w:rsidR="00D3297A" w:rsidRPr="00D549EE" w:rsidRDefault="00D3297A" w:rsidP="00C9582F">
            <w:pPr>
              <w:jc w:val="center"/>
              <w:rPr>
                <w:b/>
                <w:lang w:val="en-US"/>
              </w:rPr>
            </w:pPr>
            <w:r w:rsidRPr="00D549EE">
              <w:rPr>
                <w:b/>
              </w:rPr>
              <w:t>Threats</w:t>
            </w:r>
          </w:p>
        </w:tc>
      </w:tr>
      <w:tr w:rsidR="00D3297A" w:rsidRPr="00FC685D" w14:paraId="63B226CE" w14:textId="77777777" w:rsidTr="00A63AA2">
        <w:tc>
          <w:tcPr>
            <w:tcW w:w="4815" w:type="dxa"/>
          </w:tcPr>
          <w:p w14:paraId="453761A2" w14:textId="77777777" w:rsidR="00D3297A" w:rsidRPr="00D549EE" w:rsidRDefault="00D3297A" w:rsidP="00C9582F">
            <w:pPr>
              <w:rPr>
                <w:lang w:val="en-US"/>
              </w:rPr>
            </w:pPr>
            <w:r w:rsidRPr="00D549EE">
              <w:rPr>
                <w:lang w:val="en-US"/>
              </w:rPr>
              <w:t>- Stimulating real production in Kazakhstan</w:t>
            </w:r>
          </w:p>
          <w:p w14:paraId="78A96C60" w14:textId="77777777" w:rsidR="00D3297A" w:rsidRPr="00D549EE" w:rsidRDefault="00D3297A" w:rsidP="00C9582F">
            <w:pPr>
              <w:rPr>
                <w:lang w:val="en-US"/>
              </w:rPr>
            </w:pPr>
            <w:r w:rsidRPr="00D549EE">
              <w:rPr>
                <w:lang w:val="en-US"/>
              </w:rPr>
              <w:t>- Direct benefits for the Kazakh economy in case of attraction investment resources from the Middle East and Southeast Asia</w:t>
            </w:r>
          </w:p>
          <w:p w14:paraId="16AF87A1" w14:textId="77777777" w:rsidR="00D3297A" w:rsidRPr="00D549EE" w:rsidRDefault="00D3297A" w:rsidP="00C9582F">
            <w:pPr>
              <w:rPr>
                <w:lang w:val="en-US"/>
              </w:rPr>
            </w:pPr>
            <w:r w:rsidRPr="00D549EE">
              <w:rPr>
                <w:lang w:val="en-US"/>
              </w:rPr>
              <w:t>- Enhancing the image of Kazakhstan as a secular state, which successfully introduces Islamic finance</w:t>
            </w:r>
          </w:p>
          <w:p w14:paraId="66F2DC90" w14:textId="77777777" w:rsidR="00D3297A" w:rsidRPr="00D549EE" w:rsidRDefault="00D3297A" w:rsidP="00C9582F">
            <w:pPr>
              <w:rPr>
                <w:lang w:val="en-US"/>
              </w:rPr>
            </w:pPr>
            <w:r w:rsidRPr="00D549EE">
              <w:rPr>
                <w:lang w:val="en-US"/>
              </w:rPr>
              <w:t>- Diversification of funding sources, especially for SMEs</w:t>
            </w:r>
          </w:p>
          <w:p w14:paraId="0E047F8B" w14:textId="77777777" w:rsidR="00D3297A" w:rsidRPr="00D549EE" w:rsidRDefault="00D3297A" w:rsidP="00C9582F">
            <w:pPr>
              <w:rPr>
                <w:lang w:val="en-US"/>
              </w:rPr>
            </w:pPr>
            <w:r w:rsidRPr="00D549EE">
              <w:rPr>
                <w:lang w:val="en-US"/>
              </w:rPr>
              <w:t>- The presence of niches in the financing market that are not sufficiently covered conventional finance (small entrepreneurship, agricultural sector)</w:t>
            </w:r>
          </w:p>
          <w:p w14:paraId="5D9DBB4E" w14:textId="77777777" w:rsidR="00D3297A" w:rsidRPr="00D549EE" w:rsidRDefault="00D3297A" w:rsidP="00C9582F">
            <w:pPr>
              <w:rPr>
                <w:lang w:val="en-US"/>
              </w:rPr>
            </w:pPr>
            <w:r w:rsidRPr="00D549EE">
              <w:rPr>
                <w:lang w:val="en-US"/>
              </w:rPr>
              <w:t>- Possibility of improving the position of alternative institutions in conditions of declining consumer confidence in conventional banks in</w:t>
            </w:r>
          </w:p>
          <w:p w14:paraId="072787F1" w14:textId="77777777" w:rsidR="00D3297A" w:rsidRPr="00D549EE" w:rsidRDefault="00D3297A" w:rsidP="00C9582F">
            <w:pPr>
              <w:rPr>
                <w:lang w:val="en-US"/>
              </w:rPr>
            </w:pPr>
            <w:r w:rsidRPr="00D549EE">
              <w:rPr>
                <w:lang w:val="en-US"/>
              </w:rPr>
              <w:t>period of financial crisis</w:t>
            </w:r>
          </w:p>
          <w:p w14:paraId="1296CB8C" w14:textId="77777777" w:rsidR="00D3297A" w:rsidRPr="00D549EE" w:rsidRDefault="00D3297A" w:rsidP="00C9582F">
            <w:pPr>
              <w:rPr>
                <w:lang w:val="en-US"/>
              </w:rPr>
            </w:pPr>
            <w:r w:rsidRPr="00D549EE">
              <w:rPr>
                <w:lang w:val="en-US"/>
              </w:rPr>
              <w:t>-  There is expected stable demand for Islamic</w:t>
            </w:r>
          </w:p>
          <w:p w14:paraId="3E0B66AB" w14:textId="77777777" w:rsidR="00D3297A" w:rsidRPr="00D549EE" w:rsidRDefault="00D3297A" w:rsidP="00C9582F">
            <w:pPr>
              <w:rPr>
                <w:lang w:val="en-US"/>
              </w:rPr>
            </w:pPr>
            <w:r w:rsidRPr="00D549EE">
              <w:rPr>
                <w:lang w:val="en-US"/>
              </w:rPr>
              <w:t>financial products (70.2% of the population are Muslims)</w:t>
            </w:r>
          </w:p>
          <w:p w14:paraId="566E796C" w14:textId="77777777" w:rsidR="00D3297A" w:rsidRPr="00D549EE" w:rsidRDefault="00D3297A" w:rsidP="00C9582F">
            <w:pPr>
              <w:rPr>
                <w:lang w:val="en-US"/>
              </w:rPr>
            </w:pPr>
            <w:r w:rsidRPr="00D549EE">
              <w:rPr>
                <w:lang w:val="en-US"/>
              </w:rPr>
              <w:t>- Principles of Islamic finance help reduce</w:t>
            </w:r>
          </w:p>
          <w:p w14:paraId="67351320" w14:textId="77777777" w:rsidR="00D3297A" w:rsidRPr="00D549EE" w:rsidRDefault="00D3297A" w:rsidP="00C9582F">
            <w:pPr>
              <w:rPr>
                <w:lang w:val="en-US"/>
              </w:rPr>
            </w:pPr>
            <w:r w:rsidRPr="00D549EE">
              <w:rPr>
                <w:lang w:val="en-US"/>
              </w:rPr>
              <w:t>social inequality, strengthening social justice</w:t>
            </w:r>
          </w:p>
          <w:p w14:paraId="7A2BAC3B" w14:textId="77777777" w:rsidR="00D3297A" w:rsidRPr="00D549EE" w:rsidRDefault="00D3297A" w:rsidP="00C9582F">
            <w:pPr>
              <w:rPr>
                <w:lang w:val="en-US"/>
              </w:rPr>
            </w:pPr>
            <w:r w:rsidRPr="00D549EE">
              <w:rPr>
                <w:lang w:val="en-US"/>
              </w:rPr>
              <w:t>- Expanding access of the population to financial services through the emergence of alternative financial products (development of mortgage</w:t>
            </w:r>
          </w:p>
          <w:p w14:paraId="787B4C11" w14:textId="77777777" w:rsidR="00D3297A" w:rsidRPr="00D549EE" w:rsidRDefault="00D3297A" w:rsidP="00C9582F">
            <w:pPr>
              <w:rPr>
                <w:lang w:val="en-US"/>
              </w:rPr>
            </w:pPr>
            <w:r w:rsidRPr="00D549EE">
              <w:rPr>
                <w:lang w:val="en-US"/>
              </w:rPr>
              <w:t>lending, retail insurance, MCO)</w:t>
            </w:r>
          </w:p>
          <w:p w14:paraId="2D22131A" w14:textId="77777777" w:rsidR="00D3297A" w:rsidRPr="00D549EE" w:rsidRDefault="00D3297A" w:rsidP="00C9582F">
            <w:pPr>
              <w:rPr>
                <w:lang w:val="en-US"/>
              </w:rPr>
            </w:pPr>
            <w:r w:rsidRPr="00D549EE">
              <w:rPr>
                <w:lang w:val="en-US"/>
              </w:rPr>
              <w:t>- Strengthening the role of Kazakhstan as a regional hub for the transfer and exchange of experience</w:t>
            </w:r>
          </w:p>
          <w:p w14:paraId="0F4387B8" w14:textId="77777777" w:rsidR="00D3297A" w:rsidRPr="00D549EE" w:rsidRDefault="00D3297A" w:rsidP="00C9582F">
            <w:pPr>
              <w:rPr>
                <w:lang w:val="en-US"/>
              </w:rPr>
            </w:pPr>
            <w:r w:rsidRPr="00D549EE">
              <w:rPr>
                <w:lang w:val="en-US"/>
              </w:rPr>
              <w:t xml:space="preserve">- Increasing support from international organizations and countries in IF development </w:t>
            </w:r>
          </w:p>
          <w:p w14:paraId="2CBA44F5" w14:textId="77777777" w:rsidR="00D3297A" w:rsidRPr="00D549EE" w:rsidRDefault="00D3297A" w:rsidP="00C9582F">
            <w:pPr>
              <w:rPr>
                <w:lang w:val="en-US"/>
              </w:rPr>
            </w:pPr>
            <w:r w:rsidRPr="00D549EE">
              <w:rPr>
                <w:lang w:val="en-US"/>
              </w:rPr>
              <w:t>- Positive perception of the industry rebranding process and expansion service platforms</w:t>
            </w:r>
          </w:p>
          <w:p w14:paraId="00F43DCE" w14:textId="77777777" w:rsidR="00D3297A" w:rsidRPr="00D549EE" w:rsidRDefault="00D3297A" w:rsidP="00C9582F">
            <w:pPr>
              <w:rPr>
                <w:lang w:val="en-US"/>
              </w:rPr>
            </w:pPr>
            <w:r w:rsidRPr="00D549EE">
              <w:rPr>
                <w:lang w:val="en-US"/>
              </w:rPr>
              <w:t>- Possible application of methodology and tools, successfully proven in the world, in the framework of public and private corporate sectors of the country in order to reduce the interest debt burden and financial recovery of strategic enterprises of the country</w:t>
            </w:r>
          </w:p>
        </w:tc>
        <w:tc>
          <w:tcPr>
            <w:tcW w:w="4808" w:type="dxa"/>
          </w:tcPr>
          <w:p w14:paraId="34F3B04C" w14:textId="77777777" w:rsidR="00D3297A" w:rsidRPr="00D549EE" w:rsidRDefault="00D3297A" w:rsidP="00C9582F">
            <w:pPr>
              <w:rPr>
                <w:lang w:val="en-US"/>
              </w:rPr>
            </w:pPr>
            <w:r w:rsidRPr="00D549EE">
              <w:rPr>
                <w:lang w:val="en-US"/>
              </w:rPr>
              <w:t>- Negative experience of introducing one of the elements of Islamic financing will jeopardize the development of Islamic finance in the country as a whole</w:t>
            </w:r>
          </w:p>
          <w:p w14:paraId="03BF30C0" w14:textId="77777777" w:rsidR="00D3297A" w:rsidRPr="00D549EE" w:rsidRDefault="00D3297A" w:rsidP="00C9582F">
            <w:pPr>
              <w:rPr>
                <w:lang w:val="en-US"/>
              </w:rPr>
            </w:pPr>
            <w:r w:rsidRPr="00D549EE">
              <w:rPr>
                <w:lang w:val="en-US"/>
              </w:rPr>
              <w:t>- The image of the country (currently Kazakhstan is actively covering the world</w:t>
            </w:r>
          </w:p>
          <w:p w14:paraId="58BDEC42" w14:textId="77777777" w:rsidR="00D3297A" w:rsidRPr="00D549EE" w:rsidRDefault="00D3297A" w:rsidP="00C9582F">
            <w:pPr>
              <w:rPr>
                <w:lang w:val="en-US"/>
              </w:rPr>
            </w:pPr>
            <w:r w:rsidRPr="00D549EE">
              <w:rPr>
                <w:lang w:val="en-US"/>
              </w:rPr>
              <w:t>on the ongoing work in the field of Islamic finance, in the case refusal to develop Islamic finance will suffer image country)</w:t>
            </w:r>
          </w:p>
          <w:p w14:paraId="091D9282" w14:textId="49AE9464" w:rsidR="00D3297A" w:rsidRPr="00D549EE" w:rsidRDefault="00D3297A" w:rsidP="00C9582F">
            <w:pPr>
              <w:rPr>
                <w:lang w:val="en-US"/>
              </w:rPr>
            </w:pPr>
            <w:r w:rsidRPr="00D549EE">
              <w:rPr>
                <w:lang w:val="en-US"/>
              </w:rPr>
              <w:t>- Risk of fraud. The emergence of pseudo</w:t>
            </w:r>
            <w:r w:rsidR="002049F9" w:rsidRPr="00D549EE">
              <w:rPr>
                <w:lang w:val="en-US"/>
              </w:rPr>
              <w:t>-</w:t>
            </w:r>
            <w:r w:rsidRPr="00D549EE">
              <w:rPr>
                <w:lang w:val="en-US"/>
              </w:rPr>
              <w:t>Islamic financial institute will lead to the loss of confidence of part of the population in the Islamic financing in general</w:t>
            </w:r>
          </w:p>
          <w:p w14:paraId="4E8A3E06" w14:textId="77777777" w:rsidR="00D3297A" w:rsidRPr="00D549EE" w:rsidRDefault="00D3297A" w:rsidP="00C9582F">
            <w:pPr>
              <w:rPr>
                <w:lang w:val="en-US"/>
              </w:rPr>
            </w:pPr>
            <w:r w:rsidRPr="00D549EE">
              <w:rPr>
                <w:lang w:val="en-US"/>
              </w:rPr>
              <w:t>- Islamophobia. There is an opinion that this industry allegedly is involved in terrorist organizations and extremism;</w:t>
            </w:r>
          </w:p>
          <w:p w14:paraId="287A39E2" w14:textId="77777777" w:rsidR="00D3297A" w:rsidRPr="00D549EE" w:rsidRDefault="00D3297A" w:rsidP="00C9582F">
            <w:pPr>
              <w:rPr>
                <w:lang w:val="en-US"/>
              </w:rPr>
            </w:pPr>
            <w:r w:rsidRPr="00D549EE">
              <w:rPr>
                <w:lang w:val="en-US"/>
              </w:rPr>
              <w:t>- Cultural differences and mentality (rejection of Islamic principles at the consumer level)</w:t>
            </w:r>
          </w:p>
          <w:p w14:paraId="740B5470" w14:textId="77777777" w:rsidR="00D3297A" w:rsidRPr="00D549EE" w:rsidRDefault="00D3297A" w:rsidP="00C9582F">
            <w:pPr>
              <w:rPr>
                <w:lang w:val="en-US"/>
              </w:rPr>
            </w:pPr>
            <w:r w:rsidRPr="00D549EE">
              <w:rPr>
                <w:lang w:val="en-US"/>
              </w:rPr>
              <w:t>- Fear of competition from microfinance institutions and mutual insurance companies offering traditional financial services</w:t>
            </w:r>
          </w:p>
          <w:p w14:paraId="71B33582" w14:textId="77777777" w:rsidR="00D3297A" w:rsidRPr="00D549EE" w:rsidRDefault="00D3297A" w:rsidP="00C9582F">
            <w:pPr>
              <w:rPr>
                <w:lang w:val="en-US"/>
              </w:rPr>
            </w:pPr>
            <w:r w:rsidRPr="00D549EE">
              <w:rPr>
                <w:lang w:val="en-US"/>
              </w:rPr>
              <w:t>- Lack of real rehabilitation of the investment climate, unwillingness to officially recognize</w:t>
            </w:r>
          </w:p>
          <w:p w14:paraId="0318C0EE" w14:textId="77777777" w:rsidR="00D3297A" w:rsidRPr="00D549EE" w:rsidRDefault="00D3297A" w:rsidP="00C9582F">
            <w:pPr>
              <w:rPr>
                <w:lang w:val="en-US"/>
              </w:rPr>
            </w:pPr>
            <w:r w:rsidRPr="00D549EE">
              <w:rPr>
                <w:lang w:val="en-US"/>
              </w:rPr>
              <w:t>available facts</w:t>
            </w:r>
          </w:p>
          <w:p w14:paraId="67AE11F2" w14:textId="77777777" w:rsidR="00D3297A" w:rsidRPr="00D549EE" w:rsidRDefault="00D3297A" w:rsidP="00C9582F">
            <w:pPr>
              <w:rPr>
                <w:lang w:val="en-US"/>
              </w:rPr>
            </w:pPr>
            <w:r w:rsidRPr="00D549EE">
              <w:rPr>
                <w:lang w:val="en-US"/>
              </w:rPr>
              <w:t>- The extreme degree of passivity and indifference on the part of the number government agencies on the issue of active implementation of these services</w:t>
            </w:r>
          </w:p>
          <w:p w14:paraId="1BF3668E" w14:textId="77777777" w:rsidR="00D3297A" w:rsidRPr="00D549EE" w:rsidRDefault="00D3297A" w:rsidP="00C9582F">
            <w:pPr>
              <w:rPr>
                <w:lang w:val="en-US"/>
              </w:rPr>
            </w:pPr>
            <w:r w:rsidRPr="00D549EE">
              <w:rPr>
                <w:lang w:val="en-US"/>
              </w:rPr>
              <w:t>- Resistance due to misunderstandings from private shareholders local commercial banks</w:t>
            </w:r>
          </w:p>
        </w:tc>
      </w:tr>
      <w:tr w:rsidR="00D3297A" w:rsidRPr="00FC685D" w14:paraId="2370B108" w14:textId="77777777" w:rsidTr="00030FA4">
        <w:tc>
          <w:tcPr>
            <w:tcW w:w="0" w:type="auto"/>
            <w:gridSpan w:val="2"/>
          </w:tcPr>
          <w:p w14:paraId="4487A924" w14:textId="4E6A2F16" w:rsidR="00D3297A" w:rsidRPr="00D549EE" w:rsidRDefault="00D3297A" w:rsidP="00C9582F">
            <w:pPr>
              <w:ind w:left="459" w:firstLine="142"/>
              <w:rPr>
                <w:lang w:val="en-US"/>
              </w:rPr>
            </w:pPr>
            <w:r w:rsidRPr="00D549EE">
              <w:rPr>
                <w:lang w:val="en-US"/>
              </w:rPr>
              <w:t>Note</w:t>
            </w:r>
            <w:r w:rsidR="00C02DAA" w:rsidRPr="00D549EE">
              <w:rPr>
                <w:lang w:val="en-US"/>
              </w:rPr>
              <w:t xml:space="preserve"> –</w:t>
            </w:r>
            <w:r w:rsidRPr="00D549EE">
              <w:rPr>
                <w:lang w:val="en-US"/>
              </w:rPr>
              <w:t xml:space="preserve"> Compiled by the author</w:t>
            </w:r>
          </w:p>
        </w:tc>
      </w:tr>
    </w:tbl>
    <w:p w14:paraId="17C12241" w14:textId="0AC26581" w:rsidR="00D3297A" w:rsidRPr="00D549EE" w:rsidRDefault="00D3297A" w:rsidP="00C9582F">
      <w:pPr>
        <w:snapToGrid w:val="0"/>
        <w:contextualSpacing/>
        <w:jc w:val="both"/>
        <w:rPr>
          <w:sz w:val="28"/>
          <w:szCs w:val="28"/>
          <w:lang w:val="en-US"/>
        </w:rPr>
      </w:pPr>
      <w:r w:rsidRPr="00D549EE">
        <w:rPr>
          <w:sz w:val="28"/>
          <w:szCs w:val="28"/>
          <w:lang w:val="en-US"/>
        </w:rPr>
        <w:t xml:space="preserve"> </w:t>
      </w:r>
    </w:p>
    <w:p w14:paraId="1F5BDDD8" w14:textId="77777777" w:rsidR="00851871" w:rsidRPr="00851871" w:rsidRDefault="001345D6" w:rsidP="00851871">
      <w:pPr>
        <w:contextualSpacing/>
        <w:jc w:val="both"/>
        <w:rPr>
          <w:sz w:val="28"/>
          <w:szCs w:val="28"/>
          <w:lang w:val="en-US"/>
        </w:rPr>
      </w:pPr>
      <w:r w:rsidRPr="00D549EE">
        <w:rPr>
          <w:sz w:val="28"/>
          <w:szCs w:val="28"/>
          <w:lang w:val="en-US"/>
        </w:rPr>
        <w:tab/>
      </w:r>
      <w:r w:rsidR="00851871" w:rsidRPr="00851871">
        <w:rPr>
          <w:sz w:val="28"/>
          <w:szCs w:val="28"/>
          <w:lang w:val="en-US"/>
        </w:rPr>
        <w:t>In conclusion of the section, it is becoming clear that the country requires alternative sources for financing economics and the financial system. The need to search for the solutions to the deepening crisis and decline of the country's economic indicators, such as GDP (-2.6%); budget deficit (-4%); Brent oil price; inflation rate; national currency devaluation; unemployment rate (4.9%); and poverty headcount (5.3%); also financial indicators - the banking asset-to-GDP ratio (38.4%), where problem loans share is 20%; stock market capitalization to-GDP (46%), determine the focus of the study. The study explores the benefits of Islamic finance and an Islamic economy designed to provide for basic human needs without neglecting moral law and Islamic law [29]. They mainly include social solidarity by providing conditions for unity and cooperation between capital and labor, achieving social justice through reasonable wages, and eliminating unemployment [31] [42].</w:t>
      </w:r>
    </w:p>
    <w:p w14:paraId="225A6BF5" w14:textId="77777777" w:rsidR="00851871" w:rsidRPr="00851871" w:rsidRDefault="00851871" w:rsidP="00851871">
      <w:pPr>
        <w:contextualSpacing/>
        <w:jc w:val="both"/>
        <w:rPr>
          <w:sz w:val="28"/>
          <w:szCs w:val="28"/>
          <w:lang w:val="en-US"/>
        </w:rPr>
      </w:pPr>
      <w:r w:rsidRPr="00851871">
        <w:rPr>
          <w:sz w:val="28"/>
          <w:szCs w:val="28"/>
          <w:lang w:val="en-US"/>
        </w:rPr>
        <w:tab/>
        <w:t>There has been analyzed the evaluation of the Islamic finance sector in the country from 2010 by investigating Islamic finance's infrastructural and legislative development. Resalts showed a growth of 34% on average, with the growth of Islamic banking assets in 2020 being 48.7% in comparison with 2019 despite the crisis of pandemic.</w:t>
      </w:r>
    </w:p>
    <w:p w14:paraId="01EC55BC" w14:textId="77777777" w:rsidR="00851871" w:rsidRPr="00851871" w:rsidRDefault="00851871" w:rsidP="00851871">
      <w:pPr>
        <w:contextualSpacing/>
        <w:jc w:val="both"/>
        <w:rPr>
          <w:sz w:val="28"/>
          <w:szCs w:val="28"/>
          <w:lang w:val="en-US"/>
        </w:rPr>
      </w:pPr>
      <w:r w:rsidRPr="00851871">
        <w:rPr>
          <w:sz w:val="28"/>
          <w:szCs w:val="28"/>
          <w:lang w:val="en-US"/>
        </w:rPr>
        <w:tab/>
        <w:t>In order to determine the potential of financial resources attracted to Islamic financial institutions in the future, the authors have assessed potential Islamic financial assets by two methods. First, based on funds on the average ratio of deposits to assets of banks and the global average level of 1%, the growth potential of the assets of Islamic Banks is estimated - at 636 million US dollars, in national currency - 267 billion tenge (Table 23). The second method of assessing the potential size of Islamic banking assets is based on the country's Muslim population and the average amount of the individual's deposit. The expected maximum amount of Islamic bank deposits is 16.24 billion US dollars (Table 24).</w:t>
      </w:r>
    </w:p>
    <w:p w14:paraId="28D1131F" w14:textId="77777777" w:rsidR="00851871" w:rsidRDefault="00851871" w:rsidP="00851871">
      <w:pPr>
        <w:contextualSpacing/>
        <w:jc w:val="both"/>
        <w:rPr>
          <w:sz w:val="28"/>
          <w:szCs w:val="28"/>
          <w:lang w:val="en-US"/>
        </w:rPr>
      </w:pPr>
      <w:r w:rsidRPr="00851871">
        <w:rPr>
          <w:sz w:val="28"/>
          <w:szCs w:val="28"/>
          <w:lang w:val="en-US"/>
        </w:rPr>
        <w:tab/>
        <w:t>The SWOT analysis, as a stage of measurement of the strategic prospects for its sustainable development, including the identification of opportunities to realize its potential and the identification of factors that contribute to or hinder sustainable development of the Islamic financial system in Kazakhstan, has been made based on the results of a questionnaire of 45 experts and professionals in Islamic finance (Table 25). Thus, the authors have highlighted the following strengths: stability, which is provided by real economy development nature, state and international support and development view, legislative and regulation framework with the attempt to implement it in the conventional financial system, sustainability in the form of the resilience to crises. As for weaknesses, the authors have identified a lack of professionals, low awareness of the population and business, mistrust and misunderstanding of the actual personal benefits, and economic and financial development. As external factors that provide additional opportunities for the sustainable development of Islamic finance, we have identified: stimulating real production, diversification of funding sources, and social advantages. As threats to the external environment and country – the threat of image of the country, islamophobia, the difference of mentality, and lack of actual rehabilitation of the investment climate.</w:t>
      </w:r>
    </w:p>
    <w:p w14:paraId="1C49D292" w14:textId="77777777" w:rsidR="00851871" w:rsidRDefault="00851871" w:rsidP="00851871">
      <w:pPr>
        <w:contextualSpacing/>
        <w:jc w:val="both"/>
        <w:rPr>
          <w:b/>
          <w:color w:val="000000" w:themeColor="text1"/>
          <w:sz w:val="28"/>
          <w:szCs w:val="28"/>
          <w:lang w:val="en-US"/>
        </w:rPr>
      </w:pPr>
    </w:p>
    <w:p w14:paraId="74198F11" w14:textId="77777777" w:rsidR="007D3085" w:rsidRDefault="00C02DAA" w:rsidP="00851871">
      <w:pPr>
        <w:contextualSpacing/>
        <w:jc w:val="both"/>
        <w:rPr>
          <w:b/>
          <w:color w:val="000000" w:themeColor="text1"/>
          <w:sz w:val="28"/>
          <w:szCs w:val="28"/>
          <w:lang w:val="en-US"/>
        </w:rPr>
      </w:pPr>
      <w:r w:rsidRPr="00D549EE">
        <w:rPr>
          <w:b/>
          <w:color w:val="000000" w:themeColor="text1"/>
          <w:sz w:val="28"/>
          <w:szCs w:val="28"/>
          <w:lang w:val="en-US"/>
        </w:rPr>
        <w:tab/>
      </w:r>
    </w:p>
    <w:p w14:paraId="721A0CDA" w14:textId="77777777" w:rsidR="007D3085" w:rsidRDefault="007D3085" w:rsidP="00851871">
      <w:pPr>
        <w:contextualSpacing/>
        <w:jc w:val="both"/>
        <w:rPr>
          <w:b/>
          <w:color w:val="000000" w:themeColor="text1"/>
          <w:sz w:val="28"/>
          <w:szCs w:val="28"/>
          <w:lang w:val="en-US"/>
        </w:rPr>
      </w:pPr>
    </w:p>
    <w:p w14:paraId="074AC70B" w14:textId="77777777" w:rsidR="007D3085" w:rsidRDefault="007D3085" w:rsidP="00851871">
      <w:pPr>
        <w:contextualSpacing/>
        <w:jc w:val="both"/>
        <w:rPr>
          <w:b/>
          <w:color w:val="000000" w:themeColor="text1"/>
          <w:sz w:val="28"/>
          <w:szCs w:val="28"/>
          <w:lang w:val="en-US"/>
        </w:rPr>
      </w:pPr>
    </w:p>
    <w:p w14:paraId="7A03F26B" w14:textId="77777777" w:rsidR="007D3085" w:rsidRDefault="007D3085" w:rsidP="00851871">
      <w:pPr>
        <w:contextualSpacing/>
        <w:jc w:val="both"/>
        <w:rPr>
          <w:b/>
          <w:color w:val="000000" w:themeColor="text1"/>
          <w:sz w:val="28"/>
          <w:szCs w:val="28"/>
          <w:lang w:val="en-US"/>
        </w:rPr>
      </w:pPr>
    </w:p>
    <w:p w14:paraId="05175B4C" w14:textId="77777777" w:rsidR="007D3085" w:rsidRDefault="007D3085" w:rsidP="00851871">
      <w:pPr>
        <w:contextualSpacing/>
        <w:jc w:val="both"/>
        <w:rPr>
          <w:b/>
          <w:color w:val="000000" w:themeColor="text1"/>
          <w:sz w:val="28"/>
          <w:szCs w:val="28"/>
          <w:lang w:val="en-US"/>
        </w:rPr>
      </w:pPr>
    </w:p>
    <w:p w14:paraId="275E5B93" w14:textId="77777777" w:rsidR="007D3085" w:rsidRDefault="007D3085" w:rsidP="00851871">
      <w:pPr>
        <w:contextualSpacing/>
        <w:jc w:val="both"/>
        <w:rPr>
          <w:b/>
          <w:color w:val="000000" w:themeColor="text1"/>
          <w:sz w:val="28"/>
          <w:szCs w:val="28"/>
          <w:lang w:val="en-US"/>
        </w:rPr>
      </w:pPr>
    </w:p>
    <w:p w14:paraId="45782B9B" w14:textId="77777777" w:rsidR="007D3085" w:rsidRDefault="007D3085" w:rsidP="00851871">
      <w:pPr>
        <w:contextualSpacing/>
        <w:jc w:val="both"/>
        <w:rPr>
          <w:b/>
          <w:color w:val="000000" w:themeColor="text1"/>
          <w:sz w:val="28"/>
          <w:szCs w:val="28"/>
          <w:lang w:val="en-US"/>
        </w:rPr>
      </w:pPr>
    </w:p>
    <w:p w14:paraId="146FEBB3" w14:textId="2E2DC1AF" w:rsidR="007008BB" w:rsidRPr="00D549EE" w:rsidRDefault="007D3085" w:rsidP="00851871">
      <w:pPr>
        <w:contextualSpacing/>
        <w:jc w:val="both"/>
        <w:rPr>
          <w:b/>
          <w:color w:val="000000"/>
          <w:sz w:val="28"/>
          <w:szCs w:val="28"/>
          <w:lang w:val="en-US"/>
        </w:rPr>
      </w:pPr>
      <w:r>
        <w:rPr>
          <w:b/>
          <w:color w:val="000000" w:themeColor="text1"/>
          <w:sz w:val="28"/>
          <w:szCs w:val="28"/>
          <w:lang w:val="en-US"/>
        </w:rPr>
        <w:tab/>
      </w:r>
      <w:r w:rsidR="00923BDB" w:rsidRPr="00D549EE">
        <w:rPr>
          <w:b/>
          <w:color w:val="000000" w:themeColor="text1"/>
          <w:sz w:val="28"/>
          <w:szCs w:val="28"/>
          <w:lang w:val="en-US"/>
        </w:rPr>
        <w:t xml:space="preserve"> </w:t>
      </w:r>
      <w:r w:rsidR="007008BB" w:rsidRPr="00D549EE">
        <w:rPr>
          <w:b/>
          <w:color w:val="000000" w:themeColor="text1"/>
          <w:sz w:val="28"/>
          <w:szCs w:val="28"/>
          <w:lang w:val="en-US"/>
        </w:rPr>
        <w:t xml:space="preserve">2.2 </w:t>
      </w:r>
      <w:r w:rsidR="00F7412A" w:rsidRPr="00D549EE">
        <w:rPr>
          <w:b/>
          <w:color w:val="000000"/>
          <w:sz w:val="28"/>
          <w:szCs w:val="28"/>
          <w:lang w:val="en-US"/>
        </w:rPr>
        <w:t xml:space="preserve">The potential social effects of Islamic finance in </w:t>
      </w:r>
      <w:r w:rsidR="002E7E40" w:rsidRPr="00D549EE">
        <w:rPr>
          <w:b/>
          <w:color w:val="000000"/>
          <w:sz w:val="28"/>
          <w:szCs w:val="28"/>
          <w:lang w:val="en-US"/>
        </w:rPr>
        <w:t xml:space="preserve">the Republic of </w:t>
      </w:r>
      <w:r w:rsidR="00F7412A" w:rsidRPr="00D549EE">
        <w:rPr>
          <w:b/>
          <w:color w:val="000000"/>
          <w:sz w:val="28"/>
          <w:szCs w:val="28"/>
          <w:lang w:val="en-US"/>
        </w:rPr>
        <w:t>Kazakhstan</w:t>
      </w:r>
    </w:p>
    <w:p w14:paraId="6ABC4113" w14:textId="084391D7" w:rsidR="005A331F" w:rsidRPr="00D549EE" w:rsidRDefault="00A63AA2" w:rsidP="00C9582F">
      <w:pPr>
        <w:autoSpaceDE w:val="0"/>
        <w:autoSpaceDN w:val="0"/>
        <w:adjustRightInd w:val="0"/>
        <w:jc w:val="both"/>
        <w:rPr>
          <w:rFonts w:eastAsiaTheme="minorHAnsi"/>
          <w:sz w:val="28"/>
          <w:szCs w:val="28"/>
          <w:lang w:val="en-US" w:eastAsia="en-US"/>
        </w:rPr>
      </w:pPr>
      <w:r w:rsidRPr="00D549EE">
        <w:rPr>
          <w:color w:val="000000" w:themeColor="text1"/>
          <w:sz w:val="28"/>
          <w:szCs w:val="28"/>
          <w:lang w:val="en-US"/>
        </w:rPr>
        <w:tab/>
      </w:r>
      <w:r w:rsidR="00DC1435" w:rsidRPr="00DC1435">
        <w:rPr>
          <w:color w:val="000000" w:themeColor="text1"/>
          <w:sz w:val="28"/>
          <w:szCs w:val="28"/>
          <w:lang w:val="en-US"/>
        </w:rPr>
        <w:t>According to the previous section's findings, the Islamic financial industry is a perspective and promising area of economics. The social features and instruments allow the implementation of Islamic finance to solve social issues. The method of AHP has been used to assess the potential social effects of Islamic finance in Kazakhstan on the macro level. There have been used 5 selected in Islamic finance from Islamic financial institutions experts' assessment to obtain the index weight of social impact of 6 factors.</w:t>
      </w:r>
    </w:p>
    <w:p w14:paraId="56271B69" w14:textId="332A7B62" w:rsidR="00020DD8" w:rsidRPr="00D549EE" w:rsidRDefault="009C0058" w:rsidP="00C9582F">
      <w:pPr>
        <w:autoSpaceDE w:val="0"/>
        <w:autoSpaceDN w:val="0"/>
        <w:adjustRightInd w:val="0"/>
        <w:jc w:val="both"/>
        <w:rPr>
          <w:color w:val="FF0000"/>
          <w:sz w:val="28"/>
          <w:szCs w:val="28"/>
          <w:lang w:val="en-US"/>
        </w:rPr>
      </w:pPr>
      <w:r w:rsidRPr="00D549EE">
        <w:rPr>
          <w:color w:val="000000" w:themeColor="text1"/>
          <w:sz w:val="28"/>
          <w:szCs w:val="28"/>
          <w:lang w:val="en-US"/>
        </w:rPr>
        <w:tab/>
      </w:r>
    </w:p>
    <w:p w14:paraId="2B0B9EEE" w14:textId="6A1F8686" w:rsidR="000C330C" w:rsidRPr="00D549EE" w:rsidRDefault="000C330C" w:rsidP="00C9582F">
      <w:pPr>
        <w:autoSpaceDE w:val="0"/>
        <w:autoSpaceDN w:val="0"/>
        <w:adjustRightInd w:val="0"/>
        <w:jc w:val="both"/>
        <w:rPr>
          <w:color w:val="000000" w:themeColor="text1"/>
          <w:sz w:val="28"/>
          <w:szCs w:val="28"/>
          <w:lang w:val="en-US"/>
        </w:rPr>
      </w:pPr>
      <w:r w:rsidRPr="00D549EE">
        <w:rPr>
          <w:color w:val="000000" w:themeColor="text1"/>
          <w:sz w:val="28"/>
          <w:szCs w:val="28"/>
          <w:lang w:val="en-US"/>
        </w:rPr>
        <w:t xml:space="preserve">Table </w:t>
      </w:r>
      <w:r w:rsidR="005A331F" w:rsidRPr="00D549EE">
        <w:rPr>
          <w:color w:val="000000" w:themeColor="text1"/>
          <w:sz w:val="28"/>
          <w:szCs w:val="28"/>
          <w:lang w:val="en-US"/>
        </w:rPr>
        <w:t>2</w:t>
      </w:r>
      <w:r w:rsidR="00A655E2" w:rsidRPr="00D549EE">
        <w:rPr>
          <w:color w:val="000000" w:themeColor="text1"/>
          <w:sz w:val="28"/>
          <w:szCs w:val="28"/>
          <w:lang w:val="en-US"/>
        </w:rPr>
        <w:t>6</w:t>
      </w:r>
      <w:r w:rsidRPr="00D549EE">
        <w:rPr>
          <w:color w:val="000000" w:themeColor="text1"/>
          <w:sz w:val="28"/>
          <w:szCs w:val="28"/>
          <w:lang w:val="en-US"/>
        </w:rPr>
        <w:t xml:space="preserve"> </w:t>
      </w:r>
      <w:r w:rsidR="00497894" w:rsidRPr="00D549EE">
        <w:rPr>
          <w:sz w:val="28"/>
          <w:szCs w:val="28"/>
          <w:lang w:val="en-US"/>
        </w:rPr>
        <w:t>–</w:t>
      </w:r>
      <w:r w:rsidR="00497894" w:rsidRPr="00D549EE">
        <w:rPr>
          <w:color w:val="000000" w:themeColor="text1"/>
          <w:sz w:val="28"/>
          <w:szCs w:val="28"/>
          <w:lang w:val="en-US"/>
        </w:rPr>
        <w:t xml:space="preserve"> </w:t>
      </w:r>
      <w:r w:rsidRPr="00D549EE">
        <w:rPr>
          <w:color w:val="000000" w:themeColor="text1"/>
          <w:sz w:val="28"/>
          <w:szCs w:val="28"/>
          <w:lang w:val="en-US"/>
        </w:rPr>
        <w:t xml:space="preserve"> Matrix</w:t>
      </w:r>
      <w:r w:rsidR="008451D3" w:rsidRPr="00D549EE">
        <w:rPr>
          <w:color w:val="000000" w:themeColor="text1"/>
          <w:sz w:val="28"/>
          <w:szCs w:val="28"/>
          <w:lang w:val="en-US"/>
        </w:rPr>
        <w:t>es</w:t>
      </w:r>
      <w:r w:rsidRPr="00D549EE">
        <w:rPr>
          <w:color w:val="000000" w:themeColor="text1"/>
          <w:sz w:val="28"/>
          <w:szCs w:val="28"/>
          <w:lang w:val="en-US"/>
        </w:rPr>
        <w:t xml:space="preserve"> based on experts</w:t>
      </w:r>
      <w:r w:rsidR="008451D3" w:rsidRPr="00D549EE">
        <w:rPr>
          <w:color w:val="000000" w:themeColor="text1"/>
          <w:sz w:val="28"/>
          <w:szCs w:val="28"/>
          <w:lang w:val="en-US"/>
        </w:rPr>
        <w:t>’</w:t>
      </w:r>
      <w:r w:rsidRPr="00D549EE">
        <w:rPr>
          <w:color w:val="000000" w:themeColor="text1"/>
          <w:sz w:val="28"/>
          <w:szCs w:val="28"/>
          <w:lang w:val="en-US"/>
        </w:rPr>
        <w:t xml:space="preserve"> assessment</w:t>
      </w:r>
      <w:r w:rsidR="00903205" w:rsidRPr="00D549EE">
        <w:rPr>
          <w:color w:val="000000" w:themeColor="text1"/>
          <w:sz w:val="28"/>
          <w:szCs w:val="28"/>
          <w:lang w:val="en-US"/>
        </w:rPr>
        <w:t>, 6 factors</w:t>
      </w:r>
    </w:p>
    <w:p w14:paraId="5678AB81" w14:textId="6E58521F" w:rsidR="00FF1CE4" w:rsidRPr="00D549EE" w:rsidRDefault="00FF1CE4" w:rsidP="00C9582F">
      <w:pPr>
        <w:autoSpaceDE w:val="0"/>
        <w:autoSpaceDN w:val="0"/>
        <w:adjustRightInd w:val="0"/>
        <w:jc w:val="both"/>
        <w:rPr>
          <w:color w:val="FF0000"/>
          <w:sz w:val="28"/>
          <w:szCs w:val="28"/>
          <w:lang w:val="en-US"/>
        </w:rPr>
      </w:pPr>
    </w:p>
    <w:tbl>
      <w:tblPr>
        <w:tblStyle w:val="a9"/>
        <w:tblW w:w="4911" w:type="pct"/>
        <w:tblLook w:val="04A0" w:firstRow="1" w:lastRow="0" w:firstColumn="1" w:lastColumn="0" w:noHBand="0" w:noVBand="1"/>
      </w:tblPr>
      <w:tblGrid>
        <w:gridCol w:w="1090"/>
        <w:gridCol w:w="1078"/>
        <w:gridCol w:w="1081"/>
        <w:gridCol w:w="1078"/>
        <w:gridCol w:w="1059"/>
        <w:gridCol w:w="1287"/>
        <w:gridCol w:w="856"/>
        <w:gridCol w:w="1923"/>
      </w:tblGrid>
      <w:tr w:rsidR="00D53CDC" w:rsidRPr="00D549EE" w14:paraId="0BDED684" w14:textId="77777777" w:rsidTr="00D91946">
        <w:trPr>
          <w:trHeight w:val="247"/>
        </w:trPr>
        <w:tc>
          <w:tcPr>
            <w:tcW w:w="577" w:type="pct"/>
            <w:noWrap/>
            <w:hideMark/>
          </w:tcPr>
          <w:p w14:paraId="120DDAD4" w14:textId="48B7DA70" w:rsidR="00FF1CE4" w:rsidRPr="00D549EE" w:rsidRDefault="00FF1CE4" w:rsidP="00375289">
            <w:pPr>
              <w:rPr>
                <w:bCs/>
                <w:color w:val="000000" w:themeColor="text1"/>
                <w:lang w:val="en-US"/>
              </w:rPr>
            </w:pPr>
            <w:r w:rsidRPr="00D549EE">
              <w:rPr>
                <w:bCs/>
                <w:color w:val="000000" w:themeColor="text1"/>
                <w:lang w:val="en-US"/>
              </w:rPr>
              <w:t>Exp</w:t>
            </w:r>
            <w:r w:rsidR="007F2CBB" w:rsidRPr="00D549EE">
              <w:rPr>
                <w:bCs/>
                <w:color w:val="000000" w:themeColor="text1"/>
                <w:lang w:val="en-US"/>
              </w:rPr>
              <w:t xml:space="preserve">ert </w:t>
            </w:r>
            <w:r w:rsidRPr="00D549EE">
              <w:rPr>
                <w:bCs/>
                <w:color w:val="000000" w:themeColor="text1"/>
                <w:lang w:val="en-US"/>
              </w:rPr>
              <w:t xml:space="preserve">1 </w:t>
            </w:r>
          </w:p>
        </w:tc>
        <w:tc>
          <w:tcPr>
            <w:tcW w:w="570" w:type="pct"/>
            <w:noWrap/>
            <w:hideMark/>
          </w:tcPr>
          <w:p w14:paraId="3890BBF3" w14:textId="77777777" w:rsidR="00FF1CE4" w:rsidRPr="00D549EE" w:rsidRDefault="00FF1CE4" w:rsidP="00375289">
            <w:pPr>
              <w:rPr>
                <w:color w:val="000000" w:themeColor="text1"/>
                <w:lang w:val="en-US"/>
              </w:rPr>
            </w:pPr>
            <w:r w:rsidRPr="00D549EE">
              <w:rPr>
                <w:color w:val="000000" w:themeColor="text1"/>
                <w:lang w:val="en-US"/>
              </w:rPr>
              <w:t>1</w:t>
            </w:r>
          </w:p>
        </w:tc>
        <w:tc>
          <w:tcPr>
            <w:tcW w:w="572" w:type="pct"/>
            <w:noWrap/>
            <w:hideMark/>
          </w:tcPr>
          <w:p w14:paraId="23873750" w14:textId="77777777" w:rsidR="00FF1CE4" w:rsidRPr="00D549EE" w:rsidRDefault="00FF1CE4" w:rsidP="00375289">
            <w:pPr>
              <w:rPr>
                <w:color w:val="000000" w:themeColor="text1"/>
                <w:lang w:val="en-US"/>
              </w:rPr>
            </w:pPr>
            <w:r w:rsidRPr="00D549EE">
              <w:rPr>
                <w:color w:val="000000" w:themeColor="text1"/>
                <w:lang w:val="en-US"/>
              </w:rPr>
              <w:t>2</w:t>
            </w:r>
          </w:p>
        </w:tc>
        <w:tc>
          <w:tcPr>
            <w:tcW w:w="570" w:type="pct"/>
            <w:noWrap/>
            <w:hideMark/>
          </w:tcPr>
          <w:p w14:paraId="1561D055" w14:textId="77777777" w:rsidR="00FF1CE4" w:rsidRPr="00D549EE" w:rsidRDefault="00FF1CE4" w:rsidP="00375289">
            <w:pPr>
              <w:rPr>
                <w:color w:val="000000" w:themeColor="text1"/>
                <w:lang w:val="en-US"/>
              </w:rPr>
            </w:pPr>
            <w:r w:rsidRPr="00D549EE">
              <w:rPr>
                <w:color w:val="000000" w:themeColor="text1"/>
                <w:lang w:val="en-US"/>
              </w:rPr>
              <w:t>3</w:t>
            </w:r>
          </w:p>
        </w:tc>
        <w:tc>
          <w:tcPr>
            <w:tcW w:w="560" w:type="pct"/>
            <w:noWrap/>
            <w:hideMark/>
          </w:tcPr>
          <w:p w14:paraId="6481FF4E" w14:textId="77777777" w:rsidR="00FF1CE4" w:rsidRPr="00D549EE" w:rsidRDefault="00FF1CE4" w:rsidP="00375289">
            <w:pPr>
              <w:rPr>
                <w:color w:val="000000" w:themeColor="text1"/>
                <w:lang w:val="en-US"/>
              </w:rPr>
            </w:pPr>
            <w:r w:rsidRPr="00D549EE">
              <w:rPr>
                <w:color w:val="000000" w:themeColor="text1"/>
                <w:lang w:val="en-US"/>
              </w:rPr>
              <w:t>4</w:t>
            </w:r>
          </w:p>
        </w:tc>
        <w:tc>
          <w:tcPr>
            <w:tcW w:w="681" w:type="pct"/>
            <w:noWrap/>
            <w:hideMark/>
          </w:tcPr>
          <w:p w14:paraId="6A2C368A" w14:textId="77777777" w:rsidR="00FF1CE4" w:rsidRPr="00D549EE" w:rsidRDefault="00FF1CE4" w:rsidP="00375289">
            <w:pPr>
              <w:rPr>
                <w:color w:val="000000" w:themeColor="text1"/>
                <w:lang w:val="en-US"/>
              </w:rPr>
            </w:pPr>
            <w:r w:rsidRPr="00D549EE">
              <w:rPr>
                <w:color w:val="000000" w:themeColor="text1"/>
                <w:lang w:val="en-US"/>
              </w:rPr>
              <w:t>5</w:t>
            </w:r>
          </w:p>
        </w:tc>
        <w:tc>
          <w:tcPr>
            <w:tcW w:w="453" w:type="pct"/>
            <w:noWrap/>
            <w:hideMark/>
          </w:tcPr>
          <w:p w14:paraId="3D3538DB" w14:textId="77777777" w:rsidR="00FF1CE4" w:rsidRPr="00D549EE" w:rsidRDefault="00FF1CE4" w:rsidP="00375289">
            <w:pPr>
              <w:rPr>
                <w:color w:val="000000" w:themeColor="text1"/>
                <w:lang w:val="en-US"/>
              </w:rPr>
            </w:pPr>
            <w:r w:rsidRPr="00D549EE">
              <w:rPr>
                <w:color w:val="000000" w:themeColor="text1"/>
                <w:lang w:val="en-US"/>
              </w:rPr>
              <w:t>6</w:t>
            </w:r>
          </w:p>
        </w:tc>
        <w:tc>
          <w:tcPr>
            <w:tcW w:w="1017" w:type="pct"/>
          </w:tcPr>
          <w:p w14:paraId="3DD2F28A" w14:textId="77777777" w:rsidR="00FF1CE4" w:rsidRPr="00D549EE" w:rsidRDefault="00FF1CE4" w:rsidP="00375289">
            <w:pPr>
              <w:rPr>
                <w:bCs/>
                <w:color w:val="000000" w:themeColor="text1"/>
                <w:lang w:val="en-US"/>
              </w:rPr>
            </w:pPr>
            <w:r w:rsidRPr="00D549EE">
              <w:rPr>
                <w:bCs/>
                <w:color w:val="000000" w:themeColor="text1"/>
                <w:lang w:val="en-US"/>
              </w:rPr>
              <w:t>Scale of priorities</w:t>
            </w:r>
          </w:p>
        </w:tc>
      </w:tr>
      <w:tr w:rsidR="00D53CDC" w:rsidRPr="00D549EE" w14:paraId="27BD760B" w14:textId="77777777" w:rsidTr="00D91946">
        <w:trPr>
          <w:trHeight w:val="344"/>
        </w:trPr>
        <w:tc>
          <w:tcPr>
            <w:tcW w:w="577" w:type="pct"/>
            <w:noWrap/>
            <w:hideMark/>
          </w:tcPr>
          <w:p w14:paraId="7ED8475D" w14:textId="77777777" w:rsidR="00FF1CE4" w:rsidRPr="00D549EE" w:rsidRDefault="00FF1CE4" w:rsidP="00FF1CE4">
            <w:pPr>
              <w:rPr>
                <w:bCs/>
                <w:color w:val="000000" w:themeColor="text1"/>
                <w:lang w:val="en-US"/>
              </w:rPr>
            </w:pPr>
            <w:r w:rsidRPr="00D549EE">
              <w:rPr>
                <w:bCs/>
                <w:color w:val="000000" w:themeColor="text1"/>
                <w:lang w:val="en-US"/>
              </w:rPr>
              <w:t>1</w:t>
            </w:r>
          </w:p>
        </w:tc>
        <w:tc>
          <w:tcPr>
            <w:tcW w:w="570" w:type="pct"/>
            <w:noWrap/>
            <w:hideMark/>
          </w:tcPr>
          <w:p w14:paraId="4A36AA94" w14:textId="7777777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72" w:type="pct"/>
            <w:noWrap/>
            <w:hideMark/>
          </w:tcPr>
          <w:p w14:paraId="2E3AC9E8" w14:textId="77777777" w:rsidR="00FF1CE4" w:rsidRPr="00D549EE" w:rsidRDefault="00FF1CE4" w:rsidP="00FF1CE4">
            <w:pPr>
              <w:jc w:val="right"/>
              <w:rPr>
                <w:bCs/>
                <w:color w:val="000000" w:themeColor="text1"/>
                <w:lang w:val="en-US"/>
              </w:rPr>
            </w:pPr>
            <w:r w:rsidRPr="00D549EE">
              <w:rPr>
                <w:bCs/>
                <w:color w:val="000000" w:themeColor="text1"/>
                <w:lang w:val="en-US"/>
              </w:rPr>
              <w:t>6.00</w:t>
            </w:r>
          </w:p>
        </w:tc>
        <w:tc>
          <w:tcPr>
            <w:tcW w:w="570" w:type="pct"/>
            <w:noWrap/>
            <w:hideMark/>
          </w:tcPr>
          <w:p w14:paraId="20609077" w14:textId="77777777" w:rsidR="00FF1CE4" w:rsidRPr="00D549EE" w:rsidRDefault="00FF1CE4" w:rsidP="00FF1CE4">
            <w:pPr>
              <w:jc w:val="right"/>
              <w:rPr>
                <w:bCs/>
                <w:color w:val="000000" w:themeColor="text1"/>
                <w:lang w:val="en-US"/>
              </w:rPr>
            </w:pPr>
            <w:r w:rsidRPr="00D549EE">
              <w:rPr>
                <w:bCs/>
                <w:color w:val="000000" w:themeColor="text1"/>
                <w:lang w:val="en-US"/>
              </w:rPr>
              <w:t>7.00</w:t>
            </w:r>
          </w:p>
        </w:tc>
        <w:tc>
          <w:tcPr>
            <w:tcW w:w="560" w:type="pct"/>
            <w:noWrap/>
            <w:hideMark/>
          </w:tcPr>
          <w:p w14:paraId="3392EE23" w14:textId="77777777" w:rsidR="00FF1CE4" w:rsidRPr="00D549EE" w:rsidRDefault="00FF1CE4" w:rsidP="00FF1CE4">
            <w:pPr>
              <w:jc w:val="right"/>
              <w:rPr>
                <w:bCs/>
                <w:color w:val="000000" w:themeColor="text1"/>
                <w:lang w:val="en-US"/>
              </w:rPr>
            </w:pPr>
            <w:r w:rsidRPr="00D549EE">
              <w:rPr>
                <w:bCs/>
                <w:color w:val="000000" w:themeColor="text1"/>
                <w:lang w:val="en-US"/>
              </w:rPr>
              <w:t>9.00</w:t>
            </w:r>
          </w:p>
        </w:tc>
        <w:tc>
          <w:tcPr>
            <w:tcW w:w="681" w:type="pct"/>
            <w:noWrap/>
            <w:hideMark/>
          </w:tcPr>
          <w:p w14:paraId="26C68471" w14:textId="77777777" w:rsidR="00FF1CE4" w:rsidRPr="00D549EE" w:rsidRDefault="00FF1CE4" w:rsidP="00FF1CE4">
            <w:pPr>
              <w:jc w:val="right"/>
              <w:rPr>
                <w:bCs/>
                <w:color w:val="000000" w:themeColor="text1"/>
                <w:lang w:val="en-US"/>
              </w:rPr>
            </w:pPr>
            <w:r w:rsidRPr="00D549EE">
              <w:rPr>
                <w:bCs/>
                <w:color w:val="000000" w:themeColor="text1"/>
                <w:lang w:val="en-US"/>
              </w:rPr>
              <w:t>6.00</w:t>
            </w:r>
          </w:p>
        </w:tc>
        <w:tc>
          <w:tcPr>
            <w:tcW w:w="453" w:type="pct"/>
            <w:noWrap/>
            <w:hideMark/>
          </w:tcPr>
          <w:p w14:paraId="28D3A0B8" w14:textId="77777777" w:rsidR="00FF1CE4" w:rsidRPr="00D549EE" w:rsidRDefault="00FF1CE4" w:rsidP="00FF1CE4">
            <w:pPr>
              <w:jc w:val="right"/>
              <w:rPr>
                <w:bCs/>
                <w:color w:val="000000" w:themeColor="text1"/>
                <w:lang w:val="en-US"/>
              </w:rPr>
            </w:pPr>
            <w:r w:rsidRPr="00D549EE">
              <w:rPr>
                <w:bCs/>
                <w:color w:val="000000" w:themeColor="text1"/>
                <w:lang w:val="en-US"/>
              </w:rPr>
              <w:t>8.00</w:t>
            </w:r>
          </w:p>
        </w:tc>
        <w:tc>
          <w:tcPr>
            <w:tcW w:w="1017" w:type="pct"/>
          </w:tcPr>
          <w:p w14:paraId="59C97920" w14:textId="77777777" w:rsidR="00FF1CE4" w:rsidRPr="00D549EE" w:rsidRDefault="00FF1CE4" w:rsidP="00FF1CE4">
            <w:pPr>
              <w:rPr>
                <w:bCs/>
                <w:color w:val="000000" w:themeColor="text1"/>
                <w:lang w:val="en-US"/>
              </w:rPr>
            </w:pPr>
            <w:r w:rsidRPr="00D549EE">
              <w:rPr>
                <w:bCs/>
                <w:color w:val="000000" w:themeColor="text1"/>
                <w:lang w:val="en-US"/>
              </w:rPr>
              <w:t>0.48</w:t>
            </w:r>
          </w:p>
        </w:tc>
      </w:tr>
      <w:tr w:rsidR="00D53CDC" w:rsidRPr="00D549EE" w14:paraId="797A3757" w14:textId="77777777" w:rsidTr="00D91946">
        <w:trPr>
          <w:trHeight w:val="344"/>
        </w:trPr>
        <w:tc>
          <w:tcPr>
            <w:tcW w:w="577" w:type="pct"/>
            <w:noWrap/>
            <w:hideMark/>
          </w:tcPr>
          <w:p w14:paraId="2A665D03" w14:textId="77777777" w:rsidR="00FF1CE4" w:rsidRPr="00D549EE" w:rsidRDefault="00FF1CE4" w:rsidP="00FF1CE4">
            <w:pPr>
              <w:rPr>
                <w:bCs/>
                <w:color w:val="000000" w:themeColor="text1"/>
                <w:lang w:val="en-US"/>
              </w:rPr>
            </w:pPr>
            <w:r w:rsidRPr="00D549EE">
              <w:rPr>
                <w:bCs/>
                <w:color w:val="000000" w:themeColor="text1"/>
                <w:lang w:val="en-US"/>
              </w:rPr>
              <w:t>2</w:t>
            </w:r>
          </w:p>
        </w:tc>
        <w:tc>
          <w:tcPr>
            <w:tcW w:w="570" w:type="pct"/>
            <w:noWrap/>
            <w:hideMark/>
          </w:tcPr>
          <w:p w14:paraId="340B0DD6" w14:textId="77777777" w:rsidR="00FF1CE4" w:rsidRPr="00D549EE" w:rsidRDefault="00FF1CE4" w:rsidP="00FF1CE4">
            <w:pPr>
              <w:jc w:val="right"/>
              <w:rPr>
                <w:bCs/>
                <w:color w:val="000000" w:themeColor="text1"/>
                <w:lang w:val="en-US"/>
              </w:rPr>
            </w:pPr>
            <w:r w:rsidRPr="00D549EE">
              <w:rPr>
                <w:bCs/>
                <w:color w:val="000000" w:themeColor="text1"/>
                <w:lang w:val="en-US"/>
              </w:rPr>
              <w:t>0.17</w:t>
            </w:r>
          </w:p>
        </w:tc>
        <w:tc>
          <w:tcPr>
            <w:tcW w:w="572" w:type="pct"/>
            <w:noWrap/>
            <w:hideMark/>
          </w:tcPr>
          <w:p w14:paraId="271EAB1A" w14:textId="7777777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70" w:type="pct"/>
            <w:noWrap/>
            <w:hideMark/>
          </w:tcPr>
          <w:p w14:paraId="5E96CE8C" w14:textId="77777777" w:rsidR="00FF1CE4" w:rsidRPr="00D549EE" w:rsidRDefault="00FF1CE4" w:rsidP="00FF1CE4">
            <w:pPr>
              <w:jc w:val="right"/>
              <w:rPr>
                <w:bCs/>
                <w:color w:val="000000" w:themeColor="text1"/>
                <w:lang w:val="en-US"/>
              </w:rPr>
            </w:pPr>
            <w:r w:rsidRPr="00D549EE">
              <w:rPr>
                <w:bCs/>
                <w:color w:val="000000" w:themeColor="text1"/>
                <w:lang w:val="en-US"/>
              </w:rPr>
              <w:t>7.00</w:t>
            </w:r>
          </w:p>
        </w:tc>
        <w:tc>
          <w:tcPr>
            <w:tcW w:w="560" w:type="pct"/>
            <w:noWrap/>
            <w:hideMark/>
          </w:tcPr>
          <w:p w14:paraId="5A7EC359" w14:textId="77777777" w:rsidR="00FF1CE4" w:rsidRPr="00D549EE" w:rsidRDefault="00FF1CE4" w:rsidP="00FF1CE4">
            <w:pPr>
              <w:jc w:val="right"/>
              <w:rPr>
                <w:bCs/>
                <w:color w:val="000000" w:themeColor="text1"/>
                <w:lang w:val="en-US"/>
              </w:rPr>
            </w:pPr>
            <w:r w:rsidRPr="00D549EE">
              <w:rPr>
                <w:bCs/>
                <w:color w:val="000000" w:themeColor="text1"/>
                <w:lang w:val="en-US"/>
              </w:rPr>
              <w:t>6.00</w:t>
            </w:r>
          </w:p>
        </w:tc>
        <w:tc>
          <w:tcPr>
            <w:tcW w:w="681" w:type="pct"/>
            <w:noWrap/>
            <w:hideMark/>
          </w:tcPr>
          <w:p w14:paraId="4C191C27" w14:textId="77777777" w:rsidR="00FF1CE4" w:rsidRPr="00D549EE" w:rsidRDefault="00FF1CE4" w:rsidP="00FF1CE4">
            <w:pPr>
              <w:jc w:val="right"/>
              <w:rPr>
                <w:bCs/>
                <w:color w:val="000000" w:themeColor="text1"/>
                <w:lang w:val="en-US"/>
              </w:rPr>
            </w:pPr>
            <w:r w:rsidRPr="00D549EE">
              <w:rPr>
                <w:bCs/>
                <w:color w:val="000000" w:themeColor="text1"/>
                <w:lang w:val="en-US"/>
              </w:rPr>
              <w:t>7.00</w:t>
            </w:r>
          </w:p>
        </w:tc>
        <w:tc>
          <w:tcPr>
            <w:tcW w:w="453" w:type="pct"/>
            <w:noWrap/>
            <w:hideMark/>
          </w:tcPr>
          <w:p w14:paraId="7A59D071" w14:textId="77777777" w:rsidR="00FF1CE4" w:rsidRPr="00D549EE" w:rsidRDefault="00FF1CE4" w:rsidP="00FF1CE4">
            <w:pPr>
              <w:jc w:val="right"/>
              <w:rPr>
                <w:bCs/>
                <w:color w:val="000000" w:themeColor="text1"/>
                <w:lang w:val="en-US"/>
              </w:rPr>
            </w:pPr>
            <w:r w:rsidRPr="00D549EE">
              <w:rPr>
                <w:bCs/>
                <w:color w:val="000000" w:themeColor="text1"/>
                <w:lang w:val="en-US"/>
              </w:rPr>
              <w:t>8.00</w:t>
            </w:r>
          </w:p>
        </w:tc>
        <w:tc>
          <w:tcPr>
            <w:tcW w:w="1017" w:type="pct"/>
          </w:tcPr>
          <w:p w14:paraId="629E7BCE" w14:textId="77777777" w:rsidR="00FF1CE4" w:rsidRPr="00D549EE" w:rsidRDefault="00FF1CE4" w:rsidP="00FF1CE4">
            <w:pPr>
              <w:rPr>
                <w:bCs/>
                <w:color w:val="000000" w:themeColor="text1"/>
                <w:lang w:val="en-US"/>
              </w:rPr>
            </w:pPr>
            <w:r w:rsidRPr="00D549EE">
              <w:rPr>
                <w:bCs/>
                <w:color w:val="000000" w:themeColor="text1"/>
                <w:lang w:val="en-US"/>
              </w:rPr>
              <w:t>0.26</w:t>
            </w:r>
          </w:p>
        </w:tc>
      </w:tr>
      <w:tr w:rsidR="00D53CDC" w:rsidRPr="00D549EE" w14:paraId="733B5914" w14:textId="77777777" w:rsidTr="00D91946">
        <w:trPr>
          <w:trHeight w:val="344"/>
        </w:trPr>
        <w:tc>
          <w:tcPr>
            <w:tcW w:w="577" w:type="pct"/>
            <w:noWrap/>
            <w:hideMark/>
          </w:tcPr>
          <w:p w14:paraId="60A9FDB0" w14:textId="77777777" w:rsidR="00FF1CE4" w:rsidRPr="00D549EE" w:rsidRDefault="00FF1CE4" w:rsidP="00FF1CE4">
            <w:pPr>
              <w:rPr>
                <w:bCs/>
                <w:color w:val="000000" w:themeColor="text1"/>
                <w:lang w:val="en-US"/>
              </w:rPr>
            </w:pPr>
            <w:r w:rsidRPr="00D549EE">
              <w:rPr>
                <w:bCs/>
                <w:color w:val="000000" w:themeColor="text1"/>
                <w:lang w:val="en-US"/>
              </w:rPr>
              <w:t>3</w:t>
            </w:r>
          </w:p>
        </w:tc>
        <w:tc>
          <w:tcPr>
            <w:tcW w:w="570" w:type="pct"/>
            <w:noWrap/>
            <w:hideMark/>
          </w:tcPr>
          <w:p w14:paraId="74763727" w14:textId="77777777" w:rsidR="00FF1CE4" w:rsidRPr="00D549EE" w:rsidRDefault="00FF1CE4" w:rsidP="00FF1CE4">
            <w:pPr>
              <w:jc w:val="right"/>
              <w:rPr>
                <w:bCs/>
                <w:color w:val="000000" w:themeColor="text1"/>
                <w:lang w:val="en-US"/>
              </w:rPr>
            </w:pPr>
            <w:r w:rsidRPr="00D549EE">
              <w:rPr>
                <w:bCs/>
                <w:color w:val="000000" w:themeColor="text1"/>
                <w:lang w:val="en-US"/>
              </w:rPr>
              <w:t>0.14</w:t>
            </w:r>
          </w:p>
        </w:tc>
        <w:tc>
          <w:tcPr>
            <w:tcW w:w="572" w:type="pct"/>
            <w:noWrap/>
            <w:hideMark/>
          </w:tcPr>
          <w:p w14:paraId="762EDAC9" w14:textId="77777777" w:rsidR="00FF1CE4" w:rsidRPr="00D549EE" w:rsidRDefault="00FF1CE4" w:rsidP="00FF1CE4">
            <w:pPr>
              <w:jc w:val="right"/>
              <w:rPr>
                <w:bCs/>
                <w:color w:val="000000" w:themeColor="text1"/>
                <w:lang w:val="en-US"/>
              </w:rPr>
            </w:pPr>
            <w:r w:rsidRPr="00D549EE">
              <w:rPr>
                <w:bCs/>
                <w:color w:val="000000" w:themeColor="text1"/>
                <w:lang w:val="en-US"/>
              </w:rPr>
              <w:t>0.14</w:t>
            </w:r>
          </w:p>
        </w:tc>
        <w:tc>
          <w:tcPr>
            <w:tcW w:w="570" w:type="pct"/>
            <w:noWrap/>
            <w:hideMark/>
          </w:tcPr>
          <w:p w14:paraId="7E8C4887" w14:textId="7777777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60" w:type="pct"/>
            <w:noWrap/>
            <w:hideMark/>
          </w:tcPr>
          <w:p w14:paraId="66C75874" w14:textId="77777777" w:rsidR="00FF1CE4" w:rsidRPr="00D549EE" w:rsidRDefault="00FF1CE4" w:rsidP="00FF1CE4">
            <w:pPr>
              <w:jc w:val="right"/>
              <w:rPr>
                <w:bCs/>
                <w:color w:val="000000" w:themeColor="text1"/>
                <w:lang w:val="en-US"/>
              </w:rPr>
            </w:pPr>
            <w:r w:rsidRPr="00D549EE">
              <w:rPr>
                <w:bCs/>
                <w:color w:val="000000" w:themeColor="text1"/>
                <w:lang w:val="en-US"/>
              </w:rPr>
              <w:t>7.00</w:t>
            </w:r>
          </w:p>
        </w:tc>
        <w:tc>
          <w:tcPr>
            <w:tcW w:w="681" w:type="pct"/>
            <w:noWrap/>
            <w:hideMark/>
          </w:tcPr>
          <w:p w14:paraId="08994C43" w14:textId="77777777" w:rsidR="00FF1CE4" w:rsidRPr="00D549EE" w:rsidRDefault="00FF1CE4" w:rsidP="00FF1CE4">
            <w:pPr>
              <w:jc w:val="right"/>
              <w:rPr>
                <w:bCs/>
                <w:color w:val="000000" w:themeColor="text1"/>
                <w:lang w:val="en-US"/>
              </w:rPr>
            </w:pPr>
            <w:r w:rsidRPr="00D549EE">
              <w:rPr>
                <w:bCs/>
                <w:color w:val="000000" w:themeColor="text1"/>
                <w:lang w:val="en-US"/>
              </w:rPr>
              <w:t>8.00</w:t>
            </w:r>
          </w:p>
        </w:tc>
        <w:tc>
          <w:tcPr>
            <w:tcW w:w="453" w:type="pct"/>
            <w:noWrap/>
            <w:hideMark/>
          </w:tcPr>
          <w:p w14:paraId="7C0F4BF3" w14:textId="77777777" w:rsidR="00FF1CE4" w:rsidRPr="00D549EE" w:rsidRDefault="00FF1CE4" w:rsidP="00FF1CE4">
            <w:pPr>
              <w:jc w:val="right"/>
              <w:rPr>
                <w:bCs/>
                <w:color w:val="000000" w:themeColor="text1"/>
                <w:lang w:val="en-US"/>
              </w:rPr>
            </w:pPr>
            <w:r w:rsidRPr="00D549EE">
              <w:rPr>
                <w:bCs/>
                <w:color w:val="000000" w:themeColor="text1"/>
                <w:lang w:val="en-US"/>
              </w:rPr>
              <w:t>9.00</w:t>
            </w:r>
          </w:p>
        </w:tc>
        <w:tc>
          <w:tcPr>
            <w:tcW w:w="1017" w:type="pct"/>
          </w:tcPr>
          <w:p w14:paraId="71E1B085" w14:textId="77777777" w:rsidR="00FF1CE4" w:rsidRPr="00D549EE" w:rsidRDefault="00FF1CE4" w:rsidP="00FF1CE4">
            <w:pPr>
              <w:rPr>
                <w:bCs/>
                <w:color w:val="000000" w:themeColor="text1"/>
                <w:lang w:val="en-US"/>
              </w:rPr>
            </w:pPr>
            <w:r w:rsidRPr="00D549EE">
              <w:rPr>
                <w:bCs/>
                <w:color w:val="000000" w:themeColor="text1"/>
                <w:lang w:val="en-US"/>
              </w:rPr>
              <w:t>0.14</w:t>
            </w:r>
          </w:p>
        </w:tc>
      </w:tr>
      <w:tr w:rsidR="00D53CDC" w:rsidRPr="00D549EE" w14:paraId="5B853F5D" w14:textId="77777777" w:rsidTr="00D91946">
        <w:trPr>
          <w:trHeight w:val="344"/>
        </w:trPr>
        <w:tc>
          <w:tcPr>
            <w:tcW w:w="577" w:type="pct"/>
            <w:noWrap/>
            <w:hideMark/>
          </w:tcPr>
          <w:p w14:paraId="46D53D77" w14:textId="77777777" w:rsidR="00FF1CE4" w:rsidRPr="00D549EE" w:rsidRDefault="00FF1CE4" w:rsidP="00FF1CE4">
            <w:pPr>
              <w:rPr>
                <w:bCs/>
                <w:color w:val="000000" w:themeColor="text1"/>
                <w:lang w:val="en-US"/>
              </w:rPr>
            </w:pPr>
            <w:r w:rsidRPr="00D549EE">
              <w:rPr>
                <w:bCs/>
                <w:color w:val="000000" w:themeColor="text1"/>
                <w:lang w:val="en-US"/>
              </w:rPr>
              <w:t>4</w:t>
            </w:r>
          </w:p>
        </w:tc>
        <w:tc>
          <w:tcPr>
            <w:tcW w:w="570" w:type="pct"/>
            <w:noWrap/>
            <w:hideMark/>
          </w:tcPr>
          <w:p w14:paraId="7DA3D8F7" w14:textId="77777777" w:rsidR="00FF1CE4" w:rsidRPr="00D549EE" w:rsidRDefault="00FF1CE4" w:rsidP="00FF1CE4">
            <w:pPr>
              <w:jc w:val="right"/>
              <w:rPr>
                <w:bCs/>
                <w:color w:val="000000" w:themeColor="text1"/>
                <w:lang w:val="en-US"/>
              </w:rPr>
            </w:pPr>
            <w:r w:rsidRPr="00D549EE">
              <w:rPr>
                <w:bCs/>
                <w:color w:val="000000" w:themeColor="text1"/>
                <w:lang w:val="en-US"/>
              </w:rPr>
              <w:t>0.11</w:t>
            </w:r>
          </w:p>
        </w:tc>
        <w:tc>
          <w:tcPr>
            <w:tcW w:w="572" w:type="pct"/>
            <w:noWrap/>
            <w:hideMark/>
          </w:tcPr>
          <w:p w14:paraId="11C77AAA" w14:textId="77777777" w:rsidR="00FF1CE4" w:rsidRPr="00D549EE" w:rsidRDefault="00FF1CE4" w:rsidP="00FF1CE4">
            <w:pPr>
              <w:jc w:val="right"/>
              <w:rPr>
                <w:bCs/>
                <w:color w:val="000000" w:themeColor="text1"/>
                <w:lang w:val="en-US"/>
              </w:rPr>
            </w:pPr>
            <w:r w:rsidRPr="00D549EE">
              <w:rPr>
                <w:bCs/>
                <w:color w:val="000000" w:themeColor="text1"/>
                <w:lang w:val="en-US"/>
              </w:rPr>
              <w:t>0.17</w:t>
            </w:r>
          </w:p>
        </w:tc>
        <w:tc>
          <w:tcPr>
            <w:tcW w:w="570" w:type="pct"/>
            <w:noWrap/>
            <w:hideMark/>
          </w:tcPr>
          <w:p w14:paraId="2CB973D9" w14:textId="77777777" w:rsidR="00FF1CE4" w:rsidRPr="00D549EE" w:rsidRDefault="00FF1CE4" w:rsidP="00FF1CE4">
            <w:pPr>
              <w:jc w:val="right"/>
              <w:rPr>
                <w:bCs/>
                <w:color w:val="000000" w:themeColor="text1"/>
                <w:lang w:val="en-US"/>
              </w:rPr>
            </w:pPr>
            <w:r w:rsidRPr="00D549EE">
              <w:rPr>
                <w:bCs/>
                <w:color w:val="000000" w:themeColor="text1"/>
                <w:lang w:val="en-US"/>
              </w:rPr>
              <w:t>0.14</w:t>
            </w:r>
          </w:p>
        </w:tc>
        <w:tc>
          <w:tcPr>
            <w:tcW w:w="560" w:type="pct"/>
            <w:noWrap/>
            <w:hideMark/>
          </w:tcPr>
          <w:p w14:paraId="619E0620" w14:textId="7777777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681" w:type="pct"/>
            <w:noWrap/>
            <w:hideMark/>
          </w:tcPr>
          <w:p w14:paraId="065DDF9B" w14:textId="77777777" w:rsidR="00FF1CE4" w:rsidRPr="00D549EE" w:rsidRDefault="00FF1CE4" w:rsidP="00FF1CE4">
            <w:pPr>
              <w:jc w:val="right"/>
              <w:rPr>
                <w:bCs/>
                <w:color w:val="000000" w:themeColor="text1"/>
                <w:lang w:val="en-US"/>
              </w:rPr>
            </w:pPr>
            <w:r w:rsidRPr="00D549EE">
              <w:rPr>
                <w:bCs/>
                <w:color w:val="000000" w:themeColor="text1"/>
                <w:lang w:val="en-US"/>
              </w:rPr>
              <w:t>6.00</w:t>
            </w:r>
          </w:p>
        </w:tc>
        <w:tc>
          <w:tcPr>
            <w:tcW w:w="453" w:type="pct"/>
            <w:noWrap/>
            <w:hideMark/>
          </w:tcPr>
          <w:p w14:paraId="5A57F8F3" w14:textId="77777777" w:rsidR="00FF1CE4" w:rsidRPr="00D549EE" w:rsidRDefault="00FF1CE4" w:rsidP="00FF1CE4">
            <w:pPr>
              <w:jc w:val="right"/>
              <w:rPr>
                <w:bCs/>
                <w:color w:val="000000" w:themeColor="text1"/>
                <w:lang w:val="en-US"/>
              </w:rPr>
            </w:pPr>
            <w:r w:rsidRPr="00D549EE">
              <w:rPr>
                <w:bCs/>
                <w:color w:val="000000" w:themeColor="text1"/>
                <w:lang w:val="en-US"/>
              </w:rPr>
              <w:t>7.00</w:t>
            </w:r>
          </w:p>
        </w:tc>
        <w:tc>
          <w:tcPr>
            <w:tcW w:w="1017" w:type="pct"/>
          </w:tcPr>
          <w:p w14:paraId="7BF67297" w14:textId="77777777" w:rsidR="00FF1CE4" w:rsidRPr="00D549EE" w:rsidRDefault="00FF1CE4" w:rsidP="00FF1CE4">
            <w:pPr>
              <w:rPr>
                <w:bCs/>
                <w:color w:val="000000" w:themeColor="text1"/>
                <w:lang w:val="en-US"/>
              </w:rPr>
            </w:pPr>
            <w:r w:rsidRPr="00D549EE">
              <w:rPr>
                <w:bCs/>
                <w:color w:val="000000" w:themeColor="text1"/>
                <w:lang w:val="en-US"/>
              </w:rPr>
              <w:t>0.07</w:t>
            </w:r>
          </w:p>
        </w:tc>
      </w:tr>
      <w:tr w:rsidR="00D53CDC" w:rsidRPr="00D549EE" w14:paraId="55AE2315" w14:textId="77777777" w:rsidTr="00D91946">
        <w:trPr>
          <w:trHeight w:val="344"/>
        </w:trPr>
        <w:tc>
          <w:tcPr>
            <w:tcW w:w="577" w:type="pct"/>
            <w:noWrap/>
            <w:hideMark/>
          </w:tcPr>
          <w:p w14:paraId="21DCC0DB" w14:textId="77777777" w:rsidR="00FF1CE4" w:rsidRPr="00D549EE" w:rsidRDefault="00FF1CE4" w:rsidP="00FF1CE4">
            <w:pPr>
              <w:rPr>
                <w:bCs/>
                <w:color w:val="000000" w:themeColor="text1"/>
                <w:lang w:val="en-US"/>
              </w:rPr>
            </w:pPr>
            <w:r w:rsidRPr="00D549EE">
              <w:rPr>
                <w:bCs/>
                <w:color w:val="000000" w:themeColor="text1"/>
                <w:lang w:val="en-US"/>
              </w:rPr>
              <w:t>5</w:t>
            </w:r>
          </w:p>
        </w:tc>
        <w:tc>
          <w:tcPr>
            <w:tcW w:w="570" w:type="pct"/>
            <w:noWrap/>
            <w:hideMark/>
          </w:tcPr>
          <w:p w14:paraId="2CDF64E1" w14:textId="77777777" w:rsidR="00FF1CE4" w:rsidRPr="00D549EE" w:rsidRDefault="00FF1CE4" w:rsidP="00FF1CE4">
            <w:pPr>
              <w:jc w:val="right"/>
              <w:rPr>
                <w:bCs/>
                <w:color w:val="000000" w:themeColor="text1"/>
                <w:lang w:val="en-US"/>
              </w:rPr>
            </w:pPr>
            <w:r w:rsidRPr="00D549EE">
              <w:rPr>
                <w:bCs/>
                <w:color w:val="000000" w:themeColor="text1"/>
                <w:lang w:val="en-US"/>
              </w:rPr>
              <w:t>0.17</w:t>
            </w:r>
          </w:p>
        </w:tc>
        <w:tc>
          <w:tcPr>
            <w:tcW w:w="572" w:type="pct"/>
            <w:noWrap/>
            <w:hideMark/>
          </w:tcPr>
          <w:p w14:paraId="112DE4FB" w14:textId="77777777" w:rsidR="00FF1CE4" w:rsidRPr="00D549EE" w:rsidRDefault="00FF1CE4" w:rsidP="00FF1CE4">
            <w:pPr>
              <w:jc w:val="right"/>
              <w:rPr>
                <w:bCs/>
                <w:color w:val="000000" w:themeColor="text1"/>
                <w:lang w:val="en-US"/>
              </w:rPr>
            </w:pPr>
            <w:r w:rsidRPr="00D549EE">
              <w:rPr>
                <w:bCs/>
                <w:color w:val="000000" w:themeColor="text1"/>
                <w:lang w:val="en-US"/>
              </w:rPr>
              <w:t>0.14</w:t>
            </w:r>
          </w:p>
        </w:tc>
        <w:tc>
          <w:tcPr>
            <w:tcW w:w="570" w:type="pct"/>
            <w:noWrap/>
            <w:hideMark/>
          </w:tcPr>
          <w:p w14:paraId="28B63179" w14:textId="77777777" w:rsidR="00FF1CE4" w:rsidRPr="00D549EE" w:rsidRDefault="00FF1CE4" w:rsidP="00FF1CE4">
            <w:pPr>
              <w:jc w:val="right"/>
              <w:rPr>
                <w:bCs/>
                <w:color w:val="000000" w:themeColor="text1"/>
                <w:lang w:val="en-US"/>
              </w:rPr>
            </w:pPr>
            <w:r w:rsidRPr="00D549EE">
              <w:rPr>
                <w:bCs/>
                <w:color w:val="000000" w:themeColor="text1"/>
                <w:lang w:val="en-US"/>
              </w:rPr>
              <w:t>0.13</w:t>
            </w:r>
          </w:p>
        </w:tc>
        <w:tc>
          <w:tcPr>
            <w:tcW w:w="560" w:type="pct"/>
            <w:noWrap/>
            <w:hideMark/>
          </w:tcPr>
          <w:p w14:paraId="7094C2F3" w14:textId="77777777" w:rsidR="00FF1CE4" w:rsidRPr="00D549EE" w:rsidRDefault="00FF1CE4" w:rsidP="00FF1CE4">
            <w:pPr>
              <w:jc w:val="right"/>
              <w:rPr>
                <w:bCs/>
                <w:color w:val="000000" w:themeColor="text1"/>
                <w:lang w:val="en-US"/>
              </w:rPr>
            </w:pPr>
            <w:r w:rsidRPr="00D549EE">
              <w:rPr>
                <w:bCs/>
                <w:color w:val="000000" w:themeColor="text1"/>
                <w:lang w:val="en-US"/>
              </w:rPr>
              <w:t>0.17</w:t>
            </w:r>
          </w:p>
        </w:tc>
        <w:tc>
          <w:tcPr>
            <w:tcW w:w="681" w:type="pct"/>
            <w:noWrap/>
            <w:hideMark/>
          </w:tcPr>
          <w:p w14:paraId="1607D5DF" w14:textId="7777777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453" w:type="pct"/>
            <w:noWrap/>
            <w:hideMark/>
          </w:tcPr>
          <w:p w14:paraId="45A48D93" w14:textId="77777777" w:rsidR="00FF1CE4" w:rsidRPr="00D549EE" w:rsidRDefault="00FF1CE4" w:rsidP="00FF1CE4">
            <w:pPr>
              <w:jc w:val="right"/>
              <w:rPr>
                <w:bCs/>
                <w:color w:val="000000" w:themeColor="text1"/>
                <w:lang w:val="en-US"/>
              </w:rPr>
            </w:pPr>
            <w:r w:rsidRPr="00D549EE">
              <w:rPr>
                <w:bCs/>
                <w:color w:val="000000" w:themeColor="text1"/>
                <w:lang w:val="en-US"/>
              </w:rPr>
              <w:t>8.00</w:t>
            </w:r>
          </w:p>
        </w:tc>
        <w:tc>
          <w:tcPr>
            <w:tcW w:w="1017" w:type="pct"/>
          </w:tcPr>
          <w:p w14:paraId="54D817C5" w14:textId="77777777" w:rsidR="00FF1CE4" w:rsidRPr="00D549EE" w:rsidRDefault="00FF1CE4" w:rsidP="00FF1CE4">
            <w:pPr>
              <w:rPr>
                <w:bCs/>
                <w:color w:val="000000" w:themeColor="text1"/>
                <w:lang w:val="en-US"/>
              </w:rPr>
            </w:pPr>
            <w:r w:rsidRPr="00D549EE">
              <w:rPr>
                <w:bCs/>
                <w:color w:val="000000" w:themeColor="text1"/>
                <w:lang w:val="en-US"/>
              </w:rPr>
              <w:t>0.04</w:t>
            </w:r>
          </w:p>
        </w:tc>
      </w:tr>
      <w:tr w:rsidR="00D53CDC" w:rsidRPr="00D549EE" w14:paraId="47A9B85D" w14:textId="77777777" w:rsidTr="00D91946">
        <w:trPr>
          <w:trHeight w:val="344"/>
        </w:trPr>
        <w:tc>
          <w:tcPr>
            <w:tcW w:w="577" w:type="pct"/>
            <w:noWrap/>
            <w:hideMark/>
          </w:tcPr>
          <w:p w14:paraId="1484C83B" w14:textId="77777777" w:rsidR="00FF1CE4" w:rsidRPr="00D549EE" w:rsidRDefault="00FF1CE4" w:rsidP="00FF1CE4">
            <w:pPr>
              <w:rPr>
                <w:bCs/>
                <w:color w:val="000000" w:themeColor="text1"/>
                <w:lang w:val="en-US"/>
              </w:rPr>
            </w:pPr>
            <w:r w:rsidRPr="00D549EE">
              <w:rPr>
                <w:bCs/>
                <w:color w:val="000000" w:themeColor="text1"/>
                <w:lang w:val="en-US"/>
              </w:rPr>
              <w:t>6</w:t>
            </w:r>
          </w:p>
        </w:tc>
        <w:tc>
          <w:tcPr>
            <w:tcW w:w="570" w:type="pct"/>
            <w:noWrap/>
            <w:hideMark/>
          </w:tcPr>
          <w:p w14:paraId="45022C9E" w14:textId="77777777" w:rsidR="00FF1CE4" w:rsidRPr="00D549EE" w:rsidRDefault="00FF1CE4" w:rsidP="00FF1CE4">
            <w:pPr>
              <w:jc w:val="right"/>
              <w:rPr>
                <w:bCs/>
                <w:color w:val="000000" w:themeColor="text1"/>
                <w:lang w:val="en-US"/>
              </w:rPr>
            </w:pPr>
            <w:r w:rsidRPr="00D549EE">
              <w:rPr>
                <w:bCs/>
                <w:color w:val="000000" w:themeColor="text1"/>
                <w:lang w:val="en-US"/>
              </w:rPr>
              <w:t>0.13</w:t>
            </w:r>
          </w:p>
        </w:tc>
        <w:tc>
          <w:tcPr>
            <w:tcW w:w="572" w:type="pct"/>
            <w:noWrap/>
            <w:hideMark/>
          </w:tcPr>
          <w:p w14:paraId="7F76712D" w14:textId="77777777" w:rsidR="00FF1CE4" w:rsidRPr="00D549EE" w:rsidRDefault="00FF1CE4" w:rsidP="00FF1CE4">
            <w:pPr>
              <w:jc w:val="right"/>
              <w:rPr>
                <w:bCs/>
                <w:color w:val="000000" w:themeColor="text1"/>
                <w:lang w:val="en-US"/>
              </w:rPr>
            </w:pPr>
            <w:r w:rsidRPr="00D549EE">
              <w:rPr>
                <w:bCs/>
                <w:color w:val="000000" w:themeColor="text1"/>
                <w:lang w:val="en-US"/>
              </w:rPr>
              <w:t>0.13</w:t>
            </w:r>
          </w:p>
        </w:tc>
        <w:tc>
          <w:tcPr>
            <w:tcW w:w="570" w:type="pct"/>
            <w:noWrap/>
            <w:hideMark/>
          </w:tcPr>
          <w:p w14:paraId="7DE0CBFF" w14:textId="77777777" w:rsidR="00FF1CE4" w:rsidRPr="00D549EE" w:rsidRDefault="00FF1CE4" w:rsidP="00FF1CE4">
            <w:pPr>
              <w:jc w:val="right"/>
              <w:rPr>
                <w:bCs/>
                <w:color w:val="000000" w:themeColor="text1"/>
                <w:lang w:val="en-US"/>
              </w:rPr>
            </w:pPr>
            <w:r w:rsidRPr="00D549EE">
              <w:rPr>
                <w:bCs/>
                <w:color w:val="000000" w:themeColor="text1"/>
                <w:lang w:val="en-US"/>
              </w:rPr>
              <w:t>0.11</w:t>
            </w:r>
          </w:p>
        </w:tc>
        <w:tc>
          <w:tcPr>
            <w:tcW w:w="560" w:type="pct"/>
            <w:noWrap/>
            <w:hideMark/>
          </w:tcPr>
          <w:p w14:paraId="33FEF132" w14:textId="77777777" w:rsidR="00FF1CE4" w:rsidRPr="00D549EE" w:rsidRDefault="00FF1CE4" w:rsidP="00FF1CE4">
            <w:pPr>
              <w:jc w:val="right"/>
              <w:rPr>
                <w:bCs/>
                <w:color w:val="000000" w:themeColor="text1"/>
                <w:lang w:val="en-US"/>
              </w:rPr>
            </w:pPr>
            <w:r w:rsidRPr="00D549EE">
              <w:rPr>
                <w:bCs/>
                <w:color w:val="000000" w:themeColor="text1"/>
                <w:lang w:val="en-US"/>
              </w:rPr>
              <w:t>0.14</w:t>
            </w:r>
          </w:p>
        </w:tc>
        <w:tc>
          <w:tcPr>
            <w:tcW w:w="681" w:type="pct"/>
            <w:noWrap/>
            <w:hideMark/>
          </w:tcPr>
          <w:p w14:paraId="5677D2DF" w14:textId="77777777" w:rsidR="00FF1CE4" w:rsidRPr="00D549EE" w:rsidRDefault="00FF1CE4" w:rsidP="00FF1CE4">
            <w:pPr>
              <w:jc w:val="right"/>
              <w:rPr>
                <w:bCs/>
                <w:color w:val="000000" w:themeColor="text1"/>
                <w:lang w:val="en-US"/>
              </w:rPr>
            </w:pPr>
            <w:r w:rsidRPr="00D549EE">
              <w:rPr>
                <w:bCs/>
                <w:color w:val="000000" w:themeColor="text1"/>
                <w:lang w:val="en-US"/>
              </w:rPr>
              <w:t>0.13</w:t>
            </w:r>
          </w:p>
        </w:tc>
        <w:tc>
          <w:tcPr>
            <w:tcW w:w="453" w:type="pct"/>
            <w:noWrap/>
            <w:hideMark/>
          </w:tcPr>
          <w:p w14:paraId="4DE18855" w14:textId="7777777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1017" w:type="pct"/>
          </w:tcPr>
          <w:p w14:paraId="6037FE1E" w14:textId="77777777" w:rsidR="00FF1CE4" w:rsidRPr="00D549EE" w:rsidRDefault="00FF1CE4" w:rsidP="00FF1CE4">
            <w:pPr>
              <w:rPr>
                <w:bCs/>
                <w:color w:val="000000" w:themeColor="text1"/>
                <w:lang w:val="en-US"/>
              </w:rPr>
            </w:pPr>
            <w:r w:rsidRPr="00D549EE">
              <w:rPr>
                <w:bCs/>
                <w:color w:val="000000" w:themeColor="text1"/>
                <w:lang w:val="en-US"/>
              </w:rPr>
              <w:t>0.02</w:t>
            </w:r>
          </w:p>
        </w:tc>
      </w:tr>
      <w:tr w:rsidR="00D53CDC" w:rsidRPr="00D549EE" w14:paraId="6D32EB18" w14:textId="77777777" w:rsidTr="00D91946">
        <w:trPr>
          <w:trHeight w:val="344"/>
        </w:trPr>
        <w:tc>
          <w:tcPr>
            <w:tcW w:w="577" w:type="pct"/>
            <w:noWrap/>
          </w:tcPr>
          <w:p w14:paraId="524E6D41" w14:textId="7BB9D2FD" w:rsidR="00FF1CE4" w:rsidRPr="00D549EE" w:rsidRDefault="00FF1CE4" w:rsidP="00FF1CE4">
            <w:pPr>
              <w:rPr>
                <w:bCs/>
                <w:color w:val="000000" w:themeColor="text1"/>
                <w:lang w:val="en-US"/>
              </w:rPr>
            </w:pPr>
            <w:r w:rsidRPr="00D549EE">
              <w:rPr>
                <w:bCs/>
                <w:color w:val="000000" w:themeColor="text1"/>
                <w:lang w:val="en-US"/>
              </w:rPr>
              <w:t>Exp</w:t>
            </w:r>
            <w:r w:rsidR="007F2CBB" w:rsidRPr="00D549EE">
              <w:rPr>
                <w:bCs/>
                <w:color w:val="000000" w:themeColor="text1"/>
                <w:lang w:val="en-US"/>
              </w:rPr>
              <w:t xml:space="preserve">ert </w:t>
            </w:r>
            <w:r w:rsidRPr="00D549EE">
              <w:rPr>
                <w:bCs/>
                <w:color w:val="000000" w:themeColor="text1"/>
                <w:lang w:val="en-US"/>
              </w:rPr>
              <w:t>2</w:t>
            </w:r>
          </w:p>
        </w:tc>
        <w:tc>
          <w:tcPr>
            <w:tcW w:w="570" w:type="pct"/>
            <w:noWrap/>
          </w:tcPr>
          <w:p w14:paraId="25C243F0" w14:textId="63504310" w:rsidR="00FF1CE4" w:rsidRPr="00D549EE" w:rsidRDefault="00FF1CE4" w:rsidP="00FF1CE4">
            <w:pPr>
              <w:jc w:val="right"/>
              <w:rPr>
                <w:bCs/>
                <w:color w:val="000000" w:themeColor="text1"/>
                <w:lang w:val="en-US"/>
              </w:rPr>
            </w:pPr>
            <w:r w:rsidRPr="00D549EE">
              <w:rPr>
                <w:color w:val="000000" w:themeColor="text1"/>
                <w:lang w:val="en-US"/>
              </w:rPr>
              <w:t>1</w:t>
            </w:r>
          </w:p>
        </w:tc>
        <w:tc>
          <w:tcPr>
            <w:tcW w:w="572" w:type="pct"/>
            <w:noWrap/>
          </w:tcPr>
          <w:p w14:paraId="28B50231" w14:textId="1929AF15" w:rsidR="00FF1CE4" w:rsidRPr="00D549EE" w:rsidRDefault="00FF1CE4" w:rsidP="00FF1CE4">
            <w:pPr>
              <w:jc w:val="right"/>
              <w:rPr>
                <w:bCs/>
                <w:color w:val="000000" w:themeColor="text1"/>
                <w:lang w:val="en-US"/>
              </w:rPr>
            </w:pPr>
            <w:r w:rsidRPr="00D549EE">
              <w:rPr>
                <w:bCs/>
                <w:color w:val="000000" w:themeColor="text1"/>
                <w:lang w:val="en-US"/>
              </w:rPr>
              <w:t>2</w:t>
            </w:r>
          </w:p>
        </w:tc>
        <w:tc>
          <w:tcPr>
            <w:tcW w:w="570" w:type="pct"/>
            <w:noWrap/>
          </w:tcPr>
          <w:p w14:paraId="4321C786" w14:textId="6F2E6C2D" w:rsidR="00FF1CE4" w:rsidRPr="00D549EE" w:rsidRDefault="00FF1CE4" w:rsidP="00FF1CE4">
            <w:pPr>
              <w:jc w:val="right"/>
              <w:rPr>
                <w:bCs/>
                <w:color w:val="000000" w:themeColor="text1"/>
                <w:lang w:val="en-US"/>
              </w:rPr>
            </w:pPr>
            <w:r w:rsidRPr="00D549EE">
              <w:rPr>
                <w:bCs/>
                <w:color w:val="000000" w:themeColor="text1"/>
                <w:lang w:val="en-US"/>
              </w:rPr>
              <w:t>3</w:t>
            </w:r>
          </w:p>
        </w:tc>
        <w:tc>
          <w:tcPr>
            <w:tcW w:w="560" w:type="pct"/>
            <w:noWrap/>
          </w:tcPr>
          <w:p w14:paraId="01F04297" w14:textId="62F8F959" w:rsidR="00FF1CE4" w:rsidRPr="00D549EE" w:rsidRDefault="00FF1CE4" w:rsidP="00FF1CE4">
            <w:pPr>
              <w:jc w:val="right"/>
              <w:rPr>
                <w:bCs/>
                <w:color w:val="000000" w:themeColor="text1"/>
                <w:lang w:val="en-US"/>
              </w:rPr>
            </w:pPr>
            <w:r w:rsidRPr="00D549EE">
              <w:rPr>
                <w:bCs/>
                <w:color w:val="000000" w:themeColor="text1"/>
                <w:lang w:val="en-US"/>
              </w:rPr>
              <w:t>4</w:t>
            </w:r>
          </w:p>
        </w:tc>
        <w:tc>
          <w:tcPr>
            <w:tcW w:w="681" w:type="pct"/>
            <w:noWrap/>
          </w:tcPr>
          <w:p w14:paraId="79374556" w14:textId="0482C70B" w:rsidR="00FF1CE4" w:rsidRPr="00D549EE" w:rsidRDefault="00FF1CE4" w:rsidP="00FF1CE4">
            <w:pPr>
              <w:jc w:val="right"/>
              <w:rPr>
                <w:bCs/>
                <w:color w:val="000000" w:themeColor="text1"/>
                <w:lang w:val="en-US"/>
              </w:rPr>
            </w:pPr>
            <w:r w:rsidRPr="00D549EE">
              <w:rPr>
                <w:bCs/>
                <w:color w:val="000000" w:themeColor="text1"/>
                <w:lang w:val="en-US"/>
              </w:rPr>
              <w:t>5</w:t>
            </w:r>
          </w:p>
        </w:tc>
        <w:tc>
          <w:tcPr>
            <w:tcW w:w="453" w:type="pct"/>
            <w:noWrap/>
          </w:tcPr>
          <w:p w14:paraId="586BF412" w14:textId="281AA034" w:rsidR="00FF1CE4" w:rsidRPr="00D549EE" w:rsidRDefault="00FF1CE4" w:rsidP="00FF1CE4">
            <w:pPr>
              <w:jc w:val="right"/>
              <w:rPr>
                <w:bCs/>
                <w:color w:val="000000" w:themeColor="text1"/>
                <w:lang w:val="en-US"/>
              </w:rPr>
            </w:pPr>
            <w:r w:rsidRPr="00D549EE">
              <w:rPr>
                <w:bCs/>
                <w:color w:val="000000" w:themeColor="text1"/>
                <w:lang w:val="en-US"/>
              </w:rPr>
              <w:t>6</w:t>
            </w:r>
          </w:p>
        </w:tc>
        <w:tc>
          <w:tcPr>
            <w:tcW w:w="1017" w:type="pct"/>
          </w:tcPr>
          <w:p w14:paraId="407F42D0" w14:textId="2080AF01" w:rsidR="00FF1CE4" w:rsidRPr="00D549EE" w:rsidRDefault="00FF1CE4" w:rsidP="00FF1CE4">
            <w:pPr>
              <w:rPr>
                <w:bCs/>
                <w:color w:val="000000" w:themeColor="text1"/>
                <w:lang w:val="en-US"/>
              </w:rPr>
            </w:pPr>
            <w:r w:rsidRPr="00D549EE">
              <w:rPr>
                <w:bCs/>
                <w:color w:val="000000" w:themeColor="text1"/>
                <w:lang w:val="en-US"/>
              </w:rPr>
              <w:t>Scale of priorities</w:t>
            </w:r>
          </w:p>
        </w:tc>
      </w:tr>
      <w:tr w:rsidR="00D53CDC" w:rsidRPr="00D549EE" w14:paraId="12B96A0F" w14:textId="77777777" w:rsidTr="00D91946">
        <w:trPr>
          <w:trHeight w:val="344"/>
        </w:trPr>
        <w:tc>
          <w:tcPr>
            <w:tcW w:w="577" w:type="pct"/>
            <w:noWrap/>
          </w:tcPr>
          <w:p w14:paraId="5571E723" w14:textId="03C6711D" w:rsidR="00FF1CE4" w:rsidRPr="00D549EE" w:rsidRDefault="00FF1CE4" w:rsidP="00FF1CE4">
            <w:pPr>
              <w:rPr>
                <w:bCs/>
                <w:color w:val="000000" w:themeColor="text1"/>
                <w:lang w:val="en-US"/>
              </w:rPr>
            </w:pPr>
            <w:r w:rsidRPr="00D549EE">
              <w:rPr>
                <w:bCs/>
                <w:color w:val="000000" w:themeColor="text1"/>
                <w:lang w:val="en-US"/>
              </w:rPr>
              <w:t>1</w:t>
            </w:r>
          </w:p>
        </w:tc>
        <w:tc>
          <w:tcPr>
            <w:tcW w:w="570" w:type="pct"/>
            <w:noWrap/>
          </w:tcPr>
          <w:p w14:paraId="0DBD0774" w14:textId="6EEE1E6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72" w:type="pct"/>
            <w:noWrap/>
          </w:tcPr>
          <w:p w14:paraId="27D3A989" w14:textId="40115073" w:rsidR="00FF1CE4" w:rsidRPr="00D549EE" w:rsidRDefault="00FF1CE4" w:rsidP="00FF1CE4">
            <w:pPr>
              <w:jc w:val="right"/>
              <w:rPr>
                <w:bCs/>
                <w:color w:val="000000" w:themeColor="text1"/>
                <w:lang w:val="en-US"/>
              </w:rPr>
            </w:pPr>
            <w:r w:rsidRPr="00D549EE">
              <w:rPr>
                <w:bCs/>
                <w:color w:val="000000" w:themeColor="text1"/>
                <w:lang w:val="en-US"/>
              </w:rPr>
              <w:t>5.00</w:t>
            </w:r>
          </w:p>
        </w:tc>
        <w:tc>
          <w:tcPr>
            <w:tcW w:w="570" w:type="pct"/>
            <w:noWrap/>
          </w:tcPr>
          <w:p w14:paraId="7E1BAFAD" w14:textId="73482F81" w:rsidR="00FF1CE4" w:rsidRPr="00D549EE" w:rsidRDefault="00FF1CE4" w:rsidP="00FF1CE4">
            <w:pPr>
              <w:jc w:val="right"/>
              <w:rPr>
                <w:bCs/>
                <w:color w:val="000000" w:themeColor="text1"/>
                <w:lang w:val="en-US"/>
              </w:rPr>
            </w:pPr>
            <w:r w:rsidRPr="00D549EE">
              <w:rPr>
                <w:bCs/>
                <w:color w:val="000000" w:themeColor="text1"/>
                <w:lang w:val="en-US"/>
              </w:rPr>
              <w:t>0.17</w:t>
            </w:r>
          </w:p>
        </w:tc>
        <w:tc>
          <w:tcPr>
            <w:tcW w:w="560" w:type="pct"/>
            <w:noWrap/>
          </w:tcPr>
          <w:p w14:paraId="072F87EC" w14:textId="33535F00" w:rsidR="00FF1CE4" w:rsidRPr="00D549EE" w:rsidRDefault="00FF1CE4" w:rsidP="00FF1CE4">
            <w:pPr>
              <w:jc w:val="right"/>
              <w:rPr>
                <w:bCs/>
                <w:color w:val="000000" w:themeColor="text1"/>
                <w:lang w:val="en-US"/>
              </w:rPr>
            </w:pPr>
            <w:r w:rsidRPr="00D549EE">
              <w:rPr>
                <w:bCs/>
                <w:color w:val="000000" w:themeColor="text1"/>
                <w:lang w:val="en-US"/>
              </w:rPr>
              <w:t>1.00</w:t>
            </w:r>
          </w:p>
        </w:tc>
        <w:tc>
          <w:tcPr>
            <w:tcW w:w="681" w:type="pct"/>
            <w:noWrap/>
          </w:tcPr>
          <w:p w14:paraId="457E16D1" w14:textId="207055A6" w:rsidR="00FF1CE4" w:rsidRPr="00D549EE" w:rsidRDefault="00FF1CE4" w:rsidP="00FF1CE4">
            <w:pPr>
              <w:jc w:val="right"/>
              <w:rPr>
                <w:bCs/>
                <w:color w:val="000000" w:themeColor="text1"/>
                <w:lang w:val="en-US"/>
              </w:rPr>
            </w:pPr>
            <w:r w:rsidRPr="00D549EE">
              <w:rPr>
                <w:bCs/>
                <w:color w:val="000000" w:themeColor="text1"/>
                <w:lang w:val="en-US"/>
              </w:rPr>
              <w:t>7.00</w:t>
            </w:r>
          </w:p>
        </w:tc>
        <w:tc>
          <w:tcPr>
            <w:tcW w:w="453" w:type="pct"/>
            <w:noWrap/>
          </w:tcPr>
          <w:p w14:paraId="113E1E9B" w14:textId="10928232" w:rsidR="00FF1CE4" w:rsidRPr="00D549EE" w:rsidRDefault="00FF1CE4" w:rsidP="00FF1CE4">
            <w:pPr>
              <w:jc w:val="right"/>
              <w:rPr>
                <w:bCs/>
                <w:color w:val="000000" w:themeColor="text1"/>
                <w:lang w:val="en-US"/>
              </w:rPr>
            </w:pPr>
            <w:r w:rsidRPr="00D549EE">
              <w:rPr>
                <w:bCs/>
                <w:color w:val="000000" w:themeColor="text1"/>
                <w:lang w:val="en-US"/>
              </w:rPr>
              <w:t>7.00</w:t>
            </w:r>
          </w:p>
        </w:tc>
        <w:tc>
          <w:tcPr>
            <w:tcW w:w="1017" w:type="pct"/>
          </w:tcPr>
          <w:p w14:paraId="1728C926" w14:textId="5F99772D" w:rsidR="00FF1CE4" w:rsidRPr="00D549EE" w:rsidRDefault="00FF1CE4" w:rsidP="00FF1CE4">
            <w:pPr>
              <w:rPr>
                <w:bCs/>
                <w:color w:val="000000" w:themeColor="text1"/>
                <w:lang w:val="en-US"/>
              </w:rPr>
            </w:pPr>
            <w:r w:rsidRPr="00D549EE">
              <w:rPr>
                <w:bCs/>
                <w:color w:val="000000" w:themeColor="text1"/>
                <w:lang w:val="en-US"/>
              </w:rPr>
              <w:t>0.27</w:t>
            </w:r>
          </w:p>
        </w:tc>
      </w:tr>
      <w:tr w:rsidR="00D53CDC" w:rsidRPr="00D549EE" w14:paraId="50B1C374" w14:textId="77777777" w:rsidTr="00D91946">
        <w:trPr>
          <w:trHeight w:val="344"/>
        </w:trPr>
        <w:tc>
          <w:tcPr>
            <w:tcW w:w="577" w:type="pct"/>
            <w:noWrap/>
          </w:tcPr>
          <w:p w14:paraId="6E267E37" w14:textId="1D7DF056" w:rsidR="00FF1CE4" w:rsidRPr="00D549EE" w:rsidRDefault="00FF1CE4" w:rsidP="00FF1CE4">
            <w:pPr>
              <w:rPr>
                <w:bCs/>
                <w:color w:val="000000" w:themeColor="text1"/>
                <w:lang w:val="en-US"/>
              </w:rPr>
            </w:pPr>
            <w:r w:rsidRPr="00D549EE">
              <w:rPr>
                <w:bCs/>
                <w:color w:val="000000" w:themeColor="text1"/>
                <w:lang w:val="en-US"/>
              </w:rPr>
              <w:t>2</w:t>
            </w:r>
          </w:p>
        </w:tc>
        <w:tc>
          <w:tcPr>
            <w:tcW w:w="570" w:type="pct"/>
            <w:noWrap/>
          </w:tcPr>
          <w:p w14:paraId="55C4E9BB" w14:textId="0379D7CE" w:rsidR="00FF1CE4" w:rsidRPr="00D549EE" w:rsidRDefault="00FF1CE4" w:rsidP="00FF1CE4">
            <w:pPr>
              <w:jc w:val="right"/>
              <w:rPr>
                <w:bCs/>
                <w:color w:val="000000" w:themeColor="text1"/>
                <w:lang w:val="en-US"/>
              </w:rPr>
            </w:pPr>
            <w:r w:rsidRPr="00D549EE">
              <w:rPr>
                <w:bCs/>
                <w:color w:val="000000" w:themeColor="text1"/>
                <w:lang w:val="en-US"/>
              </w:rPr>
              <w:t>0.20</w:t>
            </w:r>
          </w:p>
        </w:tc>
        <w:tc>
          <w:tcPr>
            <w:tcW w:w="572" w:type="pct"/>
            <w:noWrap/>
          </w:tcPr>
          <w:p w14:paraId="7E479E8B" w14:textId="7458B50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70" w:type="pct"/>
            <w:noWrap/>
          </w:tcPr>
          <w:p w14:paraId="1C9A451E" w14:textId="0A25BA6B" w:rsidR="00FF1CE4" w:rsidRPr="00D549EE" w:rsidRDefault="00FF1CE4" w:rsidP="00FF1CE4">
            <w:pPr>
              <w:jc w:val="right"/>
              <w:rPr>
                <w:bCs/>
                <w:color w:val="000000" w:themeColor="text1"/>
                <w:lang w:val="en-US"/>
              </w:rPr>
            </w:pPr>
            <w:r w:rsidRPr="00D549EE">
              <w:rPr>
                <w:bCs/>
                <w:color w:val="000000" w:themeColor="text1"/>
                <w:lang w:val="en-US"/>
              </w:rPr>
              <w:t>0.50</w:t>
            </w:r>
          </w:p>
        </w:tc>
        <w:tc>
          <w:tcPr>
            <w:tcW w:w="560" w:type="pct"/>
            <w:noWrap/>
          </w:tcPr>
          <w:p w14:paraId="655A44DF" w14:textId="646D4B7F" w:rsidR="00FF1CE4" w:rsidRPr="00D549EE" w:rsidRDefault="00FF1CE4" w:rsidP="00FF1CE4">
            <w:pPr>
              <w:jc w:val="right"/>
              <w:rPr>
                <w:bCs/>
                <w:color w:val="000000" w:themeColor="text1"/>
                <w:lang w:val="en-US"/>
              </w:rPr>
            </w:pPr>
            <w:r w:rsidRPr="00D549EE">
              <w:rPr>
                <w:bCs/>
                <w:color w:val="000000" w:themeColor="text1"/>
                <w:lang w:val="en-US"/>
              </w:rPr>
              <w:t>1.00</w:t>
            </w:r>
          </w:p>
        </w:tc>
        <w:tc>
          <w:tcPr>
            <w:tcW w:w="681" w:type="pct"/>
            <w:noWrap/>
          </w:tcPr>
          <w:p w14:paraId="531108F6" w14:textId="4FF642EB" w:rsidR="00FF1CE4" w:rsidRPr="00D549EE" w:rsidRDefault="00FF1CE4" w:rsidP="00FF1CE4">
            <w:pPr>
              <w:jc w:val="right"/>
              <w:rPr>
                <w:bCs/>
                <w:color w:val="000000" w:themeColor="text1"/>
                <w:lang w:val="en-US"/>
              </w:rPr>
            </w:pPr>
            <w:r w:rsidRPr="00D549EE">
              <w:rPr>
                <w:bCs/>
                <w:color w:val="000000" w:themeColor="text1"/>
                <w:lang w:val="en-US"/>
              </w:rPr>
              <w:t>1.00</w:t>
            </w:r>
          </w:p>
        </w:tc>
        <w:tc>
          <w:tcPr>
            <w:tcW w:w="453" w:type="pct"/>
            <w:noWrap/>
          </w:tcPr>
          <w:p w14:paraId="4F919910" w14:textId="35720DE9" w:rsidR="00FF1CE4" w:rsidRPr="00D549EE" w:rsidRDefault="00FF1CE4" w:rsidP="00FF1CE4">
            <w:pPr>
              <w:jc w:val="right"/>
              <w:rPr>
                <w:bCs/>
                <w:color w:val="000000" w:themeColor="text1"/>
                <w:lang w:val="en-US"/>
              </w:rPr>
            </w:pPr>
            <w:r w:rsidRPr="00D549EE">
              <w:rPr>
                <w:bCs/>
                <w:color w:val="000000" w:themeColor="text1"/>
                <w:lang w:val="en-US"/>
              </w:rPr>
              <w:t>1.00</w:t>
            </w:r>
          </w:p>
        </w:tc>
        <w:tc>
          <w:tcPr>
            <w:tcW w:w="1017" w:type="pct"/>
          </w:tcPr>
          <w:p w14:paraId="1FA9D088" w14:textId="738C63A1" w:rsidR="00FF1CE4" w:rsidRPr="00D549EE" w:rsidRDefault="00FF1CE4" w:rsidP="00FF1CE4">
            <w:pPr>
              <w:rPr>
                <w:bCs/>
                <w:color w:val="000000" w:themeColor="text1"/>
                <w:lang w:val="en-US"/>
              </w:rPr>
            </w:pPr>
            <w:r w:rsidRPr="00D549EE">
              <w:rPr>
                <w:bCs/>
                <w:color w:val="000000" w:themeColor="text1"/>
                <w:lang w:val="en-US"/>
              </w:rPr>
              <w:t>0.10</w:t>
            </w:r>
          </w:p>
        </w:tc>
      </w:tr>
      <w:tr w:rsidR="00D53CDC" w:rsidRPr="00D549EE" w14:paraId="4CE6C05D" w14:textId="77777777" w:rsidTr="00D91946">
        <w:trPr>
          <w:trHeight w:val="344"/>
        </w:trPr>
        <w:tc>
          <w:tcPr>
            <w:tcW w:w="577" w:type="pct"/>
            <w:noWrap/>
          </w:tcPr>
          <w:p w14:paraId="4EA40F02" w14:textId="6BD71C55" w:rsidR="00FF1CE4" w:rsidRPr="00D549EE" w:rsidRDefault="00FF1CE4" w:rsidP="00FF1CE4">
            <w:pPr>
              <w:rPr>
                <w:bCs/>
                <w:color w:val="000000" w:themeColor="text1"/>
                <w:lang w:val="en-US"/>
              </w:rPr>
            </w:pPr>
            <w:r w:rsidRPr="00D549EE">
              <w:rPr>
                <w:bCs/>
                <w:color w:val="000000" w:themeColor="text1"/>
                <w:lang w:val="en-US"/>
              </w:rPr>
              <w:t>3</w:t>
            </w:r>
          </w:p>
        </w:tc>
        <w:tc>
          <w:tcPr>
            <w:tcW w:w="570" w:type="pct"/>
            <w:noWrap/>
          </w:tcPr>
          <w:p w14:paraId="06E09FB7" w14:textId="3666EB08" w:rsidR="00FF1CE4" w:rsidRPr="00D549EE" w:rsidRDefault="00FF1CE4" w:rsidP="00FF1CE4">
            <w:pPr>
              <w:jc w:val="right"/>
              <w:rPr>
                <w:bCs/>
                <w:color w:val="000000" w:themeColor="text1"/>
                <w:lang w:val="en-US"/>
              </w:rPr>
            </w:pPr>
            <w:r w:rsidRPr="00D549EE">
              <w:rPr>
                <w:bCs/>
                <w:color w:val="000000" w:themeColor="text1"/>
                <w:lang w:val="en-US"/>
              </w:rPr>
              <w:t>6.00</w:t>
            </w:r>
          </w:p>
        </w:tc>
        <w:tc>
          <w:tcPr>
            <w:tcW w:w="572" w:type="pct"/>
            <w:noWrap/>
          </w:tcPr>
          <w:p w14:paraId="725BD6BD" w14:textId="25535904" w:rsidR="00FF1CE4" w:rsidRPr="00D549EE" w:rsidRDefault="00FF1CE4" w:rsidP="00FF1CE4">
            <w:pPr>
              <w:jc w:val="right"/>
              <w:rPr>
                <w:bCs/>
                <w:color w:val="000000" w:themeColor="text1"/>
                <w:lang w:val="en-US"/>
              </w:rPr>
            </w:pPr>
            <w:r w:rsidRPr="00D549EE">
              <w:rPr>
                <w:bCs/>
                <w:color w:val="000000" w:themeColor="text1"/>
                <w:lang w:val="en-US"/>
              </w:rPr>
              <w:t>2.00</w:t>
            </w:r>
          </w:p>
        </w:tc>
        <w:tc>
          <w:tcPr>
            <w:tcW w:w="570" w:type="pct"/>
            <w:noWrap/>
          </w:tcPr>
          <w:p w14:paraId="484A17C1" w14:textId="098AB065"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60" w:type="pct"/>
            <w:noWrap/>
          </w:tcPr>
          <w:p w14:paraId="5D7E3422" w14:textId="289DC02D" w:rsidR="00FF1CE4" w:rsidRPr="00D549EE" w:rsidRDefault="00FF1CE4" w:rsidP="00FF1CE4">
            <w:pPr>
              <w:jc w:val="right"/>
              <w:rPr>
                <w:bCs/>
                <w:color w:val="000000" w:themeColor="text1"/>
                <w:lang w:val="en-US"/>
              </w:rPr>
            </w:pPr>
            <w:r w:rsidRPr="00D549EE">
              <w:rPr>
                <w:bCs/>
                <w:color w:val="000000" w:themeColor="text1"/>
                <w:lang w:val="en-US"/>
              </w:rPr>
              <w:t>5.00</w:t>
            </w:r>
          </w:p>
        </w:tc>
        <w:tc>
          <w:tcPr>
            <w:tcW w:w="681" w:type="pct"/>
            <w:noWrap/>
          </w:tcPr>
          <w:p w14:paraId="4DA2E134" w14:textId="46E23BA4" w:rsidR="00FF1CE4" w:rsidRPr="00D549EE" w:rsidRDefault="00FF1CE4" w:rsidP="00FF1CE4">
            <w:pPr>
              <w:jc w:val="right"/>
              <w:rPr>
                <w:bCs/>
                <w:color w:val="000000" w:themeColor="text1"/>
                <w:lang w:val="en-US"/>
              </w:rPr>
            </w:pPr>
            <w:r w:rsidRPr="00D549EE">
              <w:rPr>
                <w:bCs/>
                <w:color w:val="000000" w:themeColor="text1"/>
                <w:lang w:val="en-US"/>
              </w:rPr>
              <w:t>1.00</w:t>
            </w:r>
          </w:p>
        </w:tc>
        <w:tc>
          <w:tcPr>
            <w:tcW w:w="453" w:type="pct"/>
            <w:noWrap/>
          </w:tcPr>
          <w:p w14:paraId="7CA67475" w14:textId="7016CC61" w:rsidR="00FF1CE4" w:rsidRPr="00D549EE" w:rsidRDefault="00FF1CE4" w:rsidP="00FF1CE4">
            <w:pPr>
              <w:jc w:val="right"/>
              <w:rPr>
                <w:bCs/>
                <w:color w:val="000000" w:themeColor="text1"/>
                <w:lang w:val="en-US"/>
              </w:rPr>
            </w:pPr>
            <w:r w:rsidRPr="00D549EE">
              <w:rPr>
                <w:bCs/>
                <w:color w:val="000000" w:themeColor="text1"/>
                <w:lang w:val="en-US"/>
              </w:rPr>
              <w:t>1.00</w:t>
            </w:r>
          </w:p>
        </w:tc>
        <w:tc>
          <w:tcPr>
            <w:tcW w:w="1017" w:type="pct"/>
          </w:tcPr>
          <w:p w14:paraId="18CEB447" w14:textId="35ABA238" w:rsidR="00FF1CE4" w:rsidRPr="00D549EE" w:rsidRDefault="00FF1CE4" w:rsidP="00FF1CE4">
            <w:pPr>
              <w:rPr>
                <w:bCs/>
                <w:color w:val="000000" w:themeColor="text1"/>
                <w:lang w:val="en-US"/>
              </w:rPr>
            </w:pPr>
            <w:r w:rsidRPr="00D549EE">
              <w:rPr>
                <w:bCs/>
                <w:color w:val="000000" w:themeColor="text1"/>
                <w:lang w:val="en-US"/>
              </w:rPr>
              <w:t>0.29</w:t>
            </w:r>
          </w:p>
        </w:tc>
      </w:tr>
      <w:tr w:rsidR="00D53CDC" w:rsidRPr="00D549EE" w14:paraId="1D120DC6" w14:textId="77777777" w:rsidTr="00D91946">
        <w:trPr>
          <w:trHeight w:val="344"/>
        </w:trPr>
        <w:tc>
          <w:tcPr>
            <w:tcW w:w="577" w:type="pct"/>
            <w:noWrap/>
          </w:tcPr>
          <w:p w14:paraId="4B6E8EF2" w14:textId="147B1749" w:rsidR="00FF1CE4" w:rsidRPr="00D549EE" w:rsidRDefault="00FF1CE4" w:rsidP="00FF1CE4">
            <w:pPr>
              <w:rPr>
                <w:bCs/>
                <w:color w:val="000000" w:themeColor="text1"/>
                <w:lang w:val="en-US"/>
              </w:rPr>
            </w:pPr>
            <w:r w:rsidRPr="00D549EE">
              <w:rPr>
                <w:bCs/>
                <w:color w:val="000000" w:themeColor="text1"/>
                <w:lang w:val="en-US"/>
              </w:rPr>
              <w:t>4</w:t>
            </w:r>
          </w:p>
        </w:tc>
        <w:tc>
          <w:tcPr>
            <w:tcW w:w="570" w:type="pct"/>
            <w:noWrap/>
          </w:tcPr>
          <w:p w14:paraId="6B6EA79D" w14:textId="5139164C"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72" w:type="pct"/>
            <w:noWrap/>
          </w:tcPr>
          <w:p w14:paraId="0F2119BD" w14:textId="1619461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70" w:type="pct"/>
            <w:noWrap/>
          </w:tcPr>
          <w:p w14:paraId="03E52A20" w14:textId="62A2AA15" w:rsidR="00FF1CE4" w:rsidRPr="00D549EE" w:rsidRDefault="00FF1CE4" w:rsidP="00FF1CE4">
            <w:pPr>
              <w:jc w:val="right"/>
              <w:rPr>
                <w:bCs/>
                <w:color w:val="000000" w:themeColor="text1"/>
                <w:lang w:val="en-US"/>
              </w:rPr>
            </w:pPr>
            <w:r w:rsidRPr="00D549EE">
              <w:rPr>
                <w:bCs/>
                <w:color w:val="000000" w:themeColor="text1"/>
                <w:lang w:val="en-US"/>
              </w:rPr>
              <w:t>0.20</w:t>
            </w:r>
          </w:p>
        </w:tc>
        <w:tc>
          <w:tcPr>
            <w:tcW w:w="560" w:type="pct"/>
            <w:noWrap/>
          </w:tcPr>
          <w:p w14:paraId="098DC586" w14:textId="1563DDA5" w:rsidR="00FF1CE4" w:rsidRPr="00D549EE" w:rsidRDefault="00FF1CE4" w:rsidP="00FF1CE4">
            <w:pPr>
              <w:jc w:val="right"/>
              <w:rPr>
                <w:bCs/>
                <w:color w:val="000000" w:themeColor="text1"/>
                <w:lang w:val="en-US"/>
              </w:rPr>
            </w:pPr>
            <w:r w:rsidRPr="00D549EE">
              <w:rPr>
                <w:bCs/>
                <w:color w:val="000000" w:themeColor="text1"/>
                <w:lang w:val="en-US"/>
              </w:rPr>
              <w:t>1.00</w:t>
            </w:r>
          </w:p>
        </w:tc>
        <w:tc>
          <w:tcPr>
            <w:tcW w:w="681" w:type="pct"/>
            <w:noWrap/>
          </w:tcPr>
          <w:p w14:paraId="1EDF6C7D" w14:textId="333AB9A4" w:rsidR="00FF1CE4" w:rsidRPr="00D549EE" w:rsidRDefault="00FF1CE4" w:rsidP="00FF1CE4">
            <w:pPr>
              <w:jc w:val="right"/>
              <w:rPr>
                <w:bCs/>
                <w:color w:val="000000" w:themeColor="text1"/>
                <w:lang w:val="en-US"/>
              </w:rPr>
            </w:pPr>
            <w:r w:rsidRPr="00D549EE">
              <w:rPr>
                <w:bCs/>
                <w:color w:val="000000" w:themeColor="text1"/>
                <w:lang w:val="en-US"/>
              </w:rPr>
              <w:t>5.00</w:t>
            </w:r>
          </w:p>
        </w:tc>
        <w:tc>
          <w:tcPr>
            <w:tcW w:w="453" w:type="pct"/>
            <w:noWrap/>
          </w:tcPr>
          <w:p w14:paraId="7C51C3D5" w14:textId="6EF092FB" w:rsidR="00FF1CE4" w:rsidRPr="00D549EE" w:rsidRDefault="00FF1CE4" w:rsidP="00FF1CE4">
            <w:pPr>
              <w:jc w:val="right"/>
              <w:rPr>
                <w:bCs/>
                <w:color w:val="000000" w:themeColor="text1"/>
                <w:lang w:val="en-US"/>
              </w:rPr>
            </w:pPr>
            <w:r w:rsidRPr="00D549EE">
              <w:rPr>
                <w:bCs/>
                <w:color w:val="000000" w:themeColor="text1"/>
                <w:lang w:val="en-US"/>
              </w:rPr>
              <w:t>5.00</w:t>
            </w:r>
          </w:p>
        </w:tc>
        <w:tc>
          <w:tcPr>
            <w:tcW w:w="1017" w:type="pct"/>
          </w:tcPr>
          <w:p w14:paraId="67D2CD12" w14:textId="1E438F30" w:rsidR="00FF1CE4" w:rsidRPr="00D549EE" w:rsidRDefault="00FF1CE4" w:rsidP="00FF1CE4">
            <w:pPr>
              <w:rPr>
                <w:bCs/>
                <w:color w:val="000000" w:themeColor="text1"/>
                <w:lang w:val="en-US"/>
              </w:rPr>
            </w:pPr>
            <w:r w:rsidRPr="00D549EE">
              <w:rPr>
                <w:bCs/>
                <w:color w:val="000000" w:themeColor="text1"/>
                <w:lang w:val="en-US"/>
              </w:rPr>
              <w:t>0.19</w:t>
            </w:r>
          </w:p>
        </w:tc>
      </w:tr>
      <w:tr w:rsidR="00D53CDC" w:rsidRPr="00D549EE" w14:paraId="15100C96" w14:textId="77777777" w:rsidTr="00D91946">
        <w:trPr>
          <w:trHeight w:val="344"/>
        </w:trPr>
        <w:tc>
          <w:tcPr>
            <w:tcW w:w="577" w:type="pct"/>
            <w:noWrap/>
          </w:tcPr>
          <w:p w14:paraId="58A71D6D" w14:textId="20D8DC69" w:rsidR="00FF1CE4" w:rsidRPr="00D549EE" w:rsidRDefault="00FF1CE4" w:rsidP="00FF1CE4">
            <w:pPr>
              <w:rPr>
                <w:bCs/>
                <w:color w:val="000000" w:themeColor="text1"/>
                <w:lang w:val="en-US"/>
              </w:rPr>
            </w:pPr>
            <w:r w:rsidRPr="00D549EE">
              <w:rPr>
                <w:bCs/>
                <w:color w:val="000000" w:themeColor="text1"/>
                <w:lang w:val="en-US"/>
              </w:rPr>
              <w:t>5</w:t>
            </w:r>
          </w:p>
        </w:tc>
        <w:tc>
          <w:tcPr>
            <w:tcW w:w="570" w:type="pct"/>
            <w:noWrap/>
          </w:tcPr>
          <w:p w14:paraId="1E20B6CA" w14:textId="3A8C75EC" w:rsidR="00FF1CE4" w:rsidRPr="00D549EE" w:rsidRDefault="00FF1CE4" w:rsidP="00FF1CE4">
            <w:pPr>
              <w:jc w:val="right"/>
              <w:rPr>
                <w:bCs/>
                <w:color w:val="000000" w:themeColor="text1"/>
                <w:lang w:val="en-US"/>
              </w:rPr>
            </w:pPr>
            <w:r w:rsidRPr="00D549EE">
              <w:rPr>
                <w:bCs/>
                <w:color w:val="000000" w:themeColor="text1"/>
                <w:lang w:val="en-US"/>
              </w:rPr>
              <w:t>0.14</w:t>
            </w:r>
          </w:p>
        </w:tc>
        <w:tc>
          <w:tcPr>
            <w:tcW w:w="572" w:type="pct"/>
            <w:noWrap/>
          </w:tcPr>
          <w:p w14:paraId="68113534" w14:textId="3994A70A"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70" w:type="pct"/>
            <w:noWrap/>
          </w:tcPr>
          <w:p w14:paraId="7732F337" w14:textId="16D90F5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60" w:type="pct"/>
            <w:noWrap/>
          </w:tcPr>
          <w:p w14:paraId="78A97153" w14:textId="202E34E1" w:rsidR="00FF1CE4" w:rsidRPr="00D549EE" w:rsidRDefault="00FF1CE4" w:rsidP="00FF1CE4">
            <w:pPr>
              <w:jc w:val="right"/>
              <w:rPr>
                <w:bCs/>
                <w:color w:val="000000" w:themeColor="text1"/>
                <w:lang w:val="en-US"/>
              </w:rPr>
            </w:pPr>
            <w:r w:rsidRPr="00D549EE">
              <w:rPr>
                <w:bCs/>
                <w:color w:val="000000" w:themeColor="text1"/>
                <w:lang w:val="en-US"/>
              </w:rPr>
              <w:t>0.20</w:t>
            </w:r>
          </w:p>
        </w:tc>
        <w:tc>
          <w:tcPr>
            <w:tcW w:w="681" w:type="pct"/>
            <w:noWrap/>
          </w:tcPr>
          <w:p w14:paraId="176D702C" w14:textId="27AF5F07" w:rsidR="00FF1CE4" w:rsidRPr="00D549EE" w:rsidRDefault="00FF1CE4" w:rsidP="00FF1CE4">
            <w:pPr>
              <w:jc w:val="right"/>
              <w:rPr>
                <w:bCs/>
                <w:color w:val="000000" w:themeColor="text1"/>
                <w:lang w:val="en-US"/>
              </w:rPr>
            </w:pPr>
            <w:r w:rsidRPr="00D549EE">
              <w:rPr>
                <w:bCs/>
                <w:color w:val="000000" w:themeColor="text1"/>
                <w:lang w:val="en-US"/>
              </w:rPr>
              <w:t>1.00</w:t>
            </w:r>
          </w:p>
        </w:tc>
        <w:tc>
          <w:tcPr>
            <w:tcW w:w="453" w:type="pct"/>
            <w:noWrap/>
          </w:tcPr>
          <w:p w14:paraId="5C74F491" w14:textId="0DDD475E" w:rsidR="00FF1CE4" w:rsidRPr="00D549EE" w:rsidRDefault="00FF1CE4" w:rsidP="00FF1CE4">
            <w:pPr>
              <w:jc w:val="right"/>
              <w:rPr>
                <w:bCs/>
                <w:color w:val="000000" w:themeColor="text1"/>
                <w:lang w:val="en-US"/>
              </w:rPr>
            </w:pPr>
            <w:r w:rsidRPr="00D549EE">
              <w:rPr>
                <w:bCs/>
                <w:color w:val="000000" w:themeColor="text1"/>
                <w:lang w:val="en-US"/>
              </w:rPr>
              <w:t>1.00</w:t>
            </w:r>
          </w:p>
        </w:tc>
        <w:tc>
          <w:tcPr>
            <w:tcW w:w="1017" w:type="pct"/>
          </w:tcPr>
          <w:p w14:paraId="0DD73B71" w14:textId="7D07A0FC" w:rsidR="00FF1CE4" w:rsidRPr="00D549EE" w:rsidRDefault="00FF1CE4" w:rsidP="00FF1CE4">
            <w:pPr>
              <w:rPr>
                <w:bCs/>
                <w:color w:val="000000" w:themeColor="text1"/>
                <w:lang w:val="en-US"/>
              </w:rPr>
            </w:pPr>
            <w:r w:rsidRPr="00D549EE">
              <w:rPr>
                <w:bCs/>
                <w:color w:val="000000" w:themeColor="text1"/>
                <w:lang w:val="en-US"/>
              </w:rPr>
              <w:t>0.08</w:t>
            </w:r>
          </w:p>
        </w:tc>
      </w:tr>
      <w:tr w:rsidR="00D53CDC" w:rsidRPr="00D549EE" w14:paraId="37C15438" w14:textId="77777777" w:rsidTr="00D91946">
        <w:trPr>
          <w:trHeight w:val="344"/>
        </w:trPr>
        <w:tc>
          <w:tcPr>
            <w:tcW w:w="577" w:type="pct"/>
            <w:noWrap/>
          </w:tcPr>
          <w:p w14:paraId="23BF8241" w14:textId="28B7DA76" w:rsidR="00FF1CE4" w:rsidRPr="00D549EE" w:rsidRDefault="00FF1CE4" w:rsidP="00FF1CE4">
            <w:pPr>
              <w:rPr>
                <w:bCs/>
                <w:color w:val="000000" w:themeColor="text1"/>
                <w:lang w:val="en-US"/>
              </w:rPr>
            </w:pPr>
            <w:r w:rsidRPr="00D549EE">
              <w:rPr>
                <w:bCs/>
                <w:color w:val="000000" w:themeColor="text1"/>
                <w:lang w:val="en-US"/>
              </w:rPr>
              <w:t>6</w:t>
            </w:r>
          </w:p>
        </w:tc>
        <w:tc>
          <w:tcPr>
            <w:tcW w:w="570" w:type="pct"/>
            <w:noWrap/>
          </w:tcPr>
          <w:p w14:paraId="04F4AE17" w14:textId="30449E89" w:rsidR="00FF1CE4" w:rsidRPr="00D549EE" w:rsidRDefault="00FF1CE4" w:rsidP="00FF1CE4">
            <w:pPr>
              <w:jc w:val="right"/>
              <w:rPr>
                <w:bCs/>
                <w:color w:val="000000" w:themeColor="text1"/>
                <w:lang w:val="en-US"/>
              </w:rPr>
            </w:pPr>
            <w:r w:rsidRPr="00D549EE">
              <w:rPr>
                <w:bCs/>
                <w:color w:val="000000" w:themeColor="text1"/>
                <w:lang w:val="en-US"/>
              </w:rPr>
              <w:t>0.14</w:t>
            </w:r>
          </w:p>
        </w:tc>
        <w:tc>
          <w:tcPr>
            <w:tcW w:w="572" w:type="pct"/>
            <w:noWrap/>
          </w:tcPr>
          <w:p w14:paraId="39C75DDB" w14:textId="5382B40D"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70" w:type="pct"/>
            <w:noWrap/>
          </w:tcPr>
          <w:p w14:paraId="3068688F" w14:textId="58423F19" w:rsidR="00FF1CE4" w:rsidRPr="00D549EE" w:rsidRDefault="00FF1CE4" w:rsidP="00FF1CE4">
            <w:pPr>
              <w:jc w:val="right"/>
              <w:rPr>
                <w:bCs/>
                <w:color w:val="000000" w:themeColor="text1"/>
                <w:lang w:val="en-US"/>
              </w:rPr>
            </w:pPr>
            <w:r w:rsidRPr="00D549EE">
              <w:rPr>
                <w:bCs/>
                <w:color w:val="000000" w:themeColor="text1"/>
                <w:lang w:val="en-US"/>
              </w:rPr>
              <w:t>1.00</w:t>
            </w:r>
          </w:p>
        </w:tc>
        <w:tc>
          <w:tcPr>
            <w:tcW w:w="560" w:type="pct"/>
            <w:noWrap/>
          </w:tcPr>
          <w:p w14:paraId="30801329" w14:textId="007B7CE6" w:rsidR="00FF1CE4" w:rsidRPr="00D549EE" w:rsidRDefault="00FF1CE4" w:rsidP="00FF1CE4">
            <w:pPr>
              <w:jc w:val="right"/>
              <w:rPr>
                <w:bCs/>
                <w:color w:val="000000" w:themeColor="text1"/>
                <w:lang w:val="en-US"/>
              </w:rPr>
            </w:pPr>
            <w:r w:rsidRPr="00D549EE">
              <w:rPr>
                <w:bCs/>
                <w:color w:val="000000" w:themeColor="text1"/>
                <w:lang w:val="en-US"/>
              </w:rPr>
              <w:t>0.20</w:t>
            </w:r>
          </w:p>
        </w:tc>
        <w:tc>
          <w:tcPr>
            <w:tcW w:w="681" w:type="pct"/>
            <w:noWrap/>
          </w:tcPr>
          <w:p w14:paraId="3C6BE43C" w14:textId="1C733CBA" w:rsidR="00FF1CE4" w:rsidRPr="00D549EE" w:rsidRDefault="00FF1CE4" w:rsidP="00FF1CE4">
            <w:pPr>
              <w:jc w:val="right"/>
              <w:rPr>
                <w:bCs/>
                <w:color w:val="000000" w:themeColor="text1"/>
                <w:lang w:val="en-US"/>
              </w:rPr>
            </w:pPr>
            <w:r w:rsidRPr="00D549EE">
              <w:rPr>
                <w:bCs/>
                <w:color w:val="000000" w:themeColor="text1"/>
                <w:lang w:val="en-US"/>
              </w:rPr>
              <w:t>1.00</w:t>
            </w:r>
          </w:p>
        </w:tc>
        <w:tc>
          <w:tcPr>
            <w:tcW w:w="453" w:type="pct"/>
            <w:noWrap/>
          </w:tcPr>
          <w:p w14:paraId="121FB18F" w14:textId="0BED75C1" w:rsidR="00FF1CE4" w:rsidRPr="00D549EE" w:rsidRDefault="00FF1CE4" w:rsidP="00FF1CE4">
            <w:pPr>
              <w:jc w:val="right"/>
              <w:rPr>
                <w:bCs/>
                <w:color w:val="000000" w:themeColor="text1"/>
                <w:lang w:val="en-US"/>
              </w:rPr>
            </w:pPr>
            <w:r w:rsidRPr="00D549EE">
              <w:rPr>
                <w:bCs/>
                <w:color w:val="000000" w:themeColor="text1"/>
                <w:lang w:val="en-US"/>
              </w:rPr>
              <w:t>1.00</w:t>
            </w:r>
          </w:p>
        </w:tc>
        <w:tc>
          <w:tcPr>
            <w:tcW w:w="1017" w:type="pct"/>
          </w:tcPr>
          <w:p w14:paraId="64EB73AB" w14:textId="2FCB2559" w:rsidR="00FF1CE4" w:rsidRPr="00D549EE" w:rsidRDefault="00FF1CE4" w:rsidP="00FF1CE4">
            <w:pPr>
              <w:rPr>
                <w:bCs/>
                <w:color w:val="000000" w:themeColor="text1"/>
                <w:lang w:val="en-US"/>
              </w:rPr>
            </w:pPr>
            <w:r w:rsidRPr="00D549EE">
              <w:rPr>
                <w:bCs/>
                <w:color w:val="000000" w:themeColor="text1"/>
                <w:lang w:val="en-US"/>
              </w:rPr>
              <w:t>0.08</w:t>
            </w:r>
          </w:p>
        </w:tc>
      </w:tr>
      <w:tr w:rsidR="00D53CDC" w:rsidRPr="00D549EE" w14:paraId="2F31BCCD" w14:textId="77777777" w:rsidTr="00D91946">
        <w:trPr>
          <w:trHeight w:val="344"/>
        </w:trPr>
        <w:tc>
          <w:tcPr>
            <w:tcW w:w="577" w:type="pct"/>
            <w:noWrap/>
            <w:hideMark/>
          </w:tcPr>
          <w:p w14:paraId="55129E67" w14:textId="2FE50B06" w:rsidR="00FF1CE4" w:rsidRPr="00D549EE" w:rsidRDefault="00FF1CE4" w:rsidP="00FF1CE4">
            <w:pPr>
              <w:rPr>
                <w:bCs/>
                <w:color w:val="000000" w:themeColor="text1"/>
                <w:lang w:val="en-US"/>
              </w:rPr>
            </w:pPr>
            <w:r w:rsidRPr="00D549EE">
              <w:rPr>
                <w:bCs/>
                <w:color w:val="000000" w:themeColor="text1"/>
                <w:lang w:val="en-US"/>
              </w:rPr>
              <w:t>Exp</w:t>
            </w:r>
            <w:r w:rsidR="007F2CBB" w:rsidRPr="00D549EE">
              <w:rPr>
                <w:bCs/>
                <w:color w:val="000000" w:themeColor="text1"/>
                <w:lang w:val="en-US"/>
              </w:rPr>
              <w:t xml:space="preserve">ert </w:t>
            </w:r>
            <w:r w:rsidRPr="00D549EE">
              <w:rPr>
                <w:bCs/>
                <w:color w:val="000000" w:themeColor="text1"/>
                <w:lang w:val="en-US"/>
              </w:rPr>
              <w:t>3</w:t>
            </w:r>
          </w:p>
        </w:tc>
        <w:tc>
          <w:tcPr>
            <w:tcW w:w="570" w:type="pct"/>
            <w:noWrap/>
            <w:hideMark/>
          </w:tcPr>
          <w:p w14:paraId="4653AE5C" w14:textId="77777777" w:rsidR="00FF1CE4" w:rsidRPr="00D549EE" w:rsidRDefault="00FF1CE4" w:rsidP="00FF1CE4">
            <w:pPr>
              <w:jc w:val="right"/>
              <w:rPr>
                <w:bCs/>
                <w:color w:val="000000" w:themeColor="text1"/>
                <w:lang w:val="en-US"/>
              </w:rPr>
            </w:pPr>
            <w:r w:rsidRPr="00D549EE">
              <w:rPr>
                <w:bCs/>
                <w:color w:val="000000" w:themeColor="text1"/>
                <w:lang w:val="en-US"/>
              </w:rPr>
              <w:t>1</w:t>
            </w:r>
          </w:p>
        </w:tc>
        <w:tc>
          <w:tcPr>
            <w:tcW w:w="572" w:type="pct"/>
            <w:noWrap/>
            <w:hideMark/>
          </w:tcPr>
          <w:p w14:paraId="1354CA34" w14:textId="77777777" w:rsidR="00FF1CE4" w:rsidRPr="00D549EE" w:rsidRDefault="00FF1CE4" w:rsidP="00FF1CE4">
            <w:pPr>
              <w:jc w:val="right"/>
              <w:rPr>
                <w:bCs/>
                <w:color w:val="000000" w:themeColor="text1"/>
                <w:lang w:val="en-US"/>
              </w:rPr>
            </w:pPr>
            <w:r w:rsidRPr="00D549EE">
              <w:rPr>
                <w:bCs/>
                <w:color w:val="000000" w:themeColor="text1"/>
                <w:lang w:val="en-US"/>
              </w:rPr>
              <w:t>2</w:t>
            </w:r>
          </w:p>
        </w:tc>
        <w:tc>
          <w:tcPr>
            <w:tcW w:w="570" w:type="pct"/>
            <w:noWrap/>
            <w:hideMark/>
          </w:tcPr>
          <w:p w14:paraId="36DDEB02" w14:textId="77777777" w:rsidR="00FF1CE4" w:rsidRPr="00D549EE" w:rsidRDefault="00FF1CE4" w:rsidP="00FF1CE4">
            <w:pPr>
              <w:jc w:val="right"/>
              <w:rPr>
                <w:bCs/>
                <w:color w:val="000000" w:themeColor="text1"/>
                <w:lang w:val="en-US"/>
              </w:rPr>
            </w:pPr>
            <w:r w:rsidRPr="00D549EE">
              <w:rPr>
                <w:bCs/>
                <w:color w:val="000000" w:themeColor="text1"/>
                <w:lang w:val="en-US"/>
              </w:rPr>
              <w:t>3</w:t>
            </w:r>
          </w:p>
        </w:tc>
        <w:tc>
          <w:tcPr>
            <w:tcW w:w="560" w:type="pct"/>
            <w:noWrap/>
            <w:hideMark/>
          </w:tcPr>
          <w:p w14:paraId="7A8D7574" w14:textId="77777777" w:rsidR="00FF1CE4" w:rsidRPr="00D549EE" w:rsidRDefault="00FF1CE4" w:rsidP="00FF1CE4">
            <w:pPr>
              <w:jc w:val="right"/>
              <w:rPr>
                <w:bCs/>
                <w:color w:val="000000" w:themeColor="text1"/>
                <w:lang w:val="en-US"/>
              </w:rPr>
            </w:pPr>
            <w:r w:rsidRPr="00D549EE">
              <w:rPr>
                <w:bCs/>
                <w:color w:val="000000" w:themeColor="text1"/>
                <w:lang w:val="en-US"/>
              </w:rPr>
              <w:t>4</w:t>
            </w:r>
          </w:p>
        </w:tc>
        <w:tc>
          <w:tcPr>
            <w:tcW w:w="681" w:type="pct"/>
            <w:noWrap/>
            <w:hideMark/>
          </w:tcPr>
          <w:p w14:paraId="1FDFD928" w14:textId="77777777" w:rsidR="00FF1CE4" w:rsidRPr="00D549EE" w:rsidRDefault="00FF1CE4" w:rsidP="00FF1CE4">
            <w:pPr>
              <w:jc w:val="right"/>
              <w:rPr>
                <w:bCs/>
                <w:color w:val="000000" w:themeColor="text1"/>
                <w:lang w:val="en-US"/>
              </w:rPr>
            </w:pPr>
            <w:r w:rsidRPr="00D549EE">
              <w:rPr>
                <w:bCs/>
                <w:color w:val="000000" w:themeColor="text1"/>
                <w:lang w:val="en-US"/>
              </w:rPr>
              <w:t>5</w:t>
            </w:r>
          </w:p>
        </w:tc>
        <w:tc>
          <w:tcPr>
            <w:tcW w:w="453" w:type="pct"/>
            <w:noWrap/>
            <w:hideMark/>
          </w:tcPr>
          <w:p w14:paraId="699A8A4D" w14:textId="77777777" w:rsidR="00FF1CE4" w:rsidRPr="00D549EE" w:rsidRDefault="00FF1CE4" w:rsidP="00FF1CE4">
            <w:pPr>
              <w:jc w:val="right"/>
              <w:rPr>
                <w:bCs/>
                <w:color w:val="000000" w:themeColor="text1"/>
                <w:lang w:val="en-US"/>
              </w:rPr>
            </w:pPr>
            <w:r w:rsidRPr="00D549EE">
              <w:rPr>
                <w:bCs/>
                <w:color w:val="000000" w:themeColor="text1"/>
                <w:lang w:val="en-US"/>
              </w:rPr>
              <w:t>6</w:t>
            </w:r>
          </w:p>
        </w:tc>
        <w:tc>
          <w:tcPr>
            <w:tcW w:w="1017" w:type="pct"/>
          </w:tcPr>
          <w:p w14:paraId="68B8A3B5" w14:textId="77777777" w:rsidR="00FF1CE4" w:rsidRPr="00D549EE" w:rsidRDefault="00FF1CE4" w:rsidP="00FF1CE4">
            <w:pPr>
              <w:rPr>
                <w:bCs/>
                <w:color w:val="000000" w:themeColor="text1"/>
                <w:lang w:val="en-US"/>
              </w:rPr>
            </w:pPr>
            <w:r w:rsidRPr="00D549EE">
              <w:rPr>
                <w:bCs/>
                <w:color w:val="000000" w:themeColor="text1"/>
                <w:lang w:val="en-US"/>
              </w:rPr>
              <w:t>Scale of priorities</w:t>
            </w:r>
          </w:p>
        </w:tc>
      </w:tr>
      <w:tr w:rsidR="00D53CDC" w:rsidRPr="00D549EE" w14:paraId="02D5BD80" w14:textId="77777777" w:rsidTr="00D91946">
        <w:trPr>
          <w:trHeight w:val="344"/>
        </w:trPr>
        <w:tc>
          <w:tcPr>
            <w:tcW w:w="577" w:type="pct"/>
            <w:noWrap/>
            <w:hideMark/>
          </w:tcPr>
          <w:p w14:paraId="2224C07E" w14:textId="77777777" w:rsidR="00FF1CE4" w:rsidRPr="00D549EE" w:rsidRDefault="00FF1CE4" w:rsidP="00FF1CE4">
            <w:pPr>
              <w:rPr>
                <w:bCs/>
                <w:color w:val="000000" w:themeColor="text1"/>
                <w:lang w:val="en-US"/>
              </w:rPr>
            </w:pPr>
            <w:r w:rsidRPr="00D549EE">
              <w:rPr>
                <w:bCs/>
                <w:color w:val="000000" w:themeColor="text1"/>
                <w:lang w:val="en-US"/>
              </w:rPr>
              <w:t>1</w:t>
            </w:r>
          </w:p>
        </w:tc>
        <w:tc>
          <w:tcPr>
            <w:tcW w:w="570" w:type="pct"/>
            <w:noWrap/>
            <w:hideMark/>
          </w:tcPr>
          <w:p w14:paraId="76F96834"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72" w:type="pct"/>
            <w:noWrap/>
            <w:hideMark/>
          </w:tcPr>
          <w:p w14:paraId="591F8934" w14:textId="77777777" w:rsidR="00FF1CE4" w:rsidRPr="00D549EE" w:rsidRDefault="00FF1CE4" w:rsidP="00FF1CE4">
            <w:pPr>
              <w:jc w:val="right"/>
              <w:rPr>
                <w:bCs/>
                <w:color w:val="000000" w:themeColor="text1"/>
                <w:lang w:val="en-US"/>
              </w:rPr>
            </w:pPr>
            <w:r w:rsidRPr="00D549EE">
              <w:rPr>
                <w:color w:val="000000" w:themeColor="text1"/>
                <w:lang w:val="en-US"/>
              </w:rPr>
              <w:t>7.00</w:t>
            </w:r>
          </w:p>
        </w:tc>
        <w:tc>
          <w:tcPr>
            <w:tcW w:w="570" w:type="pct"/>
            <w:noWrap/>
            <w:hideMark/>
          </w:tcPr>
          <w:p w14:paraId="29DF628A" w14:textId="77777777" w:rsidR="00FF1CE4" w:rsidRPr="00D549EE" w:rsidRDefault="00FF1CE4" w:rsidP="00FF1CE4">
            <w:pPr>
              <w:jc w:val="right"/>
              <w:rPr>
                <w:bCs/>
                <w:color w:val="000000" w:themeColor="text1"/>
                <w:lang w:val="en-US"/>
              </w:rPr>
            </w:pPr>
            <w:r w:rsidRPr="00D549EE">
              <w:rPr>
                <w:color w:val="000000" w:themeColor="text1"/>
                <w:lang w:val="en-US"/>
              </w:rPr>
              <w:t>5.00</w:t>
            </w:r>
          </w:p>
        </w:tc>
        <w:tc>
          <w:tcPr>
            <w:tcW w:w="560" w:type="pct"/>
            <w:noWrap/>
            <w:hideMark/>
          </w:tcPr>
          <w:p w14:paraId="79D40904"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681" w:type="pct"/>
            <w:noWrap/>
            <w:hideMark/>
          </w:tcPr>
          <w:p w14:paraId="566AEA31" w14:textId="77777777" w:rsidR="00FF1CE4" w:rsidRPr="00D549EE" w:rsidRDefault="00FF1CE4" w:rsidP="00FF1CE4">
            <w:pPr>
              <w:jc w:val="right"/>
              <w:rPr>
                <w:bCs/>
                <w:color w:val="000000" w:themeColor="text1"/>
                <w:lang w:val="en-US"/>
              </w:rPr>
            </w:pPr>
            <w:r w:rsidRPr="00D549EE">
              <w:rPr>
                <w:color w:val="000000" w:themeColor="text1"/>
                <w:lang w:val="en-US"/>
              </w:rPr>
              <w:t>9.00</w:t>
            </w:r>
          </w:p>
        </w:tc>
        <w:tc>
          <w:tcPr>
            <w:tcW w:w="453" w:type="pct"/>
            <w:noWrap/>
            <w:hideMark/>
          </w:tcPr>
          <w:p w14:paraId="5EA750DC" w14:textId="77777777" w:rsidR="00FF1CE4" w:rsidRPr="00D549EE" w:rsidRDefault="00FF1CE4" w:rsidP="00FF1CE4">
            <w:pPr>
              <w:jc w:val="right"/>
              <w:rPr>
                <w:bCs/>
                <w:color w:val="000000" w:themeColor="text1"/>
                <w:lang w:val="en-US"/>
              </w:rPr>
            </w:pPr>
            <w:r w:rsidRPr="00D549EE">
              <w:rPr>
                <w:color w:val="000000" w:themeColor="text1"/>
                <w:lang w:val="en-US"/>
              </w:rPr>
              <w:t>3.00</w:t>
            </w:r>
          </w:p>
        </w:tc>
        <w:tc>
          <w:tcPr>
            <w:tcW w:w="1017" w:type="pct"/>
          </w:tcPr>
          <w:p w14:paraId="53D5F9D0" w14:textId="77777777" w:rsidR="00FF1CE4" w:rsidRPr="00D549EE" w:rsidRDefault="00FF1CE4" w:rsidP="00FF1CE4">
            <w:pPr>
              <w:rPr>
                <w:bCs/>
                <w:color w:val="000000" w:themeColor="text1"/>
                <w:lang w:val="en-US"/>
              </w:rPr>
            </w:pPr>
            <w:r w:rsidRPr="00D549EE">
              <w:rPr>
                <w:bCs/>
                <w:color w:val="000000" w:themeColor="text1"/>
                <w:lang w:val="en-US"/>
              </w:rPr>
              <w:t>0.42</w:t>
            </w:r>
          </w:p>
        </w:tc>
      </w:tr>
      <w:tr w:rsidR="00D53CDC" w:rsidRPr="00D549EE" w14:paraId="6E2616A9" w14:textId="77777777" w:rsidTr="00D91946">
        <w:trPr>
          <w:trHeight w:val="344"/>
        </w:trPr>
        <w:tc>
          <w:tcPr>
            <w:tcW w:w="577" w:type="pct"/>
            <w:noWrap/>
            <w:hideMark/>
          </w:tcPr>
          <w:p w14:paraId="5CD397C9" w14:textId="77777777" w:rsidR="00FF1CE4" w:rsidRPr="00D549EE" w:rsidRDefault="00FF1CE4" w:rsidP="00FF1CE4">
            <w:pPr>
              <w:rPr>
                <w:bCs/>
                <w:color w:val="000000" w:themeColor="text1"/>
                <w:lang w:val="en-US"/>
              </w:rPr>
            </w:pPr>
            <w:r w:rsidRPr="00D549EE">
              <w:rPr>
                <w:bCs/>
                <w:color w:val="000000" w:themeColor="text1"/>
                <w:lang w:val="en-US"/>
              </w:rPr>
              <w:t>2</w:t>
            </w:r>
          </w:p>
        </w:tc>
        <w:tc>
          <w:tcPr>
            <w:tcW w:w="570" w:type="pct"/>
            <w:noWrap/>
            <w:hideMark/>
          </w:tcPr>
          <w:p w14:paraId="3C72F461" w14:textId="77777777" w:rsidR="00FF1CE4" w:rsidRPr="00D549EE" w:rsidRDefault="00FF1CE4" w:rsidP="00FF1CE4">
            <w:pPr>
              <w:jc w:val="right"/>
              <w:rPr>
                <w:bCs/>
                <w:color w:val="000000" w:themeColor="text1"/>
                <w:lang w:val="en-US"/>
              </w:rPr>
            </w:pPr>
            <w:r w:rsidRPr="00D549EE">
              <w:rPr>
                <w:color w:val="000000" w:themeColor="text1"/>
                <w:lang w:val="en-US"/>
              </w:rPr>
              <w:t>0.14</w:t>
            </w:r>
          </w:p>
        </w:tc>
        <w:tc>
          <w:tcPr>
            <w:tcW w:w="572" w:type="pct"/>
            <w:noWrap/>
            <w:hideMark/>
          </w:tcPr>
          <w:p w14:paraId="21160F79"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70" w:type="pct"/>
            <w:noWrap/>
            <w:hideMark/>
          </w:tcPr>
          <w:p w14:paraId="665C4D73" w14:textId="77777777" w:rsidR="00FF1CE4" w:rsidRPr="00D549EE" w:rsidRDefault="00FF1CE4" w:rsidP="00FF1CE4">
            <w:pPr>
              <w:jc w:val="right"/>
              <w:rPr>
                <w:bCs/>
                <w:color w:val="000000" w:themeColor="text1"/>
                <w:lang w:val="en-US"/>
              </w:rPr>
            </w:pPr>
            <w:r w:rsidRPr="00D549EE">
              <w:rPr>
                <w:color w:val="000000" w:themeColor="text1"/>
                <w:lang w:val="en-US"/>
              </w:rPr>
              <w:t>9.00</w:t>
            </w:r>
          </w:p>
        </w:tc>
        <w:tc>
          <w:tcPr>
            <w:tcW w:w="560" w:type="pct"/>
            <w:noWrap/>
            <w:hideMark/>
          </w:tcPr>
          <w:p w14:paraId="7E143354"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681" w:type="pct"/>
            <w:noWrap/>
            <w:hideMark/>
          </w:tcPr>
          <w:p w14:paraId="680215B3"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453" w:type="pct"/>
            <w:noWrap/>
            <w:hideMark/>
          </w:tcPr>
          <w:p w14:paraId="33075B5B"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1017" w:type="pct"/>
          </w:tcPr>
          <w:p w14:paraId="3C48780B" w14:textId="77777777" w:rsidR="00FF1CE4" w:rsidRPr="00D549EE" w:rsidRDefault="00FF1CE4" w:rsidP="00FF1CE4">
            <w:pPr>
              <w:rPr>
                <w:bCs/>
                <w:color w:val="000000" w:themeColor="text1"/>
                <w:lang w:val="en-US"/>
              </w:rPr>
            </w:pPr>
            <w:r w:rsidRPr="00D549EE">
              <w:rPr>
                <w:bCs/>
                <w:color w:val="000000" w:themeColor="text1"/>
                <w:lang w:val="en-US"/>
              </w:rPr>
              <w:t>0.14</w:t>
            </w:r>
          </w:p>
        </w:tc>
      </w:tr>
      <w:tr w:rsidR="00D53CDC" w:rsidRPr="00D549EE" w14:paraId="732518DF" w14:textId="77777777" w:rsidTr="00D91946">
        <w:trPr>
          <w:trHeight w:val="344"/>
        </w:trPr>
        <w:tc>
          <w:tcPr>
            <w:tcW w:w="577" w:type="pct"/>
            <w:noWrap/>
            <w:hideMark/>
          </w:tcPr>
          <w:p w14:paraId="464055CB" w14:textId="77777777" w:rsidR="00FF1CE4" w:rsidRPr="00D549EE" w:rsidRDefault="00FF1CE4" w:rsidP="00FF1CE4">
            <w:pPr>
              <w:rPr>
                <w:bCs/>
                <w:color w:val="000000" w:themeColor="text1"/>
                <w:lang w:val="en-US"/>
              </w:rPr>
            </w:pPr>
            <w:r w:rsidRPr="00D549EE">
              <w:rPr>
                <w:bCs/>
                <w:color w:val="000000" w:themeColor="text1"/>
                <w:lang w:val="en-US"/>
              </w:rPr>
              <w:t>3</w:t>
            </w:r>
          </w:p>
        </w:tc>
        <w:tc>
          <w:tcPr>
            <w:tcW w:w="570" w:type="pct"/>
            <w:noWrap/>
            <w:hideMark/>
          </w:tcPr>
          <w:p w14:paraId="2D282517" w14:textId="77777777" w:rsidR="00FF1CE4" w:rsidRPr="00D549EE" w:rsidRDefault="00FF1CE4" w:rsidP="00FF1CE4">
            <w:pPr>
              <w:jc w:val="right"/>
              <w:rPr>
                <w:bCs/>
                <w:color w:val="000000" w:themeColor="text1"/>
                <w:lang w:val="en-US"/>
              </w:rPr>
            </w:pPr>
            <w:r w:rsidRPr="00D549EE">
              <w:rPr>
                <w:color w:val="000000" w:themeColor="text1"/>
                <w:lang w:val="en-US"/>
              </w:rPr>
              <w:t>0.20</w:t>
            </w:r>
          </w:p>
        </w:tc>
        <w:tc>
          <w:tcPr>
            <w:tcW w:w="572" w:type="pct"/>
            <w:noWrap/>
            <w:hideMark/>
          </w:tcPr>
          <w:p w14:paraId="78239CBF" w14:textId="77777777" w:rsidR="00FF1CE4" w:rsidRPr="00D549EE" w:rsidRDefault="00FF1CE4" w:rsidP="00FF1CE4">
            <w:pPr>
              <w:jc w:val="right"/>
              <w:rPr>
                <w:bCs/>
                <w:color w:val="000000" w:themeColor="text1"/>
                <w:lang w:val="en-US"/>
              </w:rPr>
            </w:pPr>
            <w:r w:rsidRPr="00D549EE">
              <w:rPr>
                <w:color w:val="000000" w:themeColor="text1"/>
                <w:lang w:val="en-US"/>
              </w:rPr>
              <w:t>0.11</w:t>
            </w:r>
          </w:p>
        </w:tc>
        <w:tc>
          <w:tcPr>
            <w:tcW w:w="570" w:type="pct"/>
            <w:noWrap/>
            <w:hideMark/>
          </w:tcPr>
          <w:p w14:paraId="094150D6"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60" w:type="pct"/>
            <w:noWrap/>
            <w:hideMark/>
          </w:tcPr>
          <w:p w14:paraId="29C6E88D"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681" w:type="pct"/>
            <w:noWrap/>
            <w:hideMark/>
          </w:tcPr>
          <w:p w14:paraId="4ED435A6"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453" w:type="pct"/>
            <w:noWrap/>
            <w:hideMark/>
          </w:tcPr>
          <w:p w14:paraId="3E1B05A2"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1017" w:type="pct"/>
          </w:tcPr>
          <w:p w14:paraId="2DB3FA02" w14:textId="77777777" w:rsidR="00FF1CE4" w:rsidRPr="00D549EE" w:rsidRDefault="00FF1CE4" w:rsidP="00FF1CE4">
            <w:pPr>
              <w:rPr>
                <w:bCs/>
                <w:color w:val="000000" w:themeColor="text1"/>
                <w:lang w:val="en-US"/>
              </w:rPr>
            </w:pPr>
            <w:r w:rsidRPr="00D549EE">
              <w:rPr>
                <w:bCs/>
                <w:color w:val="000000" w:themeColor="text1"/>
                <w:lang w:val="en-US"/>
              </w:rPr>
              <w:t>0.07</w:t>
            </w:r>
          </w:p>
        </w:tc>
      </w:tr>
      <w:tr w:rsidR="00D53CDC" w:rsidRPr="00D549EE" w14:paraId="361888EC" w14:textId="77777777" w:rsidTr="00D91946">
        <w:trPr>
          <w:trHeight w:val="344"/>
        </w:trPr>
        <w:tc>
          <w:tcPr>
            <w:tcW w:w="577" w:type="pct"/>
            <w:noWrap/>
            <w:hideMark/>
          </w:tcPr>
          <w:p w14:paraId="7138071D" w14:textId="77777777" w:rsidR="00FF1CE4" w:rsidRPr="00D549EE" w:rsidRDefault="00FF1CE4" w:rsidP="00FF1CE4">
            <w:pPr>
              <w:rPr>
                <w:bCs/>
                <w:color w:val="000000" w:themeColor="text1"/>
                <w:lang w:val="en-US"/>
              </w:rPr>
            </w:pPr>
            <w:r w:rsidRPr="00D549EE">
              <w:rPr>
                <w:bCs/>
                <w:color w:val="000000" w:themeColor="text1"/>
                <w:lang w:val="en-US"/>
              </w:rPr>
              <w:t>4</w:t>
            </w:r>
          </w:p>
        </w:tc>
        <w:tc>
          <w:tcPr>
            <w:tcW w:w="570" w:type="pct"/>
            <w:noWrap/>
            <w:hideMark/>
          </w:tcPr>
          <w:p w14:paraId="0D75D727"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72" w:type="pct"/>
            <w:noWrap/>
            <w:hideMark/>
          </w:tcPr>
          <w:p w14:paraId="7CCBB121"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70" w:type="pct"/>
            <w:noWrap/>
            <w:hideMark/>
          </w:tcPr>
          <w:p w14:paraId="2D574782"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60" w:type="pct"/>
            <w:noWrap/>
            <w:hideMark/>
          </w:tcPr>
          <w:p w14:paraId="085F1E45"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681" w:type="pct"/>
            <w:noWrap/>
            <w:hideMark/>
          </w:tcPr>
          <w:p w14:paraId="441900F4" w14:textId="77777777" w:rsidR="00FF1CE4" w:rsidRPr="00D549EE" w:rsidRDefault="00FF1CE4" w:rsidP="00FF1CE4">
            <w:pPr>
              <w:jc w:val="right"/>
              <w:rPr>
                <w:bCs/>
                <w:color w:val="000000" w:themeColor="text1"/>
                <w:lang w:val="en-US"/>
              </w:rPr>
            </w:pPr>
            <w:r w:rsidRPr="00D549EE">
              <w:rPr>
                <w:color w:val="000000" w:themeColor="text1"/>
                <w:lang w:val="en-US"/>
              </w:rPr>
              <w:t>9.00</w:t>
            </w:r>
          </w:p>
        </w:tc>
        <w:tc>
          <w:tcPr>
            <w:tcW w:w="453" w:type="pct"/>
            <w:noWrap/>
            <w:hideMark/>
          </w:tcPr>
          <w:p w14:paraId="0E4659D9"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1017" w:type="pct"/>
          </w:tcPr>
          <w:p w14:paraId="3BF19F11" w14:textId="77777777" w:rsidR="00FF1CE4" w:rsidRPr="00D549EE" w:rsidRDefault="00FF1CE4" w:rsidP="00FF1CE4">
            <w:pPr>
              <w:rPr>
                <w:bCs/>
                <w:color w:val="000000" w:themeColor="text1"/>
                <w:lang w:val="en-US"/>
              </w:rPr>
            </w:pPr>
            <w:r w:rsidRPr="00D549EE">
              <w:rPr>
                <w:bCs/>
                <w:color w:val="000000" w:themeColor="text1"/>
                <w:lang w:val="en-US"/>
              </w:rPr>
              <w:t>0.19</w:t>
            </w:r>
          </w:p>
        </w:tc>
      </w:tr>
      <w:tr w:rsidR="00D53CDC" w:rsidRPr="00D549EE" w14:paraId="268C7A1D" w14:textId="77777777" w:rsidTr="00D91946">
        <w:trPr>
          <w:trHeight w:val="344"/>
        </w:trPr>
        <w:tc>
          <w:tcPr>
            <w:tcW w:w="577" w:type="pct"/>
            <w:noWrap/>
            <w:hideMark/>
          </w:tcPr>
          <w:p w14:paraId="6649A3B1" w14:textId="77777777" w:rsidR="00FF1CE4" w:rsidRPr="00D549EE" w:rsidRDefault="00FF1CE4" w:rsidP="00FF1CE4">
            <w:pPr>
              <w:rPr>
                <w:bCs/>
                <w:color w:val="000000" w:themeColor="text1"/>
                <w:lang w:val="en-US"/>
              </w:rPr>
            </w:pPr>
            <w:r w:rsidRPr="00D549EE">
              <w:rPr>
                <w:bCs/>
                <w:color w:val="000000" w:themeColor="text1"/>
                <w:lang w:val="en-US"/>
              </w:rPr>
              <w:t>5</w:t>
            </w:r>
          </w:p>
        </w:tc>
        <w:tc>
          <w:tcPr>
            <w:tcW w:w="570" w:type="pct"/>
            <w:noWrap/>
            <w:hideMark/>
          </w:tcPr>
          <w:p w14:paraId="3219B4F6" w14:textId="77777777" w:rsidR="00FF1CE4" w:rsidRPr="00D549EE" w:rsidRDefault="00FF1CE4" w:rsidP="00FF1CE4">
            <w:pPr>
              <w:jc w:val="right"/>
              <w:rPr>
                <w:bCs/>
                <w:color w:val="000000" w:themeColor="text1"/>
                <w:lang w:val="en-US"/>
              </w:rPr>
            </w:pPr>
            <w:r w:rsidRPr="00D549EE">
              <w:rPr>
                <w:color w:val="000000" w:themeColor="text1"/>
                <w:lang w:val="en-US"/>
              </w:rPr>
              <w:t>0.11</w:t>
            </w:r>
          </w:p>
        </w:tc>
        <w:tc>
          <w:tcPr>
            <w:tcW w:w="572" w:type="pct"/>
            <w:noWrap/>
            <w:hideMark/>
          </w:tcPr>
          <w:p w14:paraId="1F401E48"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70" w:type="pct"/>
            <w:noWrap/>
            <w:hideMark/>
          </w:tcPr>
          <w:p w14:paraId="79D66C9F"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60" w:type="pct"/>
            <w:noWrap/>
            <w:hideMark/>
          </w:tcPr>
          <w:p w14:paraId="32120001" w14:textId="77777777" w:rsidR="00FF1CE4" w:rsidRPr="00D549EE" w:rsidRDefault="00FF1CE4" w:rsidP="00FF1CE4">
            <w:pPr>
              <w:jc w:val="right"/>
              <w:rPr>
                <w:bCs/>
                <w:color w:val="000000" w:themeColor="text1"/>
                <w:lang w:val="en-US"/>
              </w:rPr>
            </w:pPr>
            <w:r w:rsidRPr="00D549EE">
              <w:rPr>
                <w:color w:val="000000" w:themeColor="text1"/>
                <w:lang w:val="en-US"/>
              </w:rPr>
              <w:t>0.11</w:t>
            </w:r>
          </w:p>
        </w:tc>
        <w:tc>
          <w:tcPr>
            <w:tcW w:w="681" w:type="pct"/>
            <w:noWrap/>
            <w:hideMark/>
          </w:tcPr>
          <w:p w14:paraId="77970418"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453" w:type="pct"/>
            <w:noWrap/>
            <w:hideMark/>
          </w:tcPr>
          <w:p w14:paraId="778515D6"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1017" w:type="pct"/>
          </w:tcPr>
          <w:p w14:paraId="47A39C2B" w14:textId="77777777" w:rsidR="00FF1CE4" w:rsidRPr="00D549EE" w:rsidRDefault="00FF1CE4" w:rsidP="00FF1CE4">
            <w:pPr>
              <w:rPr>
                <w:bCs/>
                <w:color w:val="000000" w:themeColor="text1"/>
                <w:lang w:val="en-US"/>
              </w:rPr>
            </w:pPr>
            <w:r w:rsidRPr="00D549EE">
              <w:rPr>
                <w:bCs/>
                <w:color w:val="000000" w:themeColor="text1"/>
                <w:lang w:val="en-US"/>
              </w:rPr>
              <w:t>0.06</w:t>
            </w:r>
          </w:p>
        </w:tc>
      </w:tr>
      <w:tr w:rsidR="00D53CDC" w:rsidRPr="00D549EE" w14:paraId="0241E653" w14:textId="77777777" w:rsidTr="00D91946">
        <w:trPr>
          <w:trHeight w:val="344"/>
        </w:trPr>
        <w:tc>
          <w:tcPr>
            <w:tcW w:w="577" w:type="pct"/>
            <w:noWrap/>
            <w:hideMark/>
          </w:tcPr>
          <w:p w14:paraId="763580C6" w14:textId="77777777" w:rsidR="00FF1CE4" w:rsidRPr="00D549EE" w:rsidRDefault="00FF1CE4" w:rsidP="00FF1CE4">
            <w:pPr>
              <w:rPr>
                <w:bCs/>
                <w:color w:val="000000" w:themeColor="text1"/>
                <w:lang w:val="en-US"/>
              </w:rPr>
            </w:pPr>
            <w:r w:rsidRPr="00D549EE">
              <w:rPr>
                <w:bCs/>
                <w:color w:val="000000" w:themeColor="text1"/>
                <w:lang w:val="en-US"/>
              </w:rPr>
              <w:t>6</w:t>
            </w:r>
          </w:p>
        </w:tc>
        <w:tc>
          <w:tcPr>
            <w:tcW w:w="570" w:type="pct"/>
            <w:noWrap/>
            <w:hideMark/>
          </w:tcPr>
          <w:p w14:paraId="7D9A2EC0" w14:textId="77777777" w:rsidR="00FF1CE4" w:rsidRPr="00D549EE" w:rsidRDefault="00FF1CE4" w:rsidP="00FF1CE4">
            <w:pPr>
              <w:jc w:val="right"/>
              <w:rPr>
                <w:bCs/>
                <w:color w:val="000000" w:themeColor="text1"/>
                <w:lang w:val="en-US"/>
              </w:rPr>
            </w:pPr>
            <w:r w:rsidRPr="00D549EE">
              <w:rPr>
                <w:color w:val="000000" w:themeColor="text1"/>
                <w:lang w:val="en-US"/>
              </w:rPr>
              <w:t>0.33</w:t>
            </w:r>
          </w:p>
        </w:tc>
        <w:tc>
          <w:tcPr>
            <w:tcW w:w="572" w:type="pct"/>
            <w:noWrap/>
            <w:hideMark/>
          </w:tcPr>
          <w:p w14:paraId="1F0081A6"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70" w:type="pct"/>
            <w:noWrap/>
            <w:hideMark/>
          </w:tcPr>
          <w:p w14:paraId="717A878E"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560" w:type="pct"/>
            <w:noWrap/>
            <w:hideMark/>
          </w:tcPr>
          <w:p w14:paraId="04AF5304"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681" w:type="pct"/>
            <w:noWrap/>
            <w:hideMark/>
          </w:tcPr>
          <w:p w14:paraId="551080D1"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453" w:type="pct"/>
            <w:noWrap/>
            <w:hideMark/>
          </w:tcPr>
          <w:p w14:paraId="752AACE3" w14:textId="77777777" w:rsidR="00FF1CE4" w:rsidRPr="00D549EE" w:rsidRDefault="00FF1CE4" w:rsidP="00FF1CE4">
            <w:pPr>
              <w:jc w:val="right"/>
              <w:rPr>
                <w:bCs/>
                <w:color w:val="000000" w:themeColor="text1"/>
                <w:lang w:val="en-US"/>
              </w:rPr>
            </w:pPr>
            <w:r w:rsidRPr="00D549EE">
              <w:rPr>
                <w:color w:val="000000" w:themeColor="text1"/>
                <w:lang w:val="en-US"/>
              </w:rPr>
              <w:t>1.00</w:t>
            </w:r>
          </w:p>
        </w:tc>
        <w:tc>
          <w:tcPr>
            <w:tcW w:w="1017" w:type="pct"/>
          </w:tcPr>
          <w:p w14:paraId="01376DF0" w14:textId="77777777" w:rsidR="00FF1CE4" w:rsidRPr="00D549EE" w:rsidRDefault="00FF1CE4" w:rsidP="00FF1CE4">
            <w:pPr>
              <w:rPr>
                <w:bCs/>
                <w:color w:val="000000" w:themeColor="text1"/>
                <w:lang w:val="en-US"/>
              </w:rPr>
            </w:pPr>
            <w:r w:rsidRPr="00D549EE">
              <w:rPr>
                <w:bCs/>
                <w:color w:val="000000" w:themeColor="text1"/>
                <w:lang w:val="en-US"/>
              </w:rPr>
              <w:t>0.11</w:t>
            </w:r>
          </w:p>
        </w:tc>
      </w:tr>
      <w:tr w:rsidR="00D53CDC" w:rsidRPr="00D549EE" w14:paraId="4B25717B" w14:textId="77777777" w:rsidTr="00D91946">
        <w:trPr>
          <w:trHeight w:val="344"/>
        </w:trPr>
        <w:tc>
          <w:tcPr>
            <w:tcW w:w="577" w:type="pct"/>
            <w:noWrap/>
          </w:tcPr>
          <w:p w14:paraId="63B0890D" w14:textId="5E9B4419" w:rsidR="00FF1CE4" w:rsidRPr="00D549EE" w:rsidRDefault="00FF1CE4" w:rsidP="00FF1CE4">
            <w:pPr>
              <w:rPr>
                <w:bCs/>
                <w:color w:val="000000" w:themeColor="text1"/>
                <w:lang w:val="en-US"/>
              </w:rPr>
            </w:pPr>
            <w:r w:rsidRPr="00D549EE">
              <w:rPr>
                <w:bCs/>
                <w:color w:val="000000" w:themeColor="text1"/>
                <w:lang w:val="en-US"/>
              </w:rPr>
              <w:t>Exp</w:t>
            </w:r>
            <w:r w:rsidR="007F2CBB" w:rsidRPr="00D549EE">
              <w:rPr>
                <w:bCs/>
                <w:color w:val="000000" w:themeColor="text1"/>
                <w:lang w:val="en-US"/>
              </w:rPr>
              <w:t xml:space="preserve">ert </w:t>
            </w:r>
            <w:r w:rsidRPr="00D549EE">
              <w:rPr>
                <w:bCs/>
                <w:color w:val="000000" w:themeColor="text1"/>
                <w:lang w:val="en-US"/>
              </w:rPr>
              <w:t>4</w:t>
            </w:r>
          </w:p>
        </w:tc>
        <w:tc>
          <w:tcPr>
            <w:tcW w:w="570" w:type="pct"/>
            <w:noWrap/>
          </w:tcPr>
          <w:p w14:paraId="0686B2FC" w14:textId="19C1B020" w:rsidR="00FF1CE4" w:rsidRPr="00D549EE" w:rsidRDefault="00FF1CE4" w:rsidP="00FF1CE4">
            <w:pPr>
              <w:jc w:val="right"/>
              <w:rPr>
                <w:color w:val="000000" w:themeColor="text1"/>
                <w:lang w:val="en-US"/>
              </w:rPr>
            </w:pPr>
            <w:r w:rsidRPr="00D549EE">
              <w:rPr>
                <w:bCs/>
                <w:color w:val="000000" w:themeColor="text1"/>
                <w:lang w:val="en-US"/>
              </w:rPr>
              <w:t>1</w:t>
            </w:r>
          </w:p>
        </w:tc>
        <w:tc>
          <w:tcPr>
            <w:tcW w:w="572" w:type="pct"/>
            <w:noWrap/>
          </w:tcPr>
          <w:p w14:paraId="788D194D" w14:textId="368E697B" w:rsidR="00FF1CE4" w:rsidRPr="00D549EE" w:rsidRDefault="00FF1CE4" w:rsidP="00FF1CE4">
            <w:pPr>
              <w:jc w:val="right"/>
              <w:rPr>
                <w:color w:val="000000" w:themeColor="text1"/>
                <w:lang w:val="en-US"/>
              </w:rPr>
            </w:pPr>
            <w:r w:rsidRPr="00D549EE">
              <w:rPr>
                <w:bCs/>
                <w:color w:val="000000" w:themeColor="text1"/>
                <w:lang w:val="en-US"/>
              </w:rPr>
              <w:t>2</w:t>
            </w:r>
          </w:p>
        </w:tc>
        <w:tc>
          <w:tcPr>
            <w:tcW w:w="570" w:type="pct"/>
            <w:noWrap/>
          </w:tcPr>
          <w:p w14:paraId="5810A22C" w14:textId="107173D2" w:rsidR="00FF1CE4" w:rsidRPr="00D549EE" w:rsidRDefault="00FF1CE4" w:rsidP="00FF1CE4">
            <w:pPr>
              <w:jc w:val="right"/>
              <w:rPr>
                <w:color w:val="000000" w:themeColor="text1"/>
                <w:lang w:val="en-US"/>
              </w:rPr>
            </w:pPr>
            <w:r w:rsidRPr="00D549EE">
              <w:rPr>
                <w:bCs/>
                <w:color w:val="000000" w:themeColor="text1"/>
                <w:lang w:val="en-US"/>
              </w:rPr>
              <w:t>3</w:t>
            </w:r>
          </w:p>
        </w:tc>
        <w:tc>
          <w:tcPr>
            <w:tcW w:w="560" w:type="pct"/>
            <w:noWrap/>
          </w:tcPr>
          <w:p w14:paraId="1A547FDF" w14:textId="6B74F47C" w:rsidR="00FF1CE4" w:rsidRPr="00D549EE" w:rsidRDefault="00FF1CE4" w:rsidP="00FF1CE4">
            <w:pPr>
              <w:jc w:val="right"/>
              <w:rPr>
                <w:color w:val="000000" w:themeColor="text1"/>
                <w:lang w:val="en-US"/>
              </w:rPr>
            </w:pPr>
            <w:r w:rsidRPr="00D549EE">
              <w:rPr>
                <w:bCs/>
                <w:color w:val="000000" w:themeColor="text1"/>
                <w:lang w:val="en-US"/>
              </w:rPr>
              <w:t>4</w:t>
            </w:r>
          </w:p>
        </w:tc>
        <w:tc>
          <w:tcPr>
            <w:tcW w:w="681" w:type="pct"/>
          </w:tcPr>
          <w:p w14:paraId="36BA5E43" w14:textId="00D437E8" w:rsidR="00FF1CE4" w:rsidRPr="00D549EE" w:rsidRDefault="00FF1CE4" w:rsidP="00FF1CE4">
            <w:pPr>
              <w:jc w:val="right"/>
              <w:rPr>
                <w:color w:val="000000" w:themeColor="text1"/>
                <w:lang w:val="en-US"/>
              </w:rPr>
            </w:pPr>
            <w:r w:rsidRPr="00D549EE">
              <w:rPr>
                <w:bCs/>
                <w:color w:val="000000" w:themeColor="text1"/>
                <w:lang w:val="en-US"/>
              </w:rPr>
              <w:t>5</w:t>
            </w:r>
          </w:p>
        </w:tc>
        <w:tc>
          <w:tcPr>
            <w:tcW w:w="453" w:type="pct"/>
          </w:tcPr>
          <w:p w14:paraId="112A4DED" w14:textId="68716053" w:rsidR="00FF1CE4" w:rsidRPr="00D549EE" w:rsidRDefault="00FF1CE4" w:rsidP="00FF1CE4">
            <w:pPr>
              <w:jc w:val="right"/>
              <w:rPr>
                <w:color w:val="000000" w:themeColor="text1"/>
                <w:lang w:val="en-US"/>
              </w:rPr>
            </w:pPr>
            <w:r w:rsidRPr="00D549EE">
              <w:rPr>
                <w:bCs/>
                <w:color w:val="000000" w:themeColor="text1"/>
                <w:lang w:val="en-US"/>
              </w:rPr>
              <w:t>6</w:t>
            </w:r>
          </w:p>
        </w:tc>
        <w:tc>
          <w:tcPr>
            <w:tcW w:w="1017" w:type="pct"/>
            <w:noWrap/>
          </w:tcPr>
          <w:p w14:paraId="1EFC2BB5" w14:textId="60892DF6" w:rsidR="00FF1CE4" w:rsidRPr="00D549EE" w:rsidRDefault="00FF1CE4" w:rsidP="00FF1CE4">
            <w:pPr>
              <w:jc w:val="right"/>
              <w:rPr>
                <w:color w:val="000000" w:themeColor="text1"/>
                <w:lang w:val="en-US"/>
              </w:rPr>
            </w:pPr>
            <w:r w:rsidRPr="00D549EE">
              <w:rPr>
                <w:bCs/>
                <w:color w:val="000000" w:themeColor="text1"/>
                <w:lang w:val="en-US"/>
              </w:rPr>
              <w:t>Scale of priorities</w:t>
            </w:r>
          </w:p>
        </w:tc>
      </w:tr>
      <w:tr w:rsidR="00D53CDC" w:rsidRPr="00D549EE" w14:paraId="3AC6D762" w14:textId="77777777" w:rsidTr="00D91946">
        <w:trPr>
          <w:trHeight w:val="344"/>
        </w:trPr>
        <w:tc>
          <w:tcPr>
            <w:tcW w:w="577" w:type="pct"/>
            <w:noWrap/>
          </w:tcPr>
          <w:p w14:paraId="767F5465" w14:textId="09B52B8F" w:rsidR="00FF1CE4" w:rsidRPr="00D549EE" w:rsidRDefault="00FF1CE4" w:rsidP="00FF1CE4">
            <w:pPr>
              <w:rPr>
                <w:bCs/>
                <w:color w:val="000000" w:themeColor="text1"/>
                <w:lang w:val="en-US"/>
              </w:rPr>
            </w:pPr>
            <w:r w:rsidRPr="00D549EE">
              <w:rPr>
                <w:bCs/>
                <w:color w:val="000000" w:themeColor="text1"/>
                <w:lang w:val="en-US"/>
              </w:rPr>
              <w:t>1</w:t>
            </w:r>
          </w:p>
        </w:tc>
        <w:tc>
          <w:tcPr>
            <w:tcW w:w="570" w:type="pct"/>
            <w:noWrap/>
          </w:tcPr>
          <w:p w14:paraId="0DD5A94B" w14:textId="0654C3BA" w:rsidR="00FF1CE4" w:rsidRPr="00D549EE" w:rsidRDefault="00FF1CE4" w:rsidP="00FF1CE4">
            <w:pPr>
              <w:jc w:val="right"/>
              <w:rPr>
                <w:color w:val="000000" w:themeColor="text1"/>
                <w:lang w:val="en-US"/>
              </w:rPr>
            </w:pPr>
            <w:r w:rsidRPr="00D549EE">
              <w:rPr>
                <w:color w:val="000000" w:themeColor="text1"/>
                <w:lang w:val="en-US"/>
              </w:rPr>
              <w:t>1.00</w:t>
            </w:r>
          </w:p>
        </w:tc>
        <w:tc>
          <w:tcPr>
            <w:tcW w:w="572" w:type="pct"/>
            <w:noWrap/>
          </w:tcPr>
          <w:p w14:paraId="58CC6CCC" w14:textId="7CE56193" w:rsidR="00FF1CE4" w:rsidRPr="00D549EE" w:rsidRDefault="00FF1CE4" w:rsidP="00FF1CE4">
            <w:pPr>
              <w:jc w:val="right"/>
              <w:rPr>
                <w:color w:val="000000" w:themeColor="text1"/>
                <w:lang w:val="en-US"/>
              </w:rPr>
            </w:pPr>
            <w:r w:rsidRPr="00D549EE">
              <w:rPr>
                <w:color w:val="000000" w:themeColor="text1"/>
                <w:lang w:val="en-US"/>
              </w:rPr>
              <w:t>0.13</w:t>
            </w:r>
          </w:p>
        </w:tc>
        <w:tc>
          <w:tcPr>
            <w:tcW w:w="570" w:type="pct"/>
            <w:noWrap/>
          </w:tcPr>
          <w:p w14:paraId="3576C40C" w14:textId="06DD4EA6" w:rsidR="00FF1CE4" w:rsidRPr="00D549EE" w:rsidRDefault="00FF1CE4" w:rsidP="00FF1CE4">
            <w:pPr>
              <w:jc w:val="right"/>
              <w:rPr>
                <w:color w:val="000000" w:themeColor="text1"/>
                <w:lang w:val="en-US"/>
              </w:rPr>
            </w:pPr>
            <w:r w:rsidRPr="00D549EE">
              <w:rPr>
                <w:color w:val="000000" w:themeColor="text1"/>
                <w:lang w:val="en-US"/>
              </w:rPr>
              <w:t>0.11</w:t>
            </w:r>
          </w:p>
        </w:tc>
        <w:tc>
          <w:tcPr>
            <w:tcW w:w="560" w:type="pct"/>
            <w:noWrap/>
          </w:tcPr>
          <w:p w14:paraId="1A55F883" w14:textId="731EEEB9" w:rsidR="00FF1CE4" w:rsidRPr="00D549EE" w:rsidRDefault="00FF1CE4" w:rsidP="00FF1CE4">
            <w:pPr>
              <w:jc w:val="right"/>
              <w:rPr>
                <w:color w:val="000000" w:themeColor="text1"/>
                <w:lang w:val="en-US"/>
              </w:rPr>
            </w:pPr>
            <w:r w:rsidRPr="00D549EE">
              <w:rPr>
                <w:color w:val="000000" w:themeColor="text1"/>
                <w:lang w:val="en-US"/>
              </w:rPr>
              <w:t>0.14</w:t>
            </w:r>
          </w:p>
        </w:tc>
        <w:tc>
          <w:tcPr>
            <w:tcW w:w="681" w:type="pct"/>
          </w:tcPr>
          <w:p w14:paraId="6F2B6AAA" w14:textId="04B926CC" w:rsidR="00FF1CE4" w:rsidRPr="00D549EE" w:rsidRDefault="00FF1CE4" w:rsidP="00FF1CE4">
            <w:pPr>
              <w:jc w:val="right"/>
              <w:rPr>
                <w:color w:val="000000" w:themeColor="text1"/>
                <w:lang w:val="en-US"/>
              </w:rPr>
            </w:pPr>
            <w:r w:rsidRPr="00D549EE">
              <w:rPr>
                <w:color w:val="000000" w:themeColor="text1"/>
                <w:lang w:val="en-US"/>
              </w:rPr>
              <w:t>9.00</w:t>
            </w:r>
          </w:p>
        </w:tc>
        <w:tc>
          <w:tcPr>
            <w:tcW w:w="453" w:type="pct"/>
          </w:tcPr>
          <w:p w14:paraId="284BD674" w14:textId="4E120FB0" w:rsidR="00FF1CE4" w:rsidRPr="00D549EE" w:rsidRDefault="00FF1CE4" w:rsidP="00FF1CE4">
            <w:pPr>
              <w:jc w:val="right"/>
              <w:rPr>
                <w:color w:val="000000" w:themeColor="text1"/>
                <w:lang w:val="en-US"/>
              </w:rPr>
            </w:pPr>
            <w:r w:rsidRPr="00D549EE">
              <w:rPr>
                <w:color w:val="000000" w:themeColor="text1"/>
                <w:lang w:val="en-US"/>
              </w:rPr>
              <w:t>8.00</w:t>
            </w:r>
          </w:p>
        </w:tc>
        <w:tc>
          <w:tcPr>
            <w:tcW w:w="1017" w:type="pct"/>
            <w:noWrap/>
          </w:tcPr>
          <w:p w14:paraId="006EEEAB" w14:textId="25F0B9E4" w:rsidR="00FF1CE4" w:rsidRPr="00D549EE" w:rsidRDefault="00FF1CE4" w:rsidP="00FF1CE4">
            <w:pPr>
              <w:jc w:val="right"/>
              <w:rPr>
                <w:color w:val="000000" w:themeColor="text1"/>
                <w:lang w:val="en-US"/>
              </w:rPr>
            </w:pPr>
            <w:r w:rsidRPr="00D549EE">
              <w:rPr>
                <w:bCs/>
                <w:color w:val="000000" w:themeColor="text1"/>
                <w:lang w:val="en-US"/>
              </w:rPr>
              <w:t>0.08</w:t>
            </w:r>
          </w:p>
        </w:tc>
      </w:tr>
      <w:tr w:rsidR="00D53CDC" w:rsidRPr="00D549EE" w14:paraId="7425B703" w14:textId="77777777" w:rsidTr="00D91946">
        <w:trPr>
          <w:trHeight w:val="344"/>
        </w:trPr>
        <w:tc>
          <w:tcPr>
            <w:tcW w:w="577" w:type="pct"/>
            <w:noWrap/>
          </w:tcPr>
          <w:p w14:paraId="7941AC75" w14:textId="1F182956" w:rsidR="00FF1CE4" w:rsidRPr="00D549EE" w:rsidRDefault="00FF1CE4" w:rsidP="00FF1CE4">
            <w:pPr>
              <w:rPr>
                <w:bCs/>
                <w:color w:val="000000" w:themeColor="text1"/>
                <w:lang w:val="en-US"/>
              </w:rPr>
            </w:pPr>
            <w:r w:rsidRPr="00D549EE">
              <w:rPr>
                <w:bCs/>
                <w:color w:val="000000" w:themeColor="text1"/>
                <w:lang w:val="en-US"/>
              </w:rPr>
              <w:t>2</w:t>
            </w:r>
          </w:p>
        </w:tc>
        <w:tc>
          <w:tcPr>
            <w:tcW w:w="570" w:type="pct"/>
            <w:noWrap/>
          </w:tcPr>
          <w:p w14:paraId="6781F259" w14:textId="7CF682FC" w:rsidR="00FF1CE4" w:rsidRPr="00D549EE" w:rsidRDefault="00FF1CE4" w:rsidP="00FF1CE4">
            <w:pPr>
              <w:jc w:val="right"/>
              <w:rPr>
                <w:color w:val="000000" w:themeColor="text1"/>
                <w:lang w:val="en-US"/>
              </w:rPr>
            </w:pPr>
            <w:r w:rsidRPr="00D549EE">
              <w:rPr>
                <w:color w:val="000000" w:themeColor="text1"/>
                <w:lang w:val="en-US"/>
              </w:rPr>
              <w:t>8.00</w:t>
            </w:r>
          </w:p>
        </w:tc>
        <w:tc>
          <w:tcPr>
            <w:tcW w:w="572" w:type="pct"/>
            <w:noWrap/>
          </w:tcPr>
          <w:p w14:paraId="7F3B2542" w14:textId="180BE6F9" w:rsidR="00FF1CE4" w:rsidRPr="00D549EE" w:rsidRDefault="00FF1CE4" w:rsidP="00FF1CE4">
            <w:pPr>
              <w:jc w:val="right"/>
              <w:rPr>
                <w:color w:val="000000" w:themeColor="text1"/>
                <w:lang w:val="en-US"/>
              </w:rPr>
            </w:pPr>
            <w:r w:rsidRPr="00D549EE">
              <w:rPr>
                <w:color w:val="000000" w:themeColor="text1"/>
                <w:lang w:val="en-US"/>
              </w:rPr>
              <w:t>1.00</w:t>
            </w:r>
          </w:p>
        </w:tc>
        <w:tc>
          <w:tcPr>
            <w:tcW w:w="570" w:type="pct"/>
            <w:noWrap/>
          </w:tcPr>
          <w:p w14:paraId="1B114885" w14:textId="1BA8A7D0" w:rsidR="00FF1CE4" w:rsidRPr="00D549EE" w:rsidRDefault="00FF1CE4" w:rsidP="00FF1CE4">
            <w:pPr>
              <w:jc w:val="right"/>
              <w:rPr>
                <w:color w:val="000000" w:themeColor="text1"/>
                <w:lang w:val="en-US"/>
              </w:rPr>
            </w:pPr>
            <w:r w:rsidRPr="00D549EE">
              <w:rPr>
                <w:color w:val="000000" w:themeColor="text1"/>
                <w:lang w:val="en-US"/>
              </w:rPr>
              <w:t>7.00</w:t>
            </w:r>
          </w:p>
        </w:tc>
        <w:tc>
          <w:tcPr>
            <w:tcW w:w="560" w:type="pct"/>
            <w:noWrap/>
          </w:tcPr>
          <w:p w14:paraId="5944EFBE" w14:textId="303AA9BC" w:rsidR="00FF1CE4" w:rsidRPr="00D549EE" w:rsidRDefault="00FF1CE4" w:rsidP="00FF1CE4">
            <w:pPr>
              <w:jc w:val="right"/>
              <w:rPr>
                <w:color w:val="000000" w:themeColor="text1"/>
                <w:lang w:val="en-US"/>
              </w:rPr>
            </w:pPr>
            <w:r w:rsidRPr="00D549EE">
              <w:rPr>
                <w:color w:val="000000" w:themeColor="text1"/>
                <w:lang w:val="en-US"/>
              </w:rPr>
              <w:t>4.00</w:t>
            </w:r>
          </w:p>
        </w:tc>
        <w:tc>
          <w:tcPr>
            <w:tcW w:w="681" w:type="pct"/>
          </w:tcPr>
          <w:p w14:paraId="44AE2F61" w14:textId="558E5C99" w:rsidR="00FF1CE4" w:rsidRPr="00D549EE" w:rsidRDefault="00FF1CE4" w:rsidP="00FF1CE4">
            <w:pPr>
              <w:jc w:val="right"/>
              <w:rPr>
                <w:color w:val="000000" w:themeColor="text1"/>
                <w:lang w:val="en-US"/>
              </w:rPr>
            </w:pPr>
            <w:r w:rsidRPr="00D549EE">
              <w:rPr>
                <w:color w:val="000000" w:themeColor="text1"/>
                <w:lang w:val="en-US"/>
              </w:rPr>
              <w:t>1.00</w:t>
            </w:r>
          </w:p>
        </w:tc>
        <w:tc>
          <w:tcPr>
            <w:tcW w:w="453" w:type="pct"/>
          </w:tcPr>
          <w:p w14:paraId="0117CD65" w14:textId="5183487A" w:rsidR="00FF1CE4" w:rsidRPr="00D549EE" w:rsidRDefault="00FF1CE4" w:rsidP="00FF1CE4">
            <w:pPr>
              <w:jc w:val="right"/>
              <w:rPr>
                <w:color w:val="000000" w:themeColor="text1"/>
                <w:lang w:val="en-US"/>
              </w:rPr>
            </w:pPr>
            <w:r w:rsidRPr="00D549EE">
              <w:rPr>
                <w:color w:val="000000" w:themeColor="text1"/>
                <w:lang w:val="en-US"/>
              </w:rPr>
              <w:t>9.00</w:t>
            </w:r>
          </w:p>
        </w:tc>
        <w:tc>
          <w:tcPr>
            <w:tcW w:w="1017" w:type="pct"/>
            <w:noWrap/>
          </w:tcPr>
          <w:p w14:paraId="092F3C37" w14:textId="34804391" w:rsidR="00FF1CE4" w:rsidRPr="00D549EE" w:rsidRDefault="00FF1CE4" w:rsidP="00FF1CE4">
            <w:pPr>
              <w:jc w:val="right"/>
              <w:rPr>
                <w:color w:val="000000" w:themeColor="text1"/>
                <w:lang w:val="en-US"/>
              </w:rPr>
            </w:pPr>
            <w:r w:rsidRPr="00D549EE">
              <w:rPr>
                <w:bCs/>
                <w:color w:val="000000" w:themeColor="text1"/>
                <w:lang w:val="en-US"/>
              </w:rPr>
              <w:t>0.40</w:t>
            </w:r>
          </w:p>
        </w:tc>
      </w:tr>
      <w:tr w:rsidR="00D53CDC" w:rsidRPr="00D549EE" w14:paraId="3E78B543" w14:textId="77777777" w:rsidTr="00D91946">
        <w:trPr>
          <w:trHeight w:val="344"/>
        </w:trPr>
        <w:tc>
          <w:tcPr>
            <w:tcW w:w="577" w:type="pct"/>
            <w:noWrap/>
          </w:tcPr>
          <w:p w14:paraId="65EAD9CC" w14:textId="37ACE3F3" w:rsidR="00FF1CE4" w:rsidRPr="00D549EE" w:rsidRDefault="00FF1CE4" w:rsidP="00FF1CE4">
            <w:pPr>
              <w:rPr>
                <w:bCs/>
                <w:color w:val="000000" w:themeColor="text1"/>
                <w:lang w:val="en-US"/>
              </w:rPr>
            </w:pPr>
            <w:r w:rsidRPr="00D549EE">
              <w:rPr>
                <w:bCs/>
                <w:color w:val="000000" w:themeColor="text1"/>
                <w:lang w:val="en-US"/>
              </w:rPr>
              <w:t>3</w:t>
            </w:r>
          </w:p>
        </w:tc>
        <w:tc>
          <w:tcPr>
            <w:tcW w:w="570" w:type="pct"/>
            <w:noWrap/>
          </w:tcPr>
          <w:p w14:paraId="7DB25853" w14:textId="7EB1A5AF" w:rsidR="00FF1CE4" w:rsidRPr="00D549EE" w:rsidRDefault="00FF1CE4" w:rsidP="00FF1CE4">
            <w:pPr>
              <w:jc w:val="right"/>
              <w:rPr>
                <w:color w:val="000000" w:themeColor="text1"/>
                <w:lang w:val="en-US"/>
              </w:rPr>
            </w:pPr>
            <w:r w:rsidRPr="00D549EE">
              <w:rPr>
                <w:color w:val="000000" w:themeColor="text1"/>
                <w:lang w:val="en-US"/>
              </w:rPr>
              <w:t>9.00</w:t>
            </w:r>
          </w:p>
        </w:tc>
        <w:tc>
          <w:tcPr>
            <w:tcW w:w="572" w:type="pct"/>
            <w:noWrap/>
          </w:tcPr>
          <w:p w14:paraId="3DF3539A" w14:textId="002E2490" w:rsidR="00FF1CE4" w:rsidRPr="00D549EE" w:rsidRDefault="00FF1CE4" w:rsidP="00FF1CE4">
            <w:pPr>
              <w:jc w:val="right"/>
              <w:rPr>
                <w:color w:val="000000" w:themeColor="text1"/>
                <w:lang w:val="en-US"/>
              </w:rPr>
            </w:pPr>
            <w:r w:rsidRPr="00D549EE">
              <w:rPr>
                <w:color w:val="000000" w:themeColor="text1"/>
                <w:lang w:val="en-US"/>
              </w:rPr>
              <w:t>0.14</w:t>
            </w:r>
          </w:p>
        </w:tc>
        <w:tc>
          <w:tcPr>
            <w:tcW w:w="570" w:type="pct"/>
            <w:noWrap/>
          </w:tcPr>
          <w:p w14:paraId="3ADB00B4" w14:textId="053D50B4" w:rsidR="00FF1CE4" w:rsidRPr="00D549EE" w:rsidRDefault="00FF1CE4" w:rsidP="00FF1CE4">
            <w:pPr>
              <w:jc w:val="right"/>
              <w:rPr>
                <w:color w:val="000000" w:themeColor="text1"/>
                <w:lang w:val="en-US"/>
              </w:rPr>
            </w:pPr>
            <w:r w:rsidRPr="00D549EE">
              <w:rPr>
                <w:color w:val="000000" w:themeColor="text1"/>
                <w:lang w:val="en-US"/>
              </w:rPr>
              <w:t>1.00</w:t>
            </w:r>
          </w:p>
        </w:tc>
        <w:tc>
          <w:tcPr>
            <w:tcW w:w="560" w:type="pct"/>
            <w:noWrap/>
          </w:tcPr>
          <w:p w14:paraId="410D4768" w14:textId="1C4DB933" w:rsidR="00FF1CE4" w:rsidRPr="00D549EE" w:rsidRDefault="00FF1CE4" w:rsidP="00FF1CE4">
            <w:pPr>
              <w:jc w:val="right"/>
              <w:rPr>
                <w:color w:val="000000" w:themeColor="text1"/>
                <w:lang w:val="en-US"/>
              </w:rPr>
            </w:pPr>
            <w:r w:rsidRPr="00D549EE">
              <w:rPr>
                <w:color w:val="000000" w:themeColor="text1"/>
                <w:lang w:val="en-US"/>
              </w:rPr>
              <w:t>1.00</w:t>
            </w:r>
          </w:p>
        </w:tc>
        <w:tc>
          <w:tcPr>
            <w:tcW w:w="681" w:type="pct"/>
          </w:tcPr>
          <w:p w14:paraId="3579372D" w14:textId="6CC69707" w:rsidR="00FF1CE4" w:rsidRPr="00D549EE" w:rsidRDefault="00FF1CE4" w:rsidP="00FF1CE4">
            <w:pPr>
              <w:jc w:val="right"/>
              <w:rPr>
                <w:color w:val="000000" w:themeColor="text1"/>
                <w:lang w:val="en-US"/>
              </w:rPr>
            </w:pPr>
            <w:r w:rsidRPr="00D549EE">
              <w:rPr>
                <w:color w:val="000000" w:themeColor="text1"/>
                <w:lang w:val="en-US"/>
              </w:rPr>
              <w:t>1.00</w:t>
            </w:r>
          </w:p>
        </w:tc>
        <w:tc>
          <w:tcPr>
            <w:tcW w:w="453" w:type="pct"/>
          </w:tcPr>
          <w:p w14:paraId="7EB6D759" w14:textId="199CD5BA" w:rsidR="00FF1CE4" w:rsidRPr="00D549EE" w:rsidRDefault="00FF1CE4" w:rsidP="00FF1CE4">
            <w:pPr>
              <w:jc w:val="right"/>
              <w:rPr>
                <w:color w:val="000000" w:themeColor="text1"/>
                <w:lang w:val="en-US"/>
              </w:rPr>
            </w:pPr>
            <w:r w:rsidRPr="00D549EE">
              <w:rPr>
                <w:color w:val="000000" w:themeColor="text1"/>
                <w:lang w:val="en-US"/>
              </w:rPr>
              <w:t>7.00</w:t>
            </w:r>
          </w:p>
        </w:tc>
        <w:tc>
          <w:tcPr>
            <w:tcW w:w="1017" w:type="pct"/>
            <w:noWrap/>
          </w:tcPr>
          <w:p w14:paraId="477068FE" w14:textId="30C00B46" w:rsidR="00FF1CE4" w:rsidRPr="00D549EE" w:rsidRDefault="00FF1CE4" w:rsidP="00FF1CE4">
            <w:pPr>
              <w:jc w:val="right"/>
              <w:rPr>
                <w:color w:val="000000" w:themeColor="text1"/>
                <w:lang w:val="en-US"/>
              </w:rPr>
            </w:pPr>
            <w:r w:rsidRPr="00D549EE">
              <w:rPr>
                <w:bCs/>
                <w:color w:val="000000" w:themeColor="text1"/>
                <w:lang w:val="en-US"/>
              </w:rPr>
              <w:t>0.16</w:t>
            </w:r>
          </w:p>
        </w:tc>
      </w:tr>
      <w:tr w:rsidR="00D53CDC" w:rsidRPr="00D549EE" w14:paraId="3CE01B8E" w14:textId="77777777" w:rsidTr="00D91946">
        <w:trPr>
          <w:trHeight w:val="344"/>
        </w:trPr>
        <w:tc>
          <w:tcPr>
            <w:tcW w:w="577" w:type="pct"/>
            <w:noWrap/>
          </w:tcPr>
          <w:p w14:paraId="37CE8EC7" w14:textId="527D59F0" w:rsidR="00FF1CE4" w:rsidRPr="00D549EE" w:rsidRDefault="00FF1CE4" w:rsidP="00FF1CE4">
            <w:pPr>
              <w:rPr>
                <w:bCs/>
                <w:color w:val="000000" w:themeColor="text1"/>
                <w:lang w:val="en-US"/>
              </w:rPr>
            </w:pPr>
            <w:r w:rsidRPr="00D549EE">
              <w:rPr>
                <w:bCs/>
                <w:color w:val="000000" w:themeColor="text1"/>
                <w:lang w:val="en-US"/>
              </w:rPr>
              <w:t>4</w:t>
            </w:r>
          </w:p>
        </w:tc>
        <w:tc>
          <w:tcPr>
            <w:tcW w:w="570" w:type="pct"/>
            <w:noWrap/>
          </w:tcPr>
          <w:p w14:paraId="0A482E0E" w14:textId="2DF04067" w:rsidR="00FF1CE4" w:rsidRPr="00D549EE" w:rsidRDefault="00FF1CE4" w:rsidP="00FF1CE4">
            <w:pPr>
              <w:jc w:val="right"/>
              <w:rPr>
                <w:color w:val="000000" w:themeColor="text1"/>
                <w:lang w:val="en-US"/>
              </w:rPr>
            </w:pPr>
            <w:r w:rsidRPr="00D549EE">
              <w:rPr>
                <w:color w:val="000000" w:themeColor="text1"/>
                <w:lang w:val="en-US"/>
              </w:rPr>
              <w:t>7.00</w:t>
            </w:r>
          </w:p>
        </w:tc>
        <w:tc>
          <w:tcPr>
            <w:tcW w:w="572" w:type="pct"/>
            <w:noWrap/>
          </w:tcPr>
          <w:p w14:paraId="0E1B86B0" w14:textId="74E37EB0" w:rsidR="00FF1CE4" w:rsidRPr="00D549EE" w:rsidRDefault="00FF1CE4" w:rsidP="00FF1CE4">
            <w:pPr>
              <w:jc w:val="right"/>
              <w:rPr>
                <w:color w:val="000000" w:themeColor="text1"/>
                <w:lang w:val="en-US"/>
              </w:rPr>
            </w:pPr>
            <w:r w:rsidRPr="00D549EE">
              <w:rPr>
                <w:color w:val="000000" w:themeColor="text1"/>
                <w:lang w:val="en-US"/>
              </w:rPr>
              <w:t>0.25</w:t>
            </w:r>
          </w:p>
        </w:tc>
        <w:tc>
          <w:tcPr>
            <w:tcW w:w="570" w:type="pct"/>
            <w:noWrap/>
          </w:tcPr>
          <w:p w14:paraId="510AB8DF" w14:textId="56802CE2" w:rsidR="00FF1CE4" w:rsidRPr="00D549EE" w:rsidRDefault="00FF1CE4" w:rsidP="00FF1CE4">
            <w:pPr>
              <w:jc w:val="right"/>
              <w:rPr>
                <w:color w:val="000000" w:themeColor="text1"/>
                <w:lang w:val="en-US"/>
              </w:rPr>
            </w:pPr>
            <w:r w:rsidRPr="00D549EE">
              <w:rPr>
                <w:color w:val="000000" w:themeColor="text1"/>
                <w:lang w:val="en-US"/>
              </w:rPr>
              <w:t>1.00</w:t>
            </w:r>
          </w:p>
        </w:tc>
        <w:tc>
          <w:tcPr>
            <w:tcW w:w="560" w:type="pct"/>
            <w:noWrap/>
          </w:tcPr>
          <w:p w14:paraId="7FD7698A" w14:textId="0E46B930" w:rsidR="00FF1CE4" w:rsidRPr="00D549EE" w:rsidRDefault="00FF1CE4" w:rsidP="00FF1CE4">
            <w:pPr>
              <w:jc w:val="right"/>
              <w:rPr>
                <w:color w:val="000000" w:themeColor="text1"/>
                <w:lang w:val="en-US"/>
              </w:rPr>
            </w:pPr>
            <w:r w:rsidRPr="00D549EE">
              <w:rPr>
                <w:color w:val="000000" w:themeColor="text1"/>
                <w:lang w:val="en-US"/>
              </w:rPr>
              <w:t>1.00</w:t>
            </w:r>
          </w:p>
        </w:tc>
        <w:tc>
          <w:tcPr>
            <w:tcW w:w="681" w:type="pct"/>
          </w:tcPr>
          <w:p w14:paraId="05F8C5A1" w14:textId="4A3B2D2B" w:rsidR="00FF1CE4" w:rsidRPr="00D549EE" w:rsidRDefault="00FF1CE4" w:rsidP="00FF1CE4">
            <w:pPr>
              <w:jc w:val="right"/>
              <w:rPr>
                <w:color w:val="000000" w:themeColor="text1"/>
                <w:lang w:val="en-US"/>
              </w:rPr>
            </w:pPr>
            <w:r w:rsidRPr="00D549EE">
              <w:rPr>
                <w:color w:val="000000" w:themeColor="text1"/>
                <w:lang w:val="en-US"/>
              </w:rPr>
              <w:t>7.00</w:t>
            </w:r>
          </w:p>
        </w:tc>
        <w:tc>
          <w:tcPr>
            <w:tcW w:w="453" w:type="pct"/>
          </w:tcPr>
          <w:p w14:paraId="23631FED" w14:textId="5B40B671" w:rsidR="00FF1CE4" w:rsidRPr="00D549EE" w:rsidRDefault="00FF1CE4" w:rsidP="00FF1CE4">
            <w:pPr>
              <w:jc w:val="right"/>
              <w:rPr>
                <w:color w:val="000000" w:themeColor="text1"/>
                <w:lang w:val="en-US"/>
              </w:rPr>
            </w:pPr>
            <w:r w:rsidRPr="00D549EE">
              <w:rPr>
                <w:color w:val="000000" w:themeColor="text1"/>
                <w:lang w:val="en-US"/>
              </w:rPr>
              <w:t>9.00</w:t>
            </w:r>
          </w:p>
        </w:tc>
        <w:tc>
          <w:tcPr>
            <w:tcW w:w="1017" w:type="pct"/>
            <w:noWrap/>
          </w:tcPr>
          <w:p w14:paraId="2CCC8391" w14:textId="5CA3F580" w:rsidR="00FF1CE4" w:rsidRPr="00D549EE" w:rsidRDefault="00FF1CE4" w:rsidP="00FF1CE4">
            <w:pPr>
              <w:jc w:val="right"/>
              <w:rPr>
                <w:color w:val="000000" w:themeColor="text1"/>
                <w:lang w:val="en-US"/>
              </w:rPr>
            </w:pPr>
            <w:r w:rsidRPr="00D549EE">
              <w:rPr>
                <w:bCs/>
                <w:color w:val="000000" w:themeColor="text1"/>
                <w:lang w:val="en-US"/>
              </w:rPr>
              <w:t>0.25</w:t>
            </w:r>
          </w:p>
        </w:tc>
      </w:tr>
      <w:tr w:rsidR="00FF2FE9" w:rsidRPr="00D549EE" w14:paraId="694954B4" w14:textId="190E1149" w:rsidTr="00D91946">
        <w:trPr>
          <w:trHeight w:val="344"/>
        </w:trPr>
        <w:tc>
          <w:tcPr>
            <w:tcW w:w="577" w:type="pct"/>
            <w:noWrap/>
          </w:tcPr>
          <w:p w14:paraId="7C8DF42B" w14:textId="6F0D97CA" w:rsidR="00D53CDC" w:rsidRPr="00D549EE" w:rsidRDefault="00D53CDC" w:rsidP="00FF1CE4">
            <w:pPr>
              <w:rPr>
                <w:bCs/>
                <w:color w:val="000000" w:themeColor="text1"/>
                <w:lang w:val="en-US"/>
              </w:rPr>
            </w:pPr>
            <w:r w:rsidRPr="00D549EE">
              <w:rPr>
                <w:bCs/>
                <w:color w:val="000000" w:themeColor="text1"/>
                <w:lang w:val="en-US"/>
              </w:rPr>
              <w:t>5</w:t>
            </w:r>
          </w:p>
        </w:tc>
        <w:tc>
          <w:tcPr>
            <w:tcW w:w="570" w:type="pct"/>
            <w:noWrap/>
          </w:tcPr>
          <w:p w14:paraId="6CDD10CD" w14:textId="77851CD6" w:rsidR="00D53CDC" w:rsidRPr="00D549EE" w:rsidRDefault="00D53CDC" w:rsidP="00FF1CE4">
            <w:pPr>
              <w:jc w:val="right"/>
              <w:rPr>
                <w:color w:val="000000" w:themeColor="text1"/>
                <w:lang w:val="en-US"/>
              </w:rPr>
            </w:pPr>
            <w:r w:rsidRPr="00D549EE">
              <w:rPr>
                <w:color w:val="000000" w:themeColor="text1"/>
                <w:lang w:val="en-US"/>
              </w:rPr>
              <w:t>0.11</w:t>
            </w:r>
          </w:p>
        </w:tc>
        <w:tc>
          <w:tcPr>
            <w:tcW w:w="572" w:type="pct"/>
            <w:noWrap/>
          </w:tcPr>
          <w:p w14:paraId="77DA79FC" w14:textId="48B032B4" w:rsidR="00D53CDC" w:rsidRPr="00D549EE" w:rsidRDefault="00D53CDC" w:rsidP="00FF1CE4">
            <w:pPr>
              <w:jc w:val="right"/>
              <w:rPr>
                <w:color w:val="000000" w:themeColor="text1"/>
                <w:lang w:val="en-US"/>
              </w:rPr>
            </w:pPr>
            <w:r w:rsidRPr="00D549EE">
              <w:rPr>
                <w:color w:val="000000" w:themeColor="text1"/>
                <w:lang w:val="en-US"/>
              </w:rPr>
              <w:t>1.00</w:t>
            </w:r>
          </w:p>
        </w:tc>
        <w:tc>
          <w:tcPr>
            <w:tcW w:w="570" w:type="pct"/>
            <w:noWrap/>
          </w:tcPr>
          <w:p w14:paraId="1386BFF2" w14:textId="2A961210" w:rsidR="00D53CDC" w:rsidRPr="00D549EE" w:rsidRDefault="00D53CDC" w:rsidP="00FF1CE4">
            <w:pPr>
              <w:jc w:val="right"/>
              <w:rPr>
                <w:color w:val="000000" w:themeColor="text1"/>
                <w:lang w:val="en-US"/>
              </w:rPr>
            </w:pPr>
            <w:r w:rsidRPr="00D549EE">
              <w:rPr>
                <w:color w:val="000000" w:themeColor="text1"/>
                <w:lang w:val="en-US"/>
              </w:rPr>
              <w:t>1.00</w:t>
            </w:r>
          </w:p>
        </w:tc>
        <w:tc>
          <w:tcPr>
            <w:tcW w:w="560" w:type="pct"/>
            <w:noWrap/>
          </w:tcPr>
          <w:p w14:paraId="337E6315" w14:textId="182E34A9" w:rsidR="00D53CDC" w:rsidRPr="00D549EE" w:rsidRDefault="000630D6" w:rsidP="00D53CDC">
            <w:pPr>
              <w:jc w:val="right"/>
              <w:rPr>
                <w:color w:val="000000" w:themeColor="text1"/>
                <w:lang w:val="en-US"/>
              </w:rPr>
            </w:pPr>
            <w:r w:rsidRPr="00D549EE">
              <w:rPr>
                <w:color w:val="000000" w:themeColor="text1"/>
                <w:lang w:val="en-US"/>
              </w:rPr>
              <w:t>0.14</w:t>
            </w:r>
          </w:p>
        </w:tc>
        <w:tc>
          <w:tcPr>
            <w:tcW w:w="681" w:type="pct"/>
          </w:tcPr>
          <w:p w14:paraId="7B968112" w14:textId="694CA7F2" w:rsidR="00D53CDC" w:rsidRPr="00D549EE" w:rsidRDefault="000630D6" w:rsidP="00D53CDC">
            <w:pPr>
              <w:jc w:val="right"/>
              <w:rPr>
                <w:color w:val="000000" w:themeColor="text1"/>
                <w:lang w:val="en-US"/>
              </w:rPr>
            </w:pPr>
            <w:r w:rsidRPr="00D549EE">
              <w:rPr>
                <w:color w:val="000000" w:themeColor="text1"/>
                <w:lang w:val="en-US"/>
              </w:rPr>
              <w:t>9.00</w:t>
            </w:r>
          </w:p>
        </w:tc>
        <w:tc>
          <w:tcPr>
            <w:tcW w:w="453" w:type="pct"/>
          </w:tcPr>
          <w:p w14:paraId="743932FA" w14:textId="17C50462" w:rsidR="00D53CDC" w:rsidRPr="00D549EE" w:rsidRDefault="00431707" w:rsidP="00FF1CE4">
            <w:pPr>
              <w:jc w:val="right"/>
              <w:rPr>
                <w:color w:val="000000" w:themeColor="text1"/>
                <w:lang w:val="en-US"/>
              </w:rPr>
            </w:pPr>
            <w:r w:rsidRPr="00D549EE">
              <w:rPr>
                <w:color w:val="000000" w:themeColor="text1"/>
                <w:lang w:val="en-US"/>
              </w:rPr>
              <w:t>8.00</w:t>
            </w:r>
          </w:p>
        </w:tc>
        <w:tc>
          <w:tcPr>
            <w:tcW w:w="1017" w:type="pct"/>
            <w:noWrap/>
          </w:tcPr>
          <w:p w14:paraId="12ABF100" w14:textId="1544E98A" w:rsidR="00D53CDC" w:rsidRPr="00D549EE" w:rsidRDefault="00431707" w:rsidP="00FF1CE4">
            <w:pPr>
              <w:jc w:val="right"/>
              <w:rPr>
                <w:color w:val="000000" w:themeColor="text1"/>
                <w:lang w:val="en-US"/>
              </w:rPr>
            </w:pPr>
            <w:r w:rsidRPr="00D549EE">
              <w:rPr>
                <w:color w:val="000000" w:themeColor="text1"/>
                <w:lang w:val="en-US"/>
              </w:rPr>
              <w:t>0.08</w:t>
            </w:r>
          </w:p>
        </w:tc>
      </w:tr>
      <w:tr w:rsidR="00D53CDC" w:rsidRPr="00D549EE" w14:paraId="77A6E88A" w14:textId="2855609E" w:rsidTr="00D91946">
        <w:trPr>
          <w:trHeight w:val="344"/>
        </w:trPr>
        <w:tc>
          <w:tcPr>
            <w:tcW w:w="577" w:type="pct"/>
            <w:noWrap/>
          </w:tcPr>
          <w:p w14:paraId="3D437713" w14:textId="676D5A79" w:rsidR="00D53CDC" w:rsidRPr="00D549EE" w:rsidRDefault="00D53CDC" w:rsidP="00FF1CE4">
            <w:pPr>
              <w:rPr>
                <w:bCs/>
                <w:color w:val="000000" w:themeColor="text1"/>
                <w:lang w:val="en-US"/>
              </w:rPr>
            </w:pPr>
            <w:r w:rsidRPr="00D549EE">
              <w:rPr>
                <w:bCs/>
                <w:color w:val="000000" w:themeColor="text1"/>
                <w:lang w:val="en-US"/>
              </w:rPr>
              <w:t>6</w:t>
            </w:r>
          </w:p>
        </w:tc>
        <w:tc>
          <w:tcPr>
            <w:tcW w:w="570" w:type="pct"/>
            <w:noWrap/>
          </w:tcPr>
          <w:p w14:paraId="603BED24" w14:textId="6934CE63" w:rsidR="00D53CDC" w:rsidRPr="00D549EE" w:rsidRDefault="00D53CDC" w:rsidP="00FF1CE4">
            <w:pPr>
              <w:jc w:val="right"/>
              <w:rPr>
                <w:color w:val="000000" w:themeColor="text1"/>
                <w:lang w:val="en-US"/>
              </w:rPr>
            </w:pPr>
            <w:r w:rsidRPr="00D549EE">
              <w:rPr>
                <w:color w:val="000000" w:themeColor="text1"/>
                <w:lang w:val="en-US"/>
              </w:rPr>
              <w:t>0.13</w:t>
            </w:r>
          </w:p>
        </w:tc>
        <w:tc>
          <w:tcPr>
            <w:tcW w:w="572" w:type="pct"/>
            <w:noWrap/>
          </w:tcPr>
          <w:p w14:paraId="760564BA" w14:textId="29DEA487" w:rsidR="00D53CDC" w:rsidRPr="00D549EE" w:rsidRDefault="00D53CDC" w:rsidP="00FF1CE4">
            <w:pPr>
              <w:jc w:val="right"/>
              <w:rPr>
                <w:color w:val="000000" w:themeColor="text1"/>
                <w:lang w:val="en-US"/>
              </w:rPr>
            </w:pPr>
            <w:r w:rsidRPr="00D549EE">
              <w:rPr>
                <w:color w:val="000000" w:themeColor="text1"/>
                <w:lang w:val="en-US"/>
              </w:rPr>
              <w:t>0.11</w:t>
            </w:r>
          </w:p>
        </w:tc>
        <w:tc>
          <w:tcPr>
            <w:tcW w:w="570" w:type="pct"/>
            <w:noWrap/>
          </w:tcPr>
          <w:p w14:paraId="47F62DEE" w14:textId="5D5A8C7C" w:rsidR="00D53CDC" w:rsidRPr="00D549EE" w:rsidRDefault="00D53CDC" w:rsidP="00FF1CE4">
            <w:pPr>
              <w:jc w:val="right"/>
              <w:rPr>
                <w:color w:val="000000" w:themeColor="text1"/>
                <w:lang w:val="en-US"/>
              </w:rPr>
            </w:pPr>
            <w:r w:rsidRPr="00D549EE">
              <w:rPr>
                <w:color w:val="000000" w:themeColor="text1"/>
                <w:lang w:val="en-US"/>
              </w:rPr>
              <w:t>0.14</w:t>
            </w:r>
          </w:p>
        </w:tc>
        <w:tc>
          <w:tcPr>
            <w:tcW w:w="560" w:type="pct"/>
            <w:noWrap/>
          </w:tcPr>
          <w:p w14:paraId="4A4CCEC3" w14:textId="6CFC855C" w:rsidR="00D53CDC" w:rsidRPr="00D549EE" w:rsidRDefault="00AF27C3" w:rsidP="00D53CDC">
            <w:pPr>
              <w:jc w:val="right"/>
              <w:rPr>
                <w:color w:val="000000" w:themeColor="text1"/>
                <w:lang w:val="en-US"/>
              </w:rPr>
            </w:pPr>
            <w:r w:rsidRPr="00D549EE">
              <w:rPr>
                <w:color w:val="000000" w:themeColor="text1"/>
                <w:lang w:val="en-US"/>
              </w:rPr>
              <w:t>0.11</w:t>
            </w:r>
          </w:p>
        </w:tc>
        <w:tc>
          <w:tcPr>
            <w:tcW w:w="681" w:type="pct"/>
          </w:tcPr>
          <w:p w14:paraId="514A4DCA" w14:textId="4BCD6E99" w:rsidR="00D53CDC" w:rsidRPr="00D549EE" w:rsidRDefault="00AF27C3" w:rsidP="00D53CDC">
            <w:pPr>
              <w:jc w:val="right"/>
              <w:rPr>
                <w:color w:val="000000" w:themeColor="text1"/>
                <w:lang w:val="en-US"/>
              </w:rPr>
            </w:pPr>
            <w:r w:rsidRPr="00D549EE">
              <w:rPr>
                <w:color w:val="000000" w:themeColor="text1"/>
                <w:lang w:val="en-US"/>
              </w:rPr>
              <w:t>0.13</w:t>
            </w:r>
          </w:p>
        </w:tc>
        <w:tc>
          <w:tcPr>
            <w:tcW w:w="453" w:type="pct"/>
          </w:tcPr>
          <w:p w14:paraId="44C5B48C" w14:textId="11830A3D" w:rsidR="00D53CDC" w:rsidRPr="00D549EE" w:rsidRDefault="00431707" w:rsidP="00FF1CE4">
            <w:pPr>
              <w:jc w:val="right"/>
              <w:rPr>
                <w:color w:val="000000" w:themeColor="text1"/>
                <w:lang w:val="en-US"/>
              </w:rPr>
            </w:pPr>
            <w:r w:rsidRPr="00D549EE">
              <w:rPr>
                <w:color w:val="000000" w:themeColor="text1"/>
                <w:lang w:val="en-US"/>
              </w:rPr>
              <w:t>1.00</w:t>
            </w:r>
          </w:p>
        </w:tc>
        <w:tc>
          <w:tcPr>
            <w:tcW w:w="1017" w:type="pct"/>
            <w:noWrap/>
          </w:tcPr>
          <w:p w14:paraId="7FA4FDBB" w14:textId="7F097562" w:rsidR="00D53CDC" w:rsidRPr="00D549EE" w:rsidRDefault="00D53CDC" w:rsidP="00FF1CE4">
            <w:pPr>
              <w:jc w:val="right"/>
              <w:rPr>
                <w:color w:val="000000" w:themeColor="text1"/>
                <w:lang w:val="en-US"/>
              </w:rPr>
            </w:pPr>
            <w:r w:rsidRPr="00D549EE">
              <w:rPr>
                <w:color w:val="000000" w:themeColor="text1"/>
                <w:lang w:val="en-US"/>
              </w:rPr>
              <w:t>0.</w:t>
            </w:r>
            <w:r w:rsidR="00431707" w:rsidRPr="00D549EE">
              <w:rPr>
                <w:color w:val="000000" w:themeColor="text1"/>
                <w:lang w:val="en-US"/>
              </w:rPr>
              <w:t>02</w:t>
            </w:r>
          </w:p>
        </w:tc>
      </w:tr>
      <w:tr w:rsidR="00D53CDC" w:rsidRPr="00D549EE" w14:paraId="25B9FE18" w14:textId="77777777" w:rsidTr="00D91946">
        <w:trPr>
          <w:trHeight w:val="344"/>
        </w:trPr>
        <w:tc>
          <w:tcPr>
            <w:tcW w:w="577" w:type="pct"/>
            <w:noWrap/>
            <w:hideMark/>
          </w:tcPr>
          <w:p w14:paraId="352DB66D" w14:textId="742FA5C2" w:rsidR="00D53CDC" w:rsidRPr="00D549EE" w:rsidRDefault="00D53CDC" w:rsidP="00FF1CE4">
            <w:pPr>
              <w:rPr>
                <w:bCs/>
                <w:color w:val="000000" w:themeColor="text1"/>
                <w:lang w:val="en-US"/>
              </w:rPr>
            </w:pPr>
            <w:r w:rsidRPr="00D549EE">
              <w:rPr>
                <w:bCs/>
                <w:color w:val="000000" w:themeColor="text1"/>
                <w:lang w:val="en-US"/>
              </w:rPr>
              <w:t xml:space="preserve">Expert 5 </w:t>
            </w:r>
          </w:p>
        </w:tc>
        <w:tc>
          <w:tcPr>
            <w:tcW w:w="570" w:type="pct"/>
            <w:noWrap/>
            <w:hideMark/>
          </w:tcPr>
          <w:p w14:paraId="35BC36E3" w14:textId="77777777" w:rsidR="00D53CDC" w:rsidRPr="00D549EE" w:rsidRDefault="00D53CDC" w:rsidP="00FF1CE4">
            <w:pPr>
              <w:jc w:val="right"/>
              <w:rPr>
                <w:color w:val="000000" w:themeColor="text1"/>
                <w:lang w:val="en-US"/>
              </w:rPr>
            </w:pPr>
            <w:r w:rsidRPr="00D549EE">
              <w:rPr>
                <w:color w:val="000000" w:themeColor="text1"/>
                <w:lang w:val="en-US"/>
              </w:rPr>
              <w:t>1</w:t>
            </w:r>
          </w:p>
        </w:tc>
        <w:tc>
          <w:tcPr>
            <w:tcW w:w="572" w:type="pct"/>
            <w:noWrap/>
            <w:hideMark/>
          </w:tcPr>
          <w:p w14:paraId="1092714B" w14:textId="77777777" w:rsidR="00D53CDC" w:rsidRPr="00D549EE" w:rsidRDefault="00D53CDC" w:rsidP="00FF1CE4">
            <w:pPr>
              <w:jc w:val="right"/>
              <w:rPr>
                <w:color w:val="000000" w:themeColor="text1"/>
                <w:lang w:val="en-US"/>
              </w:rPr>
            </w:pPr>
            <w:r w:rsidRPr="00D549EE">
              <w:rPr>
                <w:color w:val="000000" w:themeColor="text1"/>
                <w:lang w:val="en-US"/>
              </w:rPr>
              <w:t>2</w:t>
            </w:r>
          </w:p>
        </w:tc>
        <w:tc>
          <w:tcPr>
            <w:tcW w:w="570" w:type="pct"/>
            <w:noWrap/>
            <w:hideMark/>
          </w:tcPr>
          <w:p w14:paraId="5D110104" w14:textId="77777777" w:rsidR="00D53CDC" w:rsidRPr="00D549EE" w:rsidRDefault="00D53CDC" w:rsidP="00FF1CE4">
            <w:pPr>
              <w:jc w:val="right"/>
              <w:rPr>
                <w:color w:val="000000" w:themeColor="text1"/>
                <w:lang w:val="en-US"/>
              </w:rPr>
            </w:pPr>
            <w:r w:rsidRPr="00D549EE">
              <w:rPr>
                <w:color w:val="000000" w:themeColor="text1"/>
                <w:lang w:val="en-US"/>
              </w:rPr>
              <w:t>3</w:t>
            </w:r>
          </w:p>
        </w:tc>
        <w:tc>
          <w:tcPr>
            <w:tcW w:w="560" w:type="pct"/>
            <w:noWrap/>
            <w:hideMark/>
          </w:tcPr>
          <w:p w14:paraId="7060EE30" w14:textId="2318B661" w:rsidR="00D53CDC" w:rsidRPr="00D549EE" w:rsidRDefault="00AF27C3" w:rsidP="00D53CDC">
            <w:pPr>
              <w:jc w:val="right"/>
              <w:rPr>
                <w:color w:val="000000" w:themeColor="text1"/>
                <w:lang w:val="en-US"/>
              </w:rPr>
            </w:pPr>
            <w:r w:rsidRPr="00D549EE">
              <w:rPr>
                <w:color w:val="000000" w:themeColor="text1"/>
                <w:lang w:val="en-US"/>
              </w:rPr>
              <w:t>4</w:t>
            </w:r>
          </w:p>
        </w:tc>
        <w:tc>
          <w:tcPr>
            <w:tcW w:w="681" w:type="pct"/>
          </w:tcPr>
          <w:p w14:paraId="475E6318" w14:textId="06197611" w:rsidR="00D53CDC" w:rsidRPr="00D549EE" w:rsidRDefault="00AF27C3" w:rsidP="00D53CDC">
            <w:pPr>
              <w:jc w:val="right"/>
              <w:rPr>
                <w:color w:val="000000" w:themeColor="text1"/>
                <w:lang w:val="en-US"/>
              </w:rPr>
            </w:pPr>
            <w:r w:rsidRPr="00D549EE">
              <w:rPr>
                <w:color w:val="000000" w:themeColor="text1"/>
                <w:lang w:val="en-US"/>
              </w:rPr>
              <w:t>5</w:t>
            </w:r>
          </w:p>
        </w:tc>
        <w:tc>
          <w:tcPr>
            <w:tcW w:w="453" w:type="pct"/>
          </w:tcPr>
          <w:p w14:paraId="0D45A489" w14:textId="1C3A10C9" w:rsidR="00D53CDC" w:rsidRPr="00D549EE" w:rsidRDefault="00AF27C3" w:rsidP="00FF1CE4">
            <w:pPr>
              <w:jc w:val="right"/>
              <w:rPr>
                <w:color w:val="000000" w:themeColor="text1"/>
                <w:lang w:val="en-US"/>
              </w:rPr>
            </w:pPr>
            <w:r w:rsidRPr="00D549EE">
              <w:rPr>
                <w:color w:val="000000" w:themeColor="text1"/>
                <w:lang w:val="en-US"/>
              </w:rPr>
              <w:t>6</w:t>
            </w:r>
          </w:p>
        </w:tc>
        <w:tc>
          <w:tcPr>
            <w:tcW w:w="1017" w:type="pct"/>
            <w:noWrap/>
            <w:hideMark/>
          </w:tcPr>
          <w:p w14:paraId="519E8B51" w14:textId="4D3B3446" w:rsidR="00D53CDC" w:rsidRPr="00D549EE" w:rsidRDefault="00AF27C3" w:rsidP="00FF1CE4">
            <w:pPr>
              <w:jc w:val="right"/>
              <w:rPr>
                <w:color w:val="000000" w:themeColor="text1"/>
                <w:lang w:val="en-US"/>
              </w:rPr>
            </w:pPr>
            <w:r w:rsidRPr="00D549EE">
              <w:rPr>
                <w:color w:val="000000" w:themeColor="text1"/>
                <w:lang w:val="en-US"/>
              </w:rPr>
              <w:t xml:space="preserve">Scale of </w:t>
            </w:r>
            <w:r w:rsidR="00B131A0" w:rsidRPr="00D549EE">
              <w:rPr>
                <w:color w:val="000000" w:themeColor="text1"/>
                <w:lang w:val="en-US"/>
              </w:rPr>
              <w:t>priorities</w:t>
            </w:r>
          </w:p>
        </w:tc>
      </w:tr>
      <w:tr w:rsidR="00D53CDC" w:rsidRPr="00D549EE" w14:paraId="7C222489" w14:textId="77777777" w:rsidTr="00D91946">
        <w:trPr>
          <w:trHeight w:val="344"/>
        </w:trPr>
        <w:tc>
          <w:tcPr>
            <w:tcW w:w="577" w:type="pct"/>
            <w:noWrap/>
            <w:hideMark/>
          </w:tcPr>
          <w:p w14:paraId="6B55B2B6" w14:textId="77777777" w:rsidR="00D53CDC" w:rsidRPr="00D549EE" w:rsidRDefault="00D53CDC" w:rsidP="00FF1CE4">
            <w:pPr>
              <w:rPr>
                <w:bCs/>
                <w:color w:val="000000" w:themeColor="text1"/>
                <w:lang w:val="en-US"/>
              </w:rPr>
            </w:pPr>
            <w:r w:rsidRPr="00D549EE">
              <w:rPr>
                <w:bCs/>
                <w:color w:val="000000" w:themeColor="text1"/>
                <w:lang w:val="en-US"/>
              </w:rPr>
              <w:t>1</w:t>
            </w:r>
          </w:p>
        </w:tc>
        <w:tc>
          <w:tcPr>
            <w:tcW w:w="570" w:type="pct"/>
            <w:noWrap/>
            <w:hideMark/>
          </w:tcPr>
          <w:p w14:paraId="51B5E1B5" w14:textId="77777777" w:rsidR="00D53CDC" w:rsidRPr="00D549EE" w:rsidRDefault="00D53CDC" w:rsidP="00FF1CE4">
            <w:pPr>
              <w:jc w:val="right"/>
              <w:rPr>
                <w:color w:val="000000" w:themeColor="text1"/>
                <w:lang w:val="en-US"/>
              </w:rPr>
            </w:pPr>
            <w:r w:rsidRPr="00D549EE">
              <w:rPr>
                <w:color w:val="000000" w:themeColor="text1"/>
                <w:lang w:val="en-US"/>
              </w:rPr>
              <w:t>1.00</w:t>
            </w:r>
          </w:p>
        </w:tc>
        <w:tc>
          <w:tcPr>
            <w:tcW w:w="572" w:type="pct"/>
            <w:noWrap/>
            <w:hideMark/>
          </w:tcPr>
          <w:p w14:paraId="49A0C4AE" w14:textId="77777777" w:rsidR="00D53CDC" w:rsidRPr="00D549EE" w:rsidRDefault="00D53CDC" w:rsidP="00FF1CE4">
            <w:pPr>
              <w:jc w:val="right"/>
              <w:rPr>
                <w:color w:val="000000" w:themeColor="text1"/>
                <w:lang w:val="en-US"/>
              </w:rPr>
            </w:pPr>
            <w:r w:rsidRPr="00D549EE">
              <w:rPr>
                <w:color w:val="000000" w:themeColor="text1"/>
                <w:lang w:val="en-US"/>
              </w:rPr>
              <w:t>7.00</w:t>
            </w:r>
          </w:p>
        </w:tc>
        <w:tc>
          <w:tcPr>
            <w:tcW w:w="570" w:type="pct"/>
            <w:noWrap/>
            <w:hideMark/>
          </w:tcPr>
          <w:p w14:paraId="37A61E94" w14:textId="77777777" w:rsidR="00D53CDC" w:rsidRPr="00D549EE" w:rsidRDefault="00D53CDC" w:rsidP="00FF1CE4">
            <w:pPr>
              <w:jc w:val="right"/>
              <w:rPr>
                <w:color w:val="000000" w:themeColor="text1"/>
                <w:lang w:val="en-US"/>
              </w:rPr>
            </w:pPr>
            <w:r w:rsidRPr="00D549EE">
              <w:rPr>
                <w:color w:val="000000" w:themeColor="text1"/>
                <w:lang w:val="en-US"/>
              </w:rPr>
              <w:t>5.00</w:t>
            </w:r>
          </w:p>
        </w:tc>
        <w:tc>
          <w:tcPr>
            <w:tcW w:w="560" w:type="pct"/>
            <w:noWrap/>
            <w:hideMark/>
          </w:tcPr>
          <w:p w14:paraId="7AEFE5A9" w14:textId="759271E8" w:rsidR="00D53CDC" w:rsidRPr="00D549EE" w:rsidRDefault="00AF27C3" w:rsidP="00D53CDC">
            <w:pPr>
              <w:jc w:val="right"/>
              <w:rPr>
                <w:color w:val="000000" w:themeColor="text1"/>
                <w:lang w:val="en-US"/>
              </w:rPr>
            </w:pPr>
            <w:r w:rsidRPr="00D549EE">
              <w:rPr>
                <w:color w:val="000000" w:themeColor="text1"/>
                <w:lang w:val="en-US"/>
              </w:rPr>
              <w:t>0.50</w:t>
            </w:r>
          </w:p>
        </w:tc>
        <w:tc>
          <w:tcPr>
            <w:tcW w:w="681" w:type="pct"/>
          </w:tcPr>
          <w:p w14:paraId="3F9DC71E" w14:textId="4DF7E1F8" w:rsidR="00D53CDC" w:rsidRPr="00D549EE" w:rsidRDefault="00AF27C3" w:rsidP="00D53CDC">
            <w:pPr>
              <w:jc w:val="right"/>
              <w:rPr>
                <w:color w:val="000000" w:themeColor="text1"/>
                <w:lang w:val="en-US"/>
              </w:rPr>
            </w:pPr>
            <w:r w:rsidRPr="00D549EE">
              <w:rPr>
                <w:color w:val="000000" w:themeColor="text1"/>
                <w:lang w:val="en-US"/>
              </w:rPr>
              <w:t>1.00</w:t>
            </w:r>
          </w:p>
        </w:tc>
        <w:tc>
          <w:tcPr>
            <w:tcW w:w="453" w:type="pct"/>
          </w:tcPr>
          <w:p w14:paraId="6269B20C" w14:textId="32655228" w:rsidR="00D53CDC" w:rsidRPr="00D549EE" w:rsidRDefault="00B131A0" w:rsidP="00FF1CE4">
            <w:pPr>
              <w:jc w:val="right"/>
              <w:rPr>
                <w:color w:val="000000" w:themeColor="text1"/>
                <w:lang w:val="en-US"/>
              </w:rPr>
            </w:pPr>
            <w:r w:rsidRPr="00D549EE">
              <w:rPr>
                <w:color w:val="000000" w:themeColor="text1"/>
                <w:lang w:val="en-US"/>
              </w:rPr>
              <w:t>7.00</w:t>
            </w:r>
          </w:p>
        </w:tc>
        <w:tc>
          <w:tcPr>
            <w:tcW w:w="1017" w:type="pct"/>
            <w:noWrap/>
            <w:hideMark/>
          </w:tcPr>
          <w:p w14:paraId="604A72B0" w14:textId="305021F1" w:rsidR="00D53CDC" w:rsidRPr="00D549EE" w:rsidRDefault="00B131A0" w:rsidP="00FF1CE4">
            <w:pPr>
              <w:jc w:val="right"/>
              <w:rPr>
                <w:color w:val="000000" w:themeColor="text1"/>
                <w:lang w:val="en-US"/>
              </w:rPr>
            </w:pPr>
            <w:r w:rsidRPr="00D549EE">
              <w:rPr>
                <w:color w:val="000000" w:themeColor="text1"/>
                <w:lang w:val="en-US"/>
              </w:rPr>
              <w:t>0.25</w:t>
            </w:r>
          </w:p>
        </w:tc>
      </w:tr>
      <w:tr w:rsidR="00D53CDC" w:rsidRPr="00D549EE" w14:paraId="46D85BCD" w14:textId="77777777" w:rsidTr="00D91946">
        <w:trPr>
          <w:trHeight w:val="344"/>
        </w:trPr>
        <w:tc>
          <w:tcPr>
            <w:tcW w:w="577" w:type="pct"/>
            <w:noWrap/>
            <w:hideMark/>
          </w:tcPr>
          <w:p w14:paraId="44E08E7C" w14:textId="77777777" w:rsidR="00D53CDC" w:rsidRPr="00D549EE" w:rsidRDefault="00D53CDC" w:rsidP="00FF1CE4">
            <w:pPr>
              <w:rPr>
                <w:bCs/>
                <w:color w:val="000000" w:themeColor="text1"/>
                <w:lang w:val="en-US"/>
              </w:rPr>
            </w:pPr>
            <w:r w:rsidRPr="00D549EE">
              <w:rPr>
                <w:bCs/>
                <w:color w:val="000000" w:themeColor="text1"/>
                <w:lang w:val="en-US"/>
              </w:rPr>
              <w:t>2</w:t>
            </w:r>
          </w:p>
        </w:tc>
        <w:tc>
          <w:tcPr>
            <w:tcW w:w="570" w:type="pct"/>
            <w:noWrap/>
            <w:hideMark/>
          </w:tcPr>
          <w:p w14:paraId="75C7087B" w14:textId="77777777" w:rsidR="00D53CDC" w:rsidRPr="00D549EE" w:rsidRDefault="00D53CDC" w:rsidP="00FF1CE4">
            <w:pPr>
              <w:jc w:val="right"/>
              <w:rPr>
                <w:color w:val="000000" w:themeColor="text1"/>
                <w:lang w:val="en-US"/>
              </w:rPr>
            </w:pPr>
            <w:r w:rsidRPr="00D549EE">
              <w:rPr>
                <w:color w:val="000000" w:themeColor="text1"/>
                <w:lang w:val="en-US"/>
              </w:rPr>
              <w:t>0.14</w:t>
            </w:r>
          </w:p>
        </w:tc>
        <w:tc>
          <w:tcPr>
            <w:tcW w:w="572" w:type="pct"/>
            <w:noWrap/>
            <w:hideMark/>
          </w:tcPr>
          <w:p w14:paraId="6F9D43ED" w14:textId="77777777" w:rsidR="00D53CDC" w:rsidRPr="00D549EE" w:rsidRDefault="00D53CDC" w:rsidP="00FF1CE4">
            <w:pPr>
              <w:jc w:val="right"/>
              <w:rPr>
                <w:color w:val="000000" w:themeColor="text1"/>
                <w:lang w:val="en-US"/>
              </w:rPr>
            </w:pPr>
            <w:r w:rsidRPr="00D549EE">
              <w:rPr>
                <w:color w:val="000000" w:themeColor="text1"/>
                <w:lang w:val="en-US"/>
              </w:rPr>
              <w:t>1.00</w:t>
            </w:r>
          </w:p>
        </w:tc>
        <w:tc>
          <w:tcPr>
            <w:tcW w:w="570" w:type="pct"/>
            <w:noWrap/>
            <w:hideMark/>
          </w:tcPr>
          <w:p w14:paraId="7F43D501" w14:textId="77777777" w:rsidR="00D53CDC" w:rsidRPr="00D549EE" w:rsidRDefault="00D53CDC" w:rsidP="00FF1CE4">
            <w:pPr>
              <w:jc w:val="right"/>
              <w:rPr>
                <w:color w:val="000000" w:themeColor="text1"/>
                <w:lang w:val="en-US"/>
              </w:rPr>
            </w:pPr>
            <w:r w:rsidRPr="00D549EE">
              <w:rPr>
                <w:color w:val="000000" w:themeColor="text1"/>
                <w:lang w:val="en-US"/>
              </w:rPr>
              <w:t>0.11</w:t>
            </w:r>
          </w:p>
        </w:tc>
        <w:tc>
          <w:tcPr>
            <w:tcW w:w="560" w:type="pct"/>
            <w:noWrap/>
            <w:hideMark/>
          </w:tcPr>
          <w:p w14:paraId="684F7595" w14:textId="2A0E7640" w:rsidR="00D53CDC" w:rsidRPr="00D549EE" w:rsidRDefault="00AF27C3" w:rsidP="00D53CDC">
            <w:pPr>
              <w:jc w:val="right"/>
              <w:rPr>
                <w:color w:val="000000" w:themeColor="text1"/>
                <w:lang w:val="en-US"/>
              </w:rPr>
            </w:pPr>
            <w:r w:rsidRPr="00D549EE">
              <w:rPr>
                <w:color w:val="000000" w:themeColor="text1"/>
                <w:lang w:val="en-US"/>
              </w:rPr>
              <w:t>0.14</w:t>
            </w:r>
          </w:p>
        </w:tc>
        <w:tc>
          <w:tcPr>
            <w:tcW w:w="681" w:type="pct"/>
          </w:tcPr>
          <w:p w14:paraId="2F6992F3" w14:textId="25F95D2F" w:rsidR="00D53CDC" w:rsidRPr="00D549EE" w:rsidRDefault="00AF27C3" w:rsidP="00D53CDC">
            <w:pPr>
              <w:jc w:val="right"/>
              <w:rPr>
                <w:color w:val="000000" w:themeColor="text1"/>
                <w:lang w:val="en-US"/>
              </w:rPr>
            </w:pPr>
            <w:r w:rsidRPr="00D549EE">
              <w:rPr>
                <w:color w:val="000000" w:themeColor="text1"/>
                <w:lang w:val="en-US"/>
              </w:rPr>
              <w:t>0.11</w:t>
            </w:r>
          </w:p>
        </w:tc>
        <w:tc>
          <w:tcPr>
            <w:tcW w:w="453" w:type="pct"/>
          </w:tcPr>
          <w:p w14:paraId="6BF1DBA8" w14:textId="0E44C1FC" w:rsidR="00D53CDC" w:rsidRPr="00D549EE" w:rsidRDefault="00B131A0" w:rsidP="00FF1CE4">
            <w:pPr>
              <w:jc w:val="right"/>
              <w:rPr>
                <w:color w:val="000000" w:themeColor="text1"/>
                <w:lang w:val="en-US"/>
              </w:rPr>
            </w:pPr>
            <w:r w:rsidRPr="00D549EE">
              <w:rPr>
                <w:color w:val="000000" w:themeColor="text1"/>
                <w:lang w:val="en-US"/>
              </w:rPr>
              <w:t>3.00</w:t>
            </w:r>
          </w:p>
        </w:tc>
        <w:tc>
          <w:tcPr>
            <w:tcW w:w="1017" w:type="pct"/>
            <w:noWrap/>
            <w:hideMark/>
          </w:tcPr>
          <w:p w14:paraId="4B5EB676" w14:textId="21F48391" w:rsidR="00D53CDC" w:rsidRPr="00D549EE" w:rsidRDefault="00D53CDC" w:rsidP="00FF1CE4">
            <w:pPr>
              <w:jc w:val="right"/>
              <w:rPr>
                <w:color w:val="000000" w:themeColor="text1"/>
                <w:lang w:val="en-US"/>
              </w:rPr>
            </w:pPr>
            <w:r w:rsidRPr="00D549EE">
              <w:rPr>
                <w:color w:val="000000" w:themeColor="text1"/>
                <w:lang w:val="en-US"/>
              </w:rPr>
              <w:t>0.</w:t>
            </w:r>
            <w:r w:rsidR="00B131A0" w:rsidRPr="00D549EE">
              <w:rPr>
                <w:color w:val="000000" w:themeColor="text1"/>
                <w:lang w:val="en-US"/>
              </w:rPr>
              <w:t>03</w:t>
            </w:r>
          </w:p>
        </w:tc>
      </w:tr>
      <w:tr w:rsidR="00FF2FE9" w:rsidRPr="00D549EE" w14:paraId="3CC350A7" w14:textId="77777777" w:rsidTr="00D91946">
        <w:trPr>
          <w:trHeight w:val="344"/>
        </w:trPr>
        <w:tc>
          <w:tcPr>
            <w:tcW w:w="577" w:type="pct"/>
            <w:noWrap/>
            <w:hideMark/>
          </w:tcPr>
          <w:p w14:paraId="7546A5F4" w14:textId="77777777" w:rsidR="00D53CDC" w:rsidRPr="00D549EE" w:rsidRDefault="00D53CDC" w:rsidP="00FF1CE4">
            <w:pPr>
              <w:rPr>
                <w:bCs/>
                <w:color w:val="000000" w:themeColor="text1"/>
                <w:lang w:val="en-US"/>
              </w:rPr>
            </w:pPr>
            <w:r w:rsidRPr="00D549EE">
              <w:rPr>
                <w:bCs/>
                <w:color w:val="000000" w:themeColor="text1"/>
                <w:lang w:val="en-US"/>
              </w:rPr>
              <w:t>3</w:t>
            </w:r>
          </w:p>
        </w:tc>
        <w:tc>
          <w:tcPr>
            <w:tcW w:w="570" w:type="pct"/>
            <w:noWrap/>
            <w:hideMark/>
          </w:tcPr>
          <w:p w14:paraId="325983B8" w14:textId="77777777" w:rsidR="00D53CDC" w:rsidRPr="00D549EE" w:rsidRDefault="00D53CDC" w:rsidP="00FF1CE4">
            <w:pPr>
              <w:jc w:val="right"/>
              <w:rPr>
                <w:color w:val="000000" w:themeColor="text1"/>
                <w:lang w:val="en-US"/>
              </w:rPr>
            </w:pPr>
            <w:r w:rsidRPr="00D549EE">
              <w:rPr>
                <w:color w:val="000000" w:themeColor="text1"/>
                <w:lang w:val="en-US"/>
              </w:rPr>
              <w:t>0.20</w:t>
            </w:r>
          </w:p>
        </w:tc>
        <w:tc>
          <w:tcPr>
            <w:tcW w:w="572" w:type="pct"/>
            <w:noWrap/>
            <w:hideMark/>
          </w:tcPr>
          <w:p w14:paraId="2F1EE9E9" w14:textId="77777777" w:rsidR="00D53CDC" w:rsidRPr="00D549EE" w:rsidRDefault="00D53CDC" w:rsidP="00FF1CE4">
            <w:pPr>
              <w:jc w:val="right"/>
              <w:rPr>
                <w:color w:val="000000" w:themeColor="text1"/>
                <w:lang w:val="en-US"/>
              </w:rPr>
            </w:pPr>
            <w:r w:rsidRPr="00D549EE">
              <w:rPr>
                <w:color w:val="000000" w:themeColor="text1"/>
                <w:lang w:val="en-US"/>
              </w:rPr>
              <w:t>9.00</w:t>
            </w:r>
          </w:p>
        </w:tc>
        <w:tc>
          <w:tcPr>
            <w:tcW w:w="570" w:type="pct"/>
            <w:noWrap/>
            <w:hideMark/>
          </w:tcPr>
          <w:p w14:paraId="50004EBC" w14:textId="77777777" w:rsidR="00D53CDC" w:rsidRPr="00D549EE" w:rsidRDefault="00D53CDC" w:rsidP="00FF1CE4">
            <w:pPr>
              <w:jc w:val="right"/>
              <w:rPr>
                <w:color w:val="000000" w:themeColor="text1"/>
                <w:lang w:val="en-US"/>
              </w:rPr>
            </w:pPr>
            <w:r w:rsidRPr="00D549EE">
              <w:rPr>
                <w:color w:val="000000" w:themeColor="text1"/>
                <w:lang w:val="en-US"/>
              </w:rPr>
              <w:t>1.00</w:t>
            </w:r>
          </w:p>
        </w:tc>
        <w:tc>
          <w:tcPr>
            <w:tcW w:w="560" w:type="pct"/>
            <w:noWrap/>
            <w:hideMark/>
          </w:tcPr>
          <w:p w14:paraId="36D959E4" w14:textId="3D13126D" w:rsidR="00D53CDC" w:rsidRPr="00D549EE" w:rsidRDefault="00AF27C3" w:rsidP="00D53CDC">
            <w:pPr>
              <w:jc w:val="right"/>
              <w:rPr>
                <w:color w:val="000000" w:themeColor="text1"/>
                <w:lang w:val="en-US"/>
              </w:rPr>
            </w:pPr>
            <w:r w:rsidRPr="00D549EE">
              <w:rPr>
                <w:color w:val="000000" w:themeColor="text1"/>
                <w:lang w:val="en-US"/>
              </w:rPr>
              <w:t>0.33</w:t>
            </w:r>
          </w:p>
        </w:tc>
        <w:tc>
          <w:tcPr>
            <w:tcW w:w="681" w:type="pct"/>
          </w:tcPr>
          <w:p w14:paraId="207B69D6" w14:textId="4145D65A" w:rsidR="00D53CDC" w:rsidRPr="00D549EE" w:rsidRDefault="00AF27C3" w:rsidP="00D53CDC">
            <w:pPr>
              <w:jc w:val="right"/>
              <w:rPr>
                <w:color w:val="000000" w:themeColor="text1"/>
                <w:lang w:val="en-US"/>
              </w:rPr>
            </w:pPr>
            <w:r w:rsidRPr="00D549EE">
              <w:rPr>
                <w:color w:val="000000" w:themeColor="text1"/>
                <w:lang w:val="en-US"/>
              </w:rPr>
              <w:t>1.00</w:t>
            </w:r>
          </w:p>
        </w:tc>
        <w:tc>
          <w:tcPr>
            <w:tcW w:w="453" w:type="pct"/>
          </w:tcPr>
          <w:p w14:paraId="2D8DCDEA" w14:textId="0A828A7B" w:rsidR="00D53CDC" w:rsidRPr="00D549EE" w:rsidRDefault="00B131A0" w:rsidP="00FF1CE4">
            <w:pPr>
              <w:jc w:val="right"/>
              <w:rPr>
                <w:color w:val="000000" w:themeColor="text1"/>
                <w:lang w:val="en-US"/>
              </w:rPr>
            </w:pPr>
            <w:r w:rsidRPr="00D549EE">
              <w:rPr>
                <w:color w:val="000000" w:themeColor="text1"/>
                <w:lang w:val="en-US"/>
              </w:rPr>
              <w:t>9.00</w:t>
            </w:r>
          </w:p>
        </w:tc>
        <w:tc>
          <w:tcPr>
            <w:tcW w:w="1017" w:type="pct"/>
            <w:noWrap/>
            <w:hideMark/>
          </w:tcPr>
          <w:p w14:paraId="4B5A4044" w14:textId="3E8526EA" w:rsidR="00D53CDC" w:rsidRPr="00D549EE" w:rsidRDefault="00B131A0" w:rsidP="00FF1CE4">
            <w:pPr>
              <w:jc w:val="right"/>
              <w:rPr>
                <w:color w:val="000000" w:themeColor="text1"/>
                <w:lang w:val="en-US"/>
              </w:rPr>
            </w:pPr>
            <w:r w:rsidRPr="00D549EE">
              <w:rPr>
                <w:color w:val="000000" w:themeColor="text1"/>
                <w:lang w:val="en-US"/>
              </w:rPr>
              <w:t>0.15</w:t>
            </w:r>
          </w:p>
        </w:tc>
      </w:tr>
      <w:tr w:rsidR="00FF2FE9" w:rsidRPr="00D549EE" w14:paraId="3F0ACC69" w14:textId="77777777" w:rsidTr="00D91946">
        <w:trPr>
          <w:trHeight w:val="344"/>
        </w:trPr>
        <w:tc>
          <w:tcPr>
            <w:tcW w:w="577" w:type="pct"/>
            <w:noWrap/>
            <w:hideMark/>
          </w:tcPr>
          <w:p w14:paraId="2BF9E33F" w14:textId="77777777" w:rsidR="00D53CDC" w:rsidRPr="00D549EE" w:rsidRDefault="00D53CDC" w:rsidP="00FF1CE4">
            <w:pPr>
              <w:rPr>
                <w:bCs/>
                <w:color w:val="000000" w:themeColor="text1"/>
                <w:lang w:val="en-US"/>
              </w:rPr>
            </w:pPr>
            <w:r w:rsidRPr="00D549EE">
              <w:rPr>
                <w:bCs/>
                <w:color w:val="000000" w:themeColor="text1"/>
                <w:lang w:val="en-US"/>
              </w:rPr>
              <w:t>4</w:t>
            </w:r>
          </w:p>
        </w:tc>
        <w:tc>
          <w:tcPr>
            <w:tcW w:w="570" w:type="pct"/>
            <w:noWrap/>
            <w:hideMark/>
          </w:tcPr>
          <w:p w14:paraId="2C8FB3CA" w14:textId="77777777" w:rsidR="00D53CDC" w:rsidRPr="00D549EE" w:rsidRDefault="00D53CDC" w:rsidP="00FF1CE4">
            <w:pPr>
              <w:jc w:val="right"/>
              <w:rPr>
                <w:color w:val="000000" w:themeColor="text1"/>
                <w:lang w:val="en-US"/>
              </w:rPr>
            </w:pPr>
            <w:r w:rsidRPr="00D549EE">
              <w:rPr>
                <w:color w:val="000000" w:themeColor="text1"/>
                <w:lang w:val="en-US"/>
              </w:rPr>
              <w:t>2.00</w:t>
            </w:r>
          </w:p>
        </w:tc>
        <w:tc>
          <w:tcPr>
            <w:tcW w:w="572" w:type="pct"/>
            <w:noWrap/>
            <w:hideMark/>
          </w:tcPr>
          <w:p w14:paraId="1FF1264D" w14:textId="77777777" w:rsidR="00D53CDC" w:rsidRPr="00D549EE" w:rsidRDefault="00D53CDC" w:rsidP="00FF1CE4">
            <w:pPr>
              <w:jc w:val="right"/>
              <w:rPr>
                <w:color w:val="000000" w:themeColor="text1"/>
                <w:lang w:val="en-US"/>
              </w:rPr>
            </w:pPr>
            <w:r w:rsidRPr="00D549EE">
              <w:rPr>
                <w:color w:val="000000" w:themeColor="text1"/>
                <w:lang w:val="en-US"/>
              </w:rPr>
              <w:t>7.00</w:t>
            </w:r>
          </w:p>
        </w:tc>
        <w:tc>
          <w:tcPr>
            <w:tcW w:w="570" w:type="pct"/>
            <w:noWrap/>
            <w:hideMark/>
          </w:tcPr>
          <w:p w14:paraId="01570A41" w14:textId="77777777" w:rsidR="00D53CDC" w:rsidRPr="00D549EE" w:rsidRDefault="00D53CDC" w:rsidP="00FF1CE4">
            <w:pPr>
              <w:jc w:val="right"/>
              <w:rPr>
                <w:color w:val="000000" w:themeColor="text1"/>
                <w:lang w:val="en-US"/>
              </w:rPr>
            </w:pPr>
            <w:r w:rsidRPr="00D549EE">
              <w:rPr>
                <w:color w:val="000000" w:themeColor="text1"/>
                <w:lang w:val="en-US"/>
              </w:rPr>
              <w:t>3.00</w:t>
            </w:r>
          </w:p>
        </w:tc>
        <w:tc>
          <w:tcPr>
            <w:tcW w:w="560" w:type="pct"/>
            <w:noWrap/>
            <w:hideMark/>
          </w:tcPr>
          <w:p w14:paraId="03310E86" w14:textId="2F8178A4" w:rsidR="00D53CDC" w:rsidRPr="00D549EE" w:rsidRDefault="00AF27C3" w:rsidP="00D53CDC">
            <w:pPr>
              <w:jc w:val="right"/>
              <w:rPr>
                <w:color w:val="000000" w:themeColor="text1"/>
                <w:lang w:val="en-US"/>
              </w:rPr>
            </w:pPr>
            <w:r w:rsidRPr="00D549EE">
              <w:rPr>
                <w:color w:val="000000" w:themeColor="text1"/>
                <w:lang w:val="en-US"/>
              </w:rPr>
              <w:t>1.00</w:t>
            </w:r>
          </w:p>
        </w:tc>
        <w:tc>
          <w:tcPr>
            <w:tcW w:w="681" w:type="pct"/>
          </w:tcPr>
          <w:p w14:paraId="110C75BD" w14:textId="1F35B2AA" w:rsidR="00D53CDC" w:rsidRPr="00D549EE" w:rsidRDefault="00B131A0" w:rsidP="00D53CDC">
            <w:pPr>
              <w:jc w:val="right"/>
              <w:rPr>
                <w:color w:val="000000" w:themeColor="text1"/>
                <w:lang w:val="en-US"/>
              </w:rPr>
            </w:pPr>
            <w:r w:rsidRPr="00D549EE">
              <w:rPr>
                <w:color w:val="000000" w:themeColor="text1"/>
                <w:lang w:val="en-US"/>
              </w:rPr>
              <w:t>1.00</w:t>
            </w:r>
          </w:p>
        </w:tc>
        <w:tc>
          <w:tcPr>
            <w:tcW w:w="453" w:type="pct"/>
          </w:tcPr>
          <w:p w14:paraId="3F0A33CE" w14:textId="72E1E532" w:rsidR="00D53CDC" w:rsidRPr="00D549EE" w:rsidRDefault="00855ACB" w:rsidP="00FF1CE4">
            <w:pPr>
              <w:jc w:val="right"/>
              <w:rPr>
                <w:color w:val="000000" w:themeColor="text1"/>
                <w:lang w:val="en-US"/>
              </w:rPr>
            </w:pPr>
            <w:r w:rsidRPr="00D549EE">
              <w:rPr>
                <w:color w:val="000000" w:themeColor="text1"/>
                <w:lang w:val="en-US"/>
              </w:rPr>
              <w:t>9.00</w:t>
            </w:r>
          </w:p>
        </w:tc>
        <w:tc>
          <w:tcPr>
            <w:tcW w:w="1017" w:type="pct"/>
            <w:noWrap/>
            <w:hideMark/>
          </w:tcPr>
          <w:p w14:paraId="0C06D2EC" w14:textId="1A5FEB20" w:rsidR="00D53CDC" w:rsidRPr="00D549EE" w:rsidRDefault="00B131A0" w:rsidP="00FF1CE4">
            <w:pPr>
              <w:jc w:val="right"/>
              <w:rPr>
                <w:color w:val="000000" w:themeColor="text1"/>
                <w:lang w:val="en-US"/>
              </w:rPr>
            </w:pPr>
            <w:r w:rsidRPr="00D549EE">
              <w:rPr>
                <w:color w:val="000000" w:themeColor="text1"/>
                <w:lang w:val="en-US"/>
              </w:rPr>
              <w:t>0.30</w:t>
            </w:r>
          </w:p>
        </w:tc>
      </w:tr>
      <w:tr w:rsidR="00D53CDC" w:rsidRPr="00D549EE" w14:paraId="54CA8BCE" w14:textId="77777777" w:rsidTr="00D91946">
        <w:trPr>
          <w:trHeight w:val="344"/>
        </w:trPr>
        <w:tc>
          <w:tcPr>
            <w:tcW w:w="577" w:type="pct"/>
            <w:noWrap/>
            <w:hideMark/>
          </w:tcPr>
          <w:p w14:paraId="1C50B283" w14:textId="77777777" w:rsidR="00D53CDC" w:rsidRPr="00D549EE" w:rsidRDefault="00D53CDC" w:rsidP="00FF1CE4">
            <w:pPr>
              <w:rPr>
                <w:bCs/>
                <w:color w:val="000000" w:themeColor="text1"/>
                <w:lang w:val="en-US"/>
              </w:rPr>
            </w:pPr>
            <w:r w:rsidRPr="00D549EE">
              <w:rPr>
                <w:bCs/>
                <w:color w:val="000000" w:themeColor="text1"/>
                <w:lang w:val="en-US"/>
              </w:rPr>
              <w:t>5</w:t>
            </w:r>
          </w:p>
        </w:tc>
        <w:tc>
          <w:tcPr>
            <w:tcW w:w="570" w:type="pct"/>
            <w:noWrap/>
            <w:hideMark/>
          </w:tcPr>
          <w:p w14:paraId="5EDD0150" w14:textId="77777777" w:rsidR="00D53CDC" w:rsidRPr="00D549EE" w:rsidRDefault="00D53CDC" w:rsidP="00FF1CE4">
            <w:pPr>
              <w:jc w:val="right"/>
              <w:rPr>
                <w:color w:val="000000" w:themeColor="text1"/>
              </w:rPr>
            </w:pPr>
            <w:r w:rsidRPr="00D549EE">
              <w:rPr>
                <w:color w:val="000000" w:themeColor="text1"/>
              </w:rPr>
              <w:t>1</w:t>
            </w:r>
            <w:r w:rsidRPr="00D549EE">
              <w:rPr>
                <w:color w:val="000000" w:themeColor="text1"/>
                <w:lang w:val="en-US"/>
              </w:rPr>
              <w:t>.</w:t>
            </w:r>
            <w:r w:rsidRPr="00D549EE">
              <w:rPr>
                <w:color w:val="000000" w:themeColor="text1"/>
              </w:rPr>
              <w:t>00</w:t>
            </w:r>
          </w:p>
        </w:tc>
        <w:tc>
          <w:tcPr>
            <w:tcW w:w="572" w:type="pct"/>
            <w:noWrap/>
            <w:hideMark/>
          </w:tcPr>
          <w:p w14:paraId="5F883CF7" w14:textId="77777777" w:rsidR="00D53CDC" w:rsidRPr="00D549EE" w:rsidRDefault="00D53CDC" w:rsidP="00FF1CE4">
            <w:pPr>
              <w:jc w:val="right"/>
              <w:rPr>
                <w:color w:val="000000" w:themeColor="text1"/>
              </w:rPr>
            </w:pPr>
            <w:r w:rsidRPr="00D549EE">
              <w:rPr>
                <w:color w:val="000000" w:themeColor="text1"/>
              </w:rPr>
              <w:t>9</w:t>
            </w:r>
            <w:r w:rsidRPr="00D549EE">
              <w:rPr>
                <w:color w:val="000000" w:themeColor="text1"/>
                <w:lang w:val="en-US"/>
              </w:rPr>
              <w:t>.</w:t>
            </w:r>
            <w:r w:rsidRPr="00D549EE">
              <w:rPr>
                <w:color w:val="000000" w:themeColor="text1"/>
              </w:rPr>
              <w:t>00</w:t>
            </w:r>
          </w:p>
        </w:tc>
        <w:tc>
          <w:tcPr>
            <w:tcW w:w="570" w:type="pct"/>
            <w:noWrap/>
            <w:hideMark/>
          </w:tcPr>
          <w:p w14:paraId="0897C6F2" w14:textId="77777777" w:rsidR="00D53CDC" w:rsidRPr="00D549EE" w:rsidRDefault="00D53CDC" w:rsidP="00FF1CE4">
            <w:pPr>
              <w:jc w:val="right"/>
              <w:rPr>
                <w:color w:val="000000" w:themeColor="text1"/>
              </w:rPr>
            </w:pPr>
            <w:r w:rsidRPr="00D549EE">
              <w:rPr>
                <w:color w:val="000000" w:themeColor="text1"/>
              </w:rPr>
              <w:t>1</w:t>
            </w:r>
            <w:r w:rsidRPr="00D549EE">
              <w:rPr>
                <w:color w:val="000000" w:themeColor="text1"/>
                <w:lang w:val="en-US"/>
              </w:rPr>
              <w:t>.</w:t>
            </w:r>
            <w:r w:rsidRPr="00D549EE">
              <w:rPr>
                <w:color w:val="000000" w:themeColor="text1"/>
              </w:rPr>
              <w:t>00</w:t>
            </w:r>
          </w:p>
        </w:tc>
        <w:tc>
          <w:tcPr>
            <w:tcW w:w="560" w:type="pct"/>
            <w:noWrap/>
            <w:hideMark/>
          </w:tcPr>
          <w:p w14:paraId="41B7E504" w14:textId="5D12C2EE" w:rsidR="00D53CDC" w:rsidRPr="00D549EE" w:rsidRDefault="00AF27C3" w:rsidP="00D53CDC">
            <w:pPr>
              <w:jc w:val="right"/>
              <w:rPr>
                <w:color w:val="000000" w:themeColor="text1"/>
                <w:lang w:val="en-US"/>
              </w:rPr>
            </w:pPr>
            <w:r w:rsidRPr="00D549EE">
              <w:rPr>
                <w:color w:val="000000" w:themeColor="text1"/>
                <w:lang w:val="en-US"/>
              </w:rPr>
              <w:t>1.00</w:t>
            </w:r>
          </w:p>
        </w:tc>
        <w:tc>
          <w:tcPr>
            <w:tcW w:w="681" w:type="pct"/>
          </w:tcPr>
          <w:p w14:paraId="382ACFC0" w14:textId="555555E6" w:rsidR="00D53CDC" w:rsidRPr="00D549EE" w:rsidRDefault="00AF27C3" w:rsidP="00D53CDC">
            <w:pPr>
              <w:jc w:val="right"/>
              <w:rPr>
                <w:color w:val="000000" w:themeColor="text1"/>
                <w:lang w:val="en-US"/>
              </w:rPr>
            </w:pPr>
            <w:r w:rsidRPr="00D549EE">
              <w:rPr>
                <w:color w:val="000000" w:themeColor="text1"/>
                <w:lang w:val="en-US"/>
              </w:rPr>
              <w:t>1.00</w:t>
            </w:r>
          </w:p>
        </w:tc>
        <w:tc>
          <w:tcPr>
            <w:tcW w:w="453" w:type="pct"/>
          </w:tcPr>
          <w:p w14:paraId="3EF5BB92" w14:textId="58FE8CFA" w:rsidR="00D53CDC" w:rsidRPr="00D549EE" w:rsidRDefault="00855ACB" w:rsidP="00FF1CE4">
            <w:pPr>
              <w:jc w:val="right"/>
              <w:rPr>
                <w:color w:val="000000" w:themeColor="text1"/>
                <w:lang w:val="en-US"/>
              </w:rPr>
            </w:pPr>
            <w:r w:rsidRPr="00D549EE">
              <w:rPr>
                <w:color w:val="000000" w:themeColor="text1"/>
                <w:lang w:val="en-US"/>
              </w:rPr>
              <w:t>9.00</w:t>
            </w:r>
          </w:p>
        </w:tc>
        <w:tc>
          <w:tcPr>
            <w:tcW w:w="1017" w:type="pct"/>
            <w:noWrap/>
            <w:hideMark/>
          </w:tcPr>
          <w:p w14:paraId="46D99FA6" w14:textId="1751B77C" w:rsidR="00D53CDC" w:rsidRPr="00D549EE" w:rsidRDefault="00855ACB" w:rsidP="00FF1CE4">
            <w:pPr>
              <w:jc w:val="right"/>
              <w:rPr>
                <w:color w:val="000000" w:themeColor="text1"/>
                <w:lang w:val="en-US"/>
              </w:rPr>
            </w:pPr>
            <w:r w:rsidRPr="00D549EE">
              <w:rPr>
                <w:color w:val="000000" w:themeColor="text1"/>
                <w:lang w:val="en-US"/>
              </w:rPr>
              <w:t>0.24</w:t>
            </w:r>
          </w:p>
        </w:tc>
      </w:tr>
      <w:tr w:rsidR="00D53CDC" w:rsidRPr="00D549EE" w14:paraId="41A5E99F" w14:textId="77777777" w:rsidTr="00D91946">
        <w:trPr>
          <w:trHeight w:val="344"/>
        </w:trPr>
        <w:tc>
          <w:tcPr>
            <w:tcW w:w="577" w:type="pct"/>
            <w:noWrap/>
            <w:hideMark/>
          </w:tcPr>
          <w:p w14:paraId="796246BB" w14:textId="77777777" w:rsidR="00D53CDC" w:rsidRPr="00D549EE" w:rsidRDefault="00D53CDC" w:rsidP="00FF1CE4">
            <w:pPr>
              <w:rPr>
                <w:bCs/>
                <w:color w:val="000000" w:themeColor="text1"/>
                <w:lang w:val="en-US"/>
              </w:rPr>
            </w:pPr>
            <w:r w:rsidRPr="00D549EE">
              <w:rPr>
                <w:bCs/>
                <w:color w:val="000000" w:themeColor="text1"/>
                <w:lang w:val="en-US"/>
              </w:rPr>
              <w:t>6</w:t>
            </w:r>
          </w:p>
        </w:tc>
        <w:tc>
          <w:tcPr>
            <w:tcW w:w="570" w:type="pct"/>
            <w:noWrap/>
            <w:hideMark/>
          </w:tcPr>
          <w:p w14:paraId="4A407F86" w14:textId="77777777" w:rsidR="00D53CDC" w:rsidRPr="00D549EE" w:rsidRDefault="00D53CDC" w:rsidP="00FF1CE4">
            <w:pPr>
              <w:jc w:val="right"/>
              <w:rPr>
                <w:color w:val="000000" w:themeColor="text1"/>
              </w:rPr>
            </w:pPr>
            <w:r w:rsidRPr="00D549EE">
              <w:rPr>
                <w:color w:val="000000" w:themeColor="text1"/>
              </w:rPr>
              <w:t>0</w:t>
            </w:r>
            <w:r w:rsidRPr="00D549EE">
              <w:rPr>
                <w:color w:val="000000" w:themeColor="text1"/>
                <w:lang w:val="en-US"/>
              </w:rPr>
              <w:t>.</w:t>
            </w:r>
            <w:r w:rsidRPr="00D549EE">
              <w:rPr>
                <w:color w:val="000000" w:themeColor="text1"/>
              </w:rPr>
              <w:t>14</w:t>
            </w:r>
          </w:p>
        </w:tc>
        <w:tc>
          <w:tcPr>
            <w:tcW w:w="572" w:type="pct"/>
            <w:noWrap/>
            <w:hideMark/>
          </w:tcPr>
          <w:p w14:paraId="276920CE" w14:textId="77777777" w:rsidR="00D53CDC" w:rsidRPr="00D549EE" w:rsidRDefault="00D53CDC" w:rsidP="00FF1CE4">
            <w:pPr>
              <w:jc w:val="right"/>
              <w:rPr>
                <w:color w:val="000000" w:themeColor="text1"/>
              </w:rPr>
            </w:pPr>
            <w:r w:rsidRPr="00D549EE">
              <w:rPr>
                <w:color w:val="000000" w:themeColor="text1"/>
              </w:rPr>
              <w:t>0</w:t>
            </w:r>
            <w:r w:rsidRPr="00D549EE">
              <w:rPr>
                <w:color w:val="000000" w:themeColor="text1"/>
                <w:lang w:val="en-US"/>
              </w:rPr>
              <w:t>.</w:t>
            </w:r>
            <w:r w:rsidRPr="00D549EE">
              <w:rPr>
                <w:color w:val="000000" w:themeColor="text1"/>
              </w:rPr>
              <w:t>33</w:t>
            </w:r>
          </w:p>
        </w:tc>
        <w:tc>
          <w:tcPr>
            <w:tcW w:w="570" w:type="pct"/>
            <w:noWrap/>
            <w:hideMark/>
          </w:tcPr>
          <w:p w14:paraId="071C529C" w14:textId="77777777" w:rsidR="00D53CDC" w:rsidRPr="00D549EE" w:rsidRDefault="00D53CDC" w:rsidP="00FF1CE4">
            <w:pPr>
              <w:jc w:val="right"/>
              <w:rPr>
                <w:color w:val="000000" w:themeColor="text1"/>
              </w:rPr>
            </w:pPr>
            <w:r w:rsidRPr="00D549EE">
              <w:rPr>
                <w:color w:val="000000" w:themeColor="text1"/>
              </w:rPr>
              <w:t>0</w:t>
            </w:r>
            <w:r w:rsidRPr="00D549EE">
              <w:rPr>
                <w:color w:val="000000" w:themeColor="text1"/>
                <w:lang w:val="en-US"/>
              </w:rPr>
              <w:t>.</w:t>
            </w:r>
            <w:r w:rsidRPr="00D549EE">
              <w:rPr>
                <w:color w:val="000000" w:themeColor="text1"/>
              </w:rPr>
              <w:t>11</w:t>
            </w:r>
          </w:p>
        </w:tc>
        <w:tc>
          <w:tcPr>
            <w:tcW w:w="560" w:type="pct"/>
            <w:noWrap/>
            <w:hideMark/>
          </w:tcPr>
          <w:p w14:paraId="6499E0FE" w14:textId="2CACDA50" w:rsidR="00D53CDC" w:rsidRPr="00D549EE" w:rsidRDefault="00AF27C3" w:rsidP="00D53CDC">
            <w:pPr>
              <w:jc w:val="right"/>
              <w:rPr>
                <w:color w:val="000000" w:themeColor="text1"/>
                <w:lang w:val="en-US"/>
              </w:rPr>
            </w:pPr>
            <w:r w:rsidRPr="00D549EE">
              <w:rPr>
                <w:color w:val="000000" w:themeColor="text1"/>
                <w:lang w:val="en-US"/>
              </w:rPr>
              <w:t>0.11</w:t>
            </w:r>
          </w:p>
        </w:tc>
        <w:tc>
          <w:tcPr>
            <w:tcW w:w="681" w:type="pct"/>
          </w:tcPr>
          <w:p w14:paraId="2B9BF086" w14:textId="382228EA" w:rsidR="00D53CDC" w:rsidRPr="00D549EE" w:rsidRDefault="00B131A0" w:rsidP="00D53CDC">
            <w:pPr>
              <w:jc w:val="right"/>
              <w:rPr>
                <w:color w:val="000000" w:themeColor="text1"/>
                <w:lang w:val="en-US"/>
              </w:rPr>
            </w:pPr>
            <w:r w:rsidRPr="00D549EE">
              <w:rPr>
                <w:color w:val="000000" w:themeColor="text1"/>
                <w:lang w:val="en-US"/>
              </w:rPr>
              <w:t>0.11</w:t>
            </w:r>
          </w:p>
        </w:tc>
        <w:tc>
          <w:tcPr>
            <w:tcW w:w="453" w:type="pct"/>
          </w:tcPr>
          <w:p w14:paraId="10303B62" w14:textId="3748F8D2" w:rsidR="00D53CDC" w:rsidRPr="00D549EE" w:rsidRDefault="00AF27C3" w:rsidP="00FF1CE4">
            <w:pPr>
              <w:jc w:val="right"/>
              <w:rPr>
                <w:color w:val="000000" w:themeColor="text1"/>
                <w:lang w:val="en-US"/>
              </w:rPr>
            </w:pPr>
            <w:r w:rsidRPr="00D549EE">
              <w:rPr>
                <w:color w:val="000000" w:themeColor="text1"/>
                <w:lang w:val="en-US"/>
              </w:rPr>
              <w:t>1.00</w:t>
            </w:r>
          </w:p>
        </w:tc>
        <w:tc>
          <w:tcPr>
            <w:tcW w:w="1017" w:type="pct"/>
            <w:noWrap/>
            <w:hideMark/>
          </w:tcPr>
          <w:p w14:paraId="7E59648F" w14:textId="4EA446FD" w:rsidR="00D53CDC" w:rsidRPr="00D549EE" w:rsidRDefault="00D53CDC" w:rsidP="00FF1CE4">
            <w:pPr>
              <w:jc w:val="right"/>
              <w:rPr>
                <w:color w:val="000000" w:themeColor="text1"/>
              </w:rPr>
            </w:pPr>
            <w:r w:rsidRPr="00D549EE">
              <w:rPr>
                <w:color w:val="000000" w:themeColor="text1"/>
              </w:rPr>
              <w:t>0</w:t>
            </w:r>
            <w:r w:rsidRPr="00D549EE">
              <w:rPr>
                <w:color w:val="000000" w:themeColor="text1"/>
                <w:lang w:val="en-US"/>
              </w:rPr>
              <w:t>.</w:t>
            </w:r>
            <w:r w:rsidR="00855ACB" w:rsidRPr="00D549EE">
              <w:rPr>
                <w:color w:val="000000" w:themeColor="text1"/>
                <w:lang w:val="en-US"/>
              </w:rPr>
              <w:t>02</w:t>
            </w:r>
          </w:p>
        </w:tc>
      </w:tr>
      <w:tr w:rsidR="004A35C8" w:rsidRPr="00FC685D" w14:paraId="231D5EEE" w14:textId="77777777" w:rsidTr="00D91946">
        <w:trPr>
          <w:trHeight w:val="344"/>
        </w:trPr>
        <w:tc>
          <w:tcPr>
            <w:tcW w:w="5000" w:type="pct"/>
            <w:gridSpan w:val="8"/>
            <w:noWrap/>
          </w:tcPr>
          <w:p w14:paraId="46075A3B" w14:textId="1AB5FA0F" w:rsidR="004A35C8" w:rsidRPr="00D549EE" w:rsidRDefault="004A35C8" w:rsidP="004A35C8">
            <w:pPr>
              <w:jc w:val="left"/>
              <w:rPr>
                <w:color w:val="000000" w:themeColor="text1"/>
                <w:lang w:val="en-US"/>
              </w:rPr>
            </w:pPr>
            <w:r w:rsidRPr="00D549EE">
              <w:rPr>
                <w:bCs/>
                <w:color w:val="000000"/>
                <w:lang w:val="en-US"/>
              </w:rPr>
              <w:t xml:space="preserve">          </w:t>
            </w:r>
            <w:r w:rsidRPr="00D549EE">
              <w:rPr>
                <w:lang w:val="en-US"/>
              </w:rPr>
              <w:t>Note – Compiled by the author</w:t>
            </w:r>
            <w:r w:rsidRPr="00D549EE">
              <w:rPr>
                <w:bCs/>
                <w:color w:val="000000"/>
                <w:lang w:val="en-US"/>
              </w:rPr>
              <w:t xml:space="preserve"> </w:t>
            </w:r>
          </w:p>
        </w:tc>
      </w:tr>
    </w:tbl>
    <w:p w14:paraId="4D535C6F" w14:textId="03FD732A" w:rsidR="00FF1CE4" w:rsidRPr="00D549EE" w:rsidRDefault="00FF1CE4" w:rsidP="00C9582F">
      <w:pPr>
        <w:autoSpaceDE w:val="0"/>
        <w:autoSpaceDN w:val="0"/>
        <w:adjustRightInd w:val="0"/>
        <w:jc w:val="both"/>
        <w:rPr>
          <w:color w:val="FF0000"/>
          <w:sz w:val="28"/>
          <w:szCs w:val="28"/>
          <w:lang w:val="en-US"/>
        </w:rPr>
      </w:pPr>
    </w:p>
    <w:p w14:paraId="36DAFE63" w14:textId="77777777" w:rsidR="00DC1435" w:rsidRPr="00DC1435" w:rsidRDefault="00FF2FE9" w:rsidP="00DC1435">
      <w:pPr>
        <w:autoSpaceDE w:val="0"/>
        <w:autoSpaceDN w:val="0"/>
        <w:adjustRightInd w:val="0"/>
        <w:jc w:val="both"/>
        <w:rPr>
          <w:color w:val="000000" w:themeColor="text1"/>
          <w:sz w:val="28"/>
          <w:szCs w:val="28"/>
          <w:lang w:val="en-US"/>
        </w:rPr>
      </w:pPr>
      <w:r w:rsidRPr="00D549EE">
        <w:rPr>
          <w:color w:val="000000" w:themeColor="text1"/>
          <w:sz w:val="28"/>
          <w:szCs w:val="28"/>
          <w:lang w:val="en-US"/>
        </w:rPr>
        <w:tab/>
      </w:r>
      <w:r w:rsidR="00DC1435" w:rsidRPr="00DC1435">
        <w:rPr>
          <w:color w:val="000000" w:themeColor="text1"/>
          <w:sz w:val="28"/>
          <w:szCs w:val="28"/>
          <w:lang w:val="en-US"/>
        </w:rPr>
        <w:t>Selected social factors are 1 employment - the number of the employed population, thousand persons; 2 environment - the volume of pollutant emission into the atmosphere, tons; 3 health – the spending on the healthcare per capita; 4 education - the education enrolment of the population aged 6–24 years, %; 5 poverty -  the share of the population with an income below the subsistence minimum, %; 6 consumption - average consumer spending per capita, USD [105]. Then according to the experts’ assessment, the initial judgment matrices were established.</w:t>
      </w:r>
    </w:p>
    <w:p w14:paraId="12354CA2" w14:textId="0A5DED6A" w:rsidR="000C330C" w:rsidRPr="00D549EE" w:rsidRDefault="00DC1435" w:rsidP="00DC1435">
      <w:pPr>
        <w:autoSpaceDE w:val="0"/>
        <w:autoSpaceDN w:val="0"/>
        <w:adjustRightInd w:val="0"/>
        <w:jc w:val="both"/>
        <w:rPr>
          <w:color w:val="000000" w:themeColor="text1"/>
          <w:sz w:val="28"/>
          <w:szCs w:val="28"/>
          <w:lang w:val="en-US"/>
        </w:rPr>
      </w:pPr>
      <w:r w:rsidRPr="00DC1435">
        <w:rPr>
          <w:color w:val="000000" w:themeColor="text1"/>
          <w:sz w:val="28"/>
          <w:szCs w:val="28"/>
          <w:lang w:val="en-US"/>
        </w:rPr>
        <w:tab/>
        <w:t>Using the Microsoft Excel software, AHP calculator, and the expert data aggregation method, the subjective weights of the evaluation indices of 5 experts averaged and determined by AHP were obtained as follows: average Scale of priorities [0.301, 0.187, 0.162, 0.201, 0.100, 0.052]. The resulting weights are based on the principal eigenvector of the decision matrixes.</w:t>
      </w:r>
    </w:p>
    <w:p w14:paraId="03F74DDE" w14:textId="77777777" w:rsidR="00DC1435" w:rsidRDefault="00DC1435" w:rsidP="00C9582F">
      <w:pPr>
        <w:autoSpaceDE w:val="0"/>
        <w:autoSpaceDN w:val="0"/>
        <w:adjustRightInd w:val="0"/>
        <w:jc w:val="both"/>
        <w:rPr>
          <w:color w:val="000000" w:themeColor="text1"/>
          <w:sz w:val="28"/>
          <w:szCs w:val="28"/>
          <w:lang w:val="en-US"/>
        </w:rPr>
      </w:pPr>
    </w:p>
    <w:p w14:paraId="21C9A3BE" w14:textId="5069BFFE" w:rsidR="000C330C" w:rsidRPr="00D549EE" w:rsidRDefault="000C330C" w:rsidP="00C9582F">
      <w:pPr>
        <w:autoSpaceDE w:val="0"/>
        <w:autoSpaceDN w:val="0"/>
        <w:adjustRightInd w:val="0"/>
        <w:jc w:val="both"/>
        <w:rPr>
          <w:color w:val="000000" w:themeColor="text1"/>
          <w:sz w:val="28"/>
          <w:szCs w:val="28"/>
          <w:lang w:val="en-US"/>
        </w:rPr>
      </w:pPr>
      <w:r w:rsidRPr="00D549EE">
        <w:rPr>
          <w:color w:val="000000" w:themeColor="text1"/>
          <w:sz w:val="28"/>
          <w:szCs w:val="28"/>
          <w:lang w:val="en-US"/>
        </w:rPr>
        <w:t xml:space="preserve">Table </w:t>
      </w:r>
      <w:r w:rsidR="00100E2A" w:rsidRPr="00D549EE">
        <w:rPr>
          <w:color w:val="000000" w:themeColor="text1"/>
          <w:sz w:val="28"/>
          <w:szCs w:val="28"/>
          <w:lang w:val="en-US"/>
        </w:rPr>
        <w:t>2</w:t>
      </w:r>
      <w:r w:rsidR="00A655E2" w:rsidRPr="00D549EE">
        <w:rPr>
          <w:color w:val="000000" w:themeColor="text1"/>
          <w:sz w:val="28"/>
          <w:szCs w:val="28"/>
          <w:lang w:val="en-US"/>
        </w:rPr>
        <w:t>7</w:t>
      </w:r>
      <w:r w:rsidR="00497894" w:rsidRPr="00D549EE">
        <w:rPr>
          <w:color w:val="000000" w:themeColor="text1"/>
          <w:sz w:val="28"/>
          <w:szCs w:val="28"/>
          <w:lang w:val="en-US"/>
        </w:rPr>
        <w:t xml:space="preserve"> </w:t>
      </w:r>
      <w:r w:rsidR="00497894" w:rsidRPr="00D549EE">
        <w:rPr>
          <w:sz w:val="28"/>
          <w:szCs w:val="28"/>
          <w:lang w:val="en-US"/>
        </w:rPr>
        <w:t>–</w:t>
      </w:r>
      <w:r w:rsidR="00497894" w:rsidRPr="00D549EE">
        <w:rPr>
          <w:color w:val="000000" w:themeColor="text1"/>
          <w:sz w:val="28"/>
          <w:szCs w:val="28"/>
          <w:lang w:val="en-US"/>
        </w:rPr>
        <w:t xml:space="preserve">  </w:t>
      </w:r>
      <w:r w:rsidRPr="00D549EE">
        <w:rPr>
          <w:color w:val="000000" w:themeColor="text1"/>
          <w:sz w:val="28"/>
          <w:szCs w:val="28"/>
          <w:lang w:val="en-US"/>
        </w:rPr>
        <w:t xml:space="preserve">Results of the </w:t>
      </w:r>
      <w:r w:rsidRPr="00D549EE">
        <w:rPr>
          <w:rFonts w:eastAsiaTheme="minorHAnsi"/>
          <w:sz w:val="28"/>
          <w:szCs w:val="28"/>
          <w:lang w:val="en-US" w:eastAsia="en-US"/>
        </w:rPr>
        <w:t>Scale of priorities</w:t>
      </w:r>
      <w:r w:rsidRPr="00D549EE">
        <w:rPr>
          <w:color w:val="000000" w:themeColor="text1"/>
          <w:sz w:val="28"/>
          <w:szCs w:val="28"/>
          <w:lang w:val="en-US"/>
        </w:rPr>
        <w:t xml:space="preserve"> for Matrix </w:t>
      </w:r>
    </w:p>
    <w:p w14:paraId="4F9B6F0A" w14:textId="77777777" w:rsidR="000C330C" w:rsidRPr="00D549EE" w:rsidRDefault="000C330C" w:rsidP="00C9582F">
      <w:pPr>
        <w:autoSpaceDE w:val="0"/>
        <w:autoSpaceDN w:val="0"/>
        <w:adjustRightInd w:val="0"/>
        <w:jc w:val="both"/>
        <w:rPr>
          <w:color w:val="000000" w:themeColor="text1"/>
          <w:sz w:val="28"/>
          <w:szCs w:val="28"/>
          <w:lang w:val="en-US"/>
        </w:rPr>
      </w:pPr>
    </w:p>
    <w:tbl>
      <w:tblPr>
        <w:tblStyle w:val="a9"/>
        <w:tblW w:w="0" w:type="auto"/>
        <w:tblInd w:w="-5" w:type="dxa"/>
        <w:tblLook w:val="04A0" w:firstRow="1" w:lastRow="0" w:firstColumn="1" w:lastColumn="0" w:noHBand="0" w:noVBand="1"/>
      </w:tblPr>
      <w:tblGrid>
        <w:gridCol w:w="562"/>
        <w:gridCol w:w="2645"/>
        <w:gridCol w:w="1604"/>
        <w:gridCol w:w="1604"/>
      </w:tblGrid>
      <w:tr w:rsidR="00100E2A" w:rsidRPr="00D549EE" w14:paraId="3CD1DD10" w14:textId="77777777" w:rsidTr="004234F7">
        <w:tc>
          <w:tcPr>
            <w:tcW w:w="562" w:type="dxa"/>
          </w:tcPr>
          <w:p w14:paraId="18FFA342" w14:textId="77777777" w:rsidR="00100E2A" w:rsidRPr="00D549EE" w:rsidRDefault="00100E2A" w:rsidP="00C9582F">
            <w:pPr>
              <w:autoSpaceDE w:val="0"/>
              <w:autoSpaceDN w:val="0"/>
              <w:adjustRightInd w:val="0"/>
              <w:rPr>
                <w:color w:val="000000" w:themeColor="text1"/>
                <w:lang w:val="en-US"/>
              </w:rPr>
            </w:pPr>
          </w:p>
        </w:tc>
        <w:tc>
          <w:tcPr>
            <w:tcW w:w="2645" w:type="dxa"/>
          </w:tcPr>
          <w:p w14:paraId="2226DF8A" w14:textId="66C49B43"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Factor</w:t>
            </w:r>
          </w:p>
        </w:tc>
        <w:tc>
          <w:tcPr>
            <w:tcW w:w="1604" w:type="dxa"/>
          </w:tcPr>
          <w:p w14:paraId="485A6C53"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Priority</w:t>
            </w:r>
          </w:p>
        </w:tc>
        <w:tc>
          <w:tcPr>
            <w:tcW w:w="1604" w:type="dxa"/>
          </w:tcPr>
          <w:p w14:paraId="4FFA9906"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Rank</w:t>
            </w:r>
          </w:p>
        </w:tc>
      </w:tr>
      <w:tr w:rsidR="00100E2A" w:rsidRPr="00D549EE" w14:paraId="738029E2" w14:textId="77777777" w:rsidTr="004234F7">
        <w:tc>
          <w:tcPr>
            <w:tcW w:w="562" w:type="dxa"/>
          </w:tcPr>
          <w:p w14:paraId="5A1A94F0"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1</w:t>
            </w:r>
          </w:p>
        </w:tc>
        <w:tc>
          <w:tcPr>
            <w:tcW w:w="2645" w:type="dxa"/>
          </w:tcPr>
          <w:p w14:paraId="48D0AB21" w14:textId="24527121"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Employment</w:t>
            </w:r>
          </w:p>
        </w:tc>
        <w:tc>
          <w:tcPr>
            <w:tcW w:w="1604" w:type="dxa"/>
          </w:tcPr>
          <w:p w14:paraId="0841F911" w14:textId="5576E2A7" w:rsidR="00100E2A" w:rsidRPr="00D549EE" w:rsidRDefault="00E057AF" w:rsidP="00C9582F">
            <w:pPr>
              <w:autoSpaceDE w:val="0"/>
              <w:autoSpaceDN w:val="0"/>
              <w:adjustRightInd w:val="0"/>
              <w:rPr>
                <w:color w:val="000000" w:themeColor="text1"/>
                <w:lang w:val="en-US"/>
              </w:rPr>
            </w:pPr>
            <w:r w:rsidRPr="00D549EE">
              <w:rPr>
                <w:color w:val="000000" w:themeColor="text1"/>
              </w:rPr>
              <w:t>30</w:t>
            </w:r>
            <w:r w:rsidR="00100E2A" w:rsidRPr="00D549EE">
              <w:rPr>
                <w:color w:val="000000" w:themeColor="text1"/>
                <w:lang w:val="en-US"/>
              </w:rPr>
              <w:t>.</w:t>
            </w:r>
            <w:r w:rsidRPr="00D549EE">
              <w:rPr>
                <w:color w:val="000000" w:themeColor="text1"/>
              </w:rPr>
              <w:t>1</w:t>
            </w:r>
            <w:r w:rsidR="00100E2A" w:rsidRPr="00D549EE">
              <w:rPr>
                <w:color w:val="000000" w:themeColor="text1"/>
                <w:lang w:val="en-US"/>
              </w:rPr>
              <w:t>%</w:t>
            </w:r>
          </w:p>
        </w:tc>
        <w:tc>
          <w:tcPr>
            <w:tcW w:w="1604" w:type="dxa"/>
          </w:tcPr>
          <w:p w14:paraId="65FCC01D"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1</w:t>
            </w:r>
          </w:p>
        </w:tc>
      </w:tr>
      <w:tr w:rsidR="00100E2A" w:rsidRPr="00D549EE" w14:paraId="66171D68" w14:textId="77777777" w:rsidTr="004234F7">
        <w:tc>
          <w:tcPr>
            <w:tcW w:w="562" w:type="dxa"/>
          </w:tcPr>
          <w:p w14:paraId="16D3B392"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2</w:t>
            </w:r>
          </w:p>
        </w:tc>
        <w:tc>
          <w:tcPr>
            <w:tcW w:w="2645" w:type="dxa"/>
          </w:tcPr>
          <w:p w14:paraId="529CB43E" w14:textId="73190E83"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Environment</w:t>
            </w:r>
          </w:p>
        </w:tc>
        <w:tc>
          <w:tcPr>
            <w:tcW w:w="1604" w:type="dxa"/>
          </w:tcPr>
          <w:p w14:paraId="60BB7DF2" w14:textId="7CFB3E3D" w:rsidR="00100E2A" w:rsidRPr="00D549EE" w:rsidRDefault="008C7C08" w:rsidP="00C9582F">
            <w:pPr>
              <w:autoSpaceDE w:val="0"/>
              <w:autoSpaceDN w:val="0"/>
              <w:adjustRightInd w:val="0"/>
              <w:rPr>
                <w:color w:val="000000" w:themeColor="text1"/>
                <w:lang w:val="en-US"/>
              </w:rPr>
            </w:pPr>
            <w:r w:rsidRPr="00D549EE">
              <w:rPr>
                <w:color w:val="000000" w:themeColor="text1"/>
                <w:lang w:val="en-US"/>
              </w:rPr>
              <w:t>18</w:t>
            </w:r>
            <w:r w:rsidR="00100E2A" w:rsidRPr="00D549EE">
              <w:rPr>
                <w:color w:val="000000" w:themeColor="text1"/>
                <w:lang w:val="en-US"/>
              </w:rPr>
              <w:t>.</w:t>
            </w:r>
            <w:r w:rsidRPr="00D549EE">
              <w:rPr>
                <w:color w:val="000000" w:themeColor="text1"/>
                <w:lang w:val="en-US"/>
              </w:rPr>
              <w:t>7</w:t>
            </w:r>
            <w:r w:rsidR="00100E2A" w:rsidRPr="00D549EE">
              <w:rPr>
                <w:color w:val="000000" w:themeColor="text1"/>
                <w:lang w:val="en-US"/>
              </w:rPr>
              <w:t>%</w:t>
            </w:r>
          </w:p>
        </w:tc>
        <w:tc>
          <w:tcPr>
            <w:tcW w:w="1604" w:type="dxa"/>
          </w:tcPr>
          <w:p w14:paraId="13DB9B70" w14:textId="58166C81" w:rsidR="00100E2A" w:rsidRPr="00D549EE" w:rsidRDefault="0062358F" w:rsidP="00C9582F">
            <w:pPr>
              <w:autoSpaceDE w:val="0"/>
              <w:autoSpaceDN w:val="0"/>
              <w:adjustRightInd w:val="0"/>
              <w:rPr>
                <w:color w:val="000000" w:themeColor="text1"/>
                <w:lang w:val="en-US"/>
              </w:rPr>
            </w:pPr>
            <w:r w:rsidRPr="00D549EE">
              <w:rPr>
                <w:color w:val="000000" w:themeColor="text1"/>
                <w:lang w:val="en-US"/>
              </w:rPr>
              <w:t>3</w:t>
            </w:r>
          </w:p>
        </w:tc>
      </w:tr>
      <w:tr w:rsidR="00100E2A" w:rsidRPr="00D549EE" w14:paraId="58E3AF60" w14:textId="77777777" w:rsidTr="004234F7">
        <w:tc>
          <w:tcPr>
            <w:tcW w:w="562" w:type="dxa"/>
          </w:tcPr>
          <w:p w14:paraId="1FD00AFB"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3</w:t>
            </w:r>
          </w:p>
        </w:tc>
        <w:tc>
          <w:tcPr>
            <w:tcW w:w="2645" w:type="dxa"/>
          </w:tcPr>
          <w:p w14:paraId="0B41FDC1" w14:textId="1D42E30C"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Health</w:t>
            </w:r>
          </w:p>
        </w:tc>
        <w:tc>
          <w:tcPr>
            <w:tcW w:w="1604" w:type="dxa"/>
          </w:tcPr>
          <w:p w14:paraId="7DB07BEC" w14:textId="15E66081"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1</w:t>
            </w:r>
            <w:r w:rsidR="008C7C08" w:rsidRPr="00D549EE">
              <w:rPr>
                <w:color w:val="000000" w:themeColor="text1"/>
                <w:lang w:val="en-US"/>
              </w:rPr>
              <w:t>6</w:t>
            </w:r>
            <w:r w:rsidRPr="00D549EE">
              <w:rPr>
                <w:color w:val="000000" w:themeColor="text1"/>
                <w:lang w:val="en-US"/>
              </w:rPr>
              <w:t>.</w:t>
            </w:r>
            <w:r w:rsidR="008C7C08" w:rsidRPr="00D549EE">
              <w:rPr>
                <w:color w:val="000000" w:themeColor="text1"/>
                <w:lang w:val="en-US"/>
              </w:rPr>
              <w:t>2</w:t>
            </w:r>
            <w:r w:rsidRPr="00D549EE">
              <w:rPr>
                <w:color w:val="000000" w:themeColor="text1"/>
                <w:lang w:val="en-US"/>
              </w:rPr>
              <w:t>%</w:t>
            </w:r>
          </w:p>
        </w:tc>
        <w:tc>
          <w:tcPr>
            <w:tcW w:w="1604" w:type="dxa"/>
          </w:tcPr>
          <w:p w14:paraId="768F1061"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4</w:t>
            </w:r>
          </w:p>
        </w:tc>
      </w:tr>
      <w:tr w:rsidR="00100E2A" w:rsidRPr="00D549EE" w14:paraId="4FD66A08" w14:textId="77777777" w:rsidTr="004234F7">
        <w:tc>
          <w:tcPr>
            <w:tcW w:w="562" w:type="dxa"/>
          </w:tcPr>
          <w:p w14:paraId="31CBDBB4"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4</w:t>
            </w:r>
          </w:p>
        </w:tc>
        <w:tc>
          <w:tcPr>
            <w:tcW w:w="2645" w:type="dxa"/>
          </w:tcPr>
          <w:p w14:paraId="74B85C75" w14:textId="167AFD06"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Education</w:t>
            </w:r>
          </w:p>
        </w:tc>
        <w:tc>
          <w:tcPr>
            <w:tcW w:w="1604" w:type="dxa"/>
          </w:tcPr>
          <w:p w14:paraId="5FBFED10" w14:textId="528EE7B4" w:rsidR="00100E2A" w:rsidRPr="00D549EE" w:rsidRDefault="008C7C08" w:rsidP="00C9582F">
            <w:pPr>
              <w:autoSpaceDE w:val="0"/>
              <w:autoSpaceDN w:val="0"/>
              <w:adjustRightInd w:val="0"/>
              <w:rPr>
                <w:color w:val="000000" w:themeColor="text1"/>
                <w:lang w:val="en-US"/>
              </w:rPr>
            </w:pPr>
            <w:r w:rsidRPr="00D549EE">
              <w:rPr>
                <w:color w:val="000000" w:themeColor="text1"/>
                <w:lang w:val="en-US"/>
              </w:rPr>
              <w:t>20</w:t>
            </w:r>
            <w:r w:rsidR="00100E2A" w:rsidRPr="00D549EE">
              <w:rPr>
                <w:color w:val="000000" w:themeColor="text1"/>
                <w:lang w:val="en-US"/>
              </w:rPr>
              <w:t>.</w:t>
            </w:r>
            <w:r w:rsidRPr="00D549EE">
              <w:rPr>
                <w:color w:val="000000" w:themeColor="text1"/>
                <w:lang w:val="en-US"/>
              </w:rPr>
              <w:t>1</w:t>
            </w:r>
            <w:r w:rsidR="00100E2A" w:rsidRPr="00D549EE">
              <w:rPr>
                <w:color w:val="000000" w:themeColor="text1"/>
                <w:lang w:val="en-US"/>
              </w:rPr>
              <w:t>%</w:t>
            </w:r>
          </w:p>
        </w:tc>
        <w:tc>
          <w:tcPr>
            <w:tcW w:w="1604" w:type="dxa"/>
          </w:tcPr>
          <w:p w14:paraId="60F662B1" w14:textId="1E081602" w:rsidR="00100E2A" w:rsidRPr="00D549EE" w:rsidRDefault="0062358F" w:rsidP="00C9582F">
            <w:pPr>
              <w:autoSpaceDE w:val="0"/>
              <w:autoSpaceDN w:val="0"/>
              <w:adjustRightInd w:val="0"/>
              <w:rPr>
                <w:color w:val="000000" w:themeColor="text1"/>
                <w:lang w:val="en-US"/>
              </w:rPr>
            </w:pPr>
            <w:r w:rsidRPr="00D549EE">
              <w:rPr>
                <w:color w:val="000000" w:themeColor="text1"/>
                <w:lang w:val="en-US"/>
              </w:rPr>
              <w:t>2</w:t>
            </w:r>
          </w:p>
        </w:tc>
      </w:tr>
      <w:tr w:rsidR="00100E2A" w:rsidRPr="00D549EE" w14:paraId="0447F235" w14:textId="77777777" w:rsidTr="004234F7">
        <w:tc>
          <w:tcPr>
            <w:tcW w:w="562" w:type="dxa"/>
          </w:tcPr>
          <w:p w14:paraId="6FAE9BA1"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5</w:t>
            </w:r>
          </w:p>
        </w:tc>
        <w:tc>
          <w:tcPr>
            <w:tcW w:w="2645" w:type="dxa"/>
          </w:tcPr>
          <w:p w14:paraId="189570D1" w14:textId="72E13F1F"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Poverty</w:t>
            </w:r>
          </w:p>
        </w:tc>
        <w:tc>
          <w:tcPr>
            <w:tcW w:w="1604" w:type="dxa"/>
          </w:tcPr>
          <w:p w14:paraId="3815C92F" w14:textId="3900D558" w:rsidR="00100E2A" w:rsidRPr="00D549EE" w:rsidRDefault="003056E6" w:rsidP="00C9582F">
            <w:pPr>
              <w:autoSpaceDE w:val="0"/>
              <w:autoSpaceDN w:val="0"/>
              <w:adjustRightInd w:val="0"/>
              <w:rPr>
                <w:color w:val="000000" w:themeColor="text1"/>
                <w:lang w:val="en-US"/>
              </w:rPr>
            </w:pPr>
            <w:r w:rsidRPr="00D549EE">
              <w:rPr>
                <w:color w:val="000000" w:themeColor="text1"/>
                <w:lang w:val="en-US"/>
              </w:rPr>
              <w:t>10</w:t>
            </w:r>
            <w:r w:rsidR="008C7C08" w:rsidRPr="00D549EE">
              <w:rPr>
                <w:color w:val="000000" w:themeColor="text1"/>
                <w:lang w:val="en-US"/>
              </w:rPr>
              <w:t>.0</w:t>
            </w:r>
            <w:r w:rsidR="00100E2A" w:rsidRPr="00D549EE">
              <w:rPr>
                <w:color w:val="000000" w:themeColor="text1"/>
                <w:lang w:val="en-US"/>
              </w:rPr>
              <w:t>%</w:t>
            </w:r>
          </w:p>
        </w:tc>
        <w:tc>
          <w:tcPr>
            <w:tcW w:w="1604" w:type="dxa"/>
          </w:tcPr>
          <w:p w14:paraId="36D3DFF3" w14:textId="77777777"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5</w:t>
            </w:r>
          </w:p>
        </w:tc>
      </w:tr>
      <w:tr w:rsidR="00100E2A" w:rsidRPr="00D549EE" w14:paraId="52A2480A" w14:textId="77777777" w:rsidTr="004234F7">
        <w:tc>
          <w:tcPr>
            <w:tcW w:w="562" w:type="dxa"/>
          </w:tcPr>
          <w:p w14:paraId="737F3012" w14:textId="36B294F4"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6</w:t>
            </w:r>
          </w:p>
        </w:tc>
        <w:tc>
          <w:tcPr>
            <w:tcW w:w="2645" w:type="dxa"/>
          </w:tcPr>
          <w:p w14:paraId="71640F2F" w14:textId="3BB0263B" w:rsidR="00100E2A" w:rsidRPr="00D549EE" w:rsidRDefault="00100E2A" w:rsidP="00C9582F">
            <w:pPr>
              <w:autoSpaceDE w:val="0"/>
              <w:autoSpaceDN w:val="0"/>
              <w:adjustRightInd w:val="0"/>
              <w:rPr>
                <w:color w:val="000000" w:themeColor="text1"/>
                <w:lang w:val="en-US"/>
              </w:rPr>
            </w:pPr>
            <w:r w:rsidRPr="00D549EE">
              <w:rPr>
                <w:color w:val="000000" w:themeColor="text1"/>
                <w:lang w:val="en-US"/>
              </w:rPr>
              <w:t>Consumption</w:t>
            </w:r>
          </w:p>
        </w:tc>
        <w:tc>
          <w:tcPr>
            <w:tcW w:w="1604" w:type="dxa"/>
          </w:tcPr>
          <w:p w14:paraId="26A7669A" w14:textId="5118BDB7" w:rsidR="00100E2A" w:rsidRPr="00D549EE" w:rsidRDefault="003056E6" w:rsidP="00C9582F">
            <w:pPr>
              <w:autoSpaceDE w:val="0"/>
              <w:autoSpaceDN w:val="0"/>
              <w:adjustRightInd w:val="0"/>
              <w:rPr>
                <w:color w:val="000000" w:themeColor="text1"/>
                <w:lang w:val="en-US"/>
              </w:rPr>
            </w:pPr>
            <w:r w:rsidRPr="00D549EE">
              <w:rPr>
                <w:color w:val="000000" w:themeColor="text1"/>
                <w:lang w:val="en-US"/>
              </w:rPr>
              <w:t>5</w:t>
            </w:r>
            <w:r w:rsidR="008C7C08" w:rsidRPr="00D549EE">
              <w:rPr>
                <w:color w:val="000000" w:themeColor="text1"/>
                <w:lang w:val="en-US"/>
              </w:rPr>
              <w:t>.2</w:t>
            </w:r>
            <w:r w:rsidRPr="00D549EE">
              <w:rPr>
                <w:color w:val="000000" w:themeColor="text1"/>
                <w:lang w:val="en-US"/>
              </w:rPr>
              <w:t>%</w:t>
            </w:r>
          </w:p>
        </w:tc>
        <w:tc>
          <w:tcPr>
            <w:tcW w:w="1604" w:type="dxa"/>
          </w:tcPr>
          <w:p w14:paraId="7F17E467" w14:textId="6F4D6DFF" w:rsidR="00100E2A" w:rsidRPr="00D549EE" w:rsidRDefault="0062358F" w:rsidP="00C9582F">
            <w:pPr>
              <w:autoSpaceDE w:val="0"/>
              <w:autoSpaceDN w:val="0"/>
              <w:adjustRightInd w:val="0"/>
              <w:rPr>
                <w:color w:val="000000" w:themeColor="text1"/>
                <w:lang w:val="en-US"/>
              </w:rPr>
            </w:pPr>
            <w:r w:rsidRPr="00D549EE">
              <w:rPr>
                <w:color w:val="000000" w:themeColor="text1"/>
                <w:lang w:val="en-US"/>
              </w:rPr>
              <w:t>6</w:t>
            </w:r>
          </w:p>
        </w:tc>
      </w:tr>
      <w:tr w:rsidR="0004586C" w:rsidRPr="00FC685D" w14:paraId="5FCAA282" w14:textId="77777777" w:rsidTr="00EA2806">
        <w:tc>
          <w:tcPr>
            <w:tcW w:w="6415" w:type="dxa"/>
            <w:gridSpan w:val="4"/>
          </w:tcPr>
          <w:p w14:paraId="5644BEF8" w14:textId="6B14687F" w:rsidR="00497894" w:rsidRPr="00D549EE" w:rsidRDefault="0004586C" w:rsidP="00C9582F">
            <w:pPr>
              <w:autoSpaceDE w:val="0"/>
              <w:autoSpaceDN w:val="0"/>
              <w:adjustRightInd w:val="0"/>
              <w:rPr>
                <w:lang w:val="en-US"/>
              </w:rPr>
            </w:pPr>
            <w:r w:rsidRPr="00D549EE">
              <w:rPr>
                <w:lang w:val="en-US"/>
              </w:rPr>
              <w:t xml:space="preserve">         Note</w:t>
            </w:r>
            <w:r w:rsidR="00D91946" w:rsidRPr="00D549EE">
              <w:rPr>
                <w:lang w:val="en-US"/>
              </w:rPr>
              <w:t>s</w:t>
            </w:r>
          </w:p>
          <w:p w14:paraId="3035BF35" w14:textId="77777777" w:rsidR="0004586C" w:rsidRPr="00D549EE" w:rsidRDefault="00497894" w:rsidP="00C9582F">
            <w:pPr>
              <w:autoSpaceDE w:val="0"/>
              <w:autoSpaceDN w:val="0"/>
              <w:adjustRightInd w:val="0"/>
              <w:rPr>
                <w:lang w:val="en-US"/>
              </w:rPr>
            </w:pPr>
            <w:r w:rsidRPr="00D549EE">
              <w:rPr>
                <w:lang w:val="en-US"/>
              </w:rPr>
              <w:t xml:space="preserve">      1</w:t>
            </w:r>
            <w:r w:rsidR="0004586C" w:rsidRPr="00D549EE">
              <w:rPr>
                <w:lang w:val="en-US"/>
              </w:rPr>
              <w:t xml:space="preserve"> Compiled by the author</w:t>
            </w:r>
          </w:p>
          <w:p w14:paraId="1E9BF31F" w14:textId="0AB32C3D" w:rsidR="00497894" w:rsidRPr="00D549EE" w:rsidRDefault="00497894" w:rsidP="00C9582F">
            <w:pPr>
              <w:autoSpaceDE w:val="0"/>
              <w:autoSpaceDN w:val="0"/>
              <w:adjustRightInd w:val="0"/>
              <w:rPr>
                <w:color w:val="000000" w:themeColor="text1"/>
                <w:lang w:val="en-US"/>
              </w:rPr>
            </w:pPr>
            <w:r w:rsidRPr="00D549EE">
              <w:rPr>
                <w:color w:val="000000" w:themeColor="text1"/>
                <w:lang w:val="en-US"/>
              </w:rPr>
              <w:t xml:space="preserve">      2 Number of comparisons – 15</w:t>
            </w:r>
          </w:p>
        </w:tc>
      </w:tr>
    </w:tbl>
    <w:p w14:paraId="36C4ED7A" w14:textId="77777777" w:rsidR="000C330C" w:rsidRPr="00D549EE" w:rsidRDefault="000C330C" w:rsidP="00C9582F">
      <w:pPr>
        <w:autoSpaceDE w:val="0"/>
        <w:autoSpaceDN w:val="0"/>
        <w:adjustRightInd w:val="0"/>
        <w:rPr>
          <w:color w:val="000000" w:themeColor="text1"/>
          <w:sz w:val="28"/>
          <w:szCs w:val="28"/>
          <w:lang w:val="en-US"/>
        </w:rPr>
      </w:pPr>
    </w:p>
    <w:p w14:paraId="5931B4A6" w14:textId="77777777" w:rsidR="007E58B1" w:rsidRPr="007E58B1" w:rsidRDefault="000C330C" w:rsidP="007E58B1">
      <w:pPr>
        <w:autoSpaceDE w:val="0"/>
        <w:autoSpaceDN w:val="0"/>
        <w:adjustRightInd w:val="0"/>
        <w:jc w:val="both"/>
        <w:rPr>
          <w:color w:val="000000" w:themeColor="text1"/>
          <w:sz w:val="28"/>
          <w:szCs w:val="28"/>
          <w:lang w:val="en-US"/>
        </w:rPr>
      </w:pPr>
      <w:r w:rsidRPr="00D549EE">
        <w:rPr>
          <w:color w:val="000000" w:themeColor="text1"/>
          <w:sz w:val="28"/>
          <w:szCs w:val="28"/>
          <w:lang w:val="en-US"/>
        </w:rPr>
        <w:tab/>
      </w:r>
      <w:r w:rsidR="007E58B1" w:rsidRPr="007E58B1">
        <w:rPr>
          <w:color w:val="000000" w:themeColor="text1"/>
          <w:sz w:val="28"/>
          <w:szCs w:val="28"/>
          <w:lang w:val="en-US"/>
        </w:rPr>
        <w:t>According to Table 27, the first priority was given to the Employment factor with a value of 30.1%. The second priority was the factor of Education (20.1%), the third priority was the Environment (18.7%), the fourth was the Health factor (16.2%), the fifth and sixth priorities on the poverty and factors - 10.0%, and 5.2% respectively.</w:t>
      </w:r>
    </w:p>
    <w:p w14:paraId="62EC2F3A" w14:textId="77777777" w:rsidR="007E58B1" w:rsidRPr="007E58B1" w:rsidRDefault="007E58B1" w:rsidP="007E58B1">
      <w:pPr>
        <w:autoSpaceDE w:val="0"/>
        <w:autoSpaceDN w:val="0"/>
        <w:adjustRightInd w:val="0"/>
        <w:jc w:val="both"/>
        <w:rPr>
          <w:color w:val="000000" w:themeColor="text1"/>
          <w:sz w:val="28"/>
          <w:szCs w:val="28"/>
          <w:lang w:val="en-US"/>
        </w:rPr>
      </w:pPr>
      <w:r w:rsidRPr="007E58B1">
        <w:rPr>
          <w:color w:val="000000" w:themeColor="text1"/>
          <w:sz w:val="28"/>
          <w:szCs w:val="28"/>
          <w:lang w:val="en-US"/>
        </w:rPr>
        <w:tab/>
        <w:t>The following stage of the AHP matrix for the assessment applies the rule of matrix multiplication by a vector of Islamic finance in the country. The data of the dynamics of socio-economic indicators are multiplied by the values of the obtained Rating of expert priority of factors by mathematical calculations. Further Islamic finance in priorities and social impact consists of 6 social selected factors, average changes, and indicators of Islamic financial assets. The average rate of change for 11 years period of social factors in the country is estimated based on the official database of the Bureau of National Statistics of the Agency for strategic planning and reforms of the Republic of Kazakhstan [112].</w:t>
      </w:r>
    </w:p>
    <w:p w14:paraId="5A8B6EE2" w14:textId="19DCB118" w:rsidR="00D91946" w:rsidRPr="00D549EE" w:rsidRDefault="007E58B1" w:rsidP="007E58B1">
      <w:pPr>
        <w:autoSpaceDE w:val="0"/>
        <w:autoSpaceDN w:val="0"/>
        <w:adjustRightInd w:val="0"/>
        <w:jc w:val="both"/>
        <w:rPr>
          <w:color w:val="000000" w:themeColor="text1"/>
          <w:sz w:val="28"/>
          <w:szCs w:val="28"/>
          <w:lang w:val="en-US"/>
        </w:rPr>
      </w:pPr>
      <w:r w:rsidRPr="007E58B1">
        <w:rPr>
          <w:color w:val="000000" w:themeColor="text1"/>
          <w:sz w:val="28"/>
          <w:szCs w:val="28"/>
          <w:lang w:val="en-US"/>
        </w:rPr>
        <w:tab/>
        <w:t>As can be seen from the table below, the average dynamic of Islamic financial assets in the country for 11 years is 34.19%, while other social indicators changed to 4.71% maximum as consumption, the level of poverty declined is 2.03%, spending on health per capita growth is 1.57%, the rate of employed people changed on 0.92%, and educated people level increase for 0.26% in average.</w:t>
      </w:r>
    </w:p>
    <w:p w14:paraId="28E271D4" w14:textId="77777777" w:rsidR="007E58B1" w:rsidRDefault="007E58B1" w:rsidP="00C9582F">
      <w:pPr>
        <w:jc w:val="both"/>
        <w:rPr>
          <w:color w:val="000000" w:themeColor="text1"/>
          <w:sz w:val="28"/>
          <w:szCs w:val="28"/>
          <w:lang w:val="en-US"/>
        </w:rPr>
      </w:pPr>
    </w:p>
    <w:p w14:paraId="0F2648FD" w14:textId="4282A436" w:rsidR="00C70E40" w:rsidRPr="00D549EE" w:rsidRDefault="00C70E40" w:rsidP="00C9582F">
      <w:pPr>
        <w:jc w:val="both"/>
        <w:rPr>
          <w:color w:val="000000" w:themeColor="text1"/>
          <w:sz w:val="28"/>
          <w:szCs w:val="28"/>
          <w:lang w:val="en-US"/>
        </w:rPr>
      </w:pPr>
      <w:r w:rsidRPr="00D549EE">
        <w:rPr>
          <w:color w:val="000000" w:themeColor="text1"/>
          <w:sz w:val="28"/>
          <w:szCs w:val="28"/>
          <w:lang w:val="en-US"/>
        </w:rPr>
        <w:t>Table</w:t>
      </w:r>
      <w:r w:rsidR="00E13313" w:rsidRPr="00D549EE">
        <w:rPr>
          <w:color w:val="000000" w:themeColor="text1"/>
          <w:sz w:val="28"/>
          <w:szCs w:val="28"/>
          <w:lang w:val="en-US"/>
        </w:rPr>
        <w:t xml:space="preserve"> 2</w:t>
      </w:r>
      <w:r w:rsidR="00A655E2" w:rsidRPr="00D549EE">
        <w:rPr>
          <w:color w:val="000000" w:themeColor="text1"/>
          <w:sz w:val="28"/>
          <w:szCs w:val="28"/>
          <w:lang w:val="en-US"/>
        </w:rPr>
        <w:t>8</w:t>
      </w:r>
      <w:r w:rsidR="00497894" w:rsidRPr="00D549EE">
        <w:rPr>
          <w:color w:val="000000" w:themeColor="text1"/>
          <w:sz w:val="28"/>
          <w:szCs w:val="28"/>
          <w:lang w:val="en-US"/>
        </w:rPr>
        <w:t xml:space="preserve"> </w:t>
      </w:r>
      <w:r w:rsidR="00497894" w:rsidRPr="00D549EE">
        <w:rPr>
          <w:sz w:val="28"/>
          <w:szCs w:val="28"/>
          <w:lang w:val="en-US"/>
        </w:rPr>
        <w:t>–</w:t>
      </w:r>
      <w:r w:rsidR="00497894" w:rsidRPr="00D549EE">
        <w:rPr>
          <w:color w:val="000000" w:themeColor="text1"/>
          <w:sz w:val="28"/>
          <w:szCs w:val="28"/>
          <w:lang w:val="en-US"/>
        </w:rPr>
        <w:t xml:space="preserve"> </w:t>
      </w:r>
      <w:r w:rsidRPr="00D549EE">
        <w:rPr>
          <w:color w:val="000000" w:themeColor="text1"/>
          <w:sz w:val="28"/>
          <w:szCs w:val="28"/>
          <w:lang w:val="en-US"/>
        </w:rPr>
        <w:t xml:space="preserve"> </w:t>
      </w:r>
      <w:r w:rsidR="00E13313" w:rsidRPr="00D549EE">
        <w:rPr>
          <w:color w:val="000000" w:themeColor="text1"/>
          <w:sz w:val="28"/>
          <w:szCs w:val="28"/>
          <w:lang w:val="en-US"/>
        </w:rPr>
        <w:t>Islamic financial assets in social factors</w:t>
      </w:r>
      <w:r w:rsidRPr="00D549EE">
        <w:rPr>
          <w:color w:val="000000" w:themeColor="text1"/>
          <w:sz w:val="28"/>
          <w:szCs w:val="28"/>
          <w:lang w:val="en-US"/>
        </w:rPr>
        <w:t xml:space="preserve"> </w:t>
      </w:r>
      <w:r w:rsidR="00E13313" w:rsidRPr="00D549EE">
        <w:rPr>
          <w:color w:val="000000" w:themeColor="text1"/>
          <w:sz w:val="28"/>
          <w:szCs w:val="28"/>
          <w:lang w:val="en-US"/>
        </w:rPr>
        <w:t xml:space="preserve">by </w:t>
      </w:r>
      <w:r w:rsidRPr="00D549EE">
        <w:rPr>
          <w:color w:val="000000" w:themeColor="text1"/>
          <w:sz w:val="28"/>
          <w:szCs w:val="28"/>
          <w:lang w:val="en-US"/>
        </w:rPr>
        <w:t xml:space="preserve">priority </w:t>
      </w:r>
    </w:p>
    <w:p w14:paraId="4ACACC81" w14:textId="77777777" w:rsidR="00C70E40" w:rsidRPr="00D549EE" w:rsidRDefault="00C70E40" w:rsidP="00C9582F">
      <w:pPr>
        <w:jc w:val="both"/>
        <w:rPr>
          <w:color w:val="000000" w:themeColor="text1"/>
          <w:sz w:val="28"/>
          <w:szCs w:val="28"/>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847"/>
        <w:gridCol w:w="1275"/>
        <w:gridCol w:w="1055"/>
        <w:gridCol w:w="889"/>
        <w:gridCol w:w="888"/>
        <w:gridCol w:w="996"/>
        <w:gridCol w:w="1151"/>
      </w:tblGrid>
      <w:tr w:rsidR="000E282A" w:rsidRPr="00D549EE" w14:paraId="38C98D92" w14:textId="77777777" w:rsidTr="00FD58F1">
        <w:trPr>
          <w:trHeight w:val="644"/>
        </w:trPr>
        <w:tc>
          <w:tcPr>
            <w:tcW w:w="2414" w:type="dxa"/>
            <w:shd w:val="clear" w:color="000000" w:fill="FFFFFF"/>
            <w:vAlign w:val="bottom"/>
            <w:hideMark/>
          </w:tcPr>
          <w:p w14:paraId="34F6A812" w14:textId="25F0D4E1" w:rsidR="000E282A" w:rsidRPr="00D549EE" w:rsidRDefault="000E282A" w:rsidP="00C9582F">
            <w:pPr>
              <w:rPr>
                <w:color w:val="000000" w:themeColor="text1"/>
                <w:lang w:val="en-US"/>
              </w:rPr>
            </w:pPr>
            <w:r w:rsidRPr="00D549EE">
              <w:rPr>
                <w:color w:val="000000" w:themeColor="text1"/>
                <w:lang w:val="en-US"/>
              </w:rPr>
              <w:t>Indicators</w:t>
            </w:r>
          </w:p>
        </w:tc>
        <w:tc>
          <w:tcPr>
            <w:tcW w:w="847" w:type="dxa"/>
            <w:shd w:val="clear" w:color="000000" w:fill="FFFFFF"/>
            <w:vAlign w:val="bottom"/>
            <w:hideMark/>
          </w:tcPr>
          <w:p w14:paraId="759A9A25" w14:textId="77777777" w:rsidR="000E282A" w:rsidRPr="00D549EE" w:rsidRDefault="000E282A" w:rsidP="00C9582F">
            <w:pPr>
              <w:jc w:val="center"/>
              <w:rPr>
                <w:color w:val="000000" w:themeColor="text1"/>
              </w:rPr>
            </w:pPr>
            <w:r w:rsidRPr="00D549EE">
              <w:rPr>
                <w:color w:val="000000" w:themeColor="text1"/>
              </w:rPr>
              <w:t>IFA</w:t>
            </w:r>
          </w:p>
        </w:tc>
        <w:tc>
          <w:tcPr>
            <w:tcW w:w="1275" w:type="dxa"/>
            <w:shd w:val="clear" w:color="000000" w:fill="FFFFFF"/>
            <w:vAlign w:val="bottom"/>
            <w:hideMark/>
          </w:tcPr>
          <w:p w14:paraId="471874F4" w14:textId="0488963A" w:rsidR="000E282A" w:rsidRPr="00D549EE" w:rsidRDefault="000E282A" w:rsidP="00C9582F">
            <w:pPr>
              <w:jc w:val="center"/>
              <w:rPr>
                <w:color w:val="000000" w:themeColor="text1"/>
                <w:lang w:val="en-US"/>
              </w:rPr>
            </w:pPr>
            <w:r w:rsidRPr="00D549EE">
              <w:rPr>
                <w:color w:val="000000" w:themeColor="text1"/>
              </w:rPr>
              <w:t>Employ</w:t>
            </w:r>
            <w:r w:rsidRPr="00D549EE">
              <w:rPr>
                <w:color w:val="000000" w:themeColor="text1"/>
                <w:lang w:val="en-US"/>
              </w:rPr>
              <w:t>m.</w:t>
            </w:r>
          </w:p>
        </w:tc>
        <w:tc>
          <w:tcPr>
            <w:tcW w:w="1055" w:type="dxa"/>
            <w:shd w:val="clear" w:color="000000" w:fill="FFFFFF"/>
            <w:vAlign w:val="bottom"/>
            <w:hideMark/>
          </w:tcPr>
          <w:p w14:paraId="104B83B1" w14:textId="1AF65232" w:rsidR="000E282A" w:rsidRPr="00D549EE" w:rsidRDefault="000E282A" w:rsidP="00C9582F">
            <w:pPr>
              <w:jc w:val="center"/>
              <w:rPr>
                <w:color w:val="000000" w:themeColor="text1"/>
                <w:lang w:val="en-US"/>
              </w:rPr>
            </w:pPr>
            <w:r w:rsidRPr="00D549EE">
              <w:rPr>
                <w:color w:val="000000" w:themeColor="text1"/>
              </w:rPr>
              <w:t>Environ</w:t>
            </w:r>
            <w:r w:rsidRPr="00D549EE">
              <w:rPr>
                <w:color w:val="000000" w:themeColor="text1"/>
                <w:lang w:val="en-US"/>
              </w:rPr>
              <w:t>.</w:t>
            </w:r>
          </w:p>
        </w:tc>
        <w:tc>
          <w:tcPr>
            <w:tcW w:w="889" w:type="dxa"/>
            <w:shd w:val="clear" w:color="000000" w:fill="FFFFFF"/>
            <w:vAlign w:val="bottom"/>
            <w:hideMark/>
          </w:tcPr>
          <w:p w14:paraId="3C07E8FB" w14:textId="77777777" w:rsidR="000E282A" w:rsidRPr="00D549EE" w:rsidRDefault="000E282A" w:rsidP="00C9582F">
            <w:pPr>
              <w:jc w:val="center"/>
              <w:rPr>
                <w:color w:val="000000" w:themeColor="text1"/>
              </w:rPr>
            </w:pPr>
            <w:r w:rsidRPr="00D549EE">
              <w:rPr>
                <w:color w:val="000000" w:themeColor="text1"/>
              </w:rPr>
              <w:t>Health</w:t>
            </w:r>
          </w:p>
        </w:tc>
        <w:tc>
          <w:tcPr>
            <w:tcW w:w="888" w:type="dxa"/>
            <w:shd w:val="clear" w:color="000000" w:fill="FFFFFF"/>
          </w:tcPr>
          <w:p w14:paraId="62635AA5" w14:textId="2E021112" w:rsidR="000E282A" w:rsidRPr="00D549EE" w:rsidRDefault="000E282A" w:rsidP="00C9582F">
            <w:pPr>
              <w:jc w:val="center"/>
              <w:rPr>
                <w:color w:val="000000" w:themeColor="text1"/>
                <w:lang w:val="en-US"/>
              </w:rPr>
            </w:pPr>
            <w:r w:rsidRPr="00D549EE">
              <w:rPr>
                <w:color w:val="000000" w:themeColor="text1"/>
                <w:lang w:val="en-US"/>
              </w:rPr>
              <w:t>Education</w:t>
            </w:r>
          </w:p>
        </w:tc>
        <w:tc>
          <w:tcPr>
            <w:tcW w:w="996" w:type="dxa"/>
            <w:shd w:val="clear" w:color="000000" w:fill="FFFFFF"/>
            <w:vAlign w:val="bottom"/>
            <w:hideMark/>
          </w:tcPr>
          <w:p w14:paraId="076AFECF" w14:textId="6BE2444E" w:rsidR="000E282A" w:rsidRPr="00D549EE" w:rsidRDefault="000E282A" w:rsidP="00C9582F">
            <w:pPr>
              <w:jc w:val="center"/>
              <w:rPr>
                <w:color w:val="000000" w:themeColor="text1"/>
              </w:rPr>
            </w:pPr>
            <w:r w:rsidRPr="00D549EE">
              <w:rPr>
                <w:color w:val="000000" w:themeColor="text1"/>
              </w:rPr>
              <w:t>Poverty</w:t>
            </w:r>
          </w:p>
        </w:tc>
        <w:tc>
          <w:tcPr>
            <w:tcW w:w="1151" w:type="dxa"/>
            <w:shd w:val="clear" w:color="000000" w:fill="FFFFFF"/>
            <w:vAlign w:val="bottom"/>
            <w:hideMark/>
          </w:tcPr>
          <w:p w14:paraId="2EBDF8FB" w14:textId="7ABD8982" w:rsidR="000E282A" w:rsidRPr="00D549EE" w:rsidRDefault="000E282A" w:rsidP="00C9582F">
            <w:pPr>
              <w:jc w:val="center"/>
              <w:rPr>
                <w:color w:val="000000" w:themeColor="text1"/>
                <w:lang w:val="en-US"/>
              </w:rPr>
            </w:pPr>
            <w:r w:rsidRPr="00D549EE">
              <w:rPr>
                <w:color w:val="000000" w:themeColor="text1"/>
              </w:rPr>
              <w:t>Consum</w:t>
            </w:r>
            <w:r w:rsidRPr="00D549EE">
              <w:rPr>
                <w:color w:val="000000" w:themeColor="text1"/>
                <w:lang w:val="en-US"/>
              </w:rPr>
              <w:t>.</w:t>
            </w:r>
          </w:p>
        </w:tc>
      </w:tr>
      <w:tr w:rsidR="000E282A" w:rsidRPr="00D549EE" w14:paraId="3D8B3BC4" w14:textId="77777777" w:rsidTr="00FD58F1">
        <w:trPr>
          <w:trHeight w:val="480"/>
        </w:trPr>
        <w:tc>
          <w:tcPr>
            <w:tcW w:w="2414" w:type="dxa"/>
            <w:shd w:val="clear" w:color="000000" w:fill="FFFFFF"/>
            <w:noWrap/>
            <w:vAlign w:val="bottom"/>
            <w:hideMark/>
          </w:tcPr>
          <w:p w14:paraId="2748E4E5" w14:textId="77777777" w:rsidR="000E282A" w:rsidRPr="00D549EE" w:rsidRDefault="000E282A" w:rsidP="00C9582F">
            <w:pPr>
              <w:rPr>
                <w:color w:val="000000" w:themeColor="text1"/>
              </w:rPr>
            </w:pPr>
            <w:r w:rsidRPr="00D549EE">
              <w:rPr>
                <w:color w:val="000000" w:themeColor="text1"/>
              </w:rPr>
              <w:t>Avarage dinamic of indicators 2010-2020, %</w:t>
            </w:r>
          </w:p>
        </w:tc>
        <w:tc>
          <w:tcPr>
            <w:tcW w:w="847" w:type="dxa"/>
            <w:shd w:val="clear" w:color="000000" w:fill="FFFFFF"/>
            <w:noWrap/>
            <w:vAlign w:val="bottom"/>
            <w:hideMark/>
          </w:tcPr>
          <w:p w14:paraId="3281EA47" w14:textId="242F04E4" w:rsidR="000E282A" w:rsidRPr="00D549EE" w:rsidRDefault="000E282A" w:rsidP="00C9582F">
            <w:pPr>
              <w:jc w:val="right"/>
              <w:rPr>
                <w:color w:val="000000" w:themeColor="text1"/>
                <w:lang w:val="en-US"/>
              </w:rPr>
            </w:pPr>
            <w:r w:rsidRPr="00D549EE">
              <w:rPr>
                <w:color w:val="000000" w:themeColor="text1"/>
              </w:rPr>
              <w:t>34</w:t>
            </w:r>
            <w:r w:rsidRPr="00D549EE">
              <w:rPr>
                <w:color w:val="000000" w:themeColor="text1"/>
                <w:lang w:val="en-US"/>
              </w:rPr>
              <w:t>.</w:t>
            </w:r>
            <w:r w:rsidRPr="00D549EE">
              <w:rPr>
                <w:color w:val="000000" w:themeColor="text1"/>
              </w:rPr>
              <w:t>1</w:t>
            </w:r>
            <w:r w:rsidRPr="00D549EE">
              <w:rPr>
                <w:color w:val="000000" w:themeColor="text1"/>
                <w:lang w:val="en-US"/>
              </w:rPr>
              <w:t>9</w:t>
            </w:r>
          </w:p>
        </w:tc>
        <w:tc>
          <w:tcPr>
            <w:tcW w:w="1275" w:type="dxa"/>
            <w:shd w:val="clear" w:color="000000" w:fill="FFFFFF"/>
            <w:noWrap/>
            <w:vAlign w:val="bottom"/>
            <w:hideMark/>
          </w:tcPr>
          <w:p w14:paraId="3D056B67" w14:textId="02B6B538" w:rsidR="000E282A" w:rsidRPr="00D549EE" w:rsidRDefault="000E282A" w:rsidP="00C9582F">
            <w:pPr>
              <w:jc w:val="right"/>
              <w:rPr>
                <w:color w:val="000000" w:themeColor="text1"/>
                <w:lang w:val="en-US"/>
              </w:rPr>
            </w:pPr>
            <w:r w:rsidRPr="00D549EE">
              <w:rPr>
                <w:color w:val="000000" w:themeColor="text1"/>
              </w:rPr>
              <w:t>0</w:t>
            </w:r>
            <w:r w:rsidRPr="00D549EE">
              <w:rPr>
                <w:color w:val="000000" w:themeColor="text1"/>
                <w:lang w:val="en-US"/>
              </w:rPr>
              <w:t>.92</w:t>
            </w:r>
          </w:p>
        </w:tc>
        <w:tc>
          <w:tcPr>
            <w:tcW w:w="1055" w:type="dxa"/>
            <w:shd w:val="clear" w:color="000000" w:fill="FFFFFF"/>
            <w:noWrap/>
            <w:vAlign w:val="bottom"/>
            <w:hideMark/>
          </w:tcPr>
          <w:p w14:paraId="13F61E72" w14:textId="0AB413C0" w:rsidR="000E282A" w:rsidRPr="00D549EE" w:rsidRDefault="000E282A" w:rsidP="00C9582F">
            <w:pPr>
              <w:jc w:val="right"/>
              <w:rPr>
                <w:color w:val="000000" w:themeColor="text1"/>
                <w:lang w:val="en-US"/>
              </w:rPr>
            </w:pPr>
            <w:r w:rsidRPr="00D549EE">
              <w:rPr>
                <w:color w:val="000000" w:themeColor="text1"/>
              </w:rPr>
              <w:t>0</w:t>
            </w:r>
            <w:r w:rsidRPr="00D549EE">
              <w:rPr>
                <w:color w:val="000000" w:themeColor="text1"/>
                <w:lang w:val="en-US"/>
              </w:rPr>
              <w:t>.52</w:t>
            </w:r>
          </w:p>
        </w:tc>
        <w:tc>
          <w:tcPr>
            <w:tcW w:w="889" w:type="dxa"/>
            <w:shd w:val="clear" w:color="000000" w:fill="FFFFFF"/>
            <w:noWrap/>
            <w:vAlign w:val="bottom"/>
            <w:hideMark/>
          </w:tcPr>
          <w:p w14:paraId="63FAAE97" w14:textId="61EB5C28" w:rsidR="000E282A" w:rsidRPr="00D549EE" w:rsidRDefault="000E282A" w:rsidP="00C9582F">
            <w:pPr>
              <w:jc w:val="right"/>
              <w:rPr>
                <w:color w:val="000000" w:themeColor="text1"/>
              </w:rPr>
            </w:pPr>
            <w:r w:rsidRPr="00D549EE">
              <w:rPr>
                <w:color w:val="000000" w:themeColor="text1"/>
              </w:rPr>
              <w:t>1</w:t>
            </w:r>
            <w:r w:rsidRPr="00D549EE">
              <w:rPr>
                <w:color w:val="000000" w:themeColor="text1"/>
                <w:lang w:val="en-US"/>
              </w:rPr>
              <w:t>.</w:t>
            </w:r>
            <w:r w:rsidRPr="00D549EE">
              <w:rPr>
                <w:color w:val="000000" w:themeColor="text1"/>
              </w:rPr>
              <w:t>57</w:t>
            </w:r>
          </w:p>
        </w:tc>
        <w:tc>
          <w:tcPr>
            <w:tcW w:w="888" w:type="dxa"/>
            <w:shd w:val="clear" w:color="000000" w:fill="FFFFFF"/>
          </w:tcPr>
          <w:p w14:paraId="4FC2A587" w14:textId="30E0E267" w:rsidR="000E282A" w:rsidRPr="00D549EE" w:rsidRDefault="000E282A" w:rsidP="00C9582F">
            <w:pPr>
              <w:jc w:val="right"/>
              <w:rPr>
                <w:color w:val="000000" w:themeColor="text1"/>
                <w:lang w:val="en-US"/>
              </w:rPr>
            </w:pPr>
            <w:r w:rsidRPr="00D549EE">
              <w:rPr>
                <w:color w:val="000000" w:themeColor="text1"/>
                <w:lang w:val="en-US"/>
              </w:rPr>
              <w:t>0.26</w:t>
            </w:r>
          </w:p>
        </w:tc>
        <w:tc>
          <w:tcPr>
            <w:tcW w:w="996" w:type="dxa"/>
            <w:shd w:val="clear" w:color="000000" w:fill="FFFFFF"/>
            <w:noWrap/>
            <w:vAlign w:val="bottom"/>
            <w:hideMark/>
          </w:tcPr>
          <w:p w14:paraId="1FC88A54" w14:textId="189964F4" w:rsidR="000E282A" w:rsidRPr="00D549EE" w:rsidRDefault="000E282A" w:rsidP="00C9582F">
            <w:pPr>
              <w:jc w:val="right"/>
              <w:rPr>
                <w:color w:val="000000" w:themeColor="text1"/>
                <w:lang w:val="en-US"/>
              </w:rPr>
            </w:pPr>
            <w:r w:rsidRPr="00D549EE">
              <w:rPr>
                <w:color w:val="000000" w:themeColor="text1"/>
              </w:rPr>
              <w:t>-2</w:t>
            </w:r>
            <w:r w:rsidRPr="00D549EE">
              <w:rPr>
                <w:color w:val="000000" w:themeColor="text1"/>
                <w:lang w:val="en-US"/>
              </w:rPr>
              <w:t>.</w:t>
            </w:r>
            <w:r w:rsidRPr="00D549EE">
              <w:rPr>
                <w:color w:val="000000" w:themeColor="text1"/>
              </w:rPr>
              <w:t>0</w:t>
            </w:r>
            <w:r w:rsidRPr="00D549EE">
              <w:rPr>
                <w:color w:val="000000" w:themeColor="text1"/>
                <w:lang w:val="en-US"/>
              </w:rPr>
              <w:t>3</w:t>
            </w:r>
          </w:p>
        </w:tc>
        <w:tc>
          <w:tcPr>
            <w:tcW w:w="1151" w:type="dxa"/>
            <w:shd w:val="clear" w:color="000000" w:fill="FFFFFF"/>
            <w:noWrap/>
            <w:vAlign w:val="bottom"/>
            <w:hideMark/>
          </w:tcPr>
          <w:p w14:paraId="6B6F853D" w14:textId="520D2BD2" w:rsidR="000E282A" w:rsidRPr="00D549EE" w:rsidRDefault="000E282A" w:rsidP="00C9582F">
            <w:pPr>
              <w:jc w:val="right"/>
              <w:rPr>
                <w:color w:val="000000" w:themeColor="text1"/>
              </w:rPr>
            </w:pPr>
            <w:r w:rsidRPr="00D549EE">
              <w:rPr>
                <w:color w:val="000000" w:themeColor="text1"/>
              </w:rPr>
              <w:t>4</w:t>
            </w:r>
            <w:r w:rsidRPr="00D549EE">
              <w:rPr>
                <w:color w:val="000000" w:themeColor="text1"/>
                <w:lang w:val="en-US"/>
              </w:rPr>
              <w:t>.</w:t>
            </w:r>
            <w:r w:rsidRPr="00D549EE">
              <w:rPr>
                <w:color w:val="000000" w:themeColor="text1"/>
              </w:rPr>
              <w:t>71</w:t>
            </w:r>
          </w:p>
        </w:tc>
      </w:tr>
      <w:tr w:rsidR="000E282A" w:rsidRPr="00D549EE" w14:paraId="11A5C6D4" w14:textId="77777777" w:rsidTr="00FD58F1">
        <w:trPr>
          <w:trHeight w:val="320"/>
        </w:trPr>
        <w:tc>
          <w:tcPr>
            <w:tcW w:w="2414" w:type="dxa"/>
            <w:shd w:val="clear" w:color="000000" w:fill="FFFFFF"/>
            <w:vAlign w:val="bottom"/>
            <w:hideMark/>
          </w:tcPr>
          <w:p w14:paraId="6F0358FA" w14:textId="77777777" w:rsidR="000E282A" w:rsidRPr="00D549EE" w:rsidRDefault="000E282A" w:rsidP="00C9582F">
            <w:pPr>
              <w:rPr>
                <w:bCs/>
                <w:color w:val="000000" w:themeColor="text1"/>
              </w:rPr>
            </w:pPr>
            <w:r w:rsidRPr="00D549EE">
              <w:rPr>
                <w:bCs/>
                <w:color w:val="000000" w:themeColor="text1"/>
              </w:rPr>
              <w:t xml:space="preserve">Scale of priorities </w:t>
            </w:r>
          </w:p>
        </w:tc>
        <w:tc>
          <w:tcPr>
            <w:tcW w:w="847" w:type="dxa"/>
            <w:shd w:val="clear" w:color="000000" w:fill="FFFFFF"/>
            <w:noWrap/>
            <w:vAlign w:val="bottom"/>
            <w:hideMark/>
          </w:tcPr>
          <w:p w14:paraId="6E796B93" w14:textId="77777777" w:rsidR="000E282A" w:rsidRPr="00D549EE" w:rsidRDefault="000E282A" w:rsidP="00C9582F">
            <w:pPr>
              <w:rPr>
                <w:color w:val="000000" w:themeColor="text1"/>
              </w:rPr>
            </w:pPr>
            <w:r w:rsidRPr="00D549EE">
              <w:rPr>
                <w:color w:val="000000" w:themeColor="text1"/>
              </w:rPr>
              <w:t> </w:t>
            </w:r>
          </w:p>
        </w:tc>
        <w:tc>
          <w:tcPr>
            <w:tcW w:w="1275" w:type="dxa"/>
            <w:shd w:val="clear" w:color="000000" w:fill="FFFFFF"/>
            <w:noWrap/>
            <w:vAlign w:val="bottom"/>
            <w:hideMark/>
          </w:tcPr>
          <w:p w14:paraId="4320D0E0" w14:textId="6BAB66B8" w:rsidR="000E282A" w:rsidRPr="00D549EE" w:rsidRDefault="000E282A" w:rsidP="00C9582F">
            <w:pPr>
              <w:jc w:val="right"/>
              <w:rPr>
                <w:color w:val="000000" w:themeColor="text1"/>
                <w:lang w:val="en-US"/>
              </w:rPr>
            </w:pPr>
            <w:r w:rsidRPr="00D549EE">
              <w:rPr>
                <w:color w:val="000000" w:themeColor="text1"/>
              </w:rPr>
              <w:t>0</w:t>
            </w:r>
            <w:r w:rsidRPr="00D549EE">
              <w:rPr>
                <w:color w:val="000000" w:themeColor="text1"/>
                <w:lang w:val="en-US"/>
              </w:rPr>
              <w:t>.30</w:t>
            </w:r>
          </w:p>
        </w:tc>
        <w:tc>
          <w:tcPr>
            <w:tcW w:w="1055" w:type="dxa"/>
            <w:shd w:val="clear" w:color="000000" w:fill="FFFFFF"/>
            <w:noWrap/>
            <w:vAlign w:val="bottom"/>
            <w:hideMark/>
          </w:tcPr>
          <w:p w14:paraId="5CF9FF8F" w14:textId="0336EBA7" w:rsidR="000E282A" w:rsidRPr="00D549EE" w:rsidRDefault="000E282A" w:rsidP="00C9582F">
            <w:pPr>
              <w:jc w:val="right"/>
              <w:rPr>
                <w:color w:val="000000" w:themeColor="text1"/>
                <w:lang w:val="en-US"/>
              </w:rPr>
            </w:pPr>
            <w:r w:rsidRPr="00D549EE">
              <w:rPr>
                <w:color w:val="000000" w:themeColor="text1"/>
              </w:rPr>
              <w:t>0</w:t>
            </w:r>
            <w:r w:rsidRPr="00D549EE">
              <w:rPr>
                <w:color w:val="000000" w:themeColor="text1"/>
                <w:lang w:val="en-US"/>
              </w:rPr>
              <w:t>.10</w:t>
            </w:r>
          </w:p>
        </w:tc>
        <w:tc>
          <w:tcPr>
            <w:tcW w:w="889" w:type="dxa"/>
            <w:shd w:val="clear" w:color="000000" w:fill="FFFFFF"/>
            <w:noWrap/>
            <w:vAlign w:val="bottom"/>
            <w:hideMark/>
          </w:tcPr>
          <w:p w14:paraId="7DCDF726" w14:textId="519C41BA" w:rsidR="000E282A" w:rsidRPr="00D549EE" w:rsidRDefault="000E282A" w:rsidP="00C9582F">
            <w:pPr>
              <w:jc w:val="right"/>
              <w:rPr>
                <w:color w:val="000000" w:themeColor="text1"/>
                <w:lang w:val="en-US"/>
              </w:rPr>
            </w:pPr>
            <w:r w:rsidRPr="00D549EE">
              <w:rPr>
                <w:color w:val="000000" w:themeColor="text1"/>
              </w:rPr>
              <w:t>0</w:t>
            </w:r>
            <w:r w:rsidRPr="00D549EE">
              <w:rPr>
                <w:color w:val="000000" w:themeColor="text1"/>
                <w:lang w:val="en-US"/>
              </w:rPr>
              <w:t>.16</w:t>
            </w:r>
          </w:p>
        </w:tc>
        <w:tc>
          <w:tcPr>
            <w:tcW w:w="888" w:type="dxa"/>
            <w:shd w:val="clear" w:color="000000" w:fill="FFFFFF"/>
          </w:tcPr>
          <w:p w14:paraId="0E9D283E" w14:textId="5447F6D0" w:rsidR="000E282A" w:rsidRPr="00D549EE" w:rsidRDefault="00302D69" w:rsidP="00C9582F">
            <w:pPr>
              <w:jc w:val="right"/>
              <w:rPr>
                <w:color w:val="000000" w:themeColor="text1"/>
                <w:lang w:val="en-US"/>
              </w:rPr>
            </w:pPr>
            <w:r w:rsidRPr="00D549EE">
              <w:rPr>
                <w:color w:val="000000" w:themeColor="text1"/>
                <w:lang w:val="en-US"/>
              </w:rPr>
              <w:t>0.20</w:t>
            </w:r>
          </w:p>
        </w:tc>
        <w:tc>
          <w:tcPr>
            <w:tcW w:w="996" w:type="dxa"/>
            <w:shd w:val="clear" w:color="000000" w:fill="FFFFFF"/>
            <w:noWrap/>
            <w:vAlign w:val="bottom"/>
            <w:hideMark/>
          </w:tcPr>
          <w:p w14:paraId="54F14782" w14:textId="02E7B87C" w:rsidR="000E282A" w:rsidRPr="00D549EE" w:rsidRDefault="000E282A" w:rsidP="00C9582F">
            <w:pPr>
              <w:jc w:val="right"/>
              <w:rPr>
                <w:color w:val="000000" w:themeColor="text1"/>
              </w:rPr>
            </w:pPr>
            <w:r w:rsidRPr="00D549EE">
              <w:rPr>
                <w:color w:val="000000" w:themeColor="text1"/>
              </w:rPr>
              <w:t>0</w:t>
            </w:r>
            <w:r w:rsidRPr="00D549EE">
              <w:rPr>
                <w:color w:val="000000" w:themeColor="text1"/>
                <w:lang w:val="en-US"/>
              </w:rPr>
              <w:t>.</w:t>
            </w:r>
            <w:r w:rsidRPr="00D549EE">
              <w:rPr>
                <w:color w:val="000000" w:themeColor="text1"/>
              </w:rPr>
              <w:t>10</w:t>
            </w:r>
          </w:p>
        </w:tc>
        <w:tc>
          <w:tcPr>
            <w:tcW w:w="1151" w:type="dxa"/>
            <w:shd w:val="clear" w:color="000000" w:fill="FFFFFF"/>
            <w:noWrap/>
            <w:vAlign w:val="bottom"/>
            <w:hideMark/>
          </w:tcPr>
          <w:p w14:paraId="475132DF" w14:textId="40445EAB" w:rsidR="000E282A" w:rsidRPr="00D549EE" w:rsidRDefault="000E282A" w:rsidP="00C9582F">
            <w:pPr>
              <w:jc w:val="right"/>
              <w:rPr>
                <w:color w:val="000000" w:themeColor="text1"/>
              </w:rPr>
            </w:pPr>
            <w:r w:rsidRPr="00D549EE">
              <w:rPr>
                <w:color w:val="000000" w:themeColor="text1"/>
              </w:rPr>
              <w:t>0</w:t>
            </w:r>
            <w:r w:rsidRPr="00D549EE">
              <w:rPr>
                <w:color w:val="000000" w:themeColor="text1"/>
                <w:lang w:val="en-US"/>
              </w:rPr>
              <w:t>.</w:t>
            </w:r>
            <w:r w:rsidRPr="00D549EE">
              <w:rPr>
                <w:color w:val="000000" w:themeColor="text1"/>
              </w:rPr>
              <w:t>05</w:t>
            </w:r>
          </w:p>
        </w:tc>
      </w:tr>
      <w:tr w:rsidR="000E282A" w:rsidRPr="00D549EE" w14:paraId="291002FE" w14:textId="77777777" w:rsidTr="00FD58F1">
        <w:trPr>
          <w:trHeight w:val="83"/>
        </w:trPr>
        <w:tc>
          <w:tcPr>
            <w:tcW w:w="2414" w:type="dxa"/>
            <w:shd w:val="clear" w:color="000000" w:fill="FFFFFF"/>
            <w:noWrap/>
            <w:vAlign w:val="bottom"/>
            <w:hideMark/>
          </w:tcPr>
          <w:p w14:paraId="20B4C99F" w14:textId="77777777" w:rsidR="000E282A" w:rsidRPr="00D549EE" w:rsidRDefault="000E282A" w:rsidP="00C9582F">
            <w:pPr>
              <w:rPr>
                <w:color w:val="000000" w:themeColor="text1"/>
              </w:rPr>
            </w:pPr>
            <w:r w:rsidRPr="00D549EE">
              <w:rPr>
                <w:color w:val="000000" w:themeColor="text1"/>
              </w:rPr>
              <w:t>IFA in factors</w:t>
            </w:r>
          </w:p>
        </w:tc>
        <w:tc>
          <w:tcPr>
            <w:tcW w:w="847" w:type="dxa"/>
            <w:shd w:val="clear" w:color="000000" w:fill="FFFFFF"/>
            <w:noWrap/>
            <w:vAlign w:val="bottom"/>
            <w:hideMark/>
          </w:tcPr>
          <w:p w14:paraId="52A78ABD" w14:textId="77777777" w:rsidR="000E282A" w:rsidRPr="00D549EE" w:rsidRDefault="000E282A" w:rsidP="00C9582F">
            <w:pPr>
              <w:rPr>
                <w:color w:val="000000" w:themeColor="text1"/>
              </w:rPr>
            </w:pPr>
            <w:r w:rsidRPr="00D549EE">
              <w:rPr>
                <w:color w:val="000000" w:themeColor="text1"/>
              </w:rPr>
              <w:t> </w:t>
            </w:r>
          </w:p>
        </w:tc>
        <w:tc>
          <w:tcPr>
            <w:tcW w:w="1275" w:type="dxa"/>
            <w:shd w:val="clear" w:color="000000" w:fill="FFFFFF"/>
            <w:noWrap/>
            <w:vAlign w:val="bottom"/>
            <w:hideMark/>
          </w:tcPr>
          <w:p w14:paraId="0082546C" w14:textId="31F89E3C" w:rsidR="000E282A" w:rsidRPr="00D549EE" w:rsidRDefault="000E282A" w:rsidP="00C9582F">
            <w:pPr>
              <w:jc w:val="right"/>
              <w:rPr>
                <w:color w:val="000000" w:themeColor="text1"/>
                <w:lang w:val="en-US"/>
              </w:rPr>
            </w:pPr>
            <w:r w:rsidRPr="00D549EE">
              <w:rPr>
                <w:color w:val="000000" w:themeColor="text1"/>
              </w:rPr>
              <w:t>0</w:t>
            </w:r>
            <w:r w:rsidRPr="00D549EE">
              <w:rPr>
                <w:color w:val="000000" w:themeColor="text1"/>
                <w:lang w:val="en-US"/>
              </w:rPr>
              <w:t>.09</w:t>
            </w:r>
          </w:p>
        </w:tc>
        <w:tc>
          <w:tcPr>
            <w:tcW w:w="1055" w:type="dxa"/>
            <w:shd w:val="clear" w:color="000000" w:fill="FFFFFF"/>
            <w:noWrap/>
            <w:vAlign w:val="bottom"/>
            <w:hideMark/>
          </w:tcPr>
          <w:p w14:paraId="22ED6BF5" w14:textId="02B58743" w:rsidR="000E282A" w:rsidRPr="00D549EE" w:rsidRDefault="000E282A" w:rsidP="00C9582F">
            <w:pPr>
              <w:jc w:val="right"/>
              <w:rPr>
                <w:color w:val="000000" w:themeColor="text1"/>
                <w:lang w:val="en-US"/>
              </w:rPr>
            </w:pPr>
            <w:r w:rsidRPr="00D549EE">
              <w:rPr>
                <w:color w:val="000000" w:themeColor="text1"/>
              </w:rPr>
              <w:t>0</w:t>
            </w:r>
            <w:r w:rsidRPr="00D549EE">
              <w:rPr>
                <w:color w:val="000000" w:themeColor="text1"/>
                <w:lang w:val="en-US"/>
              </w:rPr>
              <w:t>.03</w:t>
            </w:r>
          </w:p>
        </w:tc>
        <w:tc>
          <w:tcPr>
            <w:tcW w:w="889" w:type="dxa"/>
            <w:shd w:val="clear" w:color="000000" w:fill="FFFFFF"/>
            <w:noWrap/>
            <w:vAlign w:val="bottom"/>
            <w:hideMark/>
          </w:tcPr>
          <w:p w14:paraId="09535CBE" w14:textId="33A388CD" w:rsidR="000E282A" w:rsidRPr="00D549EE" w:rsidRDefault="000E282A" w:rsidP="00C9582F">
            <w:pPr>
              <w:jc w:val="right"/>
              <w:rPr>
                <w:color w:val="000000" w:themeColor="text1"/>
                <w:lang w:val="en-US"/>
              </w:rPr>
            </w:pPr>
            <w:r w:rsidRPr="00D549EE">
              <w:rPr>
                <w:color w:val="000000" w:themeColor="text1"/>
              </w:rPr>
              <w:t>0</w:t>
            </w:r>
            <w:r w:rsidRPr="00D549EE">
              <w:rPr>
                <w:color w:val="000000" w:themeColor="text1"/>
                <w:lang w:val="en-US"/>
              </w:rPr>
              <w:t>.06</w:t>
            </w:r>
          </w:p>
        </w:tc>
        <w:tc>
          <w:tcPr>
            <w:tcW w:w="888" w:type="dxa"/>
            <w:shd w:val="clear" w:color="000000" w:fill="FFFFFF"/>
          </w:tcPr>
          <w:p w14:paraId="1084B5D4" w14:textId="43B1883E" w:rsidR="000E282A" w:rsidRPr="00D549EE" w:rsidRDefault="00302D69" w:rsidP="00C9582F">
            <w:pPr>
              <w:jc w:val="right"/>
              <w:rPr>
                <w:color w:val="000000" w:themeColor="text1"/>
                <w:lang w:val="en-US"/>
              </w:rPr>
            </w:pPr>
            <w:r w:rsidRPr="00D549EE">
              <w:rPr>
                <w:color w:val="000000" w:themeColor="text1"/>
                <w:lang w:val="en-US"/>
              </w:rPr>
              <w:t>0.07</w:t>
            </w:r>
          </w:p>
        </w:tc>
        <w:tc>
          <w:tcPr>
            <w:tcW w:w="996" w:type="dxa"/>
            <w:shd w:val="clear" w:color="000000" w:fill="FFFFFF"/>
            <w:noWrap/>
            <w:vAlign w:val="bottom"/>
            <w:hideMark/>
          </w:tcPr>
          <w:p w14:paraId="15A79780" w14:textId="3E1D9909" w:rsidR="000E282A" w:rsidRPr="00D549EE" w:rsidRDefault="000E282A" w:rsidP="00C9582F">
            <w:pPr>
              <w:jc w:val="right"/>
              <w:rPr>
                <w:color w:val="000000" w:themeColor="text1"/>
              </w:rPr>
            </w:pPr>
            <w:r w:rsidRPr="00D549EE">
              <w:rPr>
                <w:color w:val="000000" w:themeColor="text1"/>
              </w:rPr>
              <w:t>0</w:t>
            </w:r>
            <w:r w:rsidRPr="00D549EE">
              <w:rPr>
                <w:color w:val="000000" w:themeColor="text1"/>
                <w:lang w:val="en-US"/>
              </w:rPr>
              <w:t>.</w:t>
            </w:r>
            <w:r w:rsidRPr="00D549EE">
              <w:rPr>
                <w:color w:val="000000" w:themeColor="text1"/>
              </w:rPr>
              <w:t>03</w:t>
            </w:r>
          </w:p>
        </w:tc>
        <w:tc>
          <w:tcPr>
            <w:tcW w:w="1151" w:type="dxa"/>
            <w:shd w:val="clear" w:color="000000" w:fill="FFFFFF"/>
            <w:noWrap/>
            <w:vAlign w:val="bottom"/>
            <w:hideMark/>
          </w:tcPr>
          <w:p w14:paraId="596BC54B" w14:textId="31E0AF8B" w:rsidR="000E282A" w:rsidRPr="00D549EE" w:rsidRDefault="000E282A" w:rsidP="00C9582F">
            <w:pPr>
              <w:jc w:val="right"/>
              <w:rPr>
                <w:color w:val="000000" w:themeColor="text1"/>
                <w:lang w:val="en-US"/>
              </w:rPr>
            </w:pPr>
            <w:r w:rsidRPr="00D549EE">
              <w:rPr>
                <w:color w:val="000000" w:themeColor="text1"/>
              </w:rPr>
              <w:t>0</w:t>
            </w:r>
            <w:r w:rsidRPr="00D549EE">
              <w:rPr>
                <w:color w:val="000000" w:themeColor="text1"/>
                <w:lang w:val="en-US"/>
              </w:rPr>
              <w:t>.</w:t>
            </w:r>
            <w:r w:rsidRPr="00D549EE">
              <w:rPr>
                <w:color w:val="000000" w:themeColor="text1"/>
              </w:rPr>
              <w:t>0</w:t>
            </w:r>
            <w:r w:rsidRPr="00D549EE">
              <w:rPr>
                <w:color w:val="000000" w:themeColor="text1"/>
                <w:lang w:val="en-US"/>
              </w:rPr>
              <w:t>2</w:t>
            </w:r>
          </w:p>
        </w:tc>
      </w:tr>
      <w:tr w:rsidR="00C85BF3" w:rsidRPr="00FC685D" w14:paraId="337F46E0" w14:textId="77777777" w:rsidTr="00FD58F1">
        <w:trPr>
          <w:trHeight w:val="83"/>
        </w:trPr>
        <w:tc>
          <w:tcPr>
            <w:tcW w:w="9515" w:type="dxa"/>
            <w:gridSpan w:val="8"/>
            <w:shd w:val="clear" w:color="000000" w:fill="FFFFFF"/>
            <w:noWrap/>
            <w:vAlign w:val="bottom"/>
          </w:tcPr>
          <w:p w14:paraId="5A0601C8" w14:textId="78806FA5" w:rsidR="00C85BF3" w:rsidRPr="00D549EE" w:rsidRDefault="00395EE7" w:rsidP="00C9582F">
            <w:pPr>
              <w:rPr>
                <w:color w:val="000000" w:themeColor="text1"/>
                <w:lang w:val="en-US"/>
              </w:rPr>
            </w:pPr>
            <w:r w:rsidRPr="00D549EE">
              <w:rPr>
                <w:color w:val="000000" w:themeColor="text1"/>
                <w:lang w:val="en-US"/>
              </w:rPr>
              <w:t xml:space="preserve">       </w:t>
            </w:r>
            <w:r w:rsidRPr="00D549EE">
              <w:rPr>
                <w:lang w:val="en-US"/>
              </w:rPr>
              <w:t>Note – Compiled by the author</w:t>
            </w:r>
          </w:p>
        </w:tc>
      </w:tr>
    </w:tbl>
    <w:p w14:paraId="15248311" w14:textId="77777777" w:rsidR="00E13313" w:rsidRPr="00D549EE" w:rsidRDefault="00C70E40" w:rsidP="00C9582F">
      <w:pPr>
        <w:jc w:val="both"/>
        <w:rPr>
          <w:color w:val="000000" w:themeColor="text1"/>
          <w:sz w:val="28"/>
          <w:szCs w:val="28"/>
          <w:lang w:val="en-US"/>
        </w:rPr>
      </w:pPr>
      <w:r w:rsidRPr="00D549EE">
        <w:rPr>
          <w:color w:val="000000" w:themeColor="text1"/>
          <w:sz w:val="28"/>
          <w:szCs w:val="28"/>
          <w:lang w:val="en-US"/>
        </w:rPr>
        <w:t xml:space="preserve">  </w:t>
      </w:r>
      <w:r w:rsidRPr="00D549EE">
        <w:rPr>
          <w:color w:val="000000" w:themeColor="text1"/>
          <w:sz w:val="28"/>
          <w:szCs w:val="28"/>
          <w:lang w:val="en-US"/>
        </w:rPr>
        <w:tab/>
      </w:r>
    </w:p>
    <w:p w14:paraId="76414560" w14:textId="77777777" w:rsidR="000D4BF6" w:rsidRPr="000D4BF6" w:rsidRDefault="00E13313" w:rsidP="000D4BF6">
      <w:pPr>
        <w:jc w:val="both"/>
        <w:rPr>
          <w:color w:val="000000" w:themeColor="text1"/>
          <w:sz w:val="28"/>
          <w:szCs w:val="28"/>
          <w:lang w:val="en-US"/>
        </w:rPr>
      </w:pPr>
      <w:r w:rsidRPr="00D549EE">
        <w:rPr>
          <w:color w:val="000000" w:themeColor="text1"/>
          <w:sz w:val="28"/>
          <w:szCs w:val="28"/>
          <w:lang w:val="en-US"/>
        </w:rPr>
        <w:tab/>
      </w:r>
      <w:r w:rsidR="000D4BF6" w:rsidRPr="000D4BF6">
        <w:rPr>
          <w:color w:val="000000" w:themeColor="text1"/>
          <w:sz w:val="28"/>
          <w:szCs w:val="28"/>
          <w:lang w:val="en-US"/>
        </w:rPr>
        <w:t xml:space="preserve">The obtained results illustrated the Islamic financial asset in selected social factors by priority – 31.26%, and for the considered period, the change of the social effects was insignificant compared to increasing the Islamic financial assets. This method's priorities scale can be used to assess the effects of Islamic finance in changing priorities for a particular time by using the available data of different countries and regions. </w:t>
      </w:r>
    </w:p>
    <w:p w14:paraId="410F68D7" w14:textId="77777777" w:rsidR="000D4BF6" w:rsidRPr="000D4BF6" w:rsidRDefault="000D4BF6" w:rsidP="000D4BF6">
      <w:pPr>
        <w:jc w:val="both"/>
        <w:rPr>
          <w:color w:val="000000" w:themeColor="text1"/>
          <w:sz w:val="28"/>
          <w:szCs w:val="28"/>
          <w:lang w:val="en-US"/>
        </w:rPr>
      </w:pPr>
      <w:r w:rsidRPr="000D4BF6">
        <w:rPr>
          <w:color w:val="000000" w:themeColor="text1"/>
          <w:sz w:val="28"/>
          <w:szCs w:val="28"/>
          <w:lang w:val="en-US"/>
        </w:rPr>
        <w:tab/>
        <w:t>Further assessment on the macrolevel of the potential Islamic social financial tool – zakat has been done. Furthermore, potential zakat influence on recourse shortfall for covering the poverty headcount of the country and the spending on social payments to specific groups of the population have been evaluated.</w:t>
      </w:r>
    </w:p>
    <w:p w14:paraId="0735C86A" w14:textId="43A67254" w:rsidR="000D4BF6" w:rsidRPr="000D4BF6" w:rsidRDefault="000D4BF6" w:rsidP="000D4BF6">
      <w:pPr>
        <w:jc w:val="both"/>
        <w:rPr>
          <w:color w:val="000000" w:themeColor="text1"/>
          <w:sz w:val="28"/>
          <w:szCs w:val="28"/>
          <w:lang w:val="en-US"/>
        </w:rPr>
      </w:pPr>
      <w:r w:rsidRPr="000D4BF6">
        <w:rPr>
          <w:color w:val="000000" w:themeColor="text1"/>
          <w:sz w:val="28"/>
          <w:szCs w:val="28"/>
          <w:lang w:val="en-US"/>
        </w:rPr>
        <w:tab/>
        <w:t xml:space="preserve">The difference in the form of zakat implementation in Muslim countries affects the regulation and amount of collected zakat sum. In some countries, zakat has an obligatory form and is regulated by the law and government of the country. In others, zakat is collected in not obligatory form and also regulated by legislative framework by </w:t>
      </w:r>
      <w:r w:rsidR="00833476" w:rsidRPr="00833476">
        <w:rPr>
          <w:color w:val="000000" w:themeColor="text1"/>
          <w:sz w:val="28"/>
          <w:szCs w:val="28"/>
          <w:lang w:val="en-US"/>
        </w:rPr>
        <w:t>specialized</w:t>
      </w:r>
      <w:r w:rsidRPr="000D4BF6">
        <w:rPr>
          <w:color w:val="000000" w:themeColor="text1"/>
          <w:sz w:val="28"/>
          <w:szCs w:val="28"/>
          <w:lang w:val="en-US"/>
        </w:rPr>
        <w:t xml:space="preserve"> state bodies. </w:t>
      </w:r>
    </w:p>
    <w:p w14:paraId="355648D9" w14:textId="4F9F2F1F" w:rsidR="000D4BF6" w:rsidRPr="000D4BF6" w:rsidRDefault="00833476" w:rsidP="000D4BF6">
      <w:pPr>
        <w:jc w:val="both"/>
        <w:rPr>
          <w:color w:val="000000" w:themeColor="text1"/>
          <w:sz w:val="28"/>
          <w:szCs w:val="28"/>
          <w:lang w:val="en-US"/>
        </w:rPr>
      </w:pPr>
      <w:r>
        <w:rPr>
          <w:color w:val="000000" w:themeColor="text1"/>
          <w:sz w:val="28"/>
          <w:szCs w:val="28"/>
          <w:lang w:val="en-US"/>
        </w:rPr>
        <w:tab/>
      </w:r>
      <w:r w:rsidR="000D4BF6" w:rsidRPr="000D4BF6">
        <w:rPr>
          <w:color w:val="000000" w:themeColor="text1"/>
          <w:sz w:val="28"/>
          <w:szCs w:val="28"/>
          <w:lang w:val="en-US"/>
        </w:rPr>
        <w:t xml:space="preserve">By using these empirical methods for investigating the resources gap for poverty alleviation, the authors have estimated the resources that Kazakhstan needs to cover poverty as a percentage of GDP for 2020 (formulas (2) and (3)). The country needs 1.89% of GDP, 3 209.92 million US dollars, to push up its poor at 1.90 US dollars per day which is the income for the state targeted assistance and a national poverty line. </w:t>
      </w:r>
      <w:r w:rsidR="00081A93" w:rsidRPr="00081A93">
        <w:rPr>
          <w:color w:val="000000" w:themeColor="text1"/>
          <w:sz w:val="28"/>
          <w:szCs w:val="28"/>
          <w:lang w:val="en-US"/>
        </w:rPr>
        <w:t>Moreover</w:t>
      </w:r>
      <w:r w:rsidR="000D4BF6" w:rsidRPr="000D4BF6">
        <w:rPr>
          <w:color w:val="000000" w:themeColor="text1"/>
          <w:sz w:val="28"/>
          <w:szCs w:val="28"/>
          <w:lang w:val="en-US"/>
        </w:rPr>
        <w:t xml:space="preserve"> about 5.48%, 9 307.06 million US dollars to push the relatively poor above 5.5 US dollars per day. (Authors' own estimation)</w:t>
      </w:r>
    </w:p>
    <w:p w14:paraId="4A358B77" w14:textId="77777777" w:rsidR="000D4BF6" w:rsidRPr="000D4BF6" w:rsidRDefault="000D4BF6" w:rsidP="000D4BF6">
      <w:pPr>
        <w:jc w:val="both"/>
        <w:rPr>
          <w:color w:val="000000" w:themeColor="text1"/>
          <w:sz w:val="28"/>
          <w:szCs w:val="28"/>
          <w:lang w:val="en-US"/>
        </w:rPr>
      </w:pPr>
      <w:r w:rsidRPr="000D4BF6">
        <w:rPr>
          <w:color w:val="000000" w:themeColor="text1"/>
          <w:sz w:val="28"/>
          <w:szCs w:val="28"/>
          <w:lang w:val="en-US"/>
        </w:rPr>
        <w:tab/>
        <w:t xml:space="preserve">As a member of several organizations for Islamic finance development, Kazakhstan is an object of the researchers and estimations of potential impact and prospects of Islamic finance and financial tools. Thus, the potential zakat amount has been estimated and its impact on poverty reduction in the country using private gold holdings, broad money, stock market capitalization, and inventory investments. </w:t>
      </w:r>
    </w:p>
    <w:p w14:paraId="4FF4108A" w14:textId="4915C79A" w:rsidR="00B66C1C" w:rsidRDefault="000D4BF6" w:rsidP="000D4BF6">
      <w:pPr>
        <w:jc w:val="both"/>
        <w:rPr>
          <w:color w:val="000000" w:themeColor="text1"/>
          <w:sz w:val="28"/>
          <w:szCs w:val="28"/>
          <w:lang w:val="en-US"/>
        </w:rPr>
      </w:pPr>
      <w:r w:rsidRPr="000D4BF6">
        <w:rPr>
          <w:color w:val="000000" w:themeColor="text1"/>
          <w:sz w:val="28"/>
          <w:szCs w:val="28"/>
          <w:lang w:val="en-US"/>
        </w:rPr>
        <w:tab/>
        <w:t>The following chapters study the available ways to solve the problems mentioned above and use the social benefits of the tools of Islamic finance. By using methods of calculating potential zakat for Kazakhstan [63</w:t>
      </w:r>
      <w:r w:rsidR="009E6CC5">
        <w:rPr>
          <w:color w:val="000000" w:themeColor="text1"/>
          <w:sz w:val="28"/>
          <w:szCs w:val="28"/>
          <w:lang w:val="en-US"/>
        </w:rPr>
        <w:t>, p. 33</w:t>
      </w:r>
      <w:r w:rsidRPr="000D4BF6">
        <w:rPr>
          <w:color w:val="000000" w:themeColor="text1"/>
          <w:sz w:val="28"/>
          <w:szCs w:val="28"/>
          <w:lang w:val="en-US"/>
        </w:rPr>
        <w:t>] [69</w:t>
      </w:r>
      <w:r w:rsidR="009E6CC5">
        <w:rPr>
          <w:color w:val="000000" w:themeColor="text1"/>
          <w:sz w:val="28"/>
          <w:szCs w:val="28"/>
          <w:lang w:val="en-US"/>
        </w:rPr>
        <w:t>, p.31, 32]</w:t>
      </w:r>
      <w:r w:rsidRPr="000D4BF6">
        <w:rPr>
          <w:color w:val="000000" w:themeColor="text1"/>
          <w:sz w:val="28"/>
          <w:szCs w:val="28"/>
          <w:lang w:val="en-US"/>
        </w:rPr>
        <w:t xml:space="preserve"> [55</w:t>
      </w:r>
      <w:r w:rsidR="009E6CC5">
        <w:rPr>
          <w:color w:val="000000" w:themeColor="text1"/>
          <w:sz w:val="28"/>
          <w:szCs w:val="28"/>
          <w:lang w:val="en-US"/>
        </w:rPr>
        <w:t>, p.258</w:t>
      </w:r>
      <w:r w:rsidRPr="000D4BF6">
        <w:rPr>
          <w:color w:val="000000" w:themeColor="text1"/>
          <w:sz w:val="28"/>
          <w:szCs w:val="28"/>
          <w:lang w:val="en-US"/>
        </w:rPr>
        <w:t>] [66], in this research author has used the following indicators for adjustment</w:t>
      </w:r>
      <w:r w:rsidR="00F47217">
        <w:rPr>
          <w:color w:val="000000" w:themeColor="text1"/>
          <w:sz w:val="28"/>
          <w:szCs w:val="28"/>
          <w:lang w:val="en-US"/>
        </w:rPr>
        <w:t>.</w:t>
      </w:r>
    </w:p>
    <w:p w14:paraId="07506258" w14:textId="74CBC972" w:rsidR="00DB6111" w:rsidRPr="00D549EE" w:rsidRDefault="005126D7" w:rsidP="00C9582F">
      <w:pPr>
        <w:pStyle w:val="a5"/>
        <w:contextualSpacing/>
        <w:rPr>
          <w:bCs/>
          <w:sz w:val="28"/>
          <w:szCs w:val="28"/>
          <w:lang w:val="en-US"/>
        </w:rPr>
      </w:pPr>
      <w:r w:rsidRPr="00D549EE">
        <w:rPr>
          <w:bCs/>
          <w:color w:val="000000" w:themeColor="text1"/>
          <w:sz w:val="28"/>
          <w:szCs w:val="28"/>
          <w:lang w:val="en-US"/>
        </w:rPr>
        <w:t xml:space="preserve">Table </w:t>
      </w:r>
      <w:r w:rsidR="00DC4ED1" w:rsidRPr="00D549EE">
        <w:rPr>
          <w:bCs/>
          <w:color w:val="000000" w:themeColor="text1"/>
          <w:sz w:val="28"/>
          <w:szCs w:val="28"/>
          <w:lang w:val="en-US"/>
        </w:rPr>
        <w:t>2</w:t>
      </w:r>
      <w:r w:rsidR="00197027" w:rsidRPr="00D549EE">
        <w:rPr>
          <w:bCs/>
          <w:color w:val="000000" w:themeColor="text1"/>
          <w:sz w:val="28"/>
          <w:szCs w:val="28"/>
          <w:lang w:val="en-US"/>
        </w:rPr>
        <w:t>9</w:t>
      </w:r>
      <w:r w:rsidR="00C02DAA" w:rsidRPr="00D549EE">
        <w:rPr>
          <w:bCs/>
          <w:color w:val="000000" w:themeColor="text1"/>
          <w:sz w:val="28"/>
          <w:szCs w:val="28"/>
          <w:lang w:val="en-US"/>
        </w:rPr>
        <w:t xml:space="preserve"> </w:t>
      </w:r>
      <w:r w:rsidR="00C02DAA" w:rsidRPr="00D549EE">
        <w:rPr>
          <w:sz w:val="28"/>
          <w:szCs w:val="28"/>
          <w:lang w:val="en-US"/>
        </w:rPr>
        <w:t>–</w:t>
      </w:r>
      <w:r w:rsidRPr="00D549EE">
        <w:rPr>
          <w:b/>
          <w:bCs/>
          <w:color w:val="000000" w:themeColor="text1"/>
          <w:sz w:val="28"/>
          <w:szCs w:val="28"/>
          <w:lang w:val="en-US"/>
        </w:rPr>
        <w:t xml:space="preserve"> </w:t>
      </w:r>
      <w:r w:rsidRPr="00D549EE">
        <w:rPr>
          <w:color w:val="000000" w:themeColor="text1"/>
          <w:sz w:val="28"/>
          <w:szCs w:val="28"/>
          <w:lang w:val="en-US"/>
        </w:rPr>
        <w:t>Potential Z</w:t>
      </w:r>
      <w:r w:rsidR="009C78DF" w:rsidRPr="00D549EE">
        <w:rPr>
          <w:color w:val="000000" w:themeColor="text1"/>
          <w:sz w:val="28"/>
          <w:szCs w:val="28"/>
          <w:lang w:val="en-US"/>
        </w:rPr>
        <w:t>a</w:t>
      </w:r>
      <w:r w:rsidRPr="00D549EE">
        <w:rPr>
          <w:color w:val="000000" w:themeColor="text1"/>
          <w:sz w:val="28"/>
          <w:szCs w:val="28"/>
          <w:lang w:val="en-US"/>
        </w:rPr>
        <w:t>k</w:t>
      </w:r>
      <w:r w:rsidR="009C78DF" w:rsidRPr="00D549EE">
        <w:rPr>
          <w:color w:val="000000" w:themeColor="text1"/>
          <w:sz w:val="28"/>
          <w:szCs w:val="28"/>
          <w:lang w:val="en-US"/>
        </w:rPr>
        <w:t>a</w:t>
      </w:r>
      <w:r w:rsidRPr="00D549EE">
        <w:rPr>
          <w:color w:val="000000" w:themeColor="text1"/>
          <w:sz w:val="28"/>
          <w:szCs w:val="28"/>
          <w:lang w:val="en-US"/>
        </w:rPr>
        <w:t xml:space="preserve">t collectible in Kazakhstan for Poverty </w:t>
      </w:r>
      <w:r w:rsidR="00E519C2" w:rsidRPr="00D549EE">
        <w:rPr>
          <w:color w:val="000000" w:themeColor="text1"/>
          <w:sz w:val="28"/>
          <w:szCs w:val="28"/>
          <w:lang w:val="en-US"/>
        </w:rPr>
        <w:t xml:space="preserve">reduction </w:t>
      </w:r>
    </w:p>
    <w:tbl>
      <w:tblPr>
        <w:tblStyle w:val="a9"/>
        <w:tblW w:w="0" w:type="auto"/>
        <w:tblLook w:val="04A0" w:firstRow="1" w:lastRow="0" w:firstColumn="1" w:lastColumn="0" w:noHBand="0" w:noVBand="1"/>
      </w:tblPr>
      <w:tblGrid>
        <w:gridCol w:w="1382"/>
        <w:gridCol w:w="1258"/>
        <w:gridCol w:w="1335"/>
        <w:gridCol w:w="1842"/>
        <w:gridCol w:w="1666"/>
        <w:gridCol w:w="2140"/>
      </w:tblGrid>
      <w:tr w:rsidR="005002DD" w:rsidRPr="00FC685D" w14:paraId="1171F6AD" w14:textId="77777777" w:rsidTr="005002DD">
        <w:trPr>
          <w:trHeight w:val="1217"/>
        </w:trPr>
        <w:tc>
          <w:tcPr>
            <w:tcW w:w="0" w:type="auto"/>
          </w:tcPr>
          <w:p w14:paraId="5434604B" w14:textId="77777777"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Zakat to GDP ratio potential</w:t>
            </w:r>
          </w:p>
          <w:p w14:paraId="6A67CE49" w14:textId="1D4670BE"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(ZGDP)</w:t>
            </w:r>
          </w:p>
        </w:tc>
        <w:tc>
          <w:tcPr>
            <w:tcW w:w="0" w:type="auto"/>
          </w:tcPr>
          <w:p w14:paraId="24DCB22E" w14:textId="77777777"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Poverty Gap to GDP (2$)</w:t>
            </w:r>
          </w:p>
          <w:p w14:paraId="2B61BC62" w14:textId="37931D92"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(PGI-GDP)</w:t>
            </w:r>
          </w:p>
        </w:tc>
        <w:tc>
          <w:tcPr>
            <w:tcW w:w="0" w:type="auto"/>
          </w:tcPr>
          <w:p w14:paraId="015594C6" w14:textId="77777777"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Poverty rate to GDP (1.90$)</w:t>
            </w:r>
          </w:p>
          <w:p w14:paraId="5F84CAB9" w14:textId="11B0ED97"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(PHCR-GDP)</w:t>
            </w:r>
          </w:p>
        </w:tc>
        <w:tc>
          <w:tcPr>
            <w:tcW w:w="0" w:type="auto"/>
          </w:tcPr>
          <w:p w14:paraId="41AE693B" w14:textId="77777777"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Correlation GDP growth and Zakat to GDP</w:t>
            </w:r>
          </w:p>
        </w:tc>
        <w:tc>
          <w:tcPr>
            <w:tcW w:w="0" w:type="auto"/>
          </w:tcPr>
          <w:p w14:paraId="5B07E1CF" w14:textId="77777777" w:rsidR="005002DD" w:rsidRPr="00D549EE" w:rsidRDefault="005002DD" w:rsidP="00C9582F">
            <w:pPr>
              <w:pStyle w:val="a5"/>
              <w:contextualSpacing/>
              <w:rPr>
                <w:lang w:val="en-US"/>
              </w:rPr>
            </w:pPr>
            <w:r w:rsidRPr="00D549EE">
              <w:rPr>
                <w:lang w:val="en-US"/>
              </w:rPr>
              <w:t xml:space="preserve">Potential Zakat Collectible (mln $) </w:t>
            </w:r>
          </w:p>
          <w:p w14:paraId="586EB92F" w14:textId="77777777" w:rsidR="005002DD" w:rsidRPr="00D549EE" w:rsidRDefault="005002DD" w:rsidP="00C9582F">
            <w:pPr>
              <w:pStyle w:val="a5"/>
              <w:contextualSpacing/>
              <w:rPr>
                <w:lang w:val="en-US"/>
              </w:rPr>
            </w:pPr>
          </w:p>
        </w:tc>
        <w:tc>
          <w:tcPr>
            <w:tcW w:w="0" w:type="auto"/>
          </w:tcPr>
          <w:p w14:paraId="2AC32B00" w14:textId="46773A3A" w:rsidR="005002DD" w:rsidRPr="00D549EE" w:rsidRDefault="005002DD" w:rsidP="00C9582F">
            <w:pPr>
              <w:pStyle w:val="a5"/>
              <w:contextualSpacing/>
              <w:rPr>
                <w:lang w:val="en-US"/>
              </w:rPr>
            </w:pPr>
            <w:r w:rsidRPr="00D549EE">
              <w:rPr>
                <w:lang w:val="en-US"/>
              </w:rPr>
              <w:t>People Lifted Out of Poverty from Potential Zakat Collection (2$)</w:t>
            </w:r>
          </w:p>
        </w:tc>
      </w:tr>
      <w:tr w:rsidR="005002DD" w:rsidRPr="00D549EE" w14:paraId="0411E3A2" w14:textId="77777777" w:rsidTr="005002DD">
        <w:trPr>
          <w:trHeight w:val="352"/>
        </w:trPr>
        <w:tc>
          <w:tcPr>
            <w:tcW w:w="0" w:type="auto"/>
          </w:tcPr>
          <w:p w14:paraId="59E68611" w14:textId="77777777"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2.69%</w:t>
            </w:r>
          </w:p>
        </w:tc>
        <w:tc>
          <w:tcPr>
            <w:tcW w:w="0" w:type="auto"/>
          </w:tcPr>
          <w:p w14:paraId="7BB22A7D" w14:textId="77777777" w:rsidR="005002DD" w:rsidRPr="00D549EE" w:rsidRDefault="005002DD" w:rsidP="00C9582F">
            <w:pPr>
              <w:pStyle w:val="2"/>
              <w:snapToGrid w:val="0"/>
              <w:spacing w:before="75" w:beforeAutospacing="0" w:after="375" w:afterAutospacing="0"/>
              <w:contextualSpacing/>
              <w:outlineLvl w:val="1"/>
              <w:rPr>
                <w:b w:val="0"/>
                <w:bCs w:val="0"/>
                <w:color w:val="FF0000"/>
                <w:sz w:val="24"/>
                <w:szCs w:val="24"/>
                <w:lang w:val="en-US"/>
              </w:rPr>
            </w:pPr>
            <w:r w:rsidRPr="00D549EE">
              <w:rPr>
                <w:b w:val="0"/>
                <w:bCs w:val="0"/>
                <w:color w:val="000000" w:themeColor="text1"/>
                <w:sz w:val="24"/>
                <w:szCs w:val="24"/>
                <w:lang w:val="en-US"/>
              </w:rPr>
              <w:t>0.01%</w:t>
            </w:r>
          </w:p>
        </w:tc>
        <w:tc>
          <w:tcPr>
            <w:tcW w:w="0" w:type="auto"/>
          </w:tcPr>
          <w:p w14:paraId="7D150853" w14:textId="26B9E100" w:rsidR="005002DD" w:rsidRPr="00D549EE" w:rsidRDefault="005002DD" w:rsidP="00C9582F">
            <w:pPr>
              <w:pStyle w:val="2"/>
              <w:snapToGrid w:val="0"/>
              <w:spacing w:before="75" w:beforeAutospacing="0" w:after="375" w:afterAutospacing="0"/>
              <w:contextualSpacing/>
              <w:outlineLvl w:val="1"/>
              <w:rPr>
                <w:b w:val="0"/>
                <w:bCs w:val="0"/>
                <w:color w:val="FF0000"/>
                <w:sz w:val="24"/>
                <w:szCs w:val="24"/>
                <w:lang w:val="en-US"/>
              </w:rPr>
            </w:pPr>
            <w:r w:rsidRPr="00D549EE">
              <w:rPr>
                <w:b w:val="0"/>
                <w:bCs w:val="0"/>
                <w:color w:val="000000" w:themeColor="text1"/>
                <w:sz w:val="24"/>
                <w:szCs w:val="24"/>
                <w:lang w:val="en-US"/>
              </w:rPr>
              <w:t xml:space="preserve">0.03% </w:t>
            </w:r>
          </w:p>
        </w:tc>
        <w:tc>
          <w:tcPr>
            <w:tcW w:w="0" w:type="auto"/>
          </w:tcPr>
          <w:p w14:paraId="6D0A7C52" w14:textId="38E390D4" w:rsidR="005002DD" w:rsidRPr="00D549EE" w:rsidRDefault="005002DD" w:rsidP="00C9582F">
            <w:pPr>
              <w:pStyle w:val="2"/>
              <w:snapToGrid w:val="0"/>
              <w:spacing w:before="75" w:beforeAutospacing="0" w:after="375" w:afterAutospacing="0"/>
              <w:contextualSpacing/>
              <w:outlineLvl w:val="1"/>
              <w:rPr>
                <w:b w:val="0"/>
                <w:bCs w:val="0"/>
                <w:color w:val="FF0000"/>
                <w:sz w:val="24"/>
                <w:szCs w:val="24"/>
                <w:lang w:val="en-US"/>
              </w:rPr>
            </w:pPr>
            <w:r w:rsidRPr="00D549EE">
              <w:rPr>
                <w:b w:val="0"/>
                <w:bCs w:val="0"/>
                <w:color w:val="000000" w:themeColor="text1"/>
                <w:sz w:val="24"/>
                <w:szCs w:val="24"/>
                <w:lang w:val="en-US"/>
              </w:rPr>
              <w:t>-0.42568</w:t>
            </w:r>
          </w:p>
        </w:tc>
        <w:tc>
          <w:tcPr>
            <w:tcW w:w="0" w:type="auto"/>
          </w:tcPr>
          <w:p w14:paraId="46505850" w14:textId="3409A9E8"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6 232</w:t>
            </w:r>
          </w:p>
        </w:tc>
        <w:tc>
          <w:tcPr>
            <w:tcW w:w="0" w:type="auto"/>
          </w:tcPr>
          <w:p w14:paraId="1358DF17" w14:textId="5331AEBF" w:rsidR="005002DD" w:rsidRPr="00D549EE" w:rsidRDefault="005002DD"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1777</w:t>
            </w:r>
          </w:p>
        </w:tc>
      </w:tr>
      <w:tr w:rsidR="00C02DAA" w:rsidRPr="00D549EE" w14:paraId="035B1C17" w14:textId="77777777" w:rsidTr="00C02DAA">
        <w:trPr>
          <w:trHeight w:val="417"/>
        </w:trPr>
        <w:tc>
          <w:tcPr>
            <w:tcW w:w="0" w:type="auto"/>
            <w:gridSpan w:val="6"/>
          </w:tcPr>
          <w:p w14:paraId="6D6CD603" w14:textId="073DBD3C" w:rsidR="00C02DAA" w:rsidRPr="00D549EE" w:rsidRDefault="00AA02F0" w:rsidP="00C9582F">
            <w:pPr>
              <w:pStyle w:val="a5"/>
              <w:contextualSpacing/>
              <w:rPr>
                <w:bCs/>
                <w:lang w:val="en-US"/>
              </w:rPr>
            </w:pPr>
            <w:r w:rsidRPr="00D549EE">
              <w:rPr>
                <w:lang w:val="en-US"/>
              </w:rPr>
              <w:t xml:space="preserve">      </w:t>
            </w:r>
            <w:r w:rsidR="00C02DAA" w:rsidRPr="00D549EE">
              <w:rPr>
                <w:lang w:val="en-US"/>
              </w:rPr>
              <w:t xml:space="preserve">Note – Source </w:t>
            </w:r>
            <w:r w:rsidR="00C02DAA" w:rsidRPr="00D549EE">
              <w:rPr>
                <w:bCs/>
                <w:lang w:val="en-US"/>
              </w:rPr>
              <w:fldChar w:fldCharType="begin" w:fldLock="1"/>
            </w:r>
            <w:r w:rsidR="00CC374E">
              <w:rPr>
                <w:bCs/>
                <w:lang w:val="en-US"/>
              </w:rPr>
              <w:instrText>ADDIN CSL_CITATION {"citationItems":[{"id":"ITEM-1","itemData":{"DOI":"10.37706/ijaz.v1i1.4","ISSN":"2548-2335","abstract":"This study estimates potential Zakat collectible in 17 member countries of the Organization of Islamic Cooperation (OIC). In our estimation, we found that the zakat to GDP ratio exceeds the poverty gap index to GDP (PGI-GDP) ratio in all but 3 countries, with poverty line defined at $1.25 a day. We also found that the zakat to GDP ratio exceeds the PGI-GDP ratio, except in 4 countries with poverty line defined at $2.00 a day. We also compared zakat to GDP ratio against poverty headcount ratio. According to our estimates, the Zakat to GDP ratio exceeds the poverty head count ratio to GDP (PHCR-GDP), except in 5 countries with poverty line defined at $1.25 a day. We also found that zakat to GDP ratio exceeds PHCR-GDP ratio except in 7 countries, with poverty line defined at $2.00 a day. Thus, the institution of Zakat has ample potential to contribute towards the alleviation of poverty. Lastly, we show that the aggregate resources pooled together from the potential Zakat collection in 17 OIC countries will be enough to fund resources for poverty alleviation in all 17 OIC countries combined.\r Keywords: Zakat, Fiscal Policy, Poverty, Redistribution","author":[{"dropping-particle":"","family":"Ahmed Shaikh","given":"Salman","non-dropping-particle":"","parse-names":false,"suffix":""}],"container-title":"International Journal of Zakat","id":"ITEM-1","issue":"1","issued":{"date-parts":[["2016"]]},"page":"17-35","title":"Zakat Collectible in OIC Countries for Poverty Alleviation: A Primer on Empirical Estimation","type":"article-journal","volume":"1"},"uris":["http://www.mendeley.com/documents/?uuid=575d47f5-602e-4e3f-8640-d91449137732"]}],"mendeley":{"formattedCitation":"[66]","manualFormatting":"[66, p. 29]","plainTextFormattedCitation":"[66]","previouslyFormattedCitation":"[66]"},"properties":{"noteIndex":0},"schema":"https://github.com/citation-style-language/schema/raw/master/csl-citation.json"}</w:instrText>
            </w:r>
            <w:r w:rsidR="00C02DAA" w:rsidRPr="00D549EE">
              <w:rPr>
                <w:bCs/>
                <w:lang w:val="en-US"/>
              </w:rPr>
              <w:fldChar w:fldCharType="separate"/>
            </w:r>
            <w:r w:rsidR="009147BE" w:rsidRPr="00D549EE">
              <w:rPr>
                <w:bCs/>
                <w:noProof/>
                <w:lang w:val="en-US"/>
              </w:rPr>
              <w:t>[66</w:t>
            </w:r>
            <w:r w:rsidR="009E6CC5">
              <w:rPr>
                <w:bCs/>
                <w:noProof/>
                <w:lang w:val="en-US"/>
              </w:rPr>
              <w:t>, p. 29</w:t>
            </w:r>
            <w:r w:rsidR="009147BE" w:rsidRPr="00D549EE">
              <w:rPr>
                <w:bCs/>
                <w:noProof/>
                <w:lang w:val="en-US"/>
              </w:rPr>
              <w:t>]</w:t>
            </w:r>
            <w:r w:rsidR="00C02DAA" w:rsidRPr="00D549EE">
              <w:rPr>
                <w:bCs/>
                <w:lang w:val="en-US"/>
              </w:rPr>
              <w:fldChar w:fldCharType="end"/>
            </w:r>
          </w:p>
        </w:tc>
      </w:tr>
    </w:tbl>
    <w:p w14:paraId="20B30D89" w14:textId="7992A98B" w:rsidR="00E30C4D" w:rsidRDefault="00833476" w:rsidP="00C9582F">
      <w:pPr>
        <w:pStyle w:val="a5"/>
        <w:ind w:firstLine="708"/>
        <w:contextualSpacing/>
        <w:jc w:val="both"/>
        <w:rPr>
          <w:sz w:val="28"/>
          <w:szCs w:val="28"/>
          <w:lang w:val="en-US"/>
        </w:rPr>
      </w:pPr>
      <w:r w:rsidRPr="00833476">
        <w:rPr>
          <w:sz w:val="28"/>
          <w:szCs w:val="28"/>
          <w:lang w:val="en-US"/>
        </w:rPr>
        <w:t>Potential Zakat estimation has been adjusted for finding the more real indicator in the percentage of GDP. (Section 1.3) First of all, we decided to adjust the methodology used by Shirazi and others in the estimation of potential zakat by excluding not only the non-Muslim population and poor population from the calculation amount but by adjusting the economically active population to use this indicator, that is the percent of the total population engaged in the production of goods and services, at the working-age 16-59 for women, 16-63 for men in Kazakhstan for 2020. The author's first adjustment of the GDP in US dollars has been made for 83.1%. From the economically active population correction, the potential zakat collection in GDP adjusted for the unemployed population in 2020. 4.9% of the population. Only after this estimation has been adjusted to the Muslim population since the zakat is mandatory only for Muslims, compared to the previous author's study, all populations who live below 5.5 US dollars per day (2. 265 million) were excluded from the zakat payers.</w:t>
      </w:r>
    </w:p>
    <w:p w14:paraId="0175E9F7" w14:textId="239D5C22" w:rsidR="00FC685D" w:rsidRDefault="00FC685D" w:rsidP="00C9582F">
      <w:pPr>
        <w:pStyle w:val="a5"/>
        <w:ind w:firstLine="708"/>
        <w:contextualSpacing/>
        <w:jc w:val="both"/>
        <w:rPr>
          <w:sz w:val="28"/>
          <w:szCs w:val="28"/>
          <w:lang w:val="en-US"/>
        </w:rPr>
      </w:pPr>
      <w:r w:rsidRPr="002F1202">
        <w:rPr>
          <w:sz w:val="28"/>
          <w:szCs w:val="28"/>
          <w:lang w:val="en-US"/>
        </w:rPr>
        <w:t>As can be seen from Table 30, the author's potential zakat collection estimation is 1.97% of the GDP compared to previous research Shirazi – 2.93%, Shaikh – 2.69% of the GDP.</w:t>
      </w:r>
    </w:p>
    <w:p w14:paraId="26E8FA6B" w14:textId="52DBAD37" w:rsidR="00FC685D" w:rsidRDefault="00FC685D" w:rsidP="00C9582F">
      <w:pPr>
        <w:pStyle w:val="a5"/>
        <w:ind w:firstLine="708"/>
        <w:contextualSpacing/>
        <w:jc w:val="both"/>
        <w:rPr>
          <w:sz w:val="28"/>
          <w:szCs w:val="28"/>
          <w:lang w:val="en-US"/>
        </w:rPr>
      </w:pPr>
      <w:r w:rsidRPr="002F1202">
        <w:rPr>
          <w:sz w:val="28"/>
          <w:szCs w:val="28"/>
          <w:lang w:val="en-US"/>
        </w:rPr>
        <w:t>In this regard, we tried to empirically analyze the potential zakat collection as an institution of wealth redistribution for solving the problem of poverty in Kazakhstan, using the current data and economic situation.</w:t>
      </w:r>
    </w:p>
    <w:p w14:paraId="0A7F4517" w14:textId="219A9E07" w:rsidR="00833476" w:rsidRDefault="00FC685D" w:rsidP="00C9582F">
      <w:pPr>
        <w:pStyle w:val="a5"/>
        <w:ind w:firstLine="708"/>
        <w:contextualSpacing/>
        <w:jc w:val="both"/>
        <w:rPr>
          <w:sz w:val="28"/>
          <w:szCs w:val="28"/>
          <w:lang w:val="en-US"/>
        </w:rPr>
      </w:pPr>
      <w:r w:rsidRPr="002F1202">
        <w:rPr>
          <w:sz w:val="28"/>
          <w:szCs w:val="28"/>
          <w:lang w:val="en-US"/>
        </w:rPr>
        <w:t>We decided to consider two scenarios, one of which is based on income at the National poverty line (i), and the second based on the international poverty line of the World Bank for Kazakhstan, which is 5.5 US dollars per day, as a lower-middle-income country, that is 165 US dollars (68 137 tenge) per a month, 2007.5 US dollars for 365 days in a year (ii).</w:t>
      </w:r>
    </w:p>
    <w:p w14:paraId="43AD371A" w14:textId="77777777" w:rsidR="00FC685D" w:rsidRDefault="00FC685D" w:rsidP="00C9582F">
      <w:pPr>
        <w:pStyle w:val="a5"/>
        <w:ind w:firstLine="708"/>
        <w:contextualSpacing/>
        <w:jc w:val="both"/>
        <w:rPr>
          <w:sz w:val="28"/>
          <w:szCs w:val="28"/>
          <w:lang w:val="en-US"/>
        </w:rPr>
      </w:pPr>
    </w:p>
    <w:p w14:paraId="6727C200" w14:textId="77777777" w:rsidR="00FC685D" w:rsidRPr="00D549EE" w:rsidRDefault="00FC685D" w:rsidP="00C9582F">
      <w:pPr>
        <w:pStyle w:val="a5"/>
        <w:ind w:firstLine="708"/>
        <w:contextualSpacing/>
        <w:jc w:val="both"/>
        <w:rPr>
          <w:sz w:val="28"/>
          <w:szCs w:val="28"/>
          <w:lang w:val="en-US"/>
        </w:rPr>
      </w:pPr>
    </w:p>
    <w:p w14:paraId="247A234D" w14:textId="34912CAF" w:rsidR="00765110" w:rsidRPr="00D549EE" w:rsidRDefault="00765110" w:rsidP="00C9582F">
      <w:pPr>
        <w:pStyle w:val="a5"/>
        <w:contextualSpacing/>
        <w:rPr>
          <w:bCs/>
          <w:sz w:val="28"/>
          <w:szCs w:val="28"/>
          <w:lang w:val="en-US"/>
        </w:rPr>
      </w:pPr>
      <w:r w:rsidRPr="00D549EE">
        <w:rPr>
          <w:bCs/>
          <w:color w:val="000000" w:themeColor="text1"/>
          <w:sz w:val="28"/>
          <w:szCs w:val="28"/>
          <w:lang w:val="en-US"/>
        </w:rPr>
        <w:t xml:space="preserve">Table </w:t>
      </w:r>
      <w:r w:rsidR="007D7F4F" w:rsidRPr="00D549EE">
        <w:rPr>
          <w:bCs/>
          <w:color w:val="000000" w:themeColor="text1"/>
          <w:sz w:val="28"/>
          <w:szCs w:val="28"/>
          <w:lang w:val="en-US"/>
        </w:rPr>
        <w:t>30</w:t>
      </w:r>
      <w:r w:rsidR="00D419AB" w:rsidRPr="00D549EE">
        <w:rPr>
          <w:bCs/>
          <w:color w:val="000000" w:themeColor="text1"/>
          <w:sz w:val="28"/>
          <w:szCs w:val="28"/>
          <w:lang w:val="en-US"/>
        </w:rPr>
        <w:t xml:space="preserve"> </w:t>
      </w:r>
      <w:r w:rsidR="00D419AB" w:rsidRPr="00D549EE">
        <w:rPr>
          <w:sz w:val="28"/>
          <w:szCs w:val="28"/>
          <w:lang w:val="en-US"/>
        </w:rPr>
        <w:t>–</w:t>
      </w:r>
      <w:r w:rsidRPr="00D549EE">
        <w:rPr>
          <w:color w:val="000000" w:themeColor="text1"/>
          <w:sz w:val="28"/>
          <w:szCs w:val="28"/>
          <w:lang w:val="en-US"/>
        </w:rPr>
        <w:t xml:space="preserve"> Potential Zakat collectible in Kazakhstan</w:t>
      </w:r>
      <w:r w:rsidR="00BF11A5" w:rsidRPr="00D549EE">
        <w:rPr>
          <w:color w:val="000000" w:themeColor="text1"/>
          <w:sz w:val="28"/>
          <w:szCs w:val="28"/>
          <w:lang w:val="en-US"/>
        </w:rPr>
        <w:t>, 2020</w:t>
      </w:r>
    </w:p>
    <w:p w14:paraId="1017F8E6" w14:textId="13D638D2" w:rsidR="004823E7" w:rsidRPr="00D549EE" w:rsidRDefault="004823E7" w:rsidP="00C9582F">
      <w:pPr>
        <w:pStyle w:val="a5"/>
        <w:ind w:firstLine="708"/>
        <w:contextualSpacing/>
        <w:jc w:val="both"/>
        <w:rPr>
          <w:sz w:val="28"/>
          <w:szCs w:val="28"/>
          <w:lang w:val="en-US"/>
        </w:rPr>
      </w:pPr>
    </w:p>
    <w:tbl>
      <w:tblPr>
        <w:tblStyle w:val="a9"/>
        <w:tblW w:w="0" w:type="auto"/>
        <w:tblLook w:val="04A0" w:firstRow="1" w:lastRow="0" w:firstColumn="1" w:lastColumn="0" w:noHBand="0" w:noVBand="1"/>
      </w:tblPr>
      <w:tblGrid>
        <w:gridCol w:w="562"/>
        <w:gridCol w:w="4962"/>
        <w:gridCol w:w="4098"/>
      </w:tblGrid>
      <w:tr w:rsidR="004823E7" w:rsidRPr="00D549EE" w14:paraId="0060DB00" w14:textId="77777777" w:rsidTr="003F5B3E">
        <w:tc>
          <w:tcPr>
            <w:tcW w:w="562" w:type="dxa"/>
          </w:tcPr>
          <w:p w14:paraId="62EE4053" w14:textId="5D521E13" w:rsidR="004823E7" w:rsidRPr="00D549EE" w:rsidRDefault="004823E7" w:rsidP="00C9582F">
            <w:pPr>
              <w:pStyle w:val="a5"/>
              <w:contextualSpacing/>
              <w:rPr>
                <w:lang w:val="en-US"/>
              </w:rPr>
            </w:pPr>
            <w:r w:rsidRPr="00D549EE">
              <w:rPr>
                <w:lang w:val="en-US"/>
              </w:rPr>
              <w:t>1</w:t>
            </w:r>
          </w:p>
        </w:tc>
        <w:tc>
          <w:tcPr>
            <w:tcW w:w="4962" w:type="dxa"/>
          </w:tcPr>
          <w:p w14:paraId="69268FAF" w14:textId="519853B1" w:rsidR="004823E7" w:rsidRPr="00D549EE" w:rsidRDefault="004823E7" w:rsidP="00C9582F">
            <w:pPr>
              <w:pStyle w:val="a5"/>
              <w:contextualSpacing/>
              <w:rPr>
                <w:lang w:val="en-US"/>
              </w:rPr>
            </w:pPr>
            <w:r w:rsidRPr="00D549EE">
              <w:rPr>
                <w:lang w:val="en-US"/>
              </w:rPr>
              <w:t>Year</w:t>
            </w:r>
          </w:p>
        </w:tc>
        <w:tc>
          <w:tcPr>
            <w:tcW w:w="4098" w:type="dxa"/>
          </w:tcPr>
          <w:p w14:paraId="07631D1F" w14:textId="5D8547CB" w:rsidR="004823E7" w:rsidRPr="00D549EE" w:rsidRDefault="004823E7" w:rsidP="00C9582F">
            <w:pPr>
              <w:pStyle w:val="a5"/>
              <w:contextualSpacing/>
              <w:rPr>
                <w:lang w:val="en-US"/>
              </w:rPr>
            </w:pPr>
            <w:r w:rsidRPr="00D549EE">
              <w:rPr>
                <w:lang w:val="en-US"/>
              </w:rPr>
              <w:t>2020</w:t>
            </w:r>
          </w:p>
        </w:tc>
      </w:tr>
      <w:tr w:rsidR="004823E7" w:rsidRPr="00D549EE" w14:paraId="65FBD4F5" w14:textId="77777777" w:rsidTr="003F5B3E">
        <w:tc>
          <w:tcPr>
            <w:tcW w:w="562" w:type="dxa"/>
          </w:tcPr>
          <w:p w14:paraId="1EBE2CF9" w14:textId="3258B823" w:rsidR="004823E7" w:rsidRPr="00D549EE" w:rsidRDefault="004823E7" w:rsidP="00C9582F">
            <w:pPr>
              <w:pStyle w:val="a5"/>
              <w:contextualSpacing/>
              <w:rPr>
                <w:lang w:val="en-US"/>
              </w:rPr>
            </w:pPr>
            <w:r w:rsidRPr="00D549EE">
              <w:rPr>
                <w:lang w:val="en-US"/>
              </w:rPr>
              <w:t>2</w:t>
            </w:r>
          </w:p>
        </w:tc>
        <w:tc>
          <w:tcPr>
            <w:tcW w:w="4962" w:type="dxa"/>
          </w:tcPr>
          <w:p w14:paraId="00D0191D" w14:textId="378AED43" w:rsidR="004823E7" w:rsidRPr="00D549EE" w:rsidRDefault="004823E7" w:rsidP="00C9582F">
            <w:pPr>
              <w:pStyle w:val="a5"/>
              <w:contextualSpacing/>
              <w:rPr>
                <w:lang w:val="en-US"/>
              </w:rPr>
            </w:pPr>
            <w:r w:rsidRPr="00D549EE">
              <w:rPr>
                <w:lang w:val="en-US"/>
              </w:rPr>
              <w:t xml:space="preserve">GDP in </w:t>
            </w:r>
            <w:r w:rsidR="003F5B3E" w:rsidRPr="00D549EE">
              <w:rPr>
                <w:lang w:val="en-US"/>
              </w:rPr>
              <w:t xml:space="preserve">million </w:t>
            </w:r>
            <w:r w:rsidRPr="00D549EE">
              <w:rPr>
                <w:lang w:val="en-US"/>
              </w:rPr>
              <w:t>USD</w:t>
            </w:r>
          </w:p>
        </w:tc>
        <w:tc>
          <w:tcPr>
            <w:tcW w:w="4098" w:type="dxa"/>
          </w:tcPr>
          <w:p w14:paraId="4A60286E" w14:textId="692DF0EC" w:rsidR="004823E7" w:rsidRPr="00D549EE" w:rsidRDefault="003F5B3E" w:rsidP="00C9582F">
            <w:pPr>
              <w:pStyle w:val="a5"/>
              <w:contextualSpacing/>
              <w:rPr>
                <w:lang w:val="en-US"/>
              </w:rPr>
            </w:pPr>
            <w:r w:rsidRPr="00D549EE">
              <w:rPr>
                <w:lang w:val="en-US"/>
              </w:rPr>
              <w:t>169 836</w:t>
            </w:r>
          </w:p>
        </w:tc>
      </w:tr>
      <w:tr w:rsidR="004823E7" w:rsidRPr="00D549EE" w14:paraId="7BCA878A" w14:textId="77777777" w:rsidTr="003F5B3E">
        <w:tc>
          <w:tcPr>
            <w:tcW w:w="562" w:type="dxa"/>
          </w:tcPr>
          <w:p w14:paraId="0925ADDF" w14:textId="109CEC83" w:rsidR="004823E7" w:rsidRPr="00D549EE" w:rsidRDefault="004823E7" w:rsidP="00C9582F">
            <w:pPr>
              <w:pStyle w:val="a5"/>
              <w:contextualSpacing/>
              <w:rPr>
                <w:lang w:val="en-US"/>
              </w:rPr>
            </w:pPr>
            <w:r w:rsidRPr="00D549EE">
              <w:rPr>
                <w:lang w:val="en-US"/>
              </w:rPr>
              <w:t>3</w:t>
            </w:r>
          </w:p>
        </w:tc>
        <w:tc>
          <w:tcPr>
            <w:tcW w:w="4962" w:type="dxa"/>
          </w:tcPr>
          <w:p w14:paraId="3CC797DE" w14:textId="17CA82CF" w:rsidR="003F5B3E" w:rsidRPr="00D549EE" w:rsidRDefault="004823E7" w:rsidP="00C9582F">
            <w:pPr>
              <w:pStyle w:val="a5"/>
              <w:contextualSpacing/>
              <w:rPr>
                <w:lang w:val="en-US"/>
              </w:rPr>
            </w:pPr>
            <w:r w:rsidRPr="00D549EE">
              <w:rPr>
                <w:lang w:val="en-US"/>
              </w:rPr>
              <w:t xml:space="preserve">Adjusted GDP in </w:t>
            </w:r>
            <w:r w:rsidR="003F5B3E" w:rsidRPr="00D549EE">
              <w:rPr>
                <w:lang w:val="en-US"/>
              </w:rPr>
              <w:t>mil</w:t>
            </w:r>
            <w:r w:rsidRPr="00D549EE">
              <w:rPr>
                <w:lang w:val="en-US"/>
              </w:rPr>
              <w:t>l</w:t>
            </w:r>
            <w:r w:rsidR="003F5B3E" w:rsidRPr="00D549EE">
              <w:rPr>
                <w:lang w:val="en-US"/>
              </w:rPr>
              <w:t>io</w:t>
            </w:r>
            <w:r w:rsidRPr="00D549EE">
              <w:rPr>
                <w:lang w:val="en-US"/>
              </w:rPr>
              <w:t xml:space="preserve">n USD </w:t>
            </w:r>
          </w:p>
          <w:p w14:paraId="058C08F3" w14:textId="57D2605C" w:rsidR="004823E7" w:rsidRPr="00D549EE" w:rsidRDefault="004823E7" w:rsidP="00C9582F">
            <w:pPr>
              <w:pStyle w:val="a5"/>
              <w:contextualSpacing/>
              <w:rPr>
                <w:lang w:val="en-US"/>
              </w:rPr>
            </w:pPr>
            <w:r w:rsidRPr="00D549EE">
              <w:rPr>
                <w:lang w:val="en-US"/>
              </w:rPr>
              <w:t>(economically active population)</w:t>
            </w:r>
          </w:p>
        </w:tc>
        <w:tc>
          <w:tcPr>
            <w:tcW w:w="4098" w:type="dxa"/>
          </w:tcPr>
          <w:p w14:paraId="684009F2" w14:textId="618A7C09" w:rsidR="004823E7" w:rsidRPr="00D549EE" w:rsidRDefault="003F5B3E" w:rsidP="00C9582F">
            <w:pPr>
              <w:pStyle w:val="a5"/>
              <w:contextualSpacing/>
              <w:rPr>
                <w:lang w:val="en-US"/>
              </w:rPr>
            </w:pPr>
            <w:r w:rsidRPr="00D549EE">
              <w:rPr>
                <w:lang w:val="en-US"/>
              </w:rPr>
              <w:t>141 134</w:t>
            </w:r>
          </w:p>
        </w:tc>
      </w:tr>
      <w:tr w:rsidR="004823E7" w:rsidRPr="00D549EE" w14:paraId="13AE1156" w14:textId="77777777" w:rsidTr="003F5B3E">
        <w:tc>
          <w:tcPr>
            <w:tcW w:w="562" w:type="dxa"/>
          </w:tcPr>
          <w:p w14:paraId="23BEB84A" w14:textId="6F2A103D" w:rsidR="004823E7" w:rsidRPr="00D549EE" w:rsidRDefault="004823E7" w:rsidP="00C9582F">
            <w:pPr>
              <w:pStyle w:val="a5"/>
              <w:contextualSpacing/>
              <w:rPr>
                <w:lang w:val="en-US"/>
              </w:rPr>
            </w:pPr>
            <w:r w:rsidRPr="00D549EE">
              <w:rPr>
                <w:lang w:val="en-US"/>
              </w:rPr>
              <w:t>4</w:t>
            </w:r>
          </w:p>
        </w:tc>
        <w:tc>
          <w:tcPr>
            <w:tcW w:w="4962" w:type="dxa"/>
          </w:tcPr>
          <w:p w14:paraId="0C9EF7A8" w14:textId="1C0FDD87" w:rsidR="003F5B3E" w:rsidRPr="00D549EE" w:rsidRDefault="003F5B3E" w:rsidP="00C9582F">
            <w:pPr>
              <w:pStyle w:val="a5"/>
              <w:contextualSpacing/>
              <w:rPr>
                <w:color w:val="000000" w:themeColor="text1"/>
                <w:lang w:val="en-US"/>
              </w:rPr>
            </w:pPr>
            <w:r w:rsidRPr="00D549EE">
              <w:rPr>
                <w:color w:val="000000" w:themeColor="text1"/>
                <w:lang w:val="en-US"/>
              </w:rPr>
              <w:t>Adjusted GDP in million USD</w:t>
            </w:r>
          </w:p>
          <w:p w14:paraId="66B0ABCC" w14:textId="3915CF51" w:rsidR="004823E7" w:rsidRPr="00D549EE" w:rsidRDefault="003F5B3E" w:rsidP="00C9582F">
            <w:pPr>
              <w:pStyle w:val="a5"/>
              <w:contextualSpacing/>
              <w:rPr>
                <w:lang w:val="en-US"/>
              </w:rPr>
            </w:pPr>
            <w:r w:rsidRPr="00D549EE">
              <w:rPr>
                <w:color w:val="000000" w:themeColor="text1"/>
                <w:lang w:val="en-US"/>
              </w:rPr>
              <w:t xml:space="preserve">(unemployed population) </w:t>
            </w:r>
          </w:p>
        </w:tc>
        <w:tc>
          <w:tcPr>
            <w:tcW w:w="4098" w:type="dxa"/>
          </w:tcPr>
          <w:p w14:paraId="22BBA4CD" w14:textId="42E528B1" w:rsidR="004823E7" w:rsidRPr="00D549EE" w:rsidRDefault="003F5B3E" w:rsidP="00C9582F">
            <w:pPr>
              <w:pStyle w:val="a5"/>
              <w:contextualSpacing/>
            </w:pPr>
            <w:r w:rsidRPr="00D549EE">
              <w:rPr>
                <w:lang w:val="en-US"/>
              </w:rPr>
              <w:t>134 219</w:t>
            </w:r>
          </w:p>
        </w:tc>
      </w:tr>
      <w:tr w:rsidR="004823E7" w:rsidRPr="00D549EE" w14:paraId="750036B0" w14:textId="77777777" w:rsidTr="003F5B3E">
        <w:tc>
          <w:tcPr>
            <w:tcW w:w="562" w:type="dxa"/>
          </w:tcPr>
          <w:p w14:paraId="17DBC0F3" w14:textId="3BBDEC45" w:rsidR="004823E7" w:rsidRPr="00D549EE" w:rsidRDefault="004823E7" w:rsidP="00C9582F">
            <w:pPr>
              <w:pStyle w:val="a5"/>
              <w:contextualSpacing/>
              <w:rPr>
                <w:lang w:val="en-US"/>
              </w:rPr>
            </w:pPr>
            <w:r w:rsidRPr="00D549EE">
              <w:rPr>
                <w:lang w:val="en-US"/>
              </w:rPr>
              <w:t>5</w:t>
            </w:r>
          </w:p>
        </w:tc>
        <w:tc>
          <w:tcPr>
            <w:tcW w:w="4962" w:type="dxa"/>
          </w:tcPr>
          <w:p w14:paraId="23F27A57" w14:textId="77777777" w:rsidR="003F5B3E" w:rsidRPr="00D549EE" w:rsidRDefault="003F5B3E" w:rsidP="00C9582F">
            <w:pPr>
              <w:pStyle w:val="a5"/>
              <w:contextualSpacing/>
              <w:rPr>
                <w:lang w:val="en-US"/>
              </w:rPr>
            </w:pPr>
            <w:r w:rsidRPr="00D549EE">
              <w:rPr>
                <w:lang w:val="en-US"/>
              </w:rPr>
              <w:t xml:space="preserve">Adjusted GDP in million USD </w:t>
            </w:r>
          </w:p>
          <w:p w14:paraId="6485E04C" w14:textId="287ECFB1" w:rsidR="004823E7" w:rsidRPr="00D549EE" w:rsidRDefault="003F5B3E" w:rsidP="00C9582F">
            <w:pPr>
              <w:pStyle w:val="a5"/>
              <w:contextualSpacing/>
              <w:rPr>
                <w:lang w:val="en-US"/>
              </w:rPr>
            </w:pPr>
            <w:r w:rsidRPr="00D549EE">
              <w:rPr>
                <w:lang w:val="en-US"/>
              </w:rPr>
              <w:t>(70% Muslim population)</w:t>
            </w:r>
          </w:p>
        </w:tc>
        <w:tc>
          <w:tcPr>
            <w:tcW w:w="4098" w:type="dxa"/>
          </w:tcPr>
          <w:p w14:paraId="7EFAC262" w14:textId="45D45C56" w:rsidR="004823E7" w:rsidRPr="00D549EE" w:rsidRDefault="003F5B3E" w:rsidP="00C9582F">
            <w:pPr>
              <w:pStyle w:val="a5"/>
              <w:contextualSpacing/>
              <w:rPr>
                <w:lang w:val="en-US"/>
              </w:rPr>
            </w:pPr>
            <w:r w:rsidRPr="00D549EE">
              <w:rPr>
                <w:lang w:val="en-US"/>
              </w:rPr>
              <w:t>98 794</w:t>
            </w:r>
          </w:p>
        </w:tc>
      </w:tr>
      <w:tr w:rsidR="004823E7" w:rsidRPr="00D549EE" w14:paraId="0CABBF71" w14:textId="77777777" w:rsidTr="003F5B3E">
        <w:tc>
          <w:tcPr>
            <w:tcW w:w="562" w:type="dxa"/>
          </w:tcPr>
          <w:p w14:paraId="243EFF57" w14:textId="001DF381" w:rsidR="004823E7" w:rsidRPr="00D549EE" w:rsidRDefault="004823E7" w:rsidP="00C9582F">
            <w:pPr>
              <w:pStyle w:val="a5"/>
              <w:contextualSpacing/>
              <w:rPr>
                <w:lang w:val="en-US"/>
              </w:rPr>
            </w:pPr>
            <w:r w:rsidRPr="00D549EE">
              <w:rPr>
                <w:lang w:val="en-US"/>
              </w:rPr>
              <w:t>6</w:t>
            </w:r>
          </w:p>
        </w:tc>
        <w:tc>
          <w:tcPr>
            <w:tcW w:w="4962" w:type="dxa"/>
          </w:tcPr>
          <w:p w14:paraId="03888C66" w14:textId="77777777" w:rsidR="003F5B3E" w:rsidRPr="00D549EE" w:rsidRDefault="003F5B3E" w:rsidP="00C9582F">
            <w:pPr>
              <w:pStyle w:val="a5"/>
              <w:contextualSpacing/>
              <w:rPr>
                <w:lang w:val="en-US"/>
              </w:rPr>
            </w:pPr>
            <w:r w:rsidRPr="00D549EE">
              <w:rPr>
                <w:lang w:val="en-US"/>
              </w:rPr>
              <w:t>Adjusted GDP in million USD for poverty line</w:t>
            </w:r>
          </w:p>
          <w:p w14:paraId="1FD67AC2" w14:textId="03DAFF80" w:rsidR="004823E7" w:rsidRPr="00D549EE" w:rsidRDefault="003F5B3E" w:rsidP="00C9582F">
            <w:pPr>
              <w:pStyle w:val="a5"/>
              <w:contextualSpacing/>
              <w:rPr>
                <w:lang w:val="en-US"/>
              </w:rPr>
            </w:pPr>
            <w:r w:rsidRPr="00D549EE">
              <w:rPr>
                <w:lang w:val="en-US"/>
              </w:rPr>
              <w:t xml:space="preserve"> (5.5 $ per a day)</w:t>
            </w:r>
          </w:p>
        </w:tc>
        <w:tc>
          <w:tcPr>
            <w:tcW w:w="4098" w:type="dxa"/>
          </w:tcPr>
          <w:p w14:paraId="02302944" w14:textId="2C9EA352" w:rsidR="004823E7" w:rsidRPr="00D549EE" w:rsidRDefault="003F5B3E" w:rsidP="00C9582F">
            <w:pPr>
              <w:pStyle w:val="a5"/>
              <w:contextualSpacing/>
              <w:rPr>
                <w:lang w:val="en-US"/>
              </w:rPr>
            </w:pPr>
            <w:r w:rsidRPr="00D549EE">
              <w:rPr>
                <w:lang w:val="en-US"/>
              </w:rPr>
              <w:t>86 939</w:t>
            </w:r>
          </w:p>
        </w:tc>
      </w:tr>
      <w:tr w:rsidR="004823E7" w:rsidRPr="00D549EE" w14:paraId="76403C76" w14:textId="77777777" w:rsidTr="003F5B3E">
        <w:tc>
          <w:tcPr>
            <w:tcW w:w="562" w:type="dxa"/>
          </w:tcPr>
          <w:p w14:paraId="33DC0C33" w14:textId="6966E2F6" w:rsidR="004823E7" w:rsidRPr="00D549EE" w:rsidRDefault="003F5B3E" w:rsidP="00C9582F">
            <w:pPr>
              <w:pStyle w:val="a5"/>
              <w:contextualSpacing/>
              <w:rPr>
                <w:lang w:val="en-US"/>
              </w:rPr>
            </w:pPr>
            <w:r w:rsidRPr="00D549EE">
              <w:rPr>
                <w:lang w:val="en-US"/>
              </w:rPr>
              <w:t>7</w:t>
            </w:r>
          </w:p>
        </w:tc>
        <w:tc>
          <w:tcPr>
            <w:tcW w:w="4962" w:type="dxa"/>
          </w:tcPr>
          <w:p w14:paraId="1BCCC933" w14:textId="75DBBBCA" w:rsidR="004823E7" w:rsidRPr="00D549EE" w:rsidRDefault="003F5B3E" w:rsidP="00C9582F">
            <w:pPr>
              <w:pStyle w:val="a5"/>
              <w:contextualSpacing/>
              <w:rPr>
                <w:lang w:val="en-US"/>
              </w:rPr>
            </w:pPr>
            <w:r w:rsidRPr="00D549EE">
              <w:rPr>
                <w:lang w:val="en-US"/>
              </w:rPr>
              <w:t>Z1 million USD</w:t>
            </w:r>
          </w:p>
        </w:tc>
        <w:tc>
          <w:tcPr>
            <w:tcW w:w="4098" w:type="dxa"/>
          </w:tcPr>
          <w:p w14:paraId="1A4F7B77" w14:textId="5842CFF4" w:rsidR="004823E7" w:rsidRPr="00D549EE" w:rsidRDefault="003F5B3E" w:rsidP="00C9582F">
            <w:pPr>
              <w:pStyle w:val="a5"/>
              <w:contextualSpacing/>
              <w:rPr>
                <w:lang w:val="en-US"/>
              </w:rPr>
            </w:pPr>
            <w:r w:rsidRPr="00D549EE">
              <w:rPr>
                <w:lang w:val="en-US"/>
              </w:rPr>
              <w:t>1 564</w:t>
            </w:r>
          </w:p>
        </w:tc>
      </w:tr>
      <w:tr w:rsidR="004823E7" w:rsidRPr="00D549EE" w14:paraId="26543D59" w14:textId="77777777" w:rsidTr="003F5B3E">
        <w:tc>
          <w:tcPr>
            <w:tcW w:w="562" w:type="dxa"/>
          </w:tcPr>
          <w:p w14:paraId="195C7437" w14:textId="2B1DE643" w:rsidR="004823E7" w:rsidRPr="00D549EE" w:rsidRDefault="003F5B3E" w:rsidP="00C9582F">
            <w:pPr>
              <w:pStyle w:val="a5"/>
              <w:contextualSpacing/>
              <w:rPr>
                <w:lang w:val="en-US"/>
              </w:rPr>
            </w:pPr>
            <w:r w:rsidRPr="00D549EE">
              <w:rPr>
                <w:lang w:val="en-US"/>
              </w:rPr>
              <w:t>8</w:t>
            </w:r>
          </w:p>
        </w:tc>
        <w:tc>
          <w:tcPr>
            <w:tcW w:w="4962" w:type="dxa"/>
          </w:tcPr>
          <w:p w14:paraId="0AE32F16" w14:textId="3BB14F45" w:rsidR="004823E7" w:rsidRPr="00D549EE" w:rsidRDefault="003F5B3E" w:rsidP="00C9582F">
            <w:pPr>
              <w:pStyle w:val="a5"/>
              <w:contextualSpacing/>
              <w:rPr>
                <w:lang w:val="en-US"/>
              </w:rPr>
            </w:pPr>
            <w:r w:rsidRPr="00D549EE">
              <w:rPr>
                <w:lang w:val="en-US"/>
              </w:rPr>
              <w:t>Z2 million USD</w:t>
            </w:r>
          </w:p>
        </w:tc>
        <w:tc>
          <w:tcPr>
            <w:tcW w:w="4098" w:type="dxa"/>
          </w:tcPr>
          <w:p w14:paraId="48920EF2" w14:textId="4A5AE0C6" w:rsidR="004823E7" w:rsidRPr="00D549EE" w:rsidRDefault="003F5B3E" w:rsidP="00C9582F">
            <w:pPr>
              <w:pStyle w:val="a5"/>
              <w:contextualSpacing/>
              <w:rPr>
                <w:lang w:val="en-US"/>
              </w:rPr>
            </w:pPr>
            <w:r w:rsidRPr="00D549EE">
              <w:rPr>
                <w:lang w:val="en-US"/>
              </w:rPr>
              <w:t>3 347</w:t>
            </w:r>
          </w:p>
        </w:tc>
      </w:tr>
      <w:tr w:rsidR="004823E7" w:rsidRPr="00D549EE" w14:paraId="0CF0E580" w14:textId="77777777" w:rsidTr="003F5B3E">
        <w:tc>
          <w:tcPr>
            <w:tcW w:w="562" w:type="dxa"/>
          </w:tcPr>
          <w:p w14:paraId="08C2343C" w14:textId="35176B96" w:rsidR="004823E7" w:rsidRPr="00D549EE" w:rsidRDefault="003F5B3E" w:rsidP="00C9582F">
            <w:pPr>
              <w:pStyle w:val="a5"/>
              <w:contextualSpacing/>
              <w:rPr>
                <w:lang w:val="en-US"/>
              </w:rPr>
            </w:pPr>
            <w:r w:rsidRPr="00D549EE">
              <w:rPr>
                <w:lang w:val="en-US"/>
              </w:rPr>
              <w:t>9</w:t>
            </w:r>
          </w:p>
        </w:tc>
        <w:tc>
          <w:tcPr>
            <w:tcW w:w="4962" w:type="dxa"/>
          </w:tcPr>
          <w:p w14:paraId="1D5A9E6B" w14:textId="78AC2EBF" w:rsidR="004823E7" w:rsidRPr="00D549EE" w:rsidRDefault="003F5B3E" w:rsidP="00C9582F">
            <w:pPr>
              <w:pStyle w:val="a5"/>
              <w:contextualSpacing/>
              <w:rPr>
                <w:lang w:val="en-US"/>
              </w:rPr>
            </w:pPr>
            <w:r w:rsidRPr="00D549EE">
              <w:rPr>
                <w:lang w:val="en-US"/>
              </w:rPr>
              <w:t>Z3 million USD</w:t>
            </w:r>
          </w:p>
        </w:tc>
        <w:tc>
          <w:tcPr>
            <w:tcW w:w="4098" w:type="dxa"/>
          </w:tcPr>
          <w:p w14:paraId="387C2053" w14:textId="15374D13" w:rsidR="004823E7" w:rsidRPr="00D549EE" w:rsidRDefault="003F5B3E" w:rsidP="00C9582F">
            <w:pPr>
              <w:pStyle w:val="a5"/>
              <w:contextualSpacing/>
              <w:rPr>
                <w:lang w:val="en-US"/>
              </w:rPr>
            </w:pPr>
            <w:r w:rsidRPr="00D549EE">
              <w:rPr>
                <w:lang w:val="en-US"/>
              </w:rPr>
              <w:t>3 773</w:t>
            </w:r>
          </w:p>
        </w:tc>
      </w:tr>
      <w:tr w:rsidR="004823E7" w:rsidRPr="00D549EE" w14:paraId="20360EED" w14:textId="77777777" w:rsidTr="003F5B3E">
        <w:tc>
          <w:tcPr>
            <w:tcW w:w="562" w:type="dxa"/>
          </w:tcPr>
          <w:p w14:paraId="10A10EB5" w14:textId="02A6C29E" w:rsidR="004823E7" w:rsidRPr="00D549EE" w:rsidRDefault="003F5B3E" w:rsidP="00C9582F">
            <w:pPr>
              <w:pStyle w:val="a5"/>
              <w:contextualSpacing/>
              <w:rPr>
                <w:lang w:val="en-US"/>
              </w:rPr>
            </w:pPr>
            <w:r w:rsidRPr="00D549EE">
              <w:rPr>
                <w:lang w:val="en-US"/>
              </w:rPr>
              <w:t>10</w:t>
            </w:r>
          </w:p>
        </w:tc>
        <w:tc>
          <w:tcPr>
            <w:tcW w:w="4962" w:type="dxa"/>
          </w:tcPr>
          <w:p w14:paraId="0DBDF9DE" w14:textId="3A5B3BAB" w:rsidR="004823E7" w:rsidRPr="00D549EE" w:rsidRDefault="003F5B3E" w:rsidP="00C9582F">
            <w:pPr>
              <w:pStyle w:val="a5"/>
              <w:contextualSpacing/>
              <w:rPr>
                <w:lang w:val="en-US"/>
              </w:rPr>
            </w:pPr>
            <w:r w:rsidRPr="00D549EE">
              <w:rPr>
                <w:lang w:val="en-US"/>
              </w:rPr>
              <w:t>Z1 % of GDP</w:t>
            </w:r>
          </w:p>
        </w:tc>
        <w:tc>
          <w:tcPr>
            <w:tcW w:w="4098" w:type="dxa"/>
          </w:tcPr>
          <w:p w14:paraId="4C277165" w14:textId="404A6296" w:rsidR="004823E7" w:rsidRPr="00D549EE" w:rsidRDefault="003F5B3E" w:rsidP="00C9582F">
            <w:pPr>
              <w:pStyle w:val="a5"/>
              <w:contextualSpacing/>
              <w:rPr>
                <w:lang w:val="en-US"/>
              </w:rPr>
            </w:pPr>
            <w:r w:rsidRPr="00D549EE">
              <w:rPr>
                <w:lang w:val="en-US"/>
              </w:rPr>
              <w:t>0.92</w:t>
            </w:r>
          </w:p>
        </w:tc>
      </w:tr>
      <w:tr w:rsidR="004823E7" w:rsidRPr="00D549EE" w14:paraId="3C84614C" w14:textId="77777777" w:rsidTr="003F5B3E">
        <w:tc>
          <w:tcPr>
            <w:tcW w:w="562" w:type="dxa"/>
          </w:tcPr>
          <w:p w14:paraId="54E76EC4" w14:textId="4CDEFFC8" w:rsidR="004823E7" w:rsidRPr="00D549EE" w:rsidRDefault="003F5B3E" w:rsidP="00C9582F">
            <w:pPr>
              <w:pStyle w:val="a5"/>
              <w:contextualSpacing/>
              <w:rPr>
                <w:lang w:val="en-US"/>
              </w:rPr>
            </w:pPr>
            <w:r w:rsidRPr="00D549EE">
              <w:rPr>
                <w:lang w:val="en-US"/>
              </w:rPr>
              <w:t>11</w:t>
            </w:r>
          </w:p>
        </w:tc>
        <w:tc>
          <w:tcPr>
            <w:tcW w:w="4962" w:type="dxa"/>
          </w:tcPr>
          <w:p w14:paraId="4D9138C8" w14:textId="46F8F4C1" w:rsidR="004823E7" w:rsidRPr="00D549EE" w:rsidRDefault="003F5B3E" w:rsidP="00C9582F">
            <w:pPr>
              <w:pStyle w:val="a5"/>
              <w:contextualSpacing/>
              <w:rPr>
                <w:lang w:val="en-US"/>
              </w:rPr>
            </w:pPr>
            <w:r w:rsidRPr="00D549EE">
              <w:rPr>
                <w:lang w:val="en-US"/>
              </w:rPr>
              <w:t>Z2 % of GDP Potential zakat collectible</w:t>
            </w:r>
          </w:p>
        </w:tc>
        <w:tc>
          <w:tcPr>
            <w:tcW w:w="4098" w:type="dxa"/>
          </w:tcPr>
          <w:p w14:paraId="573C39DB" w14:textId="232666CE" w:rsidR="004823E7" w:rsidRPr="00D549EE" w:rsidRDefault="003F5B3E" w:rsidP="00C9582F">
            <w:pPr>
              <w:pStyle w:val="a5"/>
              <w:contextualSpacing/>
              <w:rPr>
                <w:lang w:val="en-US"/>
              </w:rPr>
            </w:pPr>
            <w:r w:rsidRPr="00D549EE">
              <w:rPr>
                <w:lang w:val="en-US"/>
              </w:rPr>
              <w:t>1.</w:t>
            </w:r>
            <w:r w:rsidR="00F30520" w:rsidRPr="00D549EE">
              <w:rPr>
                <w:lang w:val="en-US"/>
              </w:rPr>
              <w:t>97</w:t>
            </w:r>
          </w:p>
        </w:tc>
      </w:tr>
      <w:tr w:rsidR="004823E7" w:rsidRPr="00D549EE" w14:paraId="6A7A2466" w14:textId="77777777" w:rsidTr="003F5B3E">
        <w:tc>
          <w:tcPr>
            <w:tcW w:w="562" w:type="dxa"/>
          </w:tcPr>
          <w:p w14:paraId="3D95792D" w14:textId="1618F972" w:rsidR="004823E7" w:rsidRPr="00D549EE" w:rsidRDefault="003F5B3E" w:rsidP="00C9582F">
            <w:pPr>
              <w:pStyle w:val="a5"/>
              <w:contextualSpacing/>
              <w:rPr>
                <w:lang w:val="en-US"/>
              </w:rPr>
            </w:pPr>
            <w:r w:rsidRPr="00D549EE">
              <w:rPr>
                <w:lang w:val="en-US"/>
              </w:rPr>
              <w:t>12</w:t>
            </w:r>
          </w:p>
        </w:tc>
        <w:tc>
          <w:tcPr>
            <w:tcW w:w="4962" w:type="dxa"/>
          </w:tcPr>
          <w:p w14:paraId="2A5681A6" w14:textId="592E89BC" w:rsidR="004823E7" w:rsidRPr="00D549EE" w:rsidRDefault="003F5B3E" w:rsidP="00C9582F">
            <w:pPr>
              <w:pStyle w:val="a5"/>
              <w:contextualSpacing/>
              <w:rPr>
                <w:lang w:val="en-US"/>
              </w:rPr>
            </w:pPr>
            <w:r w:rsidRPr="00D549EE">
              <w:rPr>
                <w:lang w:val="en-US"/>
              </w:rPr>
              <w:t>Z3 % of GDP</w:t>
            </w:r>
          </w:p>
        </w:tc>
        <w:tc>
          <w:tcPr>
            <w:tcW w:w="4098" w:type="dxa"/>
          </w:tcPr>
          <w:p w14:paraId="53B89006" w14:textId="1546F58C" w:rsidR="004823E7" w:rsidRPr="00D549EE" w:rsidRDefault="003F5B3E" w:rsidP="00C9582F">
            <w:pPr>
              <w:pStyle w:val="a5"/>
              <w:contextualSpacing/>
              <w:rPr>
                <w:lang w:val="en-US"/>
              </w:rPr>
            </w:pPr>
            <w:r w:rsidRPr="00D549EE">
              <w:rPr>
                <w:lang w:val="en-US"/>
              </w:rPr>
              <w:t>2.22</w:t>
            </w:r>
          </w:p>
        </w:tc>
      </w:tr>
      <w:tr w:rsidR="003F5B3E" w:rsidRPr="00FC685D" w14:paraId="11AF4B5E" w14:textId="77777777" w:rsidTr="0070018A">
        <w:tc>
          <w:tcPr>
            <w:tcW w:w="9622" w:type="dxa"/>
            <w:gridSpan w:val="3"/>
          </w:tcPr>
          <w:p w14:paraId="675DB9D7" w14:textId="6BA7C834" w:rsidR="003F5B3E" w:rsidRPr="00D549EE" w:rsidRDefault="00AA02F0" w:rsidP="00C9582F">
            <w:pPr>
              <w:pStyle w:val="a5"/>
              <w:contextualSpacing/>
              <w:rPr>
                <w:lang w:val="en-US"/>
              </w:rPr>
            </w:pPr>
            <w:r w:rsidRPr="00D549EE">
              <w:rPr>
                <w:lang w:val="en-US"/>
              </w:rPr>
              <w:t xml:space="preserve">        </w:t>
            </w:r>
            <w:r w:rsidR="003F5B3E" w:rsidRPr="00D549EE">
              <w:rPr>
                <w:lang w:val="en-US"/>
              </w:rPr>
              <w:t xml:space="preserve">Note – </w:t>
            </w:r>
            <w:r w:rsidRPr="00D549EE">
              <w:rPr>
                <w:lang w:val="en-US"/>
              </w:rPr>
              <w:t>Compiled and estimated by the author</w:t>
            </w:r>
          </w:p>
        </w:tc>
      </w:tr>
    </w:tbl>
    <w:p w14:paraId="29B836CF" w14:textId="70594FED" w:rsidR="002F1202" w:rsidRPr="002F1202" w:rsidRDefault="002F1202" w:rsidP="00FC685D">
      <w:pPr>
        <w:pStyle w:val="a5"/>
        <w:ind w:firstLine="708"/>
        <w:contextualSpacing/>
        <w:jc w:val="both"/>
        <w:rPr>
          <w:sz w:val="28"/>
          <w:szCs w:val="28"/>
          <w:lang w:val="en-US"/>
        </w:rPr>
      </w:pPr>
      <w:r w:rsidRPr="002F1202">
        <w:rPr>
          <w:sz w:val="28"/>
          <w:szCs w:val="28"/>
          <w:lang w:val="en-US"/>
        </w:rPr>
        <w:t xml:space="preserve">According to the official data, income lower than the subsistence minimum for calculating the amount of primary social benefits is 32 668 tenge (79 US dollars) per month, and the income lower than 70% of the minimum living costs is considered for state targeted social assistance. The state targeted social assistance is a payment in cash provided by the state to individuals (families) with a monthly average per capita income below the poverty line. There are two forms of assistance – unconditional financial assistance to individuals and families with limited opportunities to participate in employment measures and conditional financial assistance to employable individuals and families with an employable member with an income less than 22 868 tenge (55.4 US dollars) per month. </w:t>
      </w:r>
    </w:p>
    <w:p w14:paraId="1B1B710D" w14:textId="77777777" w:rsidR="002F1202" w:rsidRPr="002F1202" w:rsidRDefault="002F1202" w:rsidP="002F1202">
      <w:pPr>
        <w:pStyle w:val="a5"/>
        <w:contextualSpacing/>
        <w:jc w:val="both"/>
        <w:rPr>
          <w:sz w:val="28"/>
          <w:szCs w:val="28"/>
          <w:lang w:val="en-US"/>
        </w:rPr>
      </w:pPr>
      <w:r w:rsidRPr="002F1202">
        <w:rPr>
          <w:sz w:val="28"/>
          <w:szCs w:val="28"/>
          <w:lang w:val="en-US"/>
        </w:rPr>
        <w:tab/>
        <w:t xml:space="preserve">Kazakhstan has used the concept of absolute poverty since 2000, which considers minimum living costs equal to the cost of the minimum consumer basket (the minimum set of food products, goods, and services necessary for life). The national poverty line in Kazakhstan is determined on the basis of the value of the subsistence minimum on average (minimum living costs) per capita in percentage terms, depending on the state's economic capabilities. It is estimated at 5.3% of the total population. 12 000 households' sample survey is used for determining indicators every quarter. Furthermore, the estimation method considers the consumer basket as the main criterion, but the selection of products to the basket is carried out by experts and nutritionists, not based on household behavior, and consists of 43 commodity items. </w:t>
      </w:r>
    </w:p>
    <w:p w14:paraId="06CCCF00" w14:textId="77777777" w:rsidR="002F1202" w:rsidRPr="002F1202" w:rsidRDefault="002F1202" w:rsidP="002F1202">
      <w:pPr>
        <w:pStyle w:val="a5"/>
        <w:contextualSpacing/>
        <w:jc w:val="both"/>
        <w:rPr>
          <w:sz w:val="28"/>
          <w:szCs w:val="28"/>
          <w:lang w:val="en-US"/>
        </w:rPr>
      </w:pPr>
      <w:r w:rsidRPr="002F1202">
        <w:rPr>
          <w:sz w:val="28"/>
          <w:szCs w:val="28"/>
          <w:lang w:val="en-US"/>
        </w:rPr>
        <w:tab/>
        <w:t xml:space="preserve">The number of recipients was about 936 thousand people from 184 thousand families, including 600 thousand children (64%) and 73.5 thousand big families for social assistance in 2020. The total sum of the state payments for targeted social assistance is 76 700 million tenge (182.6 million US dollars), which is 0.11% of GDP. This is an average of 6 828.7 tenge per month (16.5 USD dollars) per recipient. </w:t>
      </w:r>
    </w:p>
    <w:p w14:paraId="7A2DED37" w14:textId="77777777" w:rsidR="002F1202" w:rsidRPr="002F1202" w:rsidRDefault="002F1202" w:rsidP="002F1202">
      <w:pPr>
        <w:pStyle w:val="a5"/>
        <w:contextualSpacing/>
        <w:jc w:val="both"/>
        <w:rPr>
          <w:sz w:val="28"/>
          <w:szCs w:val="28"/>
          <w:lang w:val="en-US"/>
        </w:rPr>
      </w:pPr>
      <w:r w:rsidRPr="002F1202">
        <w:rPr>
          <w:sz w:val="28"/>
          <w:szCs w:val="28"/>
          <w:lang w:val="en-US"/>
        </w:rPr>
        <w:tab/>
        <w:t xml:space="preserve">For 2021 spending for targeted social payment to the needy people, who have income less than 1.90 US dollars per day, 24 011 tenge (58 US dollars) per month, for 122 800 million tenge. If to analyze these data given by official resources of the country, 936 thousand people of the total population were in real need in 2020 with an income of less than 1.90 US dollars per day. According to an international indicator established by World Bank, That is an extremely poor population.  </w:t>
      </w:r>
    </w:p>
    <w:p w14:paraId="68CF8356" w14:textId="4EF25C5A" w:rsidR="0036503B" w:rsidRPr="00D549EE" w:rsidRDefault="002F1202" w:rsidP="002F1202">
      <w:pPr>
        <w:pStyle w:val="a5"/>
        <w:contextualSpacing/>
        <w:jc w:val="both"/>
        <w:rPr>
          <w:sz w:val="28"/>
          <w:szCs w:val="28"/>
          <w:lang w:val="en-US"/>
        </w:rPr>
      </w:pPr>
      <w:r w:rsidRPr="002F1202">
        <w:rPr>
          <w:sz w:val="28"/>
          <w:szCs w:val="28"/>
          <w:lang w:val="en-US"/>
        </w:rPr>
        <w:tab/>
        <w:t>There are several methods of assessing the poverty line in international practice, such as the median approach (60% of the national median income), by purchasing power parity (5.5 US dollars per day). If to estimate these methods for the country's data, 60% of the national median income is 10% of the total population, about 1.877 million poor people. By PPP estimation, according to the World Bank's method, which takes into account 5.5 US dollars per day, there are about 1.541 million people in Kazakhstan who live below the poverty line in 2019. By estimation for 2020, by the medium scenario poverty line is 12% of the total population of 2.265 million people, that is 724 thousand additional poor people than were in 2019 [127]. This data based on PPP is two times more than the national poverty line. According to the Global Hunger Index, Kazakhstan is ranked as 5.6 scores in 2020, low on the GHI severity scale.</w:t>
      </w:r>
    </w:p>
    <w:p w14:paraId="30EC8E76" w14:textId="77777777" w:rsidR="00017201" w:rsidRPr="00D549EE" w:rsidRDefault="00645723" w:rsidP="00C9582F">
      <w:pPr>
        <w:pStyle w:val="a5"/>
        <w:contextualSpacing/>
        <w:jc w:val="both"/>
        <w:rPr>
          <w:sz w:val="28"/>
          <w:szCs w:val="28"/>
          <w:lang w:val="en-US"/>
        </w:rPr>
      </w:pPr>
      <w:r w:rsidRPr="00D549EE">
        <w:rPr>
          <w:sz w:val="28"/>
          <w:szCs w:val="28"/>
          <w:lang w:val="en-US"/>
        </w:rPr>
        <w:tab/>
      </w:r>
      <w:r w:rsidR="00AA060E" w:rsidRPr="00D549EE">
        <w:rPr>
          <w:sz w:val="28"/>
          <w:szCs w:val="28"/>
          <w:lang w:val="en-US"/>
        </w:rPr>
        <w:t xml:space="preserve"> </w:t>
      </w:r>
    </w:p>
    <w:p w14:paraId="47637994" w14:textId="7A9ACD7D" w:rsidR="00645723" w:rsidRPr="00D549EE" w:rsidRDefault="00645723" w:rsidP="00C9582F">
      <w:pPr>
        <w:pStyle w:val="a5"/>
        <w:contextualSpacing/>
        <w:jc w:val="both"/>
        <w:rPr>
          <w:sz w:val="28"/>
          <w:szCs w:val="28"/>
          <w:lang w:val="en-US"/>
        </w:rPr>
      </w:pPr>
      <w:r w:rsidRPr="00D549EE">
        <w:rPr>
          <w:bCs/>
          <w:color w:val="000000" w:themeColor="text1"/>
          <w:sz w:val="28"/>
          <w:szCs w:val="28"/>
          <w:lang w:val="en-US"/>
        </w:rPr>
        <w:t xml:space="preserve">Table </w:t>
      </w:r>
      <w:r w:rsidR="008179A1" w:rsidRPr="00D549EE">
        <w:rPr>
          <w:bCs/>
          <w:color w:val="000000" w:themeColor="text1"/>
          <w:sz w:val="28"/>
          <w:szCs w:val="28"/>
          <w:lang w:val="en-US"/>
        </w:rPr>
        <w:t>31</w:t>
      </w:r>
      <w:r w:rsidR="002D7B8A" w:rsidRPr="00D549EE">
        <w:rPr>
          <w:bCs/>
          <w:color w:val="000000" w:themeColor="text1"/>
          <w:sz w:val="28"/>
          <w:szCs w:val="28"/>
          <w:lang w:val="en-US"/>
        </w:rPr>
        <w:t xml:space="preserve"> </w:t>
      </w:r>
      <w:r w:rsidR="002D7B8A" w:rsidRPr="00D549EE">
        <w:rPr>
          <w:sz w:val="28"/>
          <w:szCs w:val="28"/>
          <w:lang w:val="en-US"/>
        </w:rPr>
        <w:t>–</w:t>
      </w:r>
      <w:r w:rsidRPr="00D549EE">
        <w:rPr>
          <w:color w:val="000000" w:themeColor="text1"/>
          <w:sz w:val="28"/>
          <w:szCs w:val="28"/>
          <w:lang w:val="en-US"/>
        </w:rPr>
        <w:t xml:space="preserve"> Potential Zakat collectible in Kazakhstan for Poverty reduction (by 2020 data)</w:t>
      </w:r>
    </w:p>
    <w:tbl>
      <w:tblPr>
        <w:tblStyle w:val="a9"/>
        <w:tblW w:w="0" w:type="auto"/>
        <w:tblLook w:val="04A0" w:firstRow="1" w:lastRow="0" w:firstColumn="1" w:lastColumn="0" w:noHBand="0" w:noVBand="1"/>
      </w:tblPr>
      <w:tblGrid>
        <w:gridCol w:w="1125"/>
        <w:gridCol w:w="1037"/>
        <w:gridCol w:w="1036"/>
        <w:gridCol w:w="1033"/>
        <w:gridCol w:w="1031"/>
        <w:gridCol w:w="1355"/>
        <w:gridCol w:w="1586"/>
        <w:gridCol w:w="1420"/>
      </w:tblGrid>
      <w:tr w:rsidR="00BF11A5" w:rsidRPr="00FC685D" w14:paraId="32453543" w14:textId="7593E8D3" w:rsidTr="00D14DE9">
        <w:trPr>
          <w:trHeight w:val="1240"/>
        </w:trPr>
        <w:tc>
          <w:tcPr>
            <w:tcW w:w="0" w:type="auto"/>
          </w:tcPr>
          <w:p w14:paraId="478274A2" w14:textId="4DE19703" w:rsidR="00BF11A5" w:rsidRPr="00D549EE" w:rsidRDefault="00BF11A5"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Zakat to GDP ratio potential</w:t>
            </w:r>
          </w:p>
        </w:tc>
        <w:tc>
          <w:tcPr>
            <w:tcW w:w="0" w:type="auto"/>
          </w:tcPr>
          <w:p w14:paraId="72C1503A" w14:textId="1B734E3C" w:rsidR="00BF11A5" w:rsidRPr="00D549EE" w:rsidRDefault="00BF11A5"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Poverty Gap to GDP (1.90$)</w:t>
            </w:r>
          </w:p>
        </w:tc>
        <w:tc>
          <w:tcPr>
            <w:tcW w:w="0" w:type="auto"/>
          </w:tcPr>
          <w:p w14:paraId="7D2FB80E" w14:textId="186C194E" w:rsidR="00BF11A5" w:rsidRPr="00D549EE" w:rsidRDefault="00BF11A5"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Poverty rate to GDP (1.90$)</w:t>
            </w:r>
          </w:p>
        </w:tc>
        <w:tc>
          <w:tcPr>
            <w:tcW w:w="0" w:type="auto"/>
          </w:tcPr>
          <w:p w14:paraId="5492E6A1" w14:textId="5D468047" w:rsidR="00BF11A5" w:rsidRPr="00D549EE" w:rsidRDefault="00BF11A5"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Poverty </w:t>
            </w:r>
            <w:r w:rsidR="00017201" w:rsidRPr="00D549EE">
              <w:rPr>
                <w:b w:val="0"/>
                <w:bCs w:val="0"/>
                <w:color w:val="000000" w:themeColor="text1"/>
                <w:sz w:val="24"/>
                <w:szCs w:val="24"/>
                <w:lang w:val="en-US"/>
              </w:rPr>
              <w:t>Gap</w:t>
            </w:r>
            <w:r w:rsidRPr="00D549EE">
              <w:rPr>
                <w:b w:val="0"/>
                <w:bCs w:val="0"/>
                <w:color w:val="000000" w:themeColor="text1"/>
                <w:sz w:val="24"/>
                <w:szCs w:val="24"/>
                <w:lang w:val="en-US"/>
              </w:rPr>
              <w:t xml:space="preserve"> to GDP (5.5$)</w:t>
            </w:r>
          </w:p>
        </w:tc>
        <w:tc>
          <w:tcPr>
            <w:tcW w:w="0" w:type="auto"/>
          </w:tcPr>
          <w:p w14:paraId="1FC2481A" w14:textId="6C9E6513" w:rsidR="00BF11A5" w:rsidRPr="00D549EE" w:rsidRDefault="00BF11A5"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Poverty </w:t>
            </w:r>
            <w:r w:rsidR="00017201" w:rsidRPr="00D549EE">
              <w:rPr>
                <w:b w:val="0"/>
                <w:bCs w:val="0"/>
                <w:color w:val="000000" w:themeColor="text1"/>
                <w:sz w:val="24"/>
                <w:szCs w:val="24"/>
                <w:lang w:val="en-US"/>
              </w:rPr>
              <w:t>rate</w:t>
            </w:r>
            <w:r w:rsidRPr="00D549EE">
              <w:rPr>
                <w:b w:val="0"/>
                <w:bCs w:val="0"/>
                <w:color w:val="000000" w:themeColor="text1"/>
                <w:sz w:val="24"/>
                <w:szCs w:val="24"/>
                <w:lang w:val="en-US"/>
              </w:rPr>
              <w:t xml:space="preserve"> to GDP (5.5$)</w:t>
            </w:r>
          </w:p>
        </w:tc>
        <w:tc>
          <w:tcPr>
            <w:tcW w:w="0" w:type="auto"/>
          </w:tcPr>
          <w:p w14:paraId="77691A5B" w14:textId="77777777" w:rsidR="00BF11A5" w:rsidRPr="00D549EE" w:rsidRDefault="00BF11A5" w:rsidP="00C9582F">
            <w:pPr>
              <w:pStyle w:val="a5"/>
              <w:contextualSpacing/>
            </w:pPr>
            <w:r w:rsidRPr="00D549EE">
              <w:t xml:space="preserve">Potential Zakat Collectible (mln $) </w:t>
            </w:r>
          </w:p>
          <w:p w14:paraId="162508E7" w14:textId="77777777" w:rsidR="00BF11A5" w:rsidRPr="00D549EE" w:rsidRDefault="00BF11A5" w:rsidP="00C9582F">
            <w:pPr>
              <w:pStyle w:val="a5"/>
              <w:contextualSpacing/>
              <w:rPr>
                <w:lang w:val="en-US"/>
              </w:rPr>
            </w:pPr>
          </w:p>
        </w:tc>
        <w:tc>
          <w:tcPr>
            <w:tcW w:w="0" w:type="auto"/>
          </w:tcPr>
          <w:p w14:paraId="25D33281" w14:textId="248AE9C4" w:rsidR="00BF11A5" w:rsidRPr="00D549EE" w:rsidRDefault="00BF11A5" w:rsidP="00C9582F">
            <w:pPr>
              <w:pStyle w:val="a5"/>
              <w:contextualSpacing/>
              <w:rPr>
                <w:lang w:val="en-US"/>
              </w:rPr>
            </w:pPr>
            <w:r w:rsidRPr="00D549EE">
              <w:rPr>
                <w:lang w:val="en-US"/>
              </w:rPr>
              <w:t>People Lifted Out of Poverty from Potential Zakat Collection</w:t>
            </w:r>
            <w:r w:rsidR="008F57EE" w:rsidRPr="00D549EE">
              <w:rPr>
                <w:lang w:val="en-US"/>
              </w:rPr>
              <w:t xml:space="preserve">, </w:t>
            </w:r>
            <w:r w:rsidR="00A9064B" w:rsidRPr="00D549EE">
              <w:rPr>
                <w:lang w:val="en-US"/>
              </w:rPr>
              <w:t>multiplicity</w:t>
            </w:r>
            <w:r w:rsidRPr="00D549EE">
              <w:rPr>
                <w:lang w:val="en-US"/>
              </w:rPr>
              <w:t xml:space="preserve"> (1.90$)</w:t>
            </w:r>
          </w:p>
        </w:tc>
        <w:tc>
          <w:tcPr>
            <w:tcW w:w="0" w:type="auto"/>
          </w:tcPr>
          <w:p w14:paraId="4657E069" w14:textId="5A4C9E9A" w:rsidR="00BF11A5" w:rsidRPr="00D549EE" w:rsidRDefault="00BF11A5" w:rsidP="00C9582F">
            <w:pPr>
              <w:pStyle w:val="a5"/>
              <w:contextualSpacing/>
              <w:rPr>
                <w:lang w:val="en-US"/>
              </w:rPr>
            </w:pPr>
            <w:r w:rsidRPr="00D549EE">
              <w:rPr>
                <w:lang w:val="en-US"/>
              </w:rPr>
              <w:t>People Lifted Out of Poverty from Potential Zakat Collection (5.5$)</w:t>
            </w:r>
          </w:p>
        </w:tc>
      </w:tr>
      <w:tr w:rsidR="001E03CD" w:rsidRPr="00D549EE" w14:paraId="0DD289CB" w14:textId="77777777" w:rsidTr="001E03CD">
        <w:trPr>
          <w:trHeight w:val="383"/>
        </w:trPr>
        <w:tc>
          <w:tcPr>
            <w:tcW w:w="0" w:type="auto"/>
            <w:gridSpan w:val="6"/>
          </w:tcPr>
          <w:p w14:paraId="33A4705D" w14:textId="131FB361" w:rsidR="001E03CD" w:rsidRPr="00D549EE" w:rsidRDefault="001E03CD" w:rsidP="00C9582F">
            <w:pPr>
              <w:pStyle w:val="a5"/>
              <w:contextualSpacing/>
              <w:rPr>
                <w:color w:val="000000" w:themeColor="text1"/>
                <w:lang w:val="en-US"/>
              </w:rPr>
            </w:pPr>
            <w:r w:rsidRPr="00D549EE">
              <w:rPr>
                <w:color w:val="000000" w:themeColor="text1"/>
                <w:lang w:val="en-US"/>
              </w:rPr>
              <w:t xml:space="preserve">Number of </w:t>
            </w:r>
            <w:r w:rsidR="00080E5B" w:rsidRPr="00D549EE">
              <w:rPr>
                <w:color w:val="000000" w:themeColor="text1"/>
                <w:lang w:val="en-US"/>
              </w:rPr>
              <w:t xml:space="preserve">the </w:t>
            </w:r>
            <w:r w:rsidRPr="00D549EE">
              <w:rPr>
                <w:color w:val="000000" w:themeColor="text1"/>
                <w:lang w:val="en-US"/>
              </w:rPr>
              <w:t>population under poverty line, million people</w:t>
            </w:r>
          </w:p>
        </w:tc>
        <w:tc>
          <w:tcPr>
            <w:tcW w:w="0" w:type="auto"/>
          </w:tcPr>
          <w:p w14:paraId="46776E76" w14:textId="2E58455C" w:rsidR="001E03CD" w:rsidRPr="00D549EE" w:rsidRDefault="0076629C" w:rsidP="00C9582F">
            <w:pPr>
              <w:pStyle w:val="a5"/>
              <w:contextualSpacing/>
              <w:rPr>
                <w:lang w:val="en-US"/>
              </w:rPr>
            </w:pPr>
            <w:r w:rsidRPr="00D549EE">
              <w:rPr>
                <w:lang w:val="en-US"/>
              </w:rPr>
              <w:t>0.943</w:t>
            </w:r>
          </w:p>
        </w:tc>
        <w:tc>
          <w:tcPr>
            <w:tcW w:w="0" w:type="auto"/>
          </w:tcPr>
          <w:p w14:paraId="6ED57410" w14:textId="5EBFAE54" w:rsidR="001E03CD" w:rsidRPr="00D549EE" w:rsidRDefault="001E03CD" w:rsidP="00C9582F">
            <w:pPr>
              <w:pStyle w:val="a5"/>
              <w:contextualSpacing/>
              <w:rPr>
                <w:lang w:val="en-US"/>
              </w:rPr>
            </w:pPr>
            <w:r w:rsidRPr="00D549EE">
              <w:rPr>
                <w:lang w:val="en-US"/>
              </w:rPr>
              <w:t>2.265</w:t>
            </w:r>
          </w:p>
        </w:tc>
      </w:tr>
      <w:tr w:rsidR="00BF11A5" w:rsidRPr="00D549EE" w14:paraId="4F9C39A3" w14:textId="3448FC6E" w:rsidTr="00D14DE9">
        <w:trPr>
          <w:trHeight w:val="359"/>
        </w:trPr>
        <w:tc>
          <w:tcPr>
            <w:tcW w:w="0" w:type="auto"/>
          </w:tcPr>
          <w:p w14:paraId="2419203C" w14:textId="7E130CB4" w:rsidR="00BF11A5" w:rsidRPr="00D549EE" w:rsidRDefault="002D7B8A"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w:t>
            </w:r>
            <w:r w:rsidR="00F30520" w:rsidRPr="00D549EE">
              <w:rPr>
                <w:b w:val="0"/>
                <w:bCs w:val="0"/>
                <w:color w:val="000000" w:themeColor="text1"/>
                <w:sz w:val="24"/>
                <w:szCs w:val="24"/>
                <w:lang w:val="en-US"/>
              </w:rPr>
              <w:t>97</w:t>
            </w:r>
            <w:r w:rsidR="00BF11A5" w:rsidRPr="00D549EE">
              <w:rPr>
                <w:b w:val="0"/>
                <w:bCs w:val="0"/>
                <w:color w:val="000000" w:themeColor="text1"/>
                <w:sz w:val="24"/>
                <w:szCs w:val="24"/>
                <w:lang w:val="en-US"/>
              </w:rPr>
              <w:t>%</w:t>
            </w:r>
          </w:p>
        </w:tc>
        <w:tc>
          <w:tcPr>
            <w:tcW w:w="0" w:type="auto"/>
          </w:tcPr>
          <w:p w14:paraId="72F66FEA" w14:textId="7D486EBA" w:rsidR="00BF11A5" w:rsidRPr="00D549EE" w:rsidRDefault="00BF11A5"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0.02%</w:t>
            </w:r>
          </w:p>
        </w:tc>
        <w:tc>
          <w:tcPr>
            <w:tcW w:w="0" w:type="auto"/>
          </w:tcPr>
          <w:p w14:paraId="73306734" w14:textId="614796D8" w:rsidR="00BF11A5" w:rsidRPr="00D549EE" w:rsidRDefault="00BF11A5"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0.04% </w:t>
            </w:r>
          </w:p>
        </w:tc>
        <w:tc>
          <w:tcPr>
            <w:tcW w:w="0" w:type="auto"/>
          </w:tcPr>
          <w:p w14:paraId="0B2FFE0A" w14:textId="0463E603" w:rsidR="00BF11A5" w:rsidRPr="00D549EE" w:rsidRDefault="00BF11A5"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0.26%</w:t>
            </w:r>
          </w:p>
        </w:tc>
        <w:tc>
          <w:tcPr>
            <w:tcW w:w="0" w:type="auto"/>
          </w:tcPr>
          <w:p w14:paraId="6E98DD14" w14:textId="2DBA4B61" w:rsidR="00BF11A5" w:rsidRPr="00D549EE" w:rsidRDefault="00BF11A5"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1.79%</w:t>
            </w:r>
          </w:p>
        </w:tc>
        <w:tc>
          <w:tcPr>
            <w:tcW w:w="0" w:type="auto"/>
          </w:tcPr>
          <w:p w14:paraId="0E1C84D9" w14:textId="5D911028" w:rsidR="00BF11A5" w:rsidRPr="00D549EE" w:rsidRDefault="00291ADC"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sz w:val="24"/>
                <w:szCs w:val="24"/>
                <w:lang w:val="en-US"/>
              </w:rPr>
              <w:t>3 347</w:t>
            </w:r>
          </w:p>
        </w:tc>
        <w:tc>
          <w:tcPr>
            <w:tcW w:w="0" w:type="auto"/>
          </w:tcPr>
          <w:p w14:paraId="77213286" w14:textId="69DD094F" w:rsidR="00BF11A5" w:rsidRPr="00D549EE" w:rsidRDefault="00F30520"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5</w:t>
            </w:r>
            <w:r w:rsidR="00A9064B" w:rsidRPr="00D549EE">
              <w:rPr>
                <w:b w:val="0"/>
                <w:bCs w:val="0"/>
                <w:color w:val="000000" w:themeColor="text1"/>
                <w:sz w:val="24"/>
                <w:szCs w:val="24"/>
                <w:lang w:val="en-US"/>
              </w:rPr>
              <w:t>.</w:t>
            </w:r>
            <w:r w:rsidR="002D7B8A" w:rsidRPr="00D549EE">
              <w:rPr>
                <w:b w:val="0"/>
                <w:bCs w:val="0"/>
                <w:color w:val="000000" w:themeColor="text1"/>
                <w:sz w:val="24"/>
                <w:szCs w:val="24"/>
                <w:lang w:val="en-US"/>
              </w:rPr>
              <w:t>1</w:t>
            </w:r>
            <w:r w:rsidRPr="00D549EE">
              <w:rPr>
                <w:b w:val="0"/>
                <w:bCs w:val="0"/>
                <w:color w:val="000000" w:themeColor="text1"/>
                <w:sz w:val="24"/>
                <w:szCs w:val="24"/>
                <w:lang w:val="en-US"/>
              </w:rPr>
              <w:t>1</w:t>
            </w:r>
          </w:p>
        </w:tc>
        <w:tc>
          <w:tcPr>
            <w:tcW w:w="0" w:type="auto"/>
          </w:tcPr>
          <w:p w14:paraId="6F08CB18" w14:textId="034D1C42" w:rsidR="00BF11A5" w:rsidRPr="00D549EE" w:rsidRDefault="002D7B8A"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0</w:t>
            </w:r>
            <w:r w:rsidR="00A9064B" w:rsidRPr="00D549EE">
              <w:rPr>
                <w:b w:val="0"/>
                <w:bCs w:val="0"/>
                <w:color w:val="000000" w:themeColor="text1"/>
                <w:sz w:val="24"/>
                <w:szCs w:val="24"/>
                <w:lang w:val="en-US"/>
              </w:rPr>
              <w:t>.</w:t>
            </w:r>
            <w:r w:rsidR="00F30520" w:rsidRPr="00D549EE">
              <w:rPr>
                <w:b w:val="0"/>
                <w:bCs w:val="0"/>
                <w:color w:val="000000" w:themeColor="text1"/>
                <w:sz w:val="24"/>
                <w:szCs w:val="24"/>
                <w:lang w:val="en-US"/>
              </w:rPr>
              <w:t>74</w:t>
            </w:r>
          </w:p>
        </w:tc>
      </w:tr>
      <w:tr w:rsidR="00017201" w:rsidRPr="00FC685D" w14:paraId="791912C4" w14:textId="77777777" w:rsidTr="008D2256">
        <w:trPr>
          <w:trHeight w:val="439"/>
        </w:trPr>
        <w:tc>
          <w:tcPr>
            <w:tcW w:w="0" w:type="auto"/>
            <w:gridSpan w:val="8"/>
          </w:tcPr>
          <w:p w14:paraId="65012C9B" w14:textId="34F49F7D" w:rsidR="00017201" w:rsidRPr="00D549EE" w:rsidRDefault="00AA02F0" w:rsidP="00C9582F">
            <w:pPr>
              <w:pStyle w:val="2"/>
              <w:snapToGrid w:val="0"/>
              <w:spacing w:before="75" w:beforeAutospacing="0" w:after="375" w:afterAutospacing="0"/>
              <w:contextualSpacing/>
              <w:outlineLvl w:val="1"/>
              <w:rPr>
                <w:b w:val="0"/>
                <w:bCs w:val="0"/>
                <w:color w:val="000000" w:themeColor="text1"/>
                <w:sz w:val="24"/>
                <w:szCs w:val="24"/>
                <w:lang w:val="en-US"/>
              </w:rPr>
            </w:pPr>
            <w:r w:rsidRPr="00D549EE">
              <w:rPr>
                <w:b w:val="0"/>
                <w:bCs w:val="0"/>
                <w:color w:val="000000" w:themeColor="text1"/>
                <w:sz w:val="24"/>
                <w:szCs w:val="24"/>
                <w:lang w:val="en-US"/>
              </w:rPr>
              <w:t xml:space="preserve">       </w:t>
            </w:r>
            <w:r w:rsidR="00CA7F27" w:rsidRPr="00D549EE">
              <w:rPr>
                <w:b w:val="0"/>
                <w:bCs w:val="0"/>
                <w:color w:val="000000" w:themeColor="text1"/>
                <w:sz w:val="24"/>
                <w:szCs w:val="24"/>
                <w:lang w:val="en-US"/>
              </w:rPr>
              <w:t xml:space="preserve">Note </w:t>
            </w:r>
            <w:r w:rsidR="00CA7F27" w:rsidRPr="00D549EE">
              <w:rPr>
                <w:sz w:val="24"/>
                <w:szCs w:val="24"/>
                <w:lang w:val="en-US"/>
              </w:rPr>
              <w:t xml:space="preserve">– </w:t>
            </w:r>
            <w:r w:rsidRPr="00D549EE">
              <w:rPr>
                <w:b w:val="0"/>
                <w:bCs w:val="0"/>
                <w:color w:val="000000" w:themeColor="text1"/>
                <w:sz w:val="24"/>
                <w:szCs w:val="24"/>
                <w:lang w:val="en-US"/>
              </w:rPr>
              <w:t>Compiled and estimated by the author</w:t>
            </w:r>
          </w:p>
        </w:tc>
      </w:tr>
    </w:tbl>
    <w:p w14:paraId="62FEEE0F" w14:textId="77777777" w:rsidR="00593142" w:rsidRPr="00593142" w:rsidRDefault="00A33514" w:rsidP="00593142">
      <w:pPr>
        <w:pStyle w:val="a5"/>
        <w:contextualSpacing/>
        <w:jc w:val="both"/>
        <w:rPr>
          <w:sz w:val="28"/>
          <w:szCs w:val="28"/>
          <w:lang w:val="en-US"/>
        </w:rPr>
      </w:pPr>
      <w:r w:rsidRPr="00D549EE">
        <w:rPr>
          <w:sz w:val="28"/>
          <w:szCs w:val="28"/>
          <w:lang w:val="en-US"/>
        </w:rPr>
        <w:tab/>
      </w:r>
      <w:r w:rsidR="00593142" w:rsidRPr="00593142">
        <w:rPr>
          <w:sz w:val="28"/>
          <w:szCs w:val="28"/>
          <w:lang w:val="en-US"/>
        </w:rPr>
        <w:t xml:space="preserve">The study results illustrate the role and impact of potential zakat collectible in the issues of poverty reduction in the country, in the case of a transparent and direct policy of the state in cooperation with SAMK, responsible ministries. The estimations or the study illustrate that the years to fund poverty with potential zakat collection are less than 1 for the poverty rate at 1.90 US dollars per day and between 5 and 6 for the poverty rate at 5.5 US dollars per day. The estimated resource shortfall for the population below 1.90 US dollars per day, 1.89%, can be covered by the potential zakat amount. It can be suggested that the effect of using potential zakat for poverty reduction at the 1.90 US dollars level will not require many years, but 5.5 US dollars will need the time. After a certain period, the defined population from the needy people of the group under 5.5 US dollars per day will cross the poverty line and move to the group of the population who obliged and can pay zakat. As a result, the redistribution of wealth through the zakat institution will reduce the number of people in need in the country and redistribute the income of the population and activate the previously economically inactive population. </w:t>
      </w:r>
    </w:p>
    <w:p w14:paraId="68FF94AE" w14:textId="2112E1AD" w:rsidR="00593142" w:rsidRPr="00593142" w:rsidRDefault="00593142" w:rsidP="00593142">
      <w:pPr>
        <w:pStyle w:val="a5"/>
        <w:contextualSpacing/>
        <w:jc w:val="both"/>
        <w:rPr>
          <w:sz w:val="28"/>
          <w:szCs w:val="28"/>
          <w:lang w:val="en-US"/>
        </w:rPr>
      </w:pPr>
      <w:r w:rsidRPr="00593142">
        <w:rPr>
          <w:sz w:val="28"/>
          <w:szCs w:val="28"/>
          <w:lang w:val="en-US"/>
        </w:rPr>
        <w:tab/>
        <w:t>Even though, according to official data, the majority of the population, 70.2% or 13.159 million, is Muslim, there is only one religious association in the country - the Spiritual Administration of Muslims of Kazakhstan (SAMK) non-profit voluntary association. The primary purpose of the SAMK: the promotion and dissemination of the religion of Islam; ensuring the correct promotion of the religion of Islam; and the sermons of our Prophet Muhammad; preserving the consent of the Muslims of Kazakhstan; contributing to the preservation of the canons of Shariah in religious organizations; solving religious problems of Muslims through authorized representatives in the regions; training specialists in teaching the population religious literacy; establish links with foreign religious organizations, associations, educational institutions; as well as the development of religious literature, textbooks, and necessary publications. The SAMK's activities are guided by the Constitution of the Republic of Kazakhstan, the Civil Code, the Law "On Non-commercial Organizations," the Law «On religious activity and religious associations, "other legislative acts, and Charter</w:t>
      </w:r>
      <w:r w:rsidR="00CC374E">
        <w:rPr>
          <w:sz w:val="28"/>
          <w:szCs w:val="28"/>
          <w:lang w:val="en-US"/>
        </w:rPr>
        <w:t>.</w:t>
      </w:r>
    </w:p>
    <w:p w14:paraId="2FF7D23F" w14:textId="02DC3681" w:rsidR="00593142" w:rsidRPr="00593142" w:rsidRDefault="00593142" w:rsidP="00593142">
      <w:pPr>
        <w:pStyle w:val="a5"/>
        <w:contextualSpacing/>
        <w:jc w:val="both"/>
        <w:rPr>
          <w:sz w:val="28"/>
          <w:szCs w:val="28"/>
          <w:lang w:val="en-US"/>
        </w:rPr>
      </w:pPr>
      <w:r>
        <w:rPr>
          <w:sz w:val="28"/>
          <w:szCs w:val="28"/>
          <w:lang w:val="en-US"/>
        </w:rPr>
        <w:tab/>
      </w:r>
      <w:r w:rsidRPr="00593142">
        <w:rPr>
          <w:sz w:val="28"/>
          <w:szCs w:val="28"/>
          <w:lang w:val="en-US"/>
        </w:rPr>
        <w:t xml:space="preserve">The Zeket foundation of the SAMK was registered with the Justice Ministry in 2011 and had 19 offices in the country. From establishing year, the fund carried out the activity as a representative of SAMK for collecting alms and donations, zakat, and sadaqah from individuals and legal entities. The fund carried out the functions of distribution and managing collected donations and provided information on implemented social projects through the fund's official website and media.  </w:t>
      </w:r>
    </w:p>
    <w:p w14:paraId="5149781A" w14:textId="5523AFC7" w:rsidR="00593142" w:rsidRPr="00593142" w:rsidRDefault="00593142" w:rsidP="00593142">
      <w:pPr>
        <w:pStyle w:val="a5"/>
        <w:contextualSpacing/>
        <w:jc w:val="both"/>
        <w:rPr>
          <w:sz w:val="28"/>
          <w:szCs w:val="28"/>
          <w:lang w:val="en-US"/>
        </w:rPr>
      </w:pPr>
      <w:r>
        <w:rPr>
          <w:sz w:val="28"/>
          <w:szCs w:val="28"/>
          <w:lang w:val="en-US"/>
        </w:rPr>
        <w:tab/>
      </w:r>
      <w:r w:rsidRPr="00593142">
        <w:rPr>
          <w:sz w:val="28"/>
          <w:szCs w:val="28"/>
          <w:lang w:val="en-US"/>
        </w:rPr>
        <w:t xml:space="preserve">The zakat and waqf systems act according to the general charity legislative framework, Islamic financial institutions' activity operates within Law "On charity," Law "On non-commercial organizations," Law "on religious activities and religious associations," Civil code and tax code of the RK. </w:t>
      </w:r>
    </w:p>
    <w:p w14:paraId="4196D0E1" w14:textId="77777777" w:rsidR="00FC685D" w:rsidRDefault="00593142" w:rsidP="00FC685D">
      <w:pPr>
        <w:pStyle w:val="a5"/>
        <w:contextualSpacing/>
        <w:jc w:val="both"/>
        <w:rPr>
          <w:sz w:val="28"/>
          <w:szCs w:val="28"/>
          <w:lang w:val="en-US"/>
        </w:rPr>
      </w:pPr>
      <w:r>
        <w:rPr>
          <w:sz w:val="28"/>
          <w:szCs w:val="28"/>
          <w:lang w:val="en-US"/>
        </w:rPr>
        <w:tab/>
      </w:r>
      <w:r w:rsidRPr="00593142">
        <w:rPr>
          <w:sz w:val="28"/>
          <w:szCs w:val="28"/>
          <w:lang w:val="en-US"/>
        </w:rPr>
        <w:t>The zakat and sadaqah fundraising are implemented through the Bank account specified on the website, directly through the website, mobile application available on the Play market, through the mobile applications and websites of traditional banks (Halyk, Kaspi), which are integrated into payments, and are also collecting cash in mosques.</w:t>
      </w:r>
    </w:p>
    <w:p w14:paraId="6D9C432C" w14:textId="51D82A31" w:rsidR="00FC685D" w:rsidRPr="00FC685D" w:rsidRDefault="00FC685D" w:rsidP="00FC685D">
      <w:pPr>
        <w:pStyle w:val="a5"/>
        <w:ind w:firstLine="708"/>
        <w:contextualSpacing/>
        <w:jc w:val="both"/>
        <w:rPr>
          <w:sz w:val="28"/>
          <w:szCs w:val="28"/>
          <w:lang w:val="en-US"/>
        </w:rPr>
      </w:pPr>
      <w:r w:rsidRPr="00B45EA1">
        <w:rPr>
          <w:color w:val="000000" w:themeColor="text1"/>
          <w:sz w:val="28"/>
          <w:szCs w:val="28"/>
          <w:bdr w:val="none" w:sz="0" w:space="0" w:color="auto" w:frame="1"/>
          <w:lang w:val="en-US"/>
        </w:rPr>
        <w:t xml:space="preserve">Figure 20 illustrates the institutional structure of the zakat management in the country. As can be seen from the structure, there are 11 departments of the SAMK, and Zeket foundation belongs to the Charity and Waqf department. The Zeket foundation is regulated by the Committee of Religious Affairs of the Ministry of Information and Social Development as the charity fund related to the SAMK. The committee's regulation is mainly related to religious affairs and issues, and there is no regulation of the financial activity. </w:t>
      </w:r>
    </w:p>
    <w:p w14:paraId="51B6D1D2" w14:textId="77777777" w:rsidR="00FC685D" w:rsidRPr="00D549EE" w:rsidRDefault="00FC685D" w:rsidP="00593142">
      <w:pPr>
        <w:pStyle w:val="a5"/>
        <w:contextualSpacing/>
        <w:jc w:val="both"/>
        <w:rPr>
          <w:color w:val="000000" w:themeColor="text1"/>
          <w:sz w:val="28"/>
          <w:szCs w:val="28"/>
          <w:bdr w:val="none" w:sz="0" w:space="0" w:color="auto" w:frame="1"/>
          <w:lang w:val="en-US"/>
        </w:rPr>
      </w:pPr>
    </w:p>
    <w:p w14:paraId="79049459" w14:textId="77777777" w:rsidR="00DE67F2" w:rsidRPr="00D549EE" w:rsidRDefault="00252848" w:rsidP="00C9582F">
      <w:pPr>
        <w:jc w:val="center"/>
        <w:rPr>
          <w:b/>
          <w:bCs/>
          <w:color w:val="000000" w:themeColor="text1"/>
          <w:sz w:val="28"/>
          <w:szCs w:val="28"/>
          <w:bdr w:val="none" w:sz="0" w:space="0" w:color="auto" w:frame="1"/>
          <w:lang w:val="kk-KZ"/>
        </w:rPr>
      </w:pPr>
      <w:r w:rsidRPr="00D549EE">
        <w:rPr>
          <w:b/>
          <w:bCs/>
          <w:noProof/>
          <w:color w:val="000000" w:themeColor="text1"/>
          <w:sz w:val="28"/>
          <w:szCs w:val="28"/>
          <w:bdr w:val="none" w:sz="0" w:space="0" w:color="auto" w:frame="1"/>
        </w:rPr>
        <w:drawing>
          <wp:inline distT="0" distB="0" distL="0" distR="0" wp14:anchorId="5FBBF8C4" wp14:editId="25E37816">
            <wp:extent cx="5486400" cy="3135617"/>
            <wp:effectExtent l="0" t="19050" r="0" b="4635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42E89BF" w14:textId="251D8859" w:rsidR="00ED1FCF" w:rsidRPr="00D549EE" w:rsidRDefault="00252848" w:rsidP="00C9582F">
      <w:pPr>
        <w:jc w:val="center"/>
        <w:rPr>
          <w:b/>
          <w:bCs/>
          <w:color w:val="000000" w:themeColor="text1"/>
          <w:sz w:val="28"/>
          <w:szCs w:val="28"/>
          <w:bdr w:val="none" w:sz="0" w:space="0" w:color="auto" w:frame="1"/>
          <w:lang w:val="kk-KZ"/>
        </w:rPr>
      </w:pPr>
      <w:r w:rsidRPr="00D549EE">
        <w:rPr>
          <w:bCs/>
          <w:color w:val="000000" w:themeColor="text1"/>
          <w:sz w:val="28"/>
          <w:szCs w:val="28"/>
          <w:bdr w:val="none" w:sz="0" w:space="0" w:color="auto" w:frame="1"/>
          <w:lang w:val="en-US"/>
        </w:rPr>
        <w:t xml:space="preserve">Figure </w:t>
      </w:r>
      <w:r w:rsidR="00DE67F2" w:rsidRPr="00D549EE">
        <w:rPr>
          <w:bCs/>
          <w:color w:val="000000" w:themeColor="text1"/>
          <w:sz w:val="28"/>
          <w:szCs w:val="28"/>
          <w:bdr w:val="none" w:sz="0" w:space="0" w:color="auto" w:frame="1"/>
          <w:lang w:val="en-US"/>
        </w:rPr>
        <w:t>20</w:t>
      </w:r>
      <w:r w:rsidR="00ED1FCF" w:rsidRPr="00D549EE">
        <w:rPr>
          <w:b/>
          <w:bCs/>
          <w:color w:val="000000" w:themeColor="text1"/>
          <w:sz w:val="28"/>
          <w:szCs w:val="28"/>
          <w:bdr w:val="none" w:sz="0" w:space="0" w:color="auto" w:frame="1"/>
          <w:lang w:val="en-US"/>
        </w:rPr>
        <w:t xml:space="preserve"> </w:t>
      </w:r>
      <w:r w:rsidR="00ED1FCF" w:rsidRPr="00D549EE">
        <w:rPr>
          <w:sz w:val="28"/>
          <w:szCs w:val="28"/>
          <w:lang w:val="en-US"/>
        </w:rPr>
        <w:t>–</w:t>
      </w:r>
      <w:r w:rsidRPr="00D549EE">
        <w:rPr>
          <w:b/>
          <w:bCs/>
          <w:color w:val="000000" w:themeColor="text1"/>
          <w:sz w:val="28"/>
          <w:szCs w:val="28"/>
          <w:bdr w:val="none" w:sz="0" w:space="0" w:color="auto" w:frame="1"/>
          <w:lang w:val="en-US"/>
        </w:rPr>
        <w:t xml:space="preserve"> </w:t>
      </w:r>
      <w:r w:rsidRPr="00D549EE">
        <w:rPr>
          <w:color w:val="000000" w:themeColor="text1"/>
          <w:sz w:val="28"/>
          <w:szCs w:val="28"/>
          <w:bdr w:val="none" w:sz="0" w:space="0" w:color="auto" w:frame="1"/>
          <w:lang w:val="en-US"/>
        </w:rPr>
        <w:t>Institutional structure for zakat management in Kazakhstan</w:t>
      </w:r>
      <w:r w:rsidRPr="00D549EE">
        <w:rPr>
          <w:color w:val="000000" w:themeColor="text1"/>
          <w:sz w:val="28"/>
          <w:szCs w:val="28"/>
          <w:bdr w:val="none" w:sz="0" w:space="0" w:color="auto" w:frame="1"/>
          <w:lang w:val="en-US"/>
        </w:rPr>
        <w:tab/>
        <w:t>.</w:t>
      </w:r>
    </w:p>
    <w:p w14:paraId="2DF963F0" w14:textId="77777777" w:rsidR="006644D6" w:rsidRPr="00D549EE" w:rsidRDefault="00ED1FCF" w:rsidP="00C9582F">
      <w:pPr>
        <w:rPr>
          <w:color w:val="000000" w:themeColor="text1"/>
          <w:bdr w:val="none" w:sz="0" w:space="0" w:color="auto" w:frame="1"/>
          <w:lang w:val="kk-KZ"/>
        </w:rPr>
      </w:pPr>
      <w:r w:rsidRPr="00D549EE">
        <w:rPr>
          <w:color w:val="000000" w:themeColor="text1"/>
          <w:bdr w:val="none" w:sz="0" w:space="0" w:color="auto" w:frame="1"/>
          <w:lang w:val="kk-KZ"/>
        </w:rPr>
        <w:tab/>
      </w:r>
    </w:p>
    <w:p w14:paraId="3B6B07B8" w14:textId="537BB67E" w:rsidR="00ED1FCF" w:rsidRPr="00D549EE" w:rsidRDefault="006644D6" w:rsidP="00C9582F">
      <w:pPr>
        <w:rPr>
          <w:color w:val="000000" w:themeColor="text1"/>
          <w:bdr w:val="none" w:sz="0" w:space="0" w:color="auto" w:frame="1"/>
          <w:lang w:val="en-US"/>
        </w:rPr>
      </w:pPr>
      <w:r w:rsidRPr="00D549EE">
        <w:rPr>
          <w:color w:val="000000" w:themeColor="text1"/>
          <w:bdr w:val="none" w:sz="0" w:space="0" w:color="auto" w:frame="1"/>
          <w:lang w:val="kk-KZ"/>
        </w:rPr>
        <w:tab/>
      </w:r>
      <w:r w:rsidR="00252848" w:rsidRPr="00D549EE">
        <w:rPr>
          <w:color w:val="000000" w:themeColor="text1"/>
          <w:bdr w:val="none" w:sz="0" w:space="0" w:color="auto" w:frame="1"/>
          <w:lang w:val="en-US"/>
        </w:rPr>
        <w:t xml:space="preserve">Note: Compiled by the author. </w:t>
      </w:r>
    </w:p>
    <w:p w14:paraId="58FB8B76" w14:textId="77777777" w:rsidR="007A6DDF" w:rsidRPr="00D549EE" w:rsidRDefault="007A6DDF" w:rsidP="00C9582F">
      <w:pPr>
        <w:rPr>
          <w:b/>
          <w:bCs/>
          <w:color w:val="000000" w:themeColor="text1"/>
          <w:sz w:val="28"/>
          <w:szCs w:val="28"/>
          <w:bdr w:val="none" w:sz="0" w:space="0" w:color="auto" w:frame="1"/>
          <w:lang w:val="kk-KZ"/>
        </w:rPr>
      </w:pPr>
    </w:p>
    <w:p w14:paraId="41B5B4B2" w14:textId="7E6619E2" w:rsidR="00ED1FCF" w:rsidRPr="00D549EE" w:rsidRDefault="00B45EA1" w:rsidP="00B45EA1">
      <w:pPr>
        <w:ind w:firstLine="708"/>
        <w:jc w:val="both"/>
        <w:rPr>
          <w:bCs/>
          <w:color w:val="000000" w:themeColor="text1"/>
          <w:sz w:val="28"/>
          <w:szCs w:val="28"/>
          <w:bdr w:val="none" w:sz="0" w:space="0" w:color="auto" w:frame="1"/>
          <w:lang w:val="en-US"/>
        </w:rPr>
      </w:pPr>
      <w:r w:rsidRPr="00B45EA1">
        <w:rPr>
          <w:color w:val="000000" w:themeColor="text1"/>
          <w:sz w:val="28"/>
          <w:szCs w:val="28"/>
          <w:bdr w:val="none" w:sz="0" w:space="0" w:color="auto" w:frame="1"/>
          <w:lang w:val="en-US"/>
        </w:rPr>
        <w:t>The fund has its base of needy and poor people, and the base at the country's level is under development, which will allow generating all needy people by Taxpayer identification number for all regions.</w:t>
      </w:r>
      <w:r w:rsidR="009679A7" w:rsidRPr="00D549EE">
        <w:rPr>
          <w:bCs/>
          <w:color w:val="000000" w:themeColor="text1"/>
          <w:sz w:val="28"/>
          <w:szCs w:val="28"/>
          <w:bdr w:val="none" w:sz="0" w:space="0" w:color="auto" w:frame="1"/>
          <w:lang w:val="en-US"/>
        </w:rPr>
        <w:t xml:space="preserve"> </w:t>
      </w:r>
    </w:p>
    <w:p w14:paraId="36B9D013" w14:textId="33410F1D" w:rsidR="009679A7" w:rsidRPr="00D549EE" w:rsidRDefault="000B70C4" w:rsidP="00C9582F">
      <w:pPr>
        <w:ind w:firstLine="708"/>
        <w:jc w:val="both"/>
        <w:rPr>
          <w:bCs/>
          <w:color w:val="000000" w:themeColor="text1"/>
          <w:sz w:val="28"/>
          <w:szCs w:val="28"/>
          <w:bdr w:val="none" w:sz="0" w:space="0" w:color="auto" w:frame="1"/>
          <w:lang w:val="en-US"/>
        </w:rPr>
      </w:pPr>
      <w:r w:rsidRPr="00D549EE">
        <w:rPr>
          <w:bCs/>
          <w:color w:val="000000" w:themeColor="text1"/>
          <w:sz w:val="28"/>
          <w:szCs w:val="28"/>
          <w:bdr w:val="none" w:sz="0" w:space="0" w:color="auto" w:frame="1"/>
          <w:lang w:val="en-US"/>
        </w:rPr>
        <w:t xml:space="preserve"> </w:t>
      </w:r>
      <w:r w:rsidR="00EC55FE" w:rsidRPr="00D549EE">
        <w:rPr>
          <w:bCs/>
          <w:color w:val="000000" w:themeColor="text1"/>
          <w:sz w:val="28"/>
          <w:szCs w:val="28"/>
          <w:bdr w:val="none" w:sz="0" w:space="0" w:color="auto" w:frame="1"/>
          <w:lang w:val="en-US"/>
        </w:rPr>
        <w:t xml:space="preserve"> </w:t>
      </w:r>
    </w:p>
    <w:p w14:paraId="72636D59" w14:textId="202EDE88" w:rsidR="00E951F8" w:rsidRPr="00D549EE" w:rsidRDefault="00E951F8" w:rsidP="00C9582F">
      <w:pPr>
        <w:jc w:val="both"/>
        <w:rPr>
          <w:color w:val="000000" w:themeColor="text1"/>
          <w:bdr w:val="none" w:sz="0" w:space="0" w:color="auto" w:frame="1"/>
          <w:lang w:val="en-US"/>
        </w:rPr>
      </w:pPr>
      <w:r w:rsidRPr="00D549EE">
        <w:rPr>
          <w:bCs/>
          <w:color w:val="000000" w:themeColor="text1"/>
          <w:sz w:val="28"/>
          <w:szCs w:val="28"/>
          <w:bdr w:val="none" w:sz="0" w:space="0" w:color="auto" w:frame="1"/>
          <w:lang w:val="en-US"/>
        </w:rPr>
        <w:t xml:space="preserve">Table </w:t>
      </w:r>
      <w:r w:rsidR="00833F32" w:rsidRPr="00D549EE">
        <w:rPr>
          <w:bCs/>
          <w:color w:val="000000" w:themeColor="text1"/>
          <w:sz w:val="28"/>
          <w:szCs w:val="28"/>
          <w:bdr w:val="none" w:sz="0" w:space="0" w:color="auto" w:frame="1"/>
          <w:lang w:val="en-US"/>
        </w:rPr>
        <w:t>32</w:t>
      </w:r>
      <w:r w:rsidR="00ED1FCF" w:rsidRPr="00D549EE">
        <w:rPr>
          <w:bCs/>
          <w:color w:val="000000" w:themeColor="text1"/>
          <w:sz w:val="28"/>
          <w:szCs w:val="28"/>
          <w:bdr w:val="none" w:sz="0" w:space="0" w:color="auto" w:frame="1"/>
          <w:lang w:val="en-US"/>
        </w:rPr>
        <w:t xml:space="preserve"> </w:t>
      </w:r>
      <w:r w:rsidR="00ED1FCF" w:rsidRPr="00D549EE">
        <w:rPr>
          <w:sz w:val="28"/>
          <w:szCs w:val="28"/>
          <w:lang w:val="en-US"/>
        </w:rPr>
        <w:t>–</w:t>
      </w:r>
      <w:r w:rsidRPr="00D549EE">
        <w:rPr>
          <w:color w:val="000000" w:themeColor="text1"/>
          <w:sz w:val="28"/>
          <w:szCs w:val="28"/>
          <w:bdr w:val="none" w:sz="0" w:space="0" w:color="auto" w:frame="1"/>
          <w:lang w:val="en-US"/>
        </w:rPr>
        <w:t xml:space="preserve"> The amount of Zakat and charity provided by the Zeket F</w:t>
      </w:r>
      <w:r w:rsidR="00A655E2" w:rsidRPr="00D549EE">
        <w:rPr>
          <w:color w:val="000000" w:themeColor="text1"/>
          <w:sz w:val="28"/>
          <w:szCs w:val="28"/>
          <w:bdr w:val="none" w:sz="0" w:space="0" w:color="auto" w:frame="1"/>
          <w:lang w:val="en-US"/>
        </w:rPr>
        <w:t>ou</w:t>
      </w:r>
      <w:r w:rsidRPr="00D549EE">
        <w:rPr>
          <w:color w:val="000000" w:themeColor="text1"/>
          <w:sz w:val="28"/>
          <w:szCs w:val="28"/>
          <w:bdr w:val="none" w:sz="0" w:space="0" w:color="auto" w:frame="1"/>
          <w:lang w:val="en-US"/>
        </w:rPr>
        <w:t>nd</w:t>
      </w:r>
      <w:r w:rsidR="00A655E2" w:rsidRPr="00D549EE">
        <w:rPr>
          <w:color w:val="000000" w:themeColor="text1"/>
          <w:sz w:val="28"/>
          <w:szCs w:val="28"/>
          <w:bdr w:val="none" w:sz="0" w:space="0" w:color="auto" w:frame="1"/>
          <w:lang w:val="en-US"/>
        </w:rPr>
        <w:t>ation</w:t>
      </w:r>
    </w:p>
    <w:p w14:paraId="62DE3398" w14:textId="016E407D" w:rsidR="00E951F8" w:rsidRPr="00D549EE" w:rsidRDefault="00E951F8" w:rsidP="00C9582F">
      <w:pPr>
        <w:ind w:firstLine="708"/>
        <w:rPr>
          <w:color w:val="000000" w:themeColor="text1"/>
          <w:sz w:val="28"/>
          <w:szCs w:val="28"/>
          <w:bdr w:val="none" w:sz="0" w:space="0" w:color="auto" w:frame="1"/>
          <w:lang w:val="en-US"/>
        </w:rPr>
      </w:pPr>
    </w:p>
    <w:tbl>
      <w:tblPr>
        <w:tblStyle w:val="a9"/>
        <w:tblW w:w="0" w:type="auto"/>
        <w:tblLook w:val="04A0" w:firstRow="1" w:lastRow="0" w:firstColumn="1" w:lastColumn="0" w:noHBand="0" w:noVBand="1"/>
      </w:tblPr>
      <w:tblGrid>
        <w:gridCol w:w="3103"/>
        <w:gridCol w:w="1547"/>
        <w:gridCol w:w="1930"/>
        <w:gridCol w:w="1597"/>
        <w:gridCol w:w="1446"/>
      </w:tblGrid>
      <w:tr w:rsidR="003F46EC" w:rsidRPr="00D549EE" w14:paraId="3AE6ABFD" w14:textId="6C517843" w:rsidTr="003F46EC">
        <w:tc>
          <w:tcPr>
            <w:tcW w:w="3405" w:type="dxa"/>
          </w:tcPr>
          <w:p w14:paraId="7E2EBE43" w14:textId="0538EBFC"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Year</w:t>
            </w:r>
          </w:p>
        </w:tc>
        <w:tc>
          <w:tcPr>
            <w:tcW w:w="1577" w:type="dxa"/>
          </w:tcPr>
          <w:p w14:paraId="6245FEA2" w14:textId="752216BF"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2011-2012</w:t>
            </w:r>
          </w:p>
        </w:tc>
        <w:tc>
          <w:tcPr>
            <w:tcW w:w="1835" w:type="dxa"/>
          </w:tcPr>
          <w:p w14:paraId="10CA45DB" w14:textId="5F7B86AD"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2018</w:t>
            </w:r>
          </w:p>
        </w:tc>
        <w:tc>
          <w:tcPr>
            <w:tcW w:w="1390" w:type="dxa"/>
          </w:tcPr>
          <w:p w14:paraId="26A378A0" w14:textId="064749C1"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2019</w:t>
            </w:r>
            <w:r w:rsidR="00D22B08" w:rsidRPr="00D549EE">
              <w:rPr>
                <w:color w:val="000000" w:themeColor="text1"/>
                <w:bdr w:val="none" w:sz="0" w:space="0" w:color="auto" w:frame="1"/>
                <w:lang w:val="en-US"/>
              </w:rPr>
              <w:t>*</w:t>
            </w:r>
          </w:p>
        </w:tc>
        <w:tc>
          <w:tcPr>
            <w:tcW w:w="1416" w:type="dxa"/>
          </w:tcPr>
          <w:p w14:paraId="0C7F8972" w14:textId="77E516CD"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2020</w:t>
            </w:r>
            <w:r w:rsidR="00D22B08" w:rsidRPr="00D549EE">
              <w:rPr>
                <w:color w:val="000000" w:themeColor="text1"/>
                <w:bdr w:val="none" w:sz="0" w:space="0" w:color="auto" w:frame="1"/>
                <w:lang w:val="en-US"/>
              </w:rPr>
              <w:t>*</w:t>
            </w:r>
          </w:p>
        </w:tc>
      </w:tr>
      <w:tr w:rsidR="003F46EC" w:rsidRPr="00D549EE" w14:paraId="43ABEC61" w14:textId="13C88B7F" w:rsidTr="003F46EC">
        <w:tc>
          <w:tcPr>
            <w:tcW w:w="3405" w:type="dxa"/>
          </w:tcPr>
          <w:p w14:paraId="3E60E30D" w14:textId="4C596A43"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Total amount of social assistance by Fund (thousand tenge)</w:t>
            </w:r>
          </w:p>
        </w:tc>
        <w:tc>
          <w:tcPr>
            <w:tcW w:w="1577" w:type="dxa"/>
          </w:tcPr>
          <w:p w14:paraId="25F330E8" w14:textId="604A6BE3"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52 682</w:t>
            </w:r>
          </w:p>
        </w:tc>
        <w:tc>
          <w:tcPr>
            <w:tcW w:w="1835" w:type="dxa"/>
          </w:tcPr>
          <w:p w14:paraId="5B2C0AEC" w14:textId="2E4008CC"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rPr>
              <w:t>288 779.</w:t>
            </w:r>
            <w:r w:rsidRPr="00D549EE">
              <w:rPr>
                <w:color w:val="000000" w:themeColor="text1"/>
                <w:bdr w:val="none" w:sz="0" w:space="0" w:color="auto" w:frame="1"/>
                <w:lang w:val="en-US"/>
              </w:rPr>
              <w:t>8</w:t>
            </w:r>
          </w:p>
        </w:tc>
        <w:tc>
          <w:tcPr>
            <w:tcW w:w="1390" w:type="dxa"/>
          </w:tcPr>
          <w:p w14:paraId="78DC222E" w14:textId="79EB1DDA" w:rsidR="00125232" w:rsidRPr="00D549EE" w:rsidRDefault="00D22B08" w:rsidP="00C9582F">
            <w:pPr>
              <w:rPr>
                <w:color w:val="000000" w:themeColor="text1"/>
                <w:bdr w:val="none" w:sz="0" w:space="0" w:color="auto" w:frame="1"/>
                <w:lang w:val="en-US"/>
              </w:rPr>
            </w:pPr>
            <w:r w:rsidRPr="00D549EE">
              <w:rPr>
                <w:color w:val="000000" w:themeColor="text1"/>
                <w:bdr w:val="none" w:sz="0" w:space="0" w:color="auto" w:frame="1"/>
                <w:lang w:val="en-US"/>
              </w:rPr>
              <w:t>424 927.5</w:t>
            </w:r>
          </w:p>
        </w:tc>
        <w:tc>
          <w:tcPr>
            <w:tcW w:w="1416" w:type="dxa"/>
          </w:tcPr>
          <w:p w14:paraId="0F9C39A4" w14:textId="0C43639F" w:rsidR="00125232" w:rsidRPr="00D549EE" w:rsidRDefault="00D22B08" w:rsidP="00C9582F">
            <w:pPr>
              <w:rPr>
                <w:color w:val="000000" w:themeColor="text1"/>
                <w:bdr w:val="none" w:sz="0" w:space="0" w:color="auto" w:frame="1"/>
                <w:lang w:val="en-US"/>
              </w:rPr>
            </w:pPr>
            <w:r w:rsidRPr="00D549EE">
              <w:rPr>
                <w:color w:val="000000" w:themeColor="text1"/>
                <w:bdr w:val="none" w:sz="0" w:space="0" w:color="auto" w:frame="1"/>
                <w:lang w:val="en-US"/>
              </w:rPr>
              <w:t>2</w:t>
            </w:r>
            <w:r w:rsidR="003F46EC" w:rsidRPr="00D549EE">
              <w:rPr>
                <w:color w:val="000000" w:themeColor="text1"/>
                <w:bdr w:val="none" w:sz="0" w:space="0" w:color="auto" w:frame="1"/>
                <w:lang w:val="en-US"/>
              </w:rPr>
              <w:t xml:space="preserve"> </w:t>
            </w:r>
            <w:r w:rsidRPr="00D549EE">
              <w:rPr>
                <w:color w:val="000000" w:themeColor="text1"/>
                <w:bdr w:val="none" w:sz="0" w:space="0" w:color="auto" w:frame="1"/>
                <w:lang w:val="en-US"/>
              </w:rPr>
              <w:t>836</w:t>
            </w:r>
            <w:r w:rsidR="003F46EC" w:rsidRPr="00D549EE">
              <w:rPr>
                <w:color w:val="000000" w:themeColor="text1"/>
                <w:bdr w:val="none" w:sz="0" w:space="0" w:color="auto" w:frame="1"/>
                <w:lang w:val="en-US"/>
              </w:rPr>
              <w:t xml:space="preserve"> </w:t>
            </w:r>
            <w:r w:rsidRPr="00D549EE">
              <w:rPr>
                <w:color w:val="000000" w:themeColor="text1"/>
                <w:bdr w:val="none" w:sz="0" w:space="0" w:color="auto" w:frame="1"/>
                <w:lang w:val="en-US"/>
              </w:rPr>
              <w:t>075.9</w:t>
            </w:r>
          </w:p>
        </w:tc>
      </w:tr>
      <w:tr w:rsidR="003F46EC" w:rsidRPr="00D549EE" w14:paraId="6B653F4F" w14:textId="775C0C63" w:rsidTr="003F46EC">
        <w:tc>
          <w:tcPr>
            <w:tcW w:w="3405" w:type="dxa"/>
          </w:tcPr>
          <w:p w14:paraId="6A992002" w14:textId="45DF99DE" w:rsidR="00D22B08"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Number of families received social assistance from Fund</w:t>
            </w:r>
          </w:p>
        </w:tc>
        <w:tc>
          <w:tcPr>
            <w:tcW w:w="1577" w:type="dxa"/>
          </w:tcPr>
          <w:p w14:paraId="0F6DDF85" w14:textId="565317CB"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w:t>
            </w:r>
          </w:p>
        </w:tc>
        <w:tc>
          <w:tcPr>
            <w:tcW w:w="1835" w:type="dxa"/>
          </w:tcPr>
          <w:p w14:paraId="0524AF49" w14:textId="33AF1E2C" w:rsidR="00125232" w:rsidRPr="00D549EE" w:rsidRDefault="00125232" w:rsidP="00C9582F">
            <w:pPr>
              <w:rPr>
                <w:color w:val="000000" w:themeColor="text1"/>
                <w:bdr w:val="none" w:sz="0" w:space="0" w:color="auto" w:frame="1"/>
                <w:lang w:val="en-US"/>
              </w:rPr>
            </w:pPr>
            <w:r w:rsidRPr="00D549EE">
              <w:rPr>
                <w:color w:val="000000" w:themeColor="text1"/>
                <w:bdr w:val="none" w:sz="0" w:space="0" w:color="auto" w:frame="1"/>
                <w:lang w:val="en-US"/>
              </w:rPr>
              <w:t>55 620</w:t>
            </w:r>
          </w:p>
        </w:tc>
        <w:tc>
          <w:tcPr>
            <w:tcW w:w="1390" w:type="dxa"/>
          </w:tcPr>
          <w:p w14:paraId="2D4967B9" w14:textId="486F1711" w:rsidR="00125232" w:rsidRPr="00D549EE" w:rsidRDefault="00D22B08" w:rsidP="00C9582F">
            <w:pPr>
              <w:rPr>
                <w:color w:val="000000" w:themeColor="text1"/>
                <w:bdr w:val="none" w:sz="0" w:space="0" w:color="auto" w:frame="1"/>
                <w:lang w:val="en-US"/>
              </w:rPr>
            </w:pPr>
            <w:r w:rsidRPr="00D549EE">
              <w:rPr>
                <w:color w:val="000000" w:themeColor="text1"/>
                <w:bdr w:val="none" w:sz="0" w:space="0" w:color="auto" w:frame="1"/>
                <w:lang w:val="en-US"/>
              </w:rPr>
              <w:t>73 000</w:t>
            </w:r>
          </w:p>
        </w:tc>
        <w:tc>
          <w:tcPr>
            <w:tcW w:w="1416" w:type="dxa"/>
          </w:tcPr>
          <w:p w14:paraId="21541A91" w14:textId="44ABC37D" w:rsidR="00125232" w:rsidRPr="00D549EE" w:rsidRDefault="00D22B08" w:rsidP="00C9582F">
            <w:pPr>
              <w:rPr>
                <w:color w:val="000000" w:themeColor="text1"/>
                <w:bdr w:val="none" w:sz="0" w:space="0" w:color="auto" w:frame="1"/>
                <w:lang w:val="en-US"/>
              </w:rPr>
            </w:pPr>
            <w:r w:rsidRPr="00D549EE">
              <w:rPr>
                <w:color w:val="000000" w:themeColor="text1"/>
                <w:bdr w:val="none" w:sz="0" w:space="0" w:color="auto" w:frame="1"/>
                <w:lang w:val="en-US"/>
              </w:rPr>
              <w:t>297 000</w:t>
            </w:r>
          </w:p>
        </w:tc>
      </w:tr>
      <w:tr w:rsidR="00D22B08" w:rsidRPr="00FC685D" w14:paraId="520ADCA8" w14:textId="328BF608" w:rsidTr="003F46EC">
        <w:tc>
          <w:tcPr>
            <w:tcW w:w="0" w:type="auto"/>
            <w:gridSpan w:val="5"/>
          </w:tcPr>
          <w:p w14:paraId="781C0C72" w14:textId="77777777" w:rsidR="00B66C1C" w:rsidRPr="00D549EE" w:rsidRDefault="00833F32" w:rsidP="00C9582F">
            <w:pPr>
              <w:rPr>
                <w:color w:val="000000" w:themeColor="text1"/>
                <w:bdr w:val="none" w:sz="0" w:space="0" w:color="auto" w:frame="1"/>
                <w:lang w:val="en-US"/>
              </w:rPr>
            </w:pPr>
            <w:r w:rsidRPr="00D549EE">
              <w:rPr>
                <w:color w:val="000000" w:themeColor="text1"/>
                <w:bdr w:val="none" w:sz="0" w:space="0" w:color="auto" w:frame="1"/>
                <w:lang w:val="en-US"/>
              </w:rPr>
              <w:t xml:space="preserve">         </w:t>
            </w:r>
            <w:r w:rsidR="00D22B08" w:rsidRPr="00D549EE">
              <w:rPr>
                <w:color w:val="000000" w:themeColor="text1"/>
                <w:bdr w:val="none" w:sz="0" w:space="0" w:color="auto" w:frame="1"/>
                <w:lang w:val="en-US"/>
              </w:rPr>
              <w:t>Note</w:t>
            </w:r>
            <w:r w:rsidR="00B66C1C" w:rsidRPr="00D549EE">
              <w:rPr>
                <w:color w:val="000000" w:themeColor="text1"/>
                <w:bdr w:val="none" w:sz="0" w:space="0" w:color="auto" w:frame="1"/>
                <w:lang w:val="en-US"/>
              </w:rPr>
              <w:t>s</w:t>
            </w:r>
          </w:p>
          <w:p w14:paraId="13CCFEA1" w14:textId="77777777" w:rsidR="00B66C1C" w:rsidRPr="00D549EE" w:rsidRDefault="00B66C1C" w:rsidP="00C9582F">
            <w:pPr>
              <w:rPr>
                <w:color w:val="000000" w:themeColor="text1"/>
                <w:bdr w:val="none" w:sz="0" w:space="0" w:color="auto" w:frame="1"/>
                <w:lang w:val="en-US"/>
              </w:rPr>
            </w:pPr>
            <w:r w:rsidRPr="00D549EE">
              <w:rPr>
                <w:color w:val="000000" w:themeColor="text1"/>
                <w:bdr w:val="none" w:sz="0" w:space="0" w:color="auto" w:frame="1"/>
                <w:lang w:val="en-US"/>
              </w:rPr>
              <w:t xml:space="preserve">         1 </w:t>
            </w:r>
            <w:r w:rsidR="00D22B08" w:rsidRPr="00D549EE">
              <w:rPr>
                <w:color w:val="000000" w:themeColor="text1"/>
                <w:bdr w:val="none" w:sz="0" w:space="0" w:color="auto" w:frame="1"/>
                <w:lang w:val="en-US"/>
              </w:rPr>
              <w:t xml:space="preserve">Source </w:t>
            </w:r>
            <w:r w:rsidR="00D22B08" w:rsidRPr="00D549EE">
              <w:rPr>
                <w:color w:val="000000" w:themeColor="text1"/>
                <w:bdr w:val="none" w:sz="0" w:space="0" w:color="auto" w:frame="1"/>
                <w:lang w:val="en-US"/>
              </w:rPr>
              <w:fldChar w:fldCharType="begin" w:fldLock="1"/>
            </w:r>
            <w:r w:rsidR="00023147" w:rsidRPr="00D549EE">
              <w:rPr>
                <w:color w:val="000000" w:themeColor="text1"/>
                <w:bdr w:val="none" w:sz="0" w:space="0" w:color="auto" w:frame="1"/>
                <w:lang w:val="en-US"/>
              </w:rPr>
              <w:instrText>ADDIN CSL_CITATION {"citationItems":[{"id":"ITEM-1","itemData":{"DOI":"10.13140/RG.2.2.26825.44645","author":[{"dropping-particle":"","family":"Obaidullah","given":"Mohammed","non-dropping-particle":"","parse-names":false,"suffix":""},{"dropping-particle":"","family":"Shirazi","given":"Nasim Shah","non-dropping-particle":"","parse-names":false,"suffix":""}],"id":"ITEM-1","issue":"June","issued":{"date-parts":[["2018"]]},"title":"IRTI Islamic Social Finance Report 2017","type":"report"},"uris":["http://www.mendeley.com/documents/?uuid=2a172905-4071-4867-8b6e-dd68c5d1c668"]}],"mendeley":{"formattedCitation":"[69]","plainTextFormattedCitation":"[69]","previouslyFormattedCitation":"[69]"},"properties":{"noteIndex":0},"schema":"https://github.com/citation-style-language/schema/raw/master/csl-citation.json"}</w:instrText>
            </w:r>
            <w:r w:rsidR="00D22B08" w:rsidRPr="00D549EE">
              <w:rPr>
                <w:color w:val="000000" w:themeColor="text1"/>
                <w:bdr w:val="none" w:sz="0" w:space="0" w:color="auto" w:frame="1"/>
                <w:lang w:val="en-US"/>
              </w:rPr>
              <w:fldChar w:fldCharType="separate"/>
            </w:r>
            <w:r w:rsidR="009147BE" w:rsidRPr="00D549EE">
              <w:rPr>
                <w:noProof/>
                <w:color w:val="000000" w:themeColor="text1"/>
                <w:bdr w:val="none" w:sz="0" w:space="0" w:color="auto" w:frame="1"/>
                <w:lang w:val="en-US"/>
              </w:rPr>
              <w:t>[69]</w:t>
            </w:r>
            <w:r w:rsidR="00D22B08" w:rsidRPr="00D549EE">
              <w:rPr>
                <w:color w:val="000000" w:themeColor="text1"/>
                <w:bdr w:val="none" w:sz="0" w:space="0" w:color="auto" w:frame="1"/>
                <w:lang w:val="en-US"/>
              </w:rPr>
              <w:fldChar w:fldCharType="end"/>
            </w:r>
            <w:r w:rsidR="00D22B08" w:rsidRPr="00D549EE">
              <w:rPr>
                <w:color w:val="000000" w:themeColor="text1"/>
                <w:bdr w:val="none" w:sz="0" w:space="0" w:color="auto" w:frame="1"/>
                <w:lang w:val="en-US"/>
              </w:rPr>
              <w:t xml:space="preserve"> </w:t>
            </w:r>
          </w:p>
          <w:p w14:paraId="3E6A6414" w14:textId="6F92B3CE" w:rsidR="00D22B08" w:rsidRPr="00D549EE" w:rsidRDefault="00B66C1C" w:rsidP="00C9582F">
            <w:pPr>
              <w:rPr>
                <w:color w:val="000000" w:themeColor="text1"/>
                <w:bdr w:val="none" w:sz="0" w:space="0" w:color="auto" w:frame="1"/>
                <w:lang w:val="en-US"/>
              </w:rPr>
            </w:pPr>
            <w:r w:rsidRPr="00D549EE">
              <w:rPr>
                <w:color w:val="000000" w:themeColor="text1"/>
                <w:bdr w:val="none" w:sz="0" w:space="0" w:color="auto" w:frame="1"/>
                <w:lang w:val="en-US"/>
              </w:rPr>
              <w:t xml:space="preserve">         2 E</w:t>
            </w:r>
            <w:r w:rsidR="00D22B08" w:rsidRPr="00D549EE">
              <w:rPr>
                <w:color w:val="000000" w:themeColor="text1"/>
                <w:bdr w:val="none" w:sz="0" w:space="0" w:color="auto" w:frame="1"/>
                <w:lang w:val="en-US"/>
              </w:rPr>
              <w:t xml:space="preserve">stimated according the average assistance per family for previous year, and price per </w:t>
            </w:r>
            <w:r w:rsidRPr="00D549EE">
              <w:rPr>
                <w:color w:val="000000" w:themeColor="text1"/>
                <w:bdr w:val="none" w:sz="0" w:space="0" w:color="auto" w:frame="1"/>
                <w:lang w:val="en-US"/>
              </w:rPr>
              <w:t xml:space="preserve">   </w:t>
            </w:r>
            <w:r w:rsidR="00D22B08" w:rsidRPr="00D549EE">
              <w:rPr>
                <w:color w:val="000000" w:themeColor="text1"/>
                <w:bdr w:val="none" w:sz="0" w:space="0" w:color="auto" w:frame="1"/>
                <w:lang w:val="en-US"/>
              </w:rPr>
              <w:t>square meter of housing for considered year</w:t>
            </w:r>
          </w:p>
        </w:tc>
      </w:tr>
    </w:tbl>
    <w:p w14:paraId="7DACAEF5" w14:textId="0BE58DB5" w:rsidR="00E951F8" w:rsidRPr="00D549EE" w:rsidRDefault="00E951F8" w:rsidP="00C9582F">
      <w:pPr>
        <w:ind w:firstLine="708"/>
        <w:rPr>
          <w:color w:val="000000" w:themeColor="text1"/>
          <w:sz w:val="28"/>
          <w:szCs w:val="28"/>
          <w:bdr w:val="none" w:sz="0" w:space="0" w:color="auto" w:frame="1"/>
          <w:lang w:val="en-US"/>
        </w:rPr>
      </w:pPr>
    </w:p>
    <w:p w14:paraId="6829548F" w14:textId="4292180E"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 xml:space="preserve">The primary purpose of creating this base is to form reporting of social assistance, as there will be information which many times in tear/month, in which amount and form the person was assisted. It will avoid speculation among people who requested social assistance. It must be noted that all developments of the platforms (website, application, and base) are financed by the donators and sponsors especially attracted to these developments, not from the zakat collection. </w:t>
      </w:r>
    </w:p>
    <w:p w14:paraId="149DD3CF" w14:textId="3271608F"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From the data given in Table 32, the average amount of social assistance in the monetary term is 5 012 tenge per family. The total amount of social assistance by Zeket Fund (thousand tenge) is estimated according to the average assistance per family for the previous year and price per square meter of housing for the considered year, which is 200 379 tenge per square meter, according to the data of Bureau of National statistics. The total amount of zakat collection in the country is meager compared to the potential zakat collection estimated by researchers – 2.69%, and the author's estimation is 1.97% of GDP. It is a fact that historically religious organizations received the largest share of charitable donations, 31% of all donations globally [128].</w:t>
      </w:r>
    </w:p>
    <w:p w14:paraId="05D36838" w14:textId="5BADB7CF"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If turned into the waqf, it plays a significant role in economic development that is a consequence of the features of social nature. The key are enhancing economic progress, eradicating poverty, restoring income distribution, preventing deficit financing, and reducing government expenditure. According to IRTI, the World Bank estimated the potential global assets of waqf as being about 550-600 billion USD dollars [129].</w:t>
      </w:r>
    </w:p>
    <w:p w14:paraId="1A51F2C7"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 xml:space="preserve">The waqf system is a new concept for Kazakhstan, which demonstrates the mechanism of activating the small and medium businesses on the one hand and eradicating poverty in foreign experience. There are 2610 mosques and 10 Muslim religious, educational institutions in Kazakhstan, which can be considered waqf prosperity. As practice shows, the mosques and madrasahs belong to religious associations. According to the Law "On religious and religious associations," religious associations can own the property acquired or created by them at the expense of their funds or donated. Generally, there is a common practice of building mosques and madrasahs to raise funds by people. </w:t>
      </w:r>
    </w:p>
    <w:p w14:paraId="54DB8C3E" w14:textId="24A7FD50"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For a number of reasons, the waqf development of the country in its infant period is non-systematic and unorganized. The SAMK is the only official responsible religious body, as was noted before. The legislative framework of the charity is based on the general Law and consists of the Law "On charity," the Law "On non-commercial organizations," the Law "On religious activities and religious associations," Civil and Tax Codes, and others. There is no special law on Islamic social financial tools. According to the Law on the charity of the RK, the charity is a socially helpful activity based on the provision of charitable assistance and satisfaction of humane needs, which is free or on preferential terms in the form of philanthropic, sponsorship, and patronage activities and charitable organization is a non-profit organization established for charitable activities.</w:t>
      </w:r>
    </w:p>
    <w:p w14:paraId="059FF919" w14:textId="2A9B58BC"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 xml:space="preserve">The first attempt to create an official waqf institution was in 2017, and there has been established Uaqip corporate charity fund in cooperation with SAMK. The main goal of the fund's activity is based on three directions: improving state-confessional and inter-confessional relations, strengthening society's secular foundations, and preventing the use of religion for destructive purposes. The financing of the fund activity goes from voluntary donations from individuals and legal entities, and the generated amount is divided as 70% for the formation of an endowment and 30% for charitable projects. </w:t>
      </w:r>
    </w:p>
    <w:p w14:paraId="6523EE00" w14:textId="233E5DA5"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 xml:space="preserve">There are 36 charity funds in the country listed on the official website of the electronic government. The main function is to collect donations and transfer them to social and charity projects and assistance to the needy. However, the waqf system is based not only on the distribution of collected resources but also on the endowment, on investing collected resources in Shariah compliance projects with making profit purpose, which is (profit) distributed among beneficiaries. This mechanism of development charity involves donations to the economic activity and production and accumulation of profit.   </w:t>
      </w:r>
    </w:p>
    <w:p w14:paraId="2E6E5F80"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 xml:space="preserve">According to the Law, the income of a charitable organization is generated from the 8 sources: donation, bequest, or gratuitous transfer of property; voluntary donations; income from charity auctions; target capital (endowment); income from business activities and other sources. The generated income of the charity organizations is spent on single, multiple, or long-term charitable assistance, social advertising, and charitable organization activities. </w:t>
      </w:r>
    </w:p>
    <w:p w14:paraId="5B5281BF"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The 12 Article of the Law on Charity identifies the regulation of the endowment of the charity organization. If the target capital (endowment) exceeds the amount of one hundred million tenge (about 238 000 US dollars), the organization transfers the trust management of the endowment to the management company.</w:t>
      </w:r>
    </w:p>
    <w:p w14:paraId="07486AD6" w14:textId="463CBD7E"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 xml:space="preserve">There are restrictions in the legislative framework for the establishment and activity of the Waqf institutions in the country. However, by 6 Article of the Constitution of the RK, there are only two forms of the property – the private and state (government) properties. Many scholars have the same opinion regarding ownership of waqf assets and properties, identifying them "as if God owned it." It means that the property of the waqf fund must be public property without belonging to the individual or a state. This provides one of the most significant obstacles to the waqf institutions' development in the country from the Shariah compliance position.   </w:t>
      </w:r>
    </w:p>
    <w:p w14:paraId="00373D2F" w14:textId="19C218C3"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Kazakhstan ranks 115 of 146 countries by the indicator that measures the countries' achievements in the world in terms of the attitude of their population to charitable assistance (The World Giving Index). In Kazakhstan, only 10% of people of the urban population make donations for charitable purposes, 20% participate in volunteer activities, and 30% of the population provides small-scale assistance to those in need.</w:t>
      </w:r>
    </w:p>
    <w:p w14:paraId="6232D258"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 xml:space="preserve">In our opinion, there are three main issues and challenges in potential zakat fund and waqf fund development of the country: </w:t>
      </w:r>
    </w:p>
    <w:p w14:paraId="52BC627F" w14:textId="2CECF6BA"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 xml:space="preserve">The absence of a special legislative and regulatory framework led to ineffective collection and distribution; The not mentioning and absence of the definition of both meaning zakat and waqf even in general laws and property rights of funds are contradicted with Shariah decelerate the entrance into the country of international participants represented by Islamic development organizations and development banks. </w:t>
      </w:r>
    </w:p>
    <w:p w14:paraId="201B72E9" w14:textId="02BD22CE"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 xml:space="preserve">There are only several members in this area with limited resources and capacity, administration of which is carried out by the department of SAMK, also with limited capacities; </w:t>
      </w:r>
    </w:p>
    <w:p w14:paraId="58142724" w14:textId="5D8998F0"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 xml:space="preserve">And the low level of awareness of the population and business and lack of literacy about Islamic social instruments. This, in turn, impacts the institutional trust of the population and inefficient mobilization of zakat and waqf. </w:t>
      </w:r>
    </w:p>
    <w:p w14:paraId="182E6965" w14:textId="1B8BCECF" w:rsidR="009B7ADF" w:rsidRPr="009B7ADF" w:rsidRDefault="00C764F2" w:rsidP="009B7ADF">
      <w:pPr>
        <w:pStyle w:val="HTML"/>
        <w:tabs>
          <w:tab w:val="left" w:pos="709"/>
        </w:tabs>
        <w:contextualSpacing/>
        <w:rPr>
          <w:rFonts w:ascii="Times New Roman" w:hAnsi="Times New Roman" w:cs="Times New Roman"/>
          <w:sz w:val="28"/>
          <w:szCs w:val="28"/>
          <w:lang w:val="en-US"/>
        </w:rPr>
      </w:pPr>
      <w:r>
        <w:rPr>
          <w:rFonts w:ascii="Times New Roman" w:hAnsi="Times New Roman" w:cs="Times New Roman"/>
          <w:sz w:val="28"/>
          <w:szCs w:val="28"/>
          <w:lang w:val="en-US"/>
        </w:rPr>
        <w:tab/>
      </w:r>
      <w:r w:rsidR="009B7ADF" w:rsidRPr="009B7ADF">
        <w:rPr>
          <w:rFonts w:ascii="Times New Roman" w:hAnsi="Times New Roman" w:cs="Times New Roman"/>
          <w:sz w:val="28"/>
          <w:szCs w:val="28"/>
          <w:lang w:val="en-US"/>
        </w:rPr>
        <w:t xml:space="preserve">The qualitative analysis via a survey has been conducted among the population to provide recommendations for addressing the country's challenges. A stratified sample of 1376 respondents from different areas (urban and rural) of Kazakhstan and various age groups were surveyed [130]. The sample error of the obtained results of the survey was calculated by Stata software – 4.38%. This sampling error is enough for making decisions, as the maximal level of the sampling error is 5%. Specific criteria were set to ensure that each participant provided reliable and sufficient information. The participant must be 18 years or older as questions require mature answers from knowledge and experience. </w:t>
      </w:r>
    </w:p>
    <w:p w14:paraId="478E0EF3"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 xml:space="preserve">The statistical techniques were used during the process to attain the profile and behavioral pattern of the participant. The data were analyzed using descriptive statistics in the form of frequency and percentage in the computation of the variables. </w:t>
      </w:r>
    </w:p>
    <w:p w14:paraId="2FE05027"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The age distribution of the respondents was divided into 4 groups: 18-30, 30-44,  45-63, and 64 – older. The distribution of respondents in the study is – 18-30 age group – 39.5%, 30-44 age group – 29%, and 45-63 age group – 29%. The reason for considering the last age group is that the retirement age for both genders is 63. There is a limitation of the last age group respondents of the study. Only 2,5 % of the respondents are under 64 years old. This age group is not an active user of Internet resources through which the questionnaire was disseminated among respondents. As can be seen from the data below, the young age group was more active during the study, as the survey was done by collecting sociological information based on the use of Internet technologies – the internet or a web survey.</w:t>
      </w:r>
    </w:p>
    <w:p w14:paraId="4B6FB3C5"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The answer to the question of how often do respondents do charity is distributed as follows: 28.4% (355) answered – monthly, 19.2% (240) answered – once in three months, 15.8% (198) do charity every half-year, while 30.6% (383) of respondents do charity once a year on Ramadan. In general, we can say that most of the population takes part in Islamic charity events, like Qurban and Ramadan. Only 6.1% (76) of respondents never do charity. They do not belong to the considering denomination or do not have extra funds for charity.</w:t>
      </w:r>
    </w:p>
    <w:p w14:paraId="175070F9"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 xml:space="preserve">More than half of the respondents, 53.3% (667), spend less than 100 US dollars per year on charity. 28.8% spend on charity from 100 to 500 US dollars, and only 40 respondents or 3.2% make donations over 1000 US dollars. Zakat is the mandatory and minimum amount of funds that a Muslim is obliged to pay. More than half of people have less than 4000 US dollars zakatable assets (savings, gold, investment). As the rate of zakat depends on the nature of origin, the zakatable items are 2.5% by Kahf and AAOIFI Standards, and zakat is the required minimum of the donations of Muslims [131] [37]. The annual spending for charity by respondents reflects population segmentation by income. The majority does not have sufficient funds to make large donations. It is not easy to show the delivery data since the donation system does not have centralized open data. </w:t>
      </w:r>
    </w:p>
    <w:p w14:paraId="040AC339"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Most people distinguish between Islamic social finance tools and are familiar with the purposes of these donation forms. 67.2% (841) of respondents know the difference between the main Islamic social finance tools, zakat, and sadaqah. However, the fundamental concept of Shariah – riba is unknown to most respondents. 715 of the respondents, 57.1% do not understand the concept of riba (interest) in Islamic finance, only 19.2% know the riba concept good, and 23.6% satisfactorily. This allows us to conclude that Islamic social finance is developed at the individual level and poorly developed at financial institutions, banks, and investment funds.</w:t>
      </w:r>
    </w:p>
    <w:p w14:paraId="2BF00F1D" w14:textId="77777777" w:rsidR="009B7ADF" w:rsidRPr="009B7ADF" w:rsidRDefault="009B7ADF" w:rsidP="009B7ADF">
      <w:pPr>
        <w:pStyle w:val="HTML"/>
        <w:tabs>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There is a problem with awareness of the waqf in Kazakhstan and, accordingly, the underdevelopment of this direction, including the opacity of funds, the functioning and distribution of funds is not open, and, as a result, there is no market for Islamic securities. The awareness of waqf is understanding the existence of the institution of waqf, the purpose of waqf in Islamic finance, and the role of waqf in poverty alleviation is less than 6%. Consequently, about 94% of the people do not understand the waqf concept well and its role in developing Islamic finance. As a result, 990 respondents, 79%, answered that they needed an explanation about the function of waqf.</w:t>
      </w:r>
    </w:p>
    <w:p w14:paraId="54DF38EB" w14:textId="3380A839" w:rsidR="00E77D4F" w:rsidRPr="00D549EE" w:rsidRDefault="009B7ADF" w:rsidP="009B7ADF">
      <w:pPr>
        <w:pStyle w:val="HTML"/>
        <w:tabs>
          <w:tab w:val="clear" w:pos="916"/>
          <w:tab w:val="left" w:pos="709"/>
        </w:tabs>
        <w:contextualSpacing/>
        <w:rPr>
          <w:rFonts w:ascii="Times New Roman" w:hAnsi="Times New Roman" w:cs="Times New Roman"/>
          <w:sz w:val="28"/>
          <w:szCs w:val="28"/>
          <w:lang w:val="en-US"/>
        </w:rPr>
      </w:pPr>
      <w:r w:rsidRPr="009B7ADF">
        <w:rPr>
          <w:rFonts w:ascii="Times New Roman" w:hAnsi="Times New Roman" w:cs="Times New Roman"/>
          <w:sz w:val="28"/>
          <w:szCs w:val="28"/>
          <w:lang w:val="en-US"/>
        </w:rPr>
        <w:tab/>
        <w:t>This study indicates that 44.1% of the respondents know about Islamic social finance tools such as zakat, sadaqah, and waqf from family and friends, 34.3% from internet and social media, while just 5% studied in courses and training, and 8% participated in conferences and forums on Islamic finance.</w:t>
      </w:r>
    </w:p>
    <w:p w14:paraId="3F5E3108" w14:textId="77777777" w:rsidR="00C764F2" w:rsidRDefault="00C764F2" w:rsidP="00C9582F">
      <w:pPr>
        <w:pStyle w:val="HTML"/>
        <w:tabs>
          <w:tab w:val="clear" w:pos="916"/>
          <w:tab w:val="left" w:pos="709"/>
        </w:tabs>
        <w:contextualSpacing/>
        <w:rPr>
          <w:rFonts w:ascii="Times New Roman" w:hAnsi="Times New Roman" w:cs="Times New Roman"/>
          <w:bCs/>
          <w:color w:val="000000" w:themeColor="text1"/>
          <w:sz w:val="28"/>
          <w:szCs w:val="28"/>
          <w:bdr w:val="none" w:sz="0" w:space="0" w:color="auto" w:frame="1"/>
          <w:lang w:val="en-US"/>
        </w:rPr>
      </w:pPr>
    </w:p>
    <w:p w14:paraId="324563BA" w14:textId="6A1EEC5A" w:rsidR="00066364" w:rsidRPr="00D549EE" w:rsidRDefault="00066364" w:rsidP="00C9582F">
      <w:pPr>
        <w:pStyle w:val="HTML"/>
        <w:tabs>
          <w:tab w:val="clear" w:pos="916"/>
          <w:tab w:val="left" w:pos="709"/>
        </w:tabs>
        <w:contextualSpacing/>
        <w:rPr>
          <w:rFonts w:ascii="Times New Roman" w:hAnsi="Times New Roman" w:cs="Times New Roman"/>
          <w:color w:val="000000" w:themeColor="text1"/>
          <w:sz w:val="28"/>
          <w:szCs w:val="28"/>
          <w:bdr w:val="none" w:sz="0" w:space="0" w:color="auto" w:frame="1"/>
          <w:lang w:val="en-US"/>
        </w:rPr>
      </w:pPr>
      <w:r w:rsidRPr="00D549EE">
        <w:rPr>
          <w:rFonts w:ascii="Times New Roman" w:hAnsi="Times New Roman" w:cs="Times New Roman"/>
          <w:bCs/>
          <w:color w:val="000000" w:themeColor="text1"/>
          <w:sz w:val="28"/>
          <w:szCs w:val="28"/>
          <w:bdr w:val="none" w:sz="0" w:space="0" w:color="auto" w:frame="1"/>
          <w:lang w:val="en-US"/>
        </w:rPr>
        <w:t xml:space="preserve">Table 33 </w:t>
      </w:r>
      <w:r w:rsidRPr="00D549EE">
        <w:rPr>
          <w:rFonts w:ascii="Times New Roman" w:hAnsi="Times New Roman" w:cs="Times New Roman"/>
          <w:sz w:val="28"/>
          <w:szCs w:val="28"/>
          <w:lang w:val="en-US"/>
        </w:rPr>
        <w:t>–</w:t>
      </w:r>
      <w:r w:rsidRPr="00D549EE">
        <w:rPr>
          <w:rFonts w:ascii="Times New Roman" w:hAnsi="Times New Roman" w:cs="Times New Roman"/>
          <w:color w:val="000000" w:themeColor="text1"/>
          <w:sz w:val="28"/>
          <w:szCs w:val="28"/>
          <w:bdr w:val="none" w:sz="0" w:space="0" w:color="auto" w:frame="1"/>
          <w:lang w:val="en-US"/>
        </w:rPr>
        <w:t xml:space="preserve"> The results of the questionnaire of 1376 respondents </w:t>
      </w:r>
    </w:p>
    <w:p w14:paraId="3499D454" w14:textId="77777777" w:rsidR="00066364" w:rsidRPr="00D549EE" w:rsidRDefault="00066364" w:rsidP="00C9582F">
      <w:pPr>
        <w:pStyle w:val="HTML"/>
        <w:tabs>
          <w:tab w:val="clear" w:pos="916"/>
          <w:tab w:val="left" w:pos="709"/>
        </w:tabs>
        <w:contextualSpacing/>
        <w:rPr>
          <w:rFonts w:ascii="Times New Roman" w:hAnsi="Times New Roman" w:cs="Times New Roman"/>
          <w:sz w:val="28"/>
          <w:szCs w:val="28"/>
          <w:lang w:val="en-US"/>
        </w:rPr>
      </w:pPr>
    </w:p>
    <w:tbl>
      <w:tblPr>
        <w:tblStyle w:val="a9"/>
        <w:tblW w:w="9351" w:type="dxa"/>
        <w:tblLook w:val="04A0" w:firstRow="1" w:lastRow="0" w:firstColumn="1" w:lastColumn="0" w:noHBand="0" w:noVBand="1"/>
      </w:tblPr>
      <w:tblGrid>
        <w:gridCol w:w="1834"/>
        <w:gridCol w:w="1598"/>
        <w:gridCol w:w="1599"/>
        <w:gridCol w:w="1615"/>
        <w:gridCol w:w="19"/>
        <w:gridCol w:w="1597"/>
        <w:gridCol w:w="1089"/>
      </w:tblGrid>
      <w:tr w:rsidR="00526BC4" w:rsidRPr="00D549EE" w14:paraId="38F12590" w14:textId="77777777" w:rsidTr="00B66C1C">
        <w:tc>
          <w:tcPr>
            <w:tcW w:w="1834" w:type="dxa"/>
          </w:tcPr>
          <w:p w14:paraId="6FB4139E" w14:textId="07CBD88A" w:rsidR="00526BC4" w:rsidRPr="00D549EE" w:rsidRDefault="00CC0B81"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Age group</w:t>
            </w:r>
          </w:p>
        </w:tc>
        <w:tc>
          <w:tcPr>
            <w:tcW w:w="1598" w:type="dxa"/>
          </w:tcPr>
          <w:p w14:paraId="6A619280" w14:textId="31184E1F" w:rsidR="00526BC4" w:rsidRPr="00D549EE" w:rsidRDefault="00CC0B81"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18-30</w:t>
            </w:r>
          </w:p>
        </w:tc>
        <w:tc>
          <w:tcPr>
            <w:tcW w:w="1599" w:type="dxa"/>
          </w:tcPr>
          <w:p w14:paraId="3C3E2D50" w14:textId="0EB75BFB" w:rsidR="00526BC4" w:rsidRPr="00D549EE" w:rsidRDefault="00CC0B81"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30-44</w:t>
            </w:r>
          </w:p>
        </w:tc>
        <w:tc>
          <w:tcPr>
            <w:tcW w:w="1634" w:type="dxa"/>
            <w:gridSpan w:val="2"/>
          </w:tcPr>
          <w:p w14:paraId="385D36B9" w14:textId="0915E1CD" w:rsidR="00526BC4" w:rsidRPr="00D549EE" w:rsidRDefault="00CC0B81"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45-63</w:t>
            </w:r>
          </w:p>
        </w:tc>
        <w:tc>
          <w:tcPr>
            <w:tcW w:w="1597" w:type="dxa"/>
          </w:tcPr>
          <w:p w14:paraId="6B0916D2" w14:textId="5C968C6A" w:rsidR="00526BC4" w:rsidRPr="00D549EE" w:rsidRDefault="00CC0B81"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 xml:space="preserve">64 and </w:t>
            </w:r>
            <w:r w:rsidR="00D2779C" w:rsidRPr="00D549EE">
              <w:rPr>
                <w:rFonts w:ascii="Times New Roman" w:hAnsi="Times New Roman" w:cs="Times New Roman"/>
                <w:sz w:val="22"/>
                <w:szCs w:val="22"/>
                <w:lang w:val="en-US"/>
              </w:rPr>
              <w:t>under</w:t>
            </w:r>
          </w:p>
        </w:tc>
        <w:tc>
          <w:tcPr>
            <w:tcW w:w="1089" w:type="dxa"/>
          </w:tcPr>
          <w:p w14:paraId="56BD584B" w14:textId="77777777" w:rsidR="00526BC4" w:rsidRPr="00D549EE" w:rsidRDefault="00526BC4" w:rsidP="00C9582F">
            <w:pPr>
              <w:pStyle w:val="HTML"/>
              <w:tabs>
                <w:tab w:val="clear" w:pos="916"/>
                <w:tab w:val="left" w:pos="709"/>
              </w:tabs>
              <w:contextualSpacing/>
              <w:rPr>
                <w:rFonts w:ascii="Times New Roman" w:hAnsi="Times New Roman" w:cs="Times New Roman"/>
                <w:sz w:val="22"/>
                <w:szCs w:val="22"/>
                <w:lang w:val="en-US"/>
              </w:rPr>
            </w:pPr>
          </w:p>
        </w:tc>
      </w:tr>
      <w:tr w:rsidR="00526BC4" w:rsidRPr="00D549EE" w14:paraId="70BCD924" w14:textId="77777777" w:rsidTr="00B66C1C">
        <w:tc>
          <w:tcPr>
            <w:tcW w:w="1834" w:type="dxa"/>
          </w:tcPr>
          <w:p w14:paraId="163AE9DF" w14:textId="77777777" w:rsidR="00526BC4" w:rsidRPr="00D549EE" w:rsidRDefault="00526BC4" w:rsidP="00C9582F">
            <w:pPr>
              <w:pStyle w:val="HTML"/>
              <w:tabs>
                <w:tab w:val="clear" w:pos="916"/>
                <w:tab w:val="left" w:pos="709"/>
              </w:tabs>
              <w:contextualSpacing/>
              <w:rPr>
                <w:rFonts w:ascii="Times New Roman" w:hAnsi="Times New Roman" w:cs="Times New Roman"/>
                <w:sz w:val="22"/>
                <w:szCs w:val="22"/>
                <w:lang w:val="en-US"/>
              </w:rPr>
            </w:pPr>
          </w:p>
        </w:tc>
        <w:tc>
          <w:tcPr>
            <w:tcW w:w="1598" w:type="dxa"/>
          </w:tcPr>
          <w:p w14:paraId="6D2ABA58" w14:textId="068B68B2" w:rsidR="00526BC4" w:rsidRPr="00D549EE" w:rsidRDefault="00D2779C"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39.5%</w:t>
            </w:r>
          </w:p>
        </w:tc>
        <w:tc>
          <w:tcPr>
            <w:tcW w:w="1599" w:type="dxa"/>
          </w:tcPr>
          <w:p w14:paraId="1B3BB3DD" w14:textId="4D0E5F53" w:rsidR="00526BC4" w:rsidRPr="00D549EE" w:rsidRDefault="00D2779C"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29%</w:t>
            </w:r>
          </w:p>
        </w:tc>
        <w:tc>
          <w:tcPr>
            <w:tcW w:w="1634" w:type="dxa"/>
            <w:gridSpan w:val="2"/>
          </w:tcPr>
          <w:p w14:paraId="5C6FDC5B" w14:textId="1E48BE19" w:rsidR="00526BC4" w:rsidRPr="00D549EE" w:rsidRDefault="00D2779C"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29%</w:t>
            </w:r>
          </w:p>
        </w:tc>
        <w:tc>
          <w:tcPr>
            <w:tcW w:w="1597" w:type="dxa"/>
          </w:tcPr>
          <w:p w14:paraId="4A657C4E" w14:textId="135B8F3E" w:rsidR="00526BC4" w:rsidRPr="00D549EE" w:rsidRDefault="00D2779C"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2.5%</w:t>
            </w:r>
          </w:p>
        </w:tc>
        <w:tc>
          <w:tcPr>
            <w:tcW w:w="1089" w:type="dxa"/>
          </w:tcPr>
          <w:p w14:paraId="325E8FBB" w14:textId="77777777" w:rsidR="00526BC4" w:rsidRPr="00D549EE" w:rsidRDefault="00526BC4" w:rsidP="00C9582F">
            <w:pPr>
              <w:pStyle w:val="HTML"/>
              <w:tabs>
                <w:tab w:val="clear" w:pos="916"/>
                <w:tab w:val="left" w:pos="709"/>
              </w:tabs>
              <w:contextualSpacing/>
              <w:rPr>
                <w:rFonts w:ascii="Times New Roman" w:hAnsi="Times New Roman" w:cs="Times New Roman"/>
                <w:sz w:val="22"/>
                <w:szCs w:val="22"/>
                <w:lang w:val="en-US"/>
              </w:rPr>
            </w:pPr>
          </w:p>
        </w:tc>
      </w:tr>
      <w:tr w:rsidR="00526BC4" w:rsidRPr="00D549EE" w14:paraId="32ABDF80" w14:textId="77777777" w:rsidTr="00B66C1C">
        <w:tc>
          <w:tcPr>
            <w:tcW w:w="1834" w:type="dxa"/>
          </w:tcPr>
          <w:p w14:paraId="17E31C9D" w14:textId="542E00B6" w:rsidR="00526BC4" w:rsidRPr="00D549EE" w:rsidRDefault="00D362AE" w:rsidP="00C9582F">
            <w:pPr>
              <w:pStyle w:val="HTML"/>
              <w:tabs>
                <w:tab w:val="clear" w:pos="916"/>
                <w:tab w:val="left" w:pos="709"/>
              </w:tabs>
              <w:contextualSpacing/>
              <w:rPr>
                <w:rFonts w:ascii="Times New Roman" w:hAnsi="Times New Roman" w:cs="Times New Roman"/>
                <w:sz w:val="22"/>
                <w:szCs w:val="22"/>
              </w:rPr>
            </w:pPr>
            <w:r w:rsidRPr="00D549EE">
              <w:rPr>
                <w:rFonts w:ascii="Times New Roman" w:hAnsi="Times New Roman" w:cs="Times New Roman"/>
                <w:sz w:val="22"/>
                <w:szCs w:val="22"/>
                <w:lang w:val="en-US"/>
              </w:rPr>
              <w:t>F</w:t>
            </w:r>
            <w:r w:rsidRPr="00D549EE">
              <w:rPr>
                <w:rFonts w:ascii="Times New Roman" w:hAnsi="Times New Roman" w:cs="Times New Roman"/>
                <w:sz w:val="22"/>
                <w:szCs w:val="22"/>
              </w:rPr>
              <w:t>requency of charity</w:t>
            </w:r>
          </w:p>
        </w:tc>
        <w:tc>
          <w:tcPr>
            <w:tcW w:w="1598" w:type="dxa"/>
          </w:tcPr>
          <w:p w14:paraId="7ECD611D" w14:textId="60ED4C16" w:rsidR="00526BC4" w:rsidRPr="00D549EE" w:rsidRDefault="00CA3748"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Monthly</w:t>
            </w:r>
          </w:p>
        </w:tc>
        <w:tc>
          <w:tcPr>
            <w:tcW w:w="1599" w:type="dxa"/>
          </w:tcPr>
          <w:p w14:paraId="28138A93" w14:textId="08E4FDD5" w:rsidR="00526BC4" w:rsidRPr="00D549EE" w:rsidRDefault="00CA3748"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Once in 3 months</w:t>
            </w:r>
          </w:p>
        </w:tc>
        <w:tc>
          <w:tcPr>
            <w:tcW w:w="1634" w:type="dxa"/>
            <w:gridSpan w:val="2"/>
          </w:tcPr>
          <w:p w14:paraId="10B7F8C1" w14:textId="05CD3D8A" w:rsidR="00526BC4" w:rsidRPr="00D549EE" w:rsidRDefault="00CA3748"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Every half-year</w:t>
            </w:r>
          </w:p>
        </w:tc>
        <w:tc>
          <w:tcPr>
            <w:tcW w:w="1597" w:type="dxa"/>
          </w:tcPr>
          <w:p w14:paraId="7CCEC54C" w14:textId="26DBAB50" w:rsidR="00526BC4" w:rsidRPr="00D549EE" w:rsidRDefault="00CA3748"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 xml:space="preserve">Once a year </w:t>
            </w:r>
          </w:p>
        </w:tc>
        <w:tc>
          <w:tcPr>
            <w:tcW w:w="1089" w:type="dxa"/>
          </w:tcPr>
          <w:p w14:paraId="2373F5DD" w14:textId="11A83615" w:rsidR="00526BC4" w:rsidRPr="00D549EE" w:rsidRDefault="00AB1C6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Do not</w:t>
            </w:r>
            <w:r w:rsidRPr="00D549EE">
              <w:rPr>
                <w:rFonts w:ascii="Times New Roman" w:hAnsi="Times New Roman" w:cs="Times New Roman"/>
                <w:sz w:val="22"/>
                <w:szCs w:val="22"/>
              </w:rPr>
              <w:t xml:space="preserve"> </w:t>
            </w:r>
            <w:r w:rsidRPr="00D549EE">
              <w:rPr>
                <w:rFonts w:ascii="Times New Roman" w:hAnsi="Times New Roman" w:cs="Times New Roman"/>
                <w:sz w:val="22"/>
                <w:szCs w:val="22"/>
                <w:lang w:val="en-US"/>
              </w:rPr>
              <w:t>do charity</w:t>
            </w:r>
            <w:r w:rsidR="00394FD9" w:rsidRPr="00D549EE">
              <w:rPr>
                <w:rFonts w:ascii="Times New Roman" w:hAnsi="Times New Roman" w:cs="Times New Roman"/>
                <w:sz w:val="22"/>
                <w:szCs w:val="22"/>
                <w:lang w:val="en-US"/>
              </w:rPr>
              <w:t xml:space="preserve"> </w:t>
            </w:r>
          </w:p>
        </w:tc>
      </w:tr>
      <w:tr w:rsidR="00526BC4" w:rsidRPr="00D549EE" w14:paraId="7CFB7953" w14:textId="77777777" w:rsidTr="00B66C1C">
        <w:tc>
          <w:tcPr>
            <w:tcW w:w="1834" w:type="dxa"/>
          </w:tcPr>
          <w:p w14:paraId="06A9FE88" w14:textId="77777777" w:rsidR="00526BC4" w:rsidRPr="00D549EE" w:rsidRDefault="00526BC4" w:rsidP="00C9582F">
            <w:pPr>
              <w:pStyle w:val="HTML"/>
              <w:tabs>
                <w:tab w:val="clear" w:pos="916"/>
                <w:tab w:val="left" w:pos="709"/>
              </w:tabs>
              <w:contextualSpacing/>
              <w:rPr>
                <w:rFonts w:ascii="Times New Roman" w:hAnsi="Times New Roman" w:cs="Times New Roman"/>
                <w:sz w:val="22"/>
                <w:szCs w:val="22"/>
                <w:lang w:val="en-US"/>
              </w:rPr>
            </w:pPr>
          </w:p>
        </w:tc>
        <w:tc>
          <w:tcPr>
            <w:tcW w:w="1598" w:type="dxa"/>
          </w:tcPr>
          <w:p w14:paraId="42965064" w14:textId="57ABC431" w:rsidR="00526BC4" w:rsidRPr="00D549EE" w:rsidRDefault="00CA3748"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28.4%</w:t>
            </w:r>
          </w:p>
        </w:tc>
        <w:tc>
          <w:tcPr>
            <w:tcW w:w="1599" w:type="dxa"/>
          </w:tcPr>
          <w:p w14:paraId="1B96F3E2" w14:textId="35925021" w:rsidR="00526BC4" w:rsidRPr="00D549EE" w:rsidRDefault="00394FD9"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19.2%</w:t>
            </w:r>
          </w:p>
        </w:tc>
        <w:tc>
          <w:tcPr>
            <w:tcW w:w="1634" w:type="dxa"/>
            <w:gridSpan w:val="2"/>
          </w:tcPr>
          <w:p w14:paraId="0916D9A1" w14:textId="58D68F6C" w:rsidR="00526BC4" w:rsidRPr="00D549EE" w:rsidRDefault="00394FD9"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15.8%</w:t>
            </w:r>
          </w:p>
        </w:tc>
        <w:tc>
          <w:tcPr>
            <w:tcW w:w="1597" w:type="dxa"/>
          </w:tcPr>
          <w:p w14:paraId="4CA7B5A0" w14:textId="7FCD0DB6" w:rsidR="00526BC4" w:rsidRPr="00D549EE" w:rsidRDefault="00394FD9"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30.6%</w:t>
            </w:r>
          </w:p>
        </w:tc>
        <w:tc>
          <w:tcPr>
            <w:tcW w:w="1089" w:type="dxa"/>
          </w:tcPr>
          <w:p w14:paraId="58EFA78C" w14:textId="5C3B5BF9" w:rsidR="00526BC4" w:rsidRPr="00D549EE" w:rsidRDefault="00394FD9"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6%</w:t>
            </w:r>
          </w:p>
        </w:tc>
      </w:tr>
      <w:tr w:rsidR="00526BC4" w:rsidRPr="00D549EE" w14:paraId="17ABBC9C" w14:textId="77777777" w:rsidTr="00B66C1C">
        <w:tc>
          <w:tcPr>
            <w:tcW w:w="1834" w:type="dxa"/>
          </w:tcPr>
          <w:p w14:paraId="566A72B1" w14:textId="25957EE0" w:rsidR="00526BC4" w:rsidRPr="00D549EE" w:rsidRDefault="00E80075"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Charity per year</w:t>
            </w:r>
          </w:p>
        </w:tc>
        <w:tc>
          <w:tcPr>
            <w:tcW w:w="1598" w:type="dxa"/>
          </w:tcPr>
          <w:p w14:paraId="4CBECEC9" w14:textId="6171937B" w:rsidR="00526BC4" w:rsidRPr="00D549EE" w:rsidRDefault="00A7317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Till</w:t>
            </w:r>
            <w:r w:rsidR="00E80075" w:rsidRPr="00D549EE">
              <w:rPr>
                <w:rFonts w:ascii="Times New Roman" w:hAnsi="Times New Roman" w:cs="Times New Roman"/>
                <w:sz w:val="22"/>
                <w:szCs w:val="22"/>
                <w:lang w:val="en-US"/>
              </w:rPr>
              <w:t xml:space="preserve"> 100$</w:t>
            </w:r>
          </w:p>
        </w:tc>
        <w:tc>
          <w:tcPr>
            <w:tcW w:w="1599" w:type="dxa"/>
          </w:tcPr>
          <w:p w14:paraId="4F0FD0BB" w14:textId="6B58DD02" w:rsidR="00526BC4" w:rsidRPr="00D549EE" w:rsidRDefault="00E80075"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100-500$</w:t>
            </w:r>
          </w:p>
        </w:tc>
        <w:tc>
          <w:tcPr>
            <w:tcW w:w="1634" w:type="dxa"/>
            <w:gridSpan w:val="2"/>
          </w:tcPr>
          <w:p w14:paraId="2CC77C5D" w14:textId="2DBC0C30" w:rsidR="00526BC4" w:rsidRPr="00D549EE" w:rsidRDefault="00A7317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500-1000$</w:t>
            </w:r>
          </w:p>
        </w:tc>
        <w:tc>
          <w:tcPr>
            <w:tcW w:w="1597" w:type="dxa"/>
          </w:tcPr>
          <w:p w14:paraId="7BFABADF" w14:textId="64C13B85" w:rsidR="00526BC4" w:rsidRPr="00D549EE" w:rsidRDefault="00A7317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Over 1000$</w:t>
            </w:r>
          </w:p>
        </w:tc>
        <w:tc>
          <w:tcPr>
            <w:tcW w:w="1089" w:type="dxa"/>
          </w:tcPr>
          <w:p w14:paraId="5CDFFAF7" w14:textId="5371C5CE" w:rsidR="00526BC4" w:rsidRPr="00D549EE" w:rsidRDefault="00AB1C6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Do not</w:t>
            </w:r>
            <w:r w:rsidRPr="00D549EE">
              <w:rPr>
                <w:rFonts w:ascii="Times New Roman" w:hAnsi="Times New Roman" w:cs="Times New Roman"/>
                <w:sz w:val="22"/>
                <w:szCs w:val="22"/>
              </w:rPr>
              <w:t xml:space="preserve"> </w:t>
            </w:r>
            <w:r w:rsidRPr="00D549EE">
              <w:rPr>
                <w:rFonts w:ascii="Times New Roman" w:hAnsi="Times New Roman" w:cs="Times New Roman"/>
                <w:sz w:val="22"/>
                <w:szCs w:val="22"/>
                <w:lang w:val="en-US"/>
              </w:rPr>
              <w:t>do charity</w:t>
            </w:r>
          </w:p>
        </w:tc>
      </w:tr>
      <w:tr w:rsidR="00A73177" w:rsidRPr="00D549EE" w14:paraId="2D576C52" w14:textId="77777777" w:rsidTr="00B66C1C">
        <w:tc>
          <w:tcPr>
            <w:tcW w:w="1834" w:type="dxa"/>
          </w:tcPr>
          <w:p w14:paraId="0701D13C" w14:textId="77777777" w:rsidR="00A73177" w:rsidRPr="00D549EE" w:rsidRDefault="00A73177" w:rsidP="00C9582F">
            <w:pPr>
              <w:pStyle w:val="HTML"/>
              <w:tabs>
                <w:tab w:val="clear" w:pos="916"/>
                <w:tab w:val="left" w:pos="709"/>
              </w:tabs>
              <w:contextualSpacing/>
              <w:rPr>
                <w:rFonts w:ascii="Times New Roman" w:hAnsi="Times New Roman" w:cs="Times New Roman"/>
                <w:sz w:val="22"/>
                <w:szCs w:val="22"/>
                <w:lang w:val="en-US"/>
              </w:rPr>
            </w:pPr>
          </w:p>
        </w:tc>
        <w:tc>
          <w:tcPr>
            <w:tcW w:w="1598" w:type="dxa"/>
          </w:tcPr>
          <w:p w14:paraId="6BC4A1F1" w14:textId="1A554392" w:rsidR="00A73177" w:rsidRPr="00D549EE" w:rsidRDefault="00A7317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53.3%</w:t>
            </w:r>
          </w:p>
        </w:tc>
        <w:tc>
          <w:tcPr>
            <w:tcW w:w="1599" w:type="dxa"/>
          </w:tcPr>
          <w:p w14:paraId="71858EC3" w14:textId="5D36BF28" w:rsidR="00A73177" w:rsidRPr="00D549EE" w:rsidRDefault="00A7317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28.8%</w:t>
            </w:r>
          </w:p>
        </w:tc>
        <w:tc>
          <w:tcPr>
            <w:tcW w:w="1634" w:type="dxa"/>
            <w:gridSpan w:val="2"/>
          </w:tcPr>
          <w:p w14:paraId="2BC2C48E" w14:textId="70A52EF9" w:rsidR="00A73177" w:rsidRPr="00D549EE" w:rsidRDefault="00AB1C6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8</w:t>
            </w:r>
            <w:r w:rsidR="00314B6A" w:rsidRPr="00D549EE">
              <w:rPr>
                <w:rFonts w:ascii="Times New Roman" w:hAnsi="Times New Roman" w:cs="Times New Roman"/>
                <w:sz w:val="22"/>
                <w:szCs w:val="22"/>
                <w:lang w:val="en-US"/>
              </w:rPr>
              <w:t>.</w:t>
            </w:r>
            <w:r w:rsidRPr="00D549EE">
              <w:rPr>
                <w:rFonts w:ascii="Times New Roman" w:hAnsi="Times New Roman" w:cs="Times New Roman"/>
                <w:sz w:val="22"/>
                <w:szCs w:val="22"/>
                <w:lang w:val="en-US"/>
              </w:rPr>
              <w:t>6</w:t>
            </w:r>
            <w:r w:rsidR="00314B6A" w:rsidRPr="00D549EE">
              <w:rPr>
                <w:rFonts w:ascii="Times New Roman" w:hAnsi="Times New Roman" w:cs="Times New Roman"/>
                <w:sz w:val="22"/>
                <w:szCs w:val="22"/>
                <w:lang w:val="en-US"/>
              </w:rPr>
              <w:t>%</w:t>
            </w:r>
          </w:p>
        </w:tc>
        <w:tc>
          <w:tcPr>
            <w:tcW w:w="1597" w:type="dxa"/>
          </w:tcPr>
          <w:p w14:paraId="69FB3CD9" w14:textId="5A234536" w:rsidR="00A73177" w:rsidRPr="00D549EE" w:rsidRDefault="00314B6A"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3.3%</w:t>
            </w:r>
          </w:p>
        </w:tc>
        <w:tc>
          <w:tcPr>
            <w:tcW w:w="1089" w:type="dxa"/>
          </w:tcPr>
          <w:p w14:paraId="665A32B0" w14:textId="2445FF22" w:rsidR="00A73177" w:rsidRPr="00D549EE" w:rsidRDefault="00AB1C67" w:rsidP="00C9582F">
            <w:pPr>
              <w:pStyle w:val="HTML"/>
              <w:tabs>
                <w:tab w:val="clear" w:pos="916"/>
                <w:tab w:val="left" w:pos="709"/>
              </w:tabs>
              <w:contextualSpacing/>
              <w:rPr>
                <w:rFonts w:ascii="Times New Roman" w:hAnsi="Times New Roman" w:cs="Times New Roman"/>
                <w:sz w:val="22"/>
                <w:szCs w:val="22"/>
              </w:rPr>
            </w:pPr>
            <w:r w:rsidRPr="00D549EE">
              <w:rPr>
                <w:rFonts w:ascii="Times New Roman" w:hAnsi="Times New Roman" w:cs="Times New Roman"/>
                <w:sz w:val="22"/>
                <w:szCs w:val="22"/>
                <w:lang w:val="en-US"/>
              </w:rPr>
              <w:t>6%</w:t>
            </w:r>
          </w:p>
        </w:tc>
      </w:tr>
      <w:tr w:rsidR="00966AFE" w:rsidRPr="00D549EE" w14:paraId="35CD946F" w14:textId="77777777" w:rsidTr="00B66C1C">
        <w:tc>
          <w:tcPr>
            <w:tcW w:w="1834" w:type="dxa"/>
          </w:tcPr>
          <w:p w14:paraId="578A0559" w14:textId="6FAECE70" w:rsidR="00966AFE" w:rsidRPr="00D549EE" w:rsidRDefault="00966AFE"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Comfortable way of doing charity</w:t>
            </w:r>
          </w:p>
        </w:tc>
        <w:tc>
          <w:tcPr>
            <w:tcW w:w="1598" w:type="dxa"/>
          </w:tcPr>
          <w:p w14:paraId="64FC079D" w14:textId="6418EFD3" w:rsidR="00966AFE" w:rsidRPr="00D549EE" w:rsidRDefault="00966AFE"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Directly</w:t>
            </w:r>
          </w:p>
        </w:tc>
        <w:tc>
          <w:tcPr>
            <w:tcW w:w="1599" w:type="dxa"/>
          </w:tcPr>
          <w:p w14:paraId="33BCFB89" w14:textId="47AAD0AF" w:rsidR="00966AFE" w:rsidRPr="00D549EE" w:rsidRDefault="00966AFE"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Mosques</w:t>
            </w:r>
          </w:p>
        </w:tc>
        <w:tc>
          <w:tcPr>
            <w:tcW w:w="3231" w:type="dxa"/>
            <w:gridSpan w:val="3"/>
          </w:tcPr>
          <w:p w14:paraId="52EA92E6" w14:textId="3170F937" w:rsidR="00966AFE" w:rsidRPr="00D549EE" w:rsidRDefault="00966AFE"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Noncommercial charity organizations</w:t>
            </w:r>
          </w:p>
        </w:tc>
        <w:tc>
          <w:tcPr>
            <w:tcW w:w="1089" w:type="dxa"/>
          </w:tcPr>
          <w:p w14:paraId="0C125182" w14:textId="4F0AAFBE" w:rsidR="00966AFE" w:rsidRPr="00D549EE" w:rsidRDefault="00966AFE"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Do not</w:t>
            </w:r>
            <w:r w:rsidRPr="00D549EE">
              <w:rPr>
                <w:rFonts w:ascii="Times New Roman" w:hAnsi="Times New Roman" w:cs="Times New Roman"/>
                <w:sz w:val="22"/>
                <w:szCs w:val="22"/>
              </w:rPr>
              <w:t xml:space="preserve"> </w:t>
            </w:r>
            <w:r w:rsidRPr="00D549EE">
              <w:rPr>
                <w:rFonts w:ascii="Times New Roman" w:hAnsi="Times New Roman" w:cs="Times New Roman"/>
                <w:sz w:val="22"/>
                <w:szCs w:val="22"/>
                <w:lang w:val="en-US"/>
              </w:rPr>
              <w:t>do charity</w:t>
            </w:r>
          </w:p>
        </w:tc>
      </w:tr>
      <w:tr w:rsidR="00966AFE" w:rsidRPr="00D549EE" w14:paraId="0E797F2C" w14:textId="77777777" w:rsidTr="00B66C1C">
        <w:tc>
          <w:tcPr>
            <w:tcW w:w="1834" w:type="dxa"/>
          </w:tcPr>
          <w:p w14:paraId="662D5E71" w14:textId="77777777" w:rsidR="00966AFE" w:rsidRPr="00D549EE" w:rsidRDefault="00966AFE" w:rsidP="00C9582F">
            <w:pPr>
              <w:pStyle w:val="HTML"/>
              <w:tabs>
                <w:tab w:val="clear" w:pos="916"/>
                <w:tab w:val="left" w:pos="709"/>
              </w:tabs>
              <w:contextualSpacing/>
              <w:rPr>
                <w:rFonts w:ascii="Times New Roman" w:hAnsi="Times New Roman" w:cs="Times New Roman"/>
                <w:sz w:val="22"/>
                <w:szCs w:val="22"/>
                <w:lang w:val="en-US"/>
              </w:rPr>
            </w:pPr>
          </w:p>
        </w:tc>
        <w:tc>
          <w:tcPr>
            <w:tcW w:w="1598" w:type="dxa"/>
          </w:tcPr>
          <w:p w14:paraId="758D04C4" w14:textId="5B791A3A" w:rsidR="00966AFE" w:rsidRPr="00D549EE" w:rsidRDefault="000F5D14"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71.3%</w:t>
            </w:r>
          </w:p>
        </w:tc>
        <w:tc>
          <w:tcPr>
            <w:tcW w:w="1599" w:type="dxa"/>
          </w:tcPr>
          <w:p w14:paraId="3DFCCCBD" w14:textId="5DF49EEF" w:rsidR="00966AFE" w:rsidRPr="00D549EE" w:rsidRDefault="000F5D14"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17%</w:t>
            </w:r>
          </w:p>
        </w:tc>
        <w:tc>
          <w:tcPr>
            <w:tcW w:w="3231" w:type="dxa"/>
            <w:gridSpan w:val="3"/>
          </w:tcPr>
          <w:p w14:paraId="158D4101" w14:textId="05EFCCB8" w:rsidR="00966AFE" w:rsidRPr="00D549EE" w:rsidRDefault="00980ABA"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5.7%</w:t>
            </w:r>
          </w:p>
        </w:tc>
        <w:tc>
          <w:tcPr>
            <w:tcW w:w="1089" w:type="dxa"/>
          </w:tcPr>
          <w:p w14:paraId="67038E5D" w14:textId="2EA0FF17" w:rsidR="00966AFE" w:rsidRPr="00D549EE" w:rsidRDefault="00966AFE"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6%</w:t>
            </w:r>
          </w:p>
        </w:tc>
      </w:tr>
      <w:tr w:rsidR="00C24498" w:rsidRPr="00D549EE" w14:paraId="178E7396" w14:textId="77777777" w:rsidTr="00B66C1C">
        <w:tc>
          <w:tcPr>
            <w:tcW w:w="1834" w:type="dxa"/>
          </w:tcPr>
          <w:p w14:paraId="561AE9F0" w14:textId="44D8DE58" w:rsidR="00C24498" w:rsidRPr="00D549EE" w:rsidRDefault="00C24498"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Reason of doing charity directly</w:t>
            </w:r>
          </w:p>
        </w:tc>
        <w:tc>
          <w:tcPr>
            <w:tcW w:w="1598" w:type="dxa"/>
          </w:tcPr>
          <w:p w14:paraId="618D78DF" w14:textId="634DDB1D" w:rsidR="00C24498" w:rsidRPr="00D549EE" w:rsidRDefault="00A75127" w:rsidP="00C9582F">
            <w:pPr>
              <w:pStyle w:val="HTML"/>
              <w:tabs>
                <w:tab w:val="clear" w:pos="916"/>
                <w:tab w:val="left" w:pos="709"/>
              </w:tabs>
              <w:contextualSpacing/>
              <w:rPr>
                <w:rFonts w:ascii="Times New Roman" w:hAnsi="Times New Roman" w:cs="Times New Roman"/>
                <w:sz w:val="22"/>
                <w:szCs w:val="22"/>
              </w:rPr>
            </w:pPr>
            <w:r w:rsidRPr="00D549EE">
              <w:rPr>
                <w:rFonts w:ascii="Times New Roman" w:hAnsi="Times New Roman" w:cs="Times New Roman"/>
                <w:color w:val="000000"/>
                <w:sz w:val="22"/>
                <w:szCs w:val="22"/>
                <w:shd w:val="clear" w:color="auto" w:fill="FFFFFF"/>
              </w:rPr>
              <w:t>Inability to trace</w:t>
            </w:r>
          </w:p>
        </w:tc>
        <w:tc>
          <w:tcPr>
            <w:tcW w:w="1599" w:type="dxa"/>
          </w:tcPr>
          <w:p w14:paraId="0B62F74E" w14:textId="1A7E070B" w:rsidR="00C24498" w:rsidRPr="00D549EE" w:rsidRDefault="00A75127" w:rsidP="00C24498">
            <w:pPr>
              <w:rPr>
                <w:sz w:val="22"/>
                <w:szCs w:val="22"/>
              </w:rPr>
            </w:pPr>
            <w:r w:rsidRPr="00D549EE">
              <w:rPr>
                <w:color w:val="000000"/>
                <w:sz w:val="22"/>
                <w:szCs w:val="22"/>
                <w:shd w:val="clear" w:color="auto" w:fill="FFFFFF"/>
                <w:lang w:val="en-US"/>
              </w:rPr>
              <w:t>Mistrust</w:t>
            </w:r>
          </w:p>
        </w:tc>
        <w:tc>
          <w:tcPr>
            <w:tcW w:w="1615" w:type="dxa"/>
          </w:tcPr>
          <w:p w14:paraId="1C9E1A27" w14:textId="77777777" w:rsidR="00C24498" w:rsidRPr="00D549EE" w:rsidRDefault="00C24498"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 xml:space="preserve">Absence of the system </w:t>
            </w:r>
          </w:p>
        </w:tc>
        <w:tc>
          <w:tcPr>
            <w:tcW w:w="1616" w:type="dxa"/>
            <w:gridSpan w:val="2"/>
          </w:tcPr>
          <w:p w14:paraId="4606B6DB" w14:textId="4A56D6C4" w:rsidR="00B47AE1" w:rsidRPr="00D549EE" w:rsidRDefault="00B47AE1" w:rsidP="00B47AE1">
            <w:pPr>
              <w:pStyle w:val="HTML"/>
              <w:tabs>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Desire to see</w:t>
            </w:r>
          </w:p>
          <w:p w14:paraId="6EB61B36" w14:textId="0AA1BC83" w:rsidR="00C24498" w:rsidRPr="00D549EE" w:rsidRDefault="00B47AE1" w:rsidP="00B47AE1">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the needy</w:t>
            </w:r>
          </w:p>
        </w:tc>
        <w:tc>
          <w:tcPr>
            <w:tcW w:w="1089" w:type="dxa"/>
          </w:tcPr>
          <w:p w14:paraId="5B3EE971" w14:textId="4C3D2A42" w:rsidR="00C24498" w:rsidRPr="00D549EE" w:rsidRDefault="00C24498"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Other ways</w:t>
            </w:r>
          </w:p>
        </w:tc>
      </w:tr>
      <w:tr w:rsidR="00C24498" w:rsidRPr="00D549EE" w14:paraId="52F2CF2D" w14:textId="77777777" w:rsidTr="00B66C1C">
        <w:tc>
          <w:tcPr>
            <w:tcW w:w="1834" w:type="dxa"/>
          </w:tcPr>
          <w:p w14:paraId="03A20F41" w14:textId="77777777" w:rsidR="00C24498" w:rsidRPr="00D549EE" w:rsidRDefault="00C24498" w:rsidP="00C9582F">
            <w:pPr>
              <w:pStyle w:val="HTML"/>
              <w:tabs>
                <w:tab w:val="clear" w:pos="916"/>
                <w:tab w:val="left" w:pos="709"/>
              </w:tabs>
              <w:contextualSpacing/>
              <w:rPr>
                <w:rFonts w:ascii="Times New Roman" w:hAnsi="Times New Roman" w:cs="Times New Roman"/>
                <w:sz w:val="22"/>
                <w:szCs w:val="22"/>
                <w:lang w:val="en-US"/>
              </w:rPr>
            </w:pPr>
          </w:p>
        </w:tc>
        <w:tc>
          <w:tcPr>
            <w:tcW w:w="1598" w:type="dxa"/>
          </w:tcPr>
          <w:p w14:paraId="7B2FE343" w14:textId="27D2222A" w:rsidR="00C24498" w:rsidRPr="00D549EE" w:rsidRDefault="00A7512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39%</w:t>
            </w:r>
          </w:p>
        </w:tc>
        <w:tc>
          <w:tcPr>
            <w:tcW w:w="1599" w:type="dxa"/>
          </w:tcPr>
          <w:p w14:paraId="772E7972" w14:textId="7DA04DFA" w:rsidR="00C24498" w:rsidRPr="00D549EE" w:rsidRDefault="00A7512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15</w:t>
            </w:r>
            <w:r w:rsidR="00F25F70" w:rsidRPr="00D549EE">
              <w:rPr>
                <w:rFonts w:ascii="Times New Roman" w:hAnsi="Times New Roman" w:cs="Times New Roman"/>
                <w:sz w:val="22"/>
                <w:szCs w:val="22"/>
                <w:lang w:val="en-US"/>
              </w:rPr>
              <w:t>%</w:t>
            </w:r>
          </w:p>
        </w:tc>
        <w:tc>
          <w:tcPr>
            <w:tcW w:w="1615" w:type="dxa"/>
          </w:tcPr>
          <w:p w14:paraId="393441C9" w14:textId="12A8461F" w:rsidR="00C24498" w:rsidRPr="00D549EE" w:rsidRDefault="00A7512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17%</w:t>
            </w:r>
          </w:p>
        </w:tc>
        <w:tc>
          <w:tcPr>
            <w:tcW w:w="1616" w:type="dxa"/>
            <w:gridSpan w:val="2"/>
          </w:tcPr>
          <w:p w14:paraId="4CF61136" w14:textId="28C6AE95" w:rsidR="00C24498" w:rsidRPr="00D549EE" w:rsidRDefault="00A7512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6.3%</w:t>
            </w:r>
          </w:p>
        </w:tc>
        <w:tc>
          <w:tcPr>
            <w:tcW w:w="1089" w:type="dxa"/>
          </w:tcPr>
          <w:p w14:paraId="16FF15C4" w14:textId="2A803459" w:rsidR="00C24498" w:rsidRPr="00D549EE" w:rsidRDefault="00C24498"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22.7%</w:t>
            </w:r>
          </w:p>
        </w:tc>
      </w:tr>
      <w:tr w:rsidR="00A75127" w:rsidRPr="00FC685D" w14:paraId="4105BA8B" w14:textId="77777777" w:rsidTr="00B66C1C">
        <w:tc>
          <w:tcPr>
            <w:tcW w:w="9351" w:type="dxa"/>
            <w:gridSpan w:val="7"/>
          </w:tcPr>
          <w:p w14:paraId="7EB6AC87" w14:textId="1535647E" w:rsidR="00A75127" w:rsidRPr="00D549EE" w:rsidRDefault="00A75127" w:rsidP="00C9582F">
            <w:pPr>
              <w:pStyle w:val="HTML"/>
              <w:tabs>
                <w:tab w:val="clear" w:pos="916"/>
                <w:tab w:val="left" w:pos="709"/>
              </w:tabs>
              <w:contextualSpacing/>
              <w:rPr>
                <w:rFonts w:ascii="Times New Roman" w:hAnsi="Times New Roman" w:cs="Times New Roman"/>
                <w:sz w:val="22"/>
                <w:szCs w:val="22"/>
                <w:lang w:val="en-US"/>
              </w:rPr>
            </w:pPr>
            <w:r w:rsidRPr="00D549EE">
              <w:rPr>
                <w:rFonts w:ascii="Times New Roman" w:hAnsi="Times New Roman" w:cs="Times New Roman"/>
                <w:sz w:val="22"/>
                <w:szCs w:val="22"/>
                <w:lang w:val="en-US"/>
              </w:rPr>
              <w:t xml:space="preserve">        Note – Compiled by the author </w:t>
            </w:r>
          </w:p>
        </w:tc>
      </w:tr>
    </w:tbl>
    <w:p w14:paraId="1E876FED" w14:textId="77777777" w:rsidR="00E77D4F" w:rsidRPr="00D549EE" w:rsidRDefault="00E77D4F" w:rsidP="00C9582F">
      <w:pPr>
        <w:pStyle w:val="HTML"/>
        <w:tabs>
          <w:tab w:val="clear" w:pos="916"/>
          <w:tab w:val="left" w:pos="709"/>
        </w:tabs>
        <w:contextualSpacing/>
        <w:rPr>
          <w:rFonts w:ascii="Times New Roman" w:hAnsi="Times New Roman" w:cs="Times New Roman"/>
          <w:sz w:val="28"/>
          <w:szCs w:val="28"/>
          <w:lang w:val="en-US"/>
        </w:rPr>
      </w:pPr>
    </w:p>
    <w:p w14:paraId="54FF5A21" w14:textId="77777777" w:rsidR="00C764F2" w:rsidRPr="00C764F2" w:rsidRDefault="002B0D27" w:rsidP="00C764F2">
      <w:pPr>
        <w:pStyle w:val="HTML"/>
        <w:tabs>
          <w:tab w:val="left" w:pos="709"/>
        </w:tabs>
        <w:contextualSpacing/>
        <w:rPr>
          <w:rFonts w:ascii="Times New Roman" w:hAnsi="Times New Roman" w:cs="Times New Roman"/>
          <w:sz w:val="28"/>
          <w:szCs w:val="28"/>
          <w:lang w:val="en-US"/>
        </w:rPr>
      </w:pPr>
      <w:r w:rsidRPr="00D549EE">
        <w:rPr>
          <w:rFonts w:ascii="Times New Roman" w:hAnsi="Times New Roman" w:cs="Times New Roman"/>
          <w:sz w:val="28"/>
          <w:szCs w:val="28"/>
          <w:lang w:val="en-US"/>
        </w:rPr>
        <w:tab/>
      </w:r>
      <w:r w:rsidR="00C764F2" w:rsidRPr="00C764F2">
        <w:rPr>
          <w:rFonts w:ascii="Times New Roman" w:hAnsi="Times New Roman" w:cs="Times New Roman"/>
          <w:sz w:val="28"/>
          <w:szCs w:val="28"/>
          <w:lang w:val="en-US"/>
        </w:rPr>
        <w:t xml:space="preserve">According to the survey results, knowledge about Islamic finance is informative and superficial, and only a small number of the population have a deep knowledge of Islamic finance instruments. </w:t>
      </w:r>
    </w:p>
    <w:p w14:paraId="633186F7" w14:textId="77777777" w:rsidR="00C764F2" w:rsidRPr="00C764F2" w:rsidRDefault="00C764F2" w:rsidP="00C764F2">
      <w:pPr>
        <w:pStyle w:val="HTML"/>
        <w:tabs>
          <w:tab w:val="left" w:pos="709"/>
        </w:tabs>
        <w:contextualSpacing/>
        <w:rPr>
          <w:rFonts w:ascii="Times New Roman" w:hAnsi="Times New Roman" w:cs="Times New Roman"/>
          <w:sz w:val="28"/>
          <w:szCs w:val="28"/>
          <w:lang w:val="en-US"/>
        </w:rPr>
      </w:pPr>
      <w:r w:rsidRPr="00C764F2">
        <w:rPr>
          <w:rFonts w:ascii="Times New Roman" w:hAnsi="Times New Roman" w:cs="Times New Roman"/>
          <w:sz w:val="28"/>
          <w:szCs w:val="28"/>
          <w:lang w:val="en-US"/>
        </w:rPr>
        <w:tab/>
        <w:t>71.3% of respondents do charity directly to needy people, while 17% donate through mosques, and 5.7 through non-commercial charity organizations. It is explained by the inability to trace the donation, the absence of a centralized charity system in the country, and the mistrust of intermediaries and spiritual institutions. It should be noted that 63.8% of the people are ready to use a charity application where they could choose the direction of the charity and see the donation result. Thus, when organizing a transparent system for the functioning of Islamic social finance, more than half of the respondents are ready to use modern technologies in the form of applications.</w:t>
      </w:r>
      <w:r w:rsidRPr="00C764F2">
        <w:rPr>
          <w:rFonts w:ascii="Times New Roman" w:hAnsi="Times New Roman" w:cs="Times New Roman"/>
          <w:sz w:val="28"/>
          <w:szCs w:val="28"/>
          <w:lang w:val="en-US"/>
        </w:rPr>
        <w:tab/>
        <w:t xml:space="preserve"> </w:t>
      </w:r>
    </w:p>
    <w:p w14:paraId="7E13AFE8" w14:textId="77777777" w:rsidR="00C764F2" w:rsidRPr="00C764F2" w:rsidRDefault="00C764F2" w:rsidP="00C764F2">
      <w:pPr>
        <w:pStyle w:val="HTML"/>
        <w:tabs>
          <w:tab w:val="left" w:pos="709"/>
        </w:tabs>
        <w:contextualSpacing/>
        <w:rPr>
          <w:rFonts w:ascii="Times New Roman" w:hAnsi="Times New Roman" w:cs="Times New Roman"/>
          <w:sz w:val="28"/>
          <w:szCs w:val="28"/>
          <w:lang w:val="en-US"/>
        </w:rPr>
      </w:pPr>
      <w:r w:rsidRPr="00C764F2">
        <w:rPr>
          <w:rFonts w:ascii="Times New Roman" w:hAnsi="Times New Roman" w:cs="Times New Roman"/>
          <w:sz w:val="28"/>
          <w:szCs w:val="28"/>
          <w:lang w:val="en-US"/>
        </w:rPr>
        <w:tab/>
        <w:t>In conclusion of the section, it must be noted that Islamic finance and sustainable development are increasingly converging, and Islamic social finance tools could be both a resource and a solution for solving sustainability issues during and after the pandemic period. Kazakhstan has achieved impressive results in developing and promoting the region's Islamic financial industry in the last few years. Using the AHP method of assessing the effects of Islamic finance in selected 6 social factors, based on the assessments of priorities scale of 5 experts, it is found that employment, education, and environment are ranked first, and ranks follow health, poverty, and consumption. The obtained results illustrated the Islamic financial asset in selected social factors by priority, 31.26%. Taking into account the economic and financial situation affected by the crises in developed and developing economies and financial markets across the world, the stable and promising condition of the global Islamic finance market gives the right to the assets, that Islamic finance can be the alternative way of solving the financial and social issues of the country.</w:t>
      </w:r>
    </w:p>
    <w:p w14:paraId="545052FD" w14:textId="77777777" w:rsidR="00C764F2" w:rsidRPr="00C764F2" w:rsidRDefault="00C764F2" w:rsidP="00C764F2">
      <w:pPr>
        <w:pStyle w:val="HTML"/>
        <w:tabs>
          <w:tab w:val="left" w:pos="709"/>
        </w:tabs>
        <w:contextualSpacing/>
        <w:rPr>
          <w:rFonts w:ascii="Times New Roman" w:hAnsi="Times New Roman" w:cs="Times New Roman"/>
          <w:sz w:val="28"/>
          <w:szCs w:val="28"/>
          <w:lang w:val="en-US"/>
        </w:rPr>
      </w:pPr>
      <w:r w:rsidRPr="00C764F2">
        <w:rPr>
          <w:rFonts w:ascii="Times New Roman" w:hAnsi="Times New Roman" w:cs="Times New Roman"/>
          <w:sz w:val="28"/>
          <w:szCs w:val="28"/>
          <w:lang w:val="en-US"/>
        </w:rPr>
        <w:tab/>
        <w:t>The given results of the study illustrated the potential amount of Islamic financial assets of the country and estimated potential zakat collection, which can cover the state spending to the social assistance from the budget and the resources shortfall of the country. According to our estimation, the resource shortfall at the 1.90 US dollars poverty rate is 1.89% of GDP, while potential zakat collection is 1.97% of GDP. It means an appropriate approach for further development of Islamic finance by ricing the number of Islamic financial institutions (assets, profit, zakat) and promoting Islamic social finance instruments by providing transparency and corresponding information to the donators it is possible to cover the country's resource shortfall by potential zakat amount.</w:t>
      </w:r>
    </w:p>
    <w:p w14:paraId="0E6D9421" w14:textId="288C898E" w:rsidR="002A6B64" w:rsidRPr="00D549EE" w:rsidRDefault="00C764F2" w:rsidP="00C764F2">
      <w:pPr>
        <w:pStyle w:val="HTML"/>
        <w:tabs>
          <w:tab w:val="clear" w:pos="916"/>
          <w:tab w:val="left" w:pos="709"/>
        </w:tabs>
        <w:contextualSpacing/>
        <w:rPr>
          <w:rFonts w:ascii="Times New Roman" w:hAnsi="Times New Roman" w:cs="Times New Roman"/>
          <w:sz w:val="28"/>
          <w:szCs w:val="28"/>
          <w:lang w:val="en-US"/>
        </w:rPr>
      </w:pPr>
      <w:r w:rsidRPr="00C764F2">
        <w:rPr>
          <w:rFonts w:ascii="Times New Roman" w:hAnsi="Times New Roman" w:cs="Times New Roman"/>
          <w:sz w:val="28"/>
          <w:szCs w:val="28"/>
          <w:lang w:val="en-US"/>
        </w:rPr>
        <w:tab/>
        <w:t>The survey of 1376 respondents in Islamic social finance and the position of people in doing charity gives the results for concluding that citizens do not trust the intermediaries in the field of charity and request the mechanism for maintaining the transparency of the activity of charity foundations, especially Zeket foundation, as the main central foundation for Muslims. The following chapters of the study are dedicated to formulating the solution in the form of the technological tool and making recommendations to assess the social effectiveness of implementation suggested solution on the example of the Zeket charity foundation.</w:t>
      </w:r>
    </w:p>
    <w:p w14:paraId="2ABCF7D6" w14:textId="65C62A1A" w:rsidR="00B119D2" w:rsidRDefault="00B119D2" w:rsidP="00C9582F">
      <w:pPr>
        <w:pStyle w:val="HTML"/>
        <w:tabs>
          <w:tab w:val="clear" w:pos="916"/>
          <w:tab w:val="left" w:pos="709"/>
        </w:tabs>
        <w:contextualSpacing/>
        <w:rPr>
          <w:rFonts w:ascii="Times New Roman" w:hAnsi="Times New Roman" w:cs="Times New Roman"/>
          <w:sz w:val="28"/>
          <w:szCs w:val="28"/>
          <w:lang w:val="en-US"/>
        </w:rPr>
      </w:pPr>
    </w:p>
    <w:p w14:paraId="7E4A0746" w14:textId="790614D8" w:rsidR="00CC374E" w:rsidRDefault="00CC374E" w:rsidP="00C9582F">
      <w:pPr>
        <w:pStyle w:val="HTML"/>
        <w:tabs>
          <w:tab w:val="clear" w:pos="916"/>
          <w:tab w:val="left" w:pos="709"/>
        </w:tabs>
        <w:contextualSpacing/>
        <w:rPr>
          <w:rFonts w:ascii="Times New Roman" w:hAnsi="Times New Roman" w:cs="Times New Roman"/>
          <w:sz w:val="28"/>
          <w:szCs w:val="28"/>
          <w:lang w:val="en-US"/>
        </w:rPr>
      </w:pPr>
    </w:p>
    <w:p w14:paraId="795A8B97" w14:textId="21AA1A11" w:rsidR="00CC374E" w:rsidRDefault="00CC374E" w:rsidP="00C9582F">
      <w:pPr>
        <w:pStyle w:val="HTML"/>
        <w:tabs>
          <w:tab w:val="clear" w:pos="916"/>
          <w:tab w:val="left" w:pos="709"/>
        </w:tabs>
        <w:contextualSpacing/>
        <w:rPr>
          <w:rFonts w:ascii="Times New Roman" w:hAnsi="Times New Roman" w:cs="Times New Roman"/>
          <w:sz w:val="28"/>
          <w:szCs w:val="28"/>
          <w:lang w:val="en-US"/>
        </w:rPr>
      </w:pPr>
    </w:p>
    <w:p w14:paraId="15B6BB8C" w14:textId="1E459445" w:rsidR="00CC374E" w:rsidRDefault="00CC374E" w:rsidP="00C9582F">
      <w:pPr>
        <w:pStyle w:val="HTML"/>
        <w:tabs>
          <w:tab w:val="clear" w:pos="916"/>
          <w:tab w:val="left" w:pos="709"/>
        </w:tabs>
        <w:contextualSpacing/>
        <w:rPr>
          <w:rFonts w:ascii="Times New Roman" w:hAnsi="Times New Roman" w:cs="Times New Roman"/>
          <w:sz w:val="28"/>
          <w:szCs w:val="28"/>
          <w:lang w:val="en-US"/>
        </w:rPr>
      </w:pPr>
    </w:p>
    <w:p w14:paraId="6E55ED8F" w14:textId="718786A0" w:rsidR="00CC374E" w:rsidRDefault="00CC374E" w:rsidP="00C9582F">
      <w:pPr>
        <w:pStyle w:val="HTML"/>
        <w:tabs>
          <w:tab w:val="clear" w:pos="916"/>
          <w:tab w:val="left" w:pos="709"/>
        </w:tabs>
        <w:contextualSpacing/>
        <w:rPr>
          <w:rFonts w:ascii="Times New Roman" w:hAnsi="Times New Roman" w:cs="Times New Roman"/>
          <w:sz w:val="28"/>
          <w:szCs w:val="28"/>
          <w:lang w:val="en-US"/>
        </w:rPr>
      </w:pPr>
    </w:p>
    <w:p w14:paraId="774495BE" w14:textId="1D319056" w:rsidR="00CC374E" w:rsidRDefault="00CC374E" w:rsidP="00C9582F">
      <w:pPr>
        <w:pStyle w:val="HTML"/>
        <w:tabs>
          <w:tab w:val="clear" w:pos="916"/>
          <w:tab w:val="left" w:pos="709"/>
        </w:tabs>
        <w:contextualSpacing/>
        <w:rPr>
          <w:rFonts w:ascii="Times New Roman" w:hAnsi="Times New Roman" w:cs="Times New Roman"/>
          <w:sz w:val="28"/>
          <w:szCs w:val="28"/>
          <w:lang w:val="en-US"/>
        </w:rPr>
      </w:pPr>
    </w:p>
    <w:p w14:paraId="6CD78D90" w14:textId="77777777" w:rsidR="00FC685D" w:rsidRDefault="00FC685D" w:rsidP="00C9582F">
      <w:pPr>
        <w:pStyle w:val="HTML"/>
        <w:tabs>
          <w:tab w:val="clear" w:pos="916"/>
          <w:tab w:val="left" w:pos="709"/>
        </w:tabs>
        <w:contextualSpacing/>
        <w:rPr>
          <w:rFonts w:ascii="Times New Roman" w:hAnsi="Times New Roman" w:cs="Times New Roman"/>
          <w:sz w:val="28"/>
          <w:szCs w:val="28"/>
          <w:lang w:val="en-US"/>
        </w:rPr>
      </w:pPr>
    </w:p>
    <w:p w14:paraId="245EBF81" w14:textId="77777777" w:rsidR="00FC685D" w:rsidRDefault="00FC685D" w:rsidP="00C9582F">
      <w:pPr>
        <w:pStyle w:val="HTML"/>
        <w:tabs>
          <w:tab w:val="clear" w:pos="916"/>
          <w:tab w:val="left" w:pos="709"/>
        </w:tabs>
        <w:contextualSpacing/>
        <w:rPr>
          <w:rFonts w:ascii="Times New Roman" w:hAnsi="Times New Roman" w:cs="Times New Roman"/>
          <w:sz w:val="28"/>
          <w:szCs w:val="28"/>
          <w:lang w:val="en-US"/>
        </w:rPr>
      </w:pPr>
    </w:p>
    <w:p w14:paraId="61E58ACF" w14:textId="77777777" w:rsidR="00FC685D" w:rsidRDefault="00FC685D" w:rsidP="00C9582F">
      <w:pPr>
        <w:pStyle w:val="HTML"/>
        <w:tabs>
          <w:tab w:val="clear" w:pos="916"/>
          <w:tab w:val="left" w:pos="709"/>
        </w:tabs>
        <w:contextualSpacing/>
        <w:rPr>
          <w:rFonts w:ascii="Times New Roman" w:hAnsi="Times New Roman" w:cs="Times New Roman"/>
          <w:sz w:val="28"/>
          <w:szCs w:val="28"/>
          <w:lang w:val="en-US"/>
        </w:rPr>
      </w:pPr>
    </w:p>
    <w:p w14:paraId="3E0B03F6" w14:textId="77777777" w:rsidR="00FC685D" w:rsidRDefault="00FC685D" w:rsidP="00C9582F">
      <w:pPr>
        <w:pStyle w:val="HTML"/>
        <w:tabs>
          <w:tab w:val="clear" w:pos="916"/>
          <w:tab w:val="left" w:pos="709"/>
        </w:tabs>
        <w:contextualSpacing/>
        <w:rPr>
          <w:rFonts w:ascii="Times New Roman" w:hAnsi="Times New Roman" w:cs="Times New Roman"/>
          <w:sz w:val="28"/>
          <w:szCs w:val="28"/>
          <w:lang w:val="en-US"/>
        </w:rPr>
      </w:pPr>
    </w:p>
    <w:p w14:paraId="47A3C943" w14:textId="77777777" w:rsidR="00FC685D" w:rsidRDefault="00FC685D" w:rsidP="00C9582F">
      <w:pPr>
        <w:pStyle w:val="HTML"/>
        <w:tabs>
          <w:tab w:val="clear" w:pos="916"/>
          <w:tab w:val="left" w:pos="709"/>
        </w:tabs>
        <w:contextualSpacing/>
        <w:rPr>
          <w:rFonts w:ascii="Times New Roman" w:hAnsi="Times New Roman" w:cs="Times New Roman"/>
          <w:sz w:val="28"/>
          <w:szCs w:val="28"/>
          <w:lang w:val="en-US"/>
        </w:rPr>
      </w:pPr>
    </w:p>
    <w:p w14:paraId="716CE175" w14:textId="77777777" w:rsidR="00FC685D" w:rsidRDefault="00FC685D" w:rsidP="00C9582F">
      <w:pPr>
        <w:pStyle w:val="HTML"/>
        <w:tabs>
          <w:tab w:val="clear" w:pos="916"/>
          <w:tab w:val="left" w:pos="709"/>
        </w:tabs>
        <w:contextualSpacing/>
        <w:rPr>
          <w:rFonts w:ascii="Times New Roman" w:hAnsi="Times New Roman" w:cs="Times New Roman"/>
          <w:sz w:val="28"/>
          <w:szCs w:val="28"/>
          <w:lang w:val="en-US"/>
        </w:rPr>
      </w:pPr>
    </w:p>
    <w:p w14:paraId="791248B3" w14:textId="77777777" w:rsidR="00FC685D" w:rsidRDefault="00FC685D" w:rsidP="00C9582F">
      <w:pPr>
        <w:pStyle w:val="HTML"/>
        <w:tabs>
          <w:tab w:val="clear" w:pos="916"/>
          <w:tab w:val="left" w:pos="709"/>
        </w:tabs>
        <w:contextualSpacing/>
        <w:rPr>
          <w:rFonts w:ascii="Times New Roman" w:hAnsi="Times New Roman" w:cs="Times New Roman"/>
          <w:sz w:val="28"/>
          <w:szCs w:val="28"/>
          <w:lang w:val="en-US"/>
        </w:rPr>
      </w:pPr>
    </w:p>
    <w:p w14:paraId="4D7BFD54" w14:textId="77777777" w:rsidR="00FC685D" w:rsidRDefault="00FC685D" w:rsidP="00C9582F">
      <w:pPr>
        <w:pStyle w:val="HTML"/>
        <w:tabs>
          <w:tab w:val="clear" w:pos="916"/>
          <w:tab w:val="left" w:pos="709"/>
        </w:tabs>
        <w:contextualSpacing/>
        <w:rPr>
          <w:rFonts w:ascii="Times New Roman" w:hAnsi="Times New Roman" w:cs="Times New Roman"/>
          <w:sz w:val="28"/>
          <w:szCs w:val="28"/>
          <w:lang w:val="en-US"/>
        </w:rPr>
      </w:pPr>
    </w:p>
    <w:p w14:paraId="28B25490" w14:textId="77777777" w:rsidR="00FC685D" w:rsidRDefault="00FC685D" w:rsidP="00C9582F">
      <w:pPr>
        <w:pStyle w:val="HTML"/>
        <w:tabs>
          <w:tab w:val="clear" w:pos="916"/>
          <w:tab w:val="left" w:pos="709"/>
        </w:tabs>
        <w:contextualSpacing/>
        <w:rPr>
          <w:rFonts w:ascii="Times New Roman" w:hAnsi="Times New Roman" w:cs="Times New Roman"/>
          <w:sz w:val="28"/>
          <w:szCs w:val="28"/>
          <w:lang w:val="en-US"/>
        </w:rPr>
      </w:pPr>
    </w:p>
    <w:p w14:paraId="117B05E4" w14:textId="379DBCB8" w:rsidR="00CC374E" w:rsidRDefault="00CC374E" w:rsidP="00C9582F">
      <w:pPr>
        <w:pStyle w:val="HTML"/>
        <w:tabs>
          <w:tab w:val="clear" w:pos="916"/>
          <w:tab w:val="left" w:pos="709"/>
        </w:tabs>
        <w:contextualSpacing/>
        <w:rPr>
          <w:rFonts w:ascii="Times New Roman" w:hAnsi="Times New Roman" w:cs="Times New Roman"/>
          <w:sz w:val="28"/>
          <w:szCs w:val="28"/>
          <w:lang w:val="en-US"/>
        </w:rPr>
      </w:pPr>
    </w:p>
    <w:p w14:paraId="395D9DDC" w14:textId="577DD18B" w:rsidR="00CC374E" w:rsidRDefault="00CC374E" w:rsidP="00C9582F">
      <w:pPr>
        <w:pStyle w:val="HTML"/>
        <w:tabs>
          <w:tab w:val="clear" w:pos="916"/>
          <w:tab w:val="left" w:pos="709"/>
        </w:tabs>
        <w:contextualSpacing/>
        <w:rPr>
          <w:rFonts w:ascii="Times New Roman" w:hAnsi="Times New Roman" w:cs="Times New Roman"/>
          <w:sz w:val="28"/>
          <w:szCs w:val="28"/>
          <w:lang w:val="en-US"/>
        </w:rPr>
      </w:pPr>
    </w:p>
    <w:p w14:paraId="10DCAC6C" w14:textId="7CCF666D" w:rsidR="00CC374E" w:rsidRDefault="00CC374E" w:rsidP="00C9582F">
      <w:pPr>
        <w:pStyle w:val="HTML"/>
        <w:tabs>
          <w:tab w:val="clear" w:pos="916"/>
          <w:tab w:val="left" w:pos="709"/>
        </w:tabs>
        <w:contextualSpacing/>
        <w:rPr>
          <w:rFonts w:ascii="Times New Roman" w:hAnsi="Times New Roman" w:cs="Times New Roman"/>
          <w:sz w:val="28"/>
          <w:szCs w:val="28"/>
          <w:lang w:val="en-US"/>
        </w:rPr>
      </w:pPr>
    </w:p>
    <w:p w14:paraId="3B995078" w14:textId="77777777" w:rsidR="00CC374E" w:rsidRPr="00D549EE" w:rsidRDefault="00CC374E" w:rsidP="00C9582F">
      <w:pPr>
        <w:pStyle w:val="HTML"/>
        <w:tabs>
          <w:tab w:val="clear" w:pos="916"/>
          <w:tab w:val="left" w:pos="709"/>
        </w:tabs>
        <w:contextualSpacing/>
        <w:rPr>
          <w:rFonts w:ascii="Times New Roman" w:hAnsi="Times New Roman" w:cs="Times New Roman"/>
          <w:sz w:val="28"/>
          <w:szCs w:val="28"/>
          <w:lang w:val="en-US"/>
        </w:rPr>
      </w:pPr>
    </w:p>
    <w:p w14:paraId="5A08BD27" w14:textId="4EC7AC6C" w:rsidR="007008BB" w:rsidRPr="00D549EE" w:rsidRDefault="00901902" w:rsidP="00C9582F">
      <w:pPr>
        <w:snapToGrid w:val="0"/>
        <w:contextualSpacing/>
        <w:jc w:val="both"/>
        <w:rPr>
          <w:b/>
          <w:color w:val="000000" w:themeColor="text1"/>
          <w:sz w:val="28"/>
          <w:szCs w:val="28"/>
          <w:lang w:val="en-US"/>
        </w:rPr>
      </w:pPr>
      <w:r w:rsidRPr="00D549EE">
        <w:rPr>
          <w:b/>
          <w:color w:val="000000" w:themeColor="text1"/>
          <w:sz w:val="28"/>
          <w:szCs w:val="28"/>
          <w:lang w:val="en-US"/>
        </w:rPr>
        <w:tab/>
      </w:r>
      <w:r w:rsidR="00EE6A60" w:rsidRPr="00D549EE">
        <w:rPr>
          <w:b/>
          <w:color w:val="000000" w:themeColor="text1"/>
          <w:sz w:val="28"/>
          <w:szCs w:val="28"/>
          <w:lang w:val="en-US"/>
        </w:rPr>
        <w:t xml:space="preserve">2.3 </w:t>
      </w:r>
      <w:r w:rsidRPr="00D549EE">
        <w:rPr>
          <w:b/>
          <w:color w:val="000000"/>
          <w:sz w:val="28"/>
          <w:szCs w:val="28"/>
          <w:lang w:val="en-US"/>
        </w:rPr>
        <w:t>The role of Islamic finance and Islamic financial institutions in solving social problems of the Republic of Kazakhstan</w:t>
      </w:r>
    </w:p>
    <w:p w14:paraId="3DFA8804" w14:textId="77777777" w:rsidR="00853360" w:rsidRPr="00853360" w:rsidRDefault="00B119D2" w:rsidP="00853360">
      <w:pPr>
        <w:snapToGrid w:val="0"/>
        <w:contextualSpacing/>
        <w:jc w:val="both"/>
        <w:rPr>
          <w:sz w:val="28"/>
          <w:szCs w:val="28"/>
          <w:lang w:val="en-US"/>
        </w:rPr>
      </w:pPr>
      <w:r w:rsidRPr="00D549EE">
        <w:rPr>
          <w:b/>
          <w:color w:val="000000" w:themeColor="text1"/>
          <w:sz w:val="28"/>
          <w:szCs w:val="28"/>
          <w:lang w:val="en-US"/>
        </w:rPr>
        <w:tab/>
      </w:r>
      <w:r w:rsidR="00853360" w:rsidRPr="00853360">
        <w:rPr>
          <w:sz w:val="28"/>
          <w:szCs w:val="28"/>
          <w:lang w:val="en-US"/>
        </w:rPr>
        <w:t>Nowadays, the Kazakh Islamic financial industry is represented by two Islamic banks, two Ijara companies, several consulting firms, and brokerage companies. However, there have been no significant public transactions in the securities sector with Islamic securities of the economy.</w:t>
      </w:r>
    </w:p>
    <w:p w14:paraId="4F40D419" w14:textId="77777777" w:rsidR="00853360" w:rsidRPr="00853360" w:rsidRDefault="00853360" w:rsidP="00853360">
      <w:pPr>
        <w:snapToGrid w:val="0"/>
        <w:contextualSpacing/>
        <w:jc w:val="both"/>
        <w:rPr>
          <w:sz w:val="28"/>
          <w:szCs w:val="28"/>
          <w:lang w:val="en-US"/>
        </w:rPr>
      </w:pPr>
      <w:r w:rsidRPr="00853360">
        <w:rPr>
          <w:sz w:val="28"/>
          <w:szCs w:val="28"/>
          <w:lang w:val="en-US"/>
        </w:rPr>
        <w:tab/>
        <w:t>According to the official data, there are about 20 leasing companies in Kazakhstan, including two Islamic ijara companies JCS Kazakhstan Ijara Company (KIC) and JCS Al-saqr Finance. By some estimates, the total amount of assets of leasing companies is 475.17 billion tenge. (financial reports of the companies) 2 of the 20 leasing companies are owned by the state. (KazAgroFinance and BRK-leasing), Furthermore, 93.6% of the country's leasing area investments are state-owned leasing companies' shares. The total assets amount of both Islamic ijara companies is estimated at 13.24 billion tenge, 2.8% of all leasing companies' assets.</w:t>
      </w:r>
    </w:p>
    <w:p w14:paraId="0515AA56" w14:textId="1EBC7E52" w:rsidR="00853360" w:rsidRPr="00853360" w:rsidRDefault="00853360" w:rsidP="00853360">
      <w:pPr>
        <w:snapToGrid w:val="0"/>
        <w:contextualSpacing/>
        <w:jc w:val="both"/>
        <w:rPr>
          <w:sz w:val="28"/>
          <w:szCs w:val="28"/>
          <w:lang w:val="en-US"/>
        </w:rPr>
      </w:pPr>
      <w:r>
        <w:rPr>
          <w:sz w:val="28"/>
          <w:szCs w:val="28"/>
          <w:lang w:val="en-US"/>
        </w:rPr>
        <w:tab/>
      </w:r>
      <w:r w:rsidRPr="00853360">
        <w:rPr>
          <w:sz w:val="28"/>
          <w:szCs w:val="28"/>
          <w:lang w:val="en-US"/>
        </w:rPr>
        <w:t xml:space="preserve">KIC JSC was established as the first Islamic leasing company in 2013. The shareholders are ICD (Islamic Corporation for the development of private sector, part of the Islamic Development Bank Group), Al-Hilal leasing company Aktif Bank and others. The leading target group of KIC is small and medium enterprises in the country. The company provides alternative shariah complaint financing and is a participant in business road map 2025 of Damu, clients of KIC can participate and receive state support within the program. </w:t>
      </w:r>
    </w:p>
    <w:p w14:paraId="2B346442" w14:textId="4046C3CA" w:rsidR="00853360" w:rsidRPr="00853360" w:rsidRDefault="00853360" w:rsidP="00853360">
      <w:pPr>
        <w:snapToGrid w:val="0"/>
        <w:contextualSpacing/>
        <w:jc w:val="both"/>
        <w:rPr>
          <w:sz w:val="28"/>
          <w:szCs w:val="28"/>
          <w:lang w:val="en-US"/>
        </w:rPr>
      </w:pPr>
      <w:r>
        <w:rPr>
          <w:sz w:val="28"/>
          <w:szCs w:val="28"/>
          <w:lang w:val="en-US"/>
        </w:rPr>
        <w:tab/>
      </w:r>
      <w:r w:rsidRPr="00853360">
        <w:rPr>
          <w:sz w:val="28"/>
          <w:szCs w:val="28"/>
          <w:lang w:val="en-US"/>
        </w:rPr>
        <w:t xml:space="preserve">In comparison, Al-Saqr finance JSC was re-organized in a Shariah-compliant form of activity in 2016 from the conventional leasing company with more than 16 years of traditional (non-Islamic) experience. The company is an active participant in the Kazakhstan Stock Exchange (KASE) and the state programs of Damu. </w:t>
      </w:r>
    </w:p>
    <w:p w14:paraId="13F7089A" w14:textId="77777777" w:rsidR="00853360" w:rsidRPr="00853360" w:rsidRDefault="00853360" w:rsidP="00853360">
      <w:pPr>
        <w:snapToGrid w:val="0"/>
        <w:contextualSpacing/>
        <w:jc w:val="both"/>
        <w:rPr>
          <w:sz w:val="28"/>
          <w:szCs w:val="28"/>
          <w:lang w:val="en-US"/>
        </w:rPr>
      </w:pPr>
      <w:r w:rsidRPr="00853360">
        <w:rPr>
          <w:sz w:val="28"/>
          <w:szCs w:val="28"/>
          <w:lang w:val="en-US"/>
        </w:rPr>
        <w:t>If turn to microfinance in Kazakhstan, еhe microfinance market is the fastest growing in the country's financial sector. On average, the amount of assets has increased by 41.1% per year over the past three years. (ranking.kz) The loan portfolio of microfinance organizations is 418 billion tenge, and the portfolio has increased by 42.6% since the beginning of the year. The main activities of the sector organizations are supporting entrepreneurs, reducing poverty, ensuring the availability of financial services, and others. It is worth noting that the state controls the market of microfinance organizations through the Agency for regulation and development of the financial market (ARKRDFM). The number of active microfinance organizations is 229 on 1 January 2021, according to the Association of Microfinance Organizations of Kazakhstan (AMFOK). 107 organizations located in Almaty, 47 % of all microfinance country's organizations, and form 83% of the total loan portfolio, 27 in Nur-Sultan, 29 in Shymkent, and 20 in Karaganda. The return on assets (ROA) for all MFIs is 6.2%, return on equity (ROE) is 20%, and еру net profit for 2020-2021 was 32 billion tenge. It is inspected that Islamic microfinance particularly and microfinance, in general, will grow because there is a high level of demand from entrepreneurs and the rural population, which represents 46% of the country's population [69].</w:t>
      </w:r>
    </w:p>
    <w:p w14:paraId="0711C082" w14:textId="75D1F877" w:rsidR="00853360" w:rsidRPr="00853360" w:rsidRDefault="00853360" w:rsidP="00853360">
      <w:pPr>
        <w:snapToGrid w:val="0"/>
        <w:contextualSpacing/>
        <w:jc w:val="both"/>
        <w:rPr>
          <w:sz w:val="28"/>
          <w:szCs w:val="28"/>
          <w:lang w:val="en-US"/>
        </w:rPr>
      </w:pPr>
      <w:r>
        <w:rPr>
          <w:sz w:val="28"/>
          <w:szCs w:val="28"/>
          <w:lang w:val="en-US"/>
        </w:rPr>
        <w:tab/>
      </w:r>
      <w:r w:rsidRPr="00853360">
        <w:rPr>
          <w:sz w:val="28"/>
          <w:szCs w:val="28"/>
          <w:lang w:val="en-US"/>
        </w:rPr>
        <w:t xml:space="preserve">The Islamic finance securities market is still on its rudimentary level. There has been only one Sukuk issuance for more than 10 years of Islamic finance development, initiated by the government of the country through the Development Bank of Kazakhstan for 240 million Malaysian ringgits, which is about 70 million US dollars, 62% of which id distributed among Malaysian investors, 38% was placed in the organized market of the country [132]. Furthermore, Astana International Exchange (AIX announced the cross-listing of three Sukuk issues of the Islamic Development Bank (IDB), previously placed under the Medium-Term Notes (MTN) Program in the amount of 25 billion US dollars and traded on Euronext Dublin, Nasdaq Dubai and Bursa Malaysia (Exempt Regime) in 2020. The few transactions with Sukuk are the underdevelopment of the Capital market in the country, both equity and debt capital market. </w:t>
      </w:r>
    </w:p>
    <w:p w14:paraId="7A9C1467" w14:textId="77777777" w:rsidR="00D83D8F" w:rsidRDefault="00853360" w:rsidP="00853360">
      <w:pPr>
        <w:snapToGrid w:val="0"/>
        <w:contextualSpacing/>
        <w:jc w:val="both"/>
        <w:rPr>
          <w:sz w:val="28"/>
          <w:szCs w:val="28"/>
          <w:lang w:val="en-US"/>
        </w:rPr>
      </w:pPr>
      <w:r>
        <w:rPr>
          <w:sz w:val="28"/>
          <w:szCs w:val="28"/>
          <w:lang w:val="en-US"/>
        </w:rPr>
        <w:tab/>
      </w:r>
      <w:r w:rsidRPr="00853360">
        <w:rPr>
          <w:sz w:val="28"/>
          <w:szCs w:val="28"/>
          <w:lang w:val="en-US"/>
        </w:rPr>
        <w:t xml:space="preserve">For assessing the effects of Islamic financial institutions on the financial sector of the country, we conducted 8 in-depth interviews with senior executives and responsible representatives of the Islamic finance market players: Al-Hilal Islamic Bank, Zaman Islamic Bank, Kazakhstan Ijara Company, Al-saqr Finance, Astana International Financial Centre, Social Islamic Finance and Zeket fund. The senior executives were selected for their knowledge of Islamic finance and experience in this area. </w:t>
      </w:r>
    </w:p>
    <w:p w14:paraId="4F12F66B" w14:textId="50C7AF6C" w:rsidR="00853360" w:rsidRPr="00853360" w:rsidRDefault="00D83D8F" w:rsidP="00853360">
      <w:pPr>
        <w:snapToGrid w:val="0"/>
        <w:contextualSpacing/>
        <w:jc w:val="both"/>
        <w:rPr>
          <w:sz w:val="28"/>
          <w:szCs w:val="28"/>
          <w:lang w:val="en-US"/>
        </w:rPr>
      </w:pPr>
      <w:r>
        <w:rPr>
          <w:sz w:val="28"/>
          <w:szCs w:val="28"/>
          <w:lang w:val="en-US"/>
        </w:rPr>
        <w:tab/>
      </w:r>
      <w:r w:rsidR="00853360" w:rsidRPr="00853360">
        <w:rPr>
          <w:sz w:val="28"/>
          <w:szCs w:val="28"/>
          <w:lang w:val="en-US"/>
        </w:rPr>
        <w:t>To analyze the role of Islamic financial institutions compared to conventional, we obtained in-depth interviews with representatives of 2 conventional banks in the country: Bank CenterCredit JSC and KZI JSC. The interview strategy aimed to understand the social responsibility of those involved in Islamic finance institutions. The interviews were guided by a set of open-ended questions, which helped to assess the social impact of the Islamic financial institutions. This method helped us to understand. Every interview lasted from 40 to 80 minutes and covered the main 3 blocks of questions, general information about institutions, social effectiveness and effects of the activity of the institutions, and experts' view on the assessment of social effectiveness of Islamic finance. The transcript was recorded in the interview language, and then transcript documentation was translated into English and rechecked for the content and meaning of the text. There has been used the content analysis to identify the social effects and the perspectives of the Islamic social finance. For the Islamic financials, 4 institutions, 2 banks, and 2 ijara companies have used annual reports for 2019 and 2020 years available at the companies' websites. The financial institutions' annual statements were also used to estimate zakat as 2.5% of the annual profit, which must be paid by the institution or by shareholders. Since not only financial indicators are involved in assessing the social effectiveness of Islamic finance, the results obtained from interviews will allow for assessment of it. There have been used following indicators:</w:t>
      </w:r>
    </w:p>
    <w:p w14:paraId="258453BE" w14:textId="17A1B3C1" w:rsidR="00853360" w:rsidRPr="00853360" w:rsidRDefault="00D83D8F" w:rsidP="00853360">
      <w:pPr>
        <w:snapToGrid w:val="0"/>
        <w:contextualSpacing/>
        <w:jc w:val="both"/>
        <w:rPr>
          <w:sz w:val="28"/>
          <w:szCs w:val="28"/>
          <w:lang w:val="en-US"/>
        </w:rPr>
      </w:pPr>
      <w:r>
        <w:rPr>
          <w:sz w:val="28"/>
          <w:szCs w:val="28"/>
          <w:lang w:val="en-US"/>
        </w:rPr>
        <w:tab/>
      </w:r>
      <w:r w:rsidR="00853360" w:rsidRPr="00853360">
        <w:rPr>
          <w:sz w:val="28"/>
          <w:szCs w:val="28"/>
          <w:lang w:val="en-US"/>
        </w:rPr>
        <w:t>- financial statements and results of operations;</w:t>
      </w:r>
    </w:p>
    <w:p w14:paraId="608D76F0" w14:textId="3179ADB5" w:rsidR="00853360" w:rsidRPr="00853360" w:rsidRDefault="00D83D8F" w:rsidP="00853360">
      <w:pPr>
        <w:snapToGrid w:val="0"/>
        <w:contextualSpacing/>
        <w:jc w:val="both"/>
        <w:rPr>
          <w:sz w:val="28"/>
          <w:szCs w:val="28"/>
          <w:lang w:val="en-US"/>
        </w:rPr>
      </w:pPr>
      <w:r>
        <w:rPr>
          <w:sz w:val="28"/>
          <w:szCs w:val="28"/>
          <w:lang w:val="en-US"/>
        </w:rPr>
        <w:tab/>
      </w:r>
      <w:r w:rsidR="00853360" w:rsidRPr="00853360">
        <w:rPr>
          <w:sz w:val="28"/>
          <w:szCs w:val="28"/>
          <w:lang w:val="en-US"/>
        </w:rPr>
        <w:t>- social projects in which were involved institutions;</w:t>
      </w:r>
    </w:p>
    <w:p w14:paraId="2E18CA01" w14:textId="2409D43E" w:rsidR="00853360" w:rsidRPr="00853360" w:rsidRDefault="00D83D8F" w:rsidP="00853360">
      <w:pPr>
        <w:snapToGrid w:val="0"/>
        <w:contextualSpacing/>
        <w:jc w:val="both"/>
        <w:rPr>
          <w:sz w:val="28"/>
          <w:szCs w:val="28"/>
          <w:lang w:val="en-US"/>
        </w:rPr>
      </w:pPr>
      <w:r>
        <w:rPr>
          <w:sz w:val="28"/>
          <w:szCs w:val="28"/>
          <w:lang w:val="en-US"/>
        </w:rPr>
        <w:tab/>
      </w:r>
      <w:r w:rsidR="00853360" w:rsidRPr="00853360">
        <w:rPr>
          <w:sz w:val="28"/>
          <w:szCs w:val="28"/>
          <w:lang w:val="en-US"/>
        </w:rPr>
        <w:t>- social effects of the implemented projects;</w:t>
      </w:r>
    </w:p>
    <w:p w14:paraId="080A42A9" w14:textId="2820200C" w:rsidR="00853360" w:rsidRPr="00853360" w:rsidRDefault="00D83D8F" w:rsidP="00853360">
      <w:pPr>
        <w:snapToGrid w:val="0"/>
        <w:contextualSpacing/>
        <w:jc w:val="both"/>
        <w:rPr>
          <w:sz w:val="28"/>
          <w:szCs w:val="28"/>
          <w:lang w:val="en-US"/>
        </w:rPr>
      </w:pPr>
      <w:r>
        <w:rPr>
          <w:sz w:val="28"/>
          <w:szCs w:val="28"/>
          <w:lang w:val="en-US"/>
        </w:rPr>
        <w:tab/>
      </w:r>
      <w:r w:rsidR="00853360" w:rsidRPr="00853360">
        <w:rPr>
          <w:sz w:val="28"/>
          <w:szCs w:val="28"/>
          <w:lang w:val="en-US"/>
        </w:rPr>
        <w:t>- the estimated amount of zakat, formed from the profit of the Islamic financial institutions;</w:t>
      </w:r>
    </w:p>
    <w:p w14:paraId="0CAC0D03" w14:textId="737A37CF" w:rsidR="00853360" w:rsidRPr="00853360" w:rsidRDefault="00D83D8F" w:rsidP="00853360">
      <w:pPr>
        <w:snapToGrid w:val="0"/>
        <w:contextualSpacing/>
        <w:jc w:val="both"/>
        <w:rPr>
          <w:sz w:val="28"/>
          <w:szCs w:val="28"/>
          <w:lang w:val="en-US"/>
        </w:rPr>
      </w:pPr>
      <w:r>
        <w:rPr>
          <w:sz w:val="28"/>
          <w:szCs w:val="28"/>
          <w:lang w:val="en-US"/>
        </w:rPr>
        <w:tab/>
      </w:r>
      <w:r w:rsidR="00853360" w:rsidRPr="00853360">
        <w:rPr>
          <w:sz w:val="28"/>
          <w:szCs w:val="28"/>
          <w:lang w:val="en-US"/>
        </w:rPr>
        <w:t>- qard-Hasan (loan without interest and profit for a financial institution) transactions;</w:t>
      </w:r>
    </w:p>
    <w:p w14:paraId="3F7BE7BC" w14:textId="32BBFD08" w:rsidR="00853360" w:rsidRPr="00853360" w:rsidRDefault="00D83D8F" w:rsidP="00853360">
      <w:pPr>
        <w:snapToGrid w:val="0"/>
        <w:contextualSpacing/>
        <w:jc w:val="both"/>
        <w:rPr>
          <w:sz w:val="28"/>
          <w:szCs w:val="28"/>
          <w:lang w:val="en-US"/>
        </w:rPr>
      </w:pPr>
      <w:r>
        <w:rPr>
          <w:sz w:val="28"/>
          <w:szCs w:val="28"/>
          <w:lang w:val="en-US"/>
        </w:rPr>
        <w:tab/>
      </w:r>
      <w:r w:rsidR="00853360" w:rsidRPr="00853360">
        <w:rPr>
          <w:sz w:val="28"/>
          <w:szCs w:val="28"/>
          <w:lang w:val="en-US"/>
        </w:rPr>
        <w:t>- the policy of payment delay in the case of hardship;</w:t>
      </w:r>
    </w:p>
    <w:p w14:paraId="0F75E141" w14:textId="70E6E70F" w:rsidR="00853360" w:rsidRPr="00853360" w:rsidRDefault="00D83D8F" w:rsidP="00853360">
      <w:pPr>
        <w:snapToGrid w:val="0"/>
        <w:contextualSpacing/>
        <w:jc w:val="both"/>
        <w:rPr>
          <w:sz w:val="28"/>
          <w:szCs w:val="28"/>
          <w:lang w:val="en-US"/>
        </w:rPr>
      </w:pPr>
      <w:r>
        <w:rPr>
          <w:sz w:val="28"/>
          <w:szCs w:val="28"/>
          <w:lang w:val="en-US"/>
        </w:rPr>
        <w:tab/>
      </w:r>
      <w:r w:rsidR="00853360" w:rsidRPr="00853360">
        <w:rPr>
          <w:sz w:val="28"/>
          <w:szCs w:val="28"/>
          <w:lang w:val="en-US"/>
        </w:rPr>
        <w:t>- employment policy in the crisis;</w:t>
      </w:r>
    </w:p>
    <w:p w14:paraId="384F38CE" w14:textId="653B0B68" w:rsidR="00853360" w:rsidRPr="00853360" w:rsidRDefault="00D83D8F" w:rsidP="00853360">
      <w:pPr>
        <w:snapToGrid w:val="0"/>
        <w:contextualSpacing/>
        <w:jc w:val="both"/>
        <w:rPr>
          <w:sz w:val="28"/>
          <w:szCs w:val="28"/>
          <w:lang w:val="en-US"/>
        </w:rPr>
      </w:pPr>
      <w:r>
        <w:rPr>
          <w:sz w:val="28"/>
          <w:szCs w:val="28"/>
          <w:lang w:val="en-US"/>
        </w:rPr>
        <w:tab/>
      </w:r>
      <w:r w:rsidR="00853360" w:rsidRPr="00853360">
        <w:rPr>
          <w:sz w:val="28"/>
          <w:szCs w:val="28"/>
          <w:lang w:val="en-US"/>
        </w:rPr>
        <w:t xml:space="preserve">- prohibition on financing haram businesses. </w:t>
      </w:r>
    </w:p>
    <w:p w14:paraId="31130B66" w14:textId="7084DE4B" w:rsidR="00E05531" w:rsidRDefault="00853360" w:rsidP="00853360">
      <w:pPr>
        <w:snapToGrid w:val="0"/>
        <w:contextualSpacing/>
        <w:jc w:val="both"/>
        <w:rPr>
          <w:sz w:val="28"/>
          <w:szCs w:val="28"/>
          <w:lang w:val="en-US"/>
        </w:rPr>
      </w:pPr>
      <w:r w:rsidRPr="00853360">
        <w:rPr>
          <w:sz w:val="28"/>
          <w:szCs w:val="28"/>
          <w:lang w:val="en-US"/>
        </w:rPr>
        <w:tab/>
        <w:t>We have adopted the index of social responsibility studied and Rodoni et al. to assess the Islamic social finance index (ISFI) for the country's financial institutions. The study is based on the research on social disclosure from the Islamic point of view. Based on R.Kamla, M. Zarka, and N.Shirazi, M.Asutay [133], this study built the design of themes of Social effects in Islamic finance [134]. For estimation of the index, which we called as Islamic social finance index, the score was calculated. The approach to calculating scores is considered in a dichromatic way. For the reported and given indicator, the score is 1, and for unreported is 0.</w:t>
      </w:r>
    </w:p>
    <w:p w14:paraId="3450E70C" w14:textId="77777777" w:rsidR="00853360" w:rsidRPr="00D549EE" w:rsidRDefault="00853360" w:rsidP="00853360">
      <w:pPr>
        <w:snapToGrid w:val="0"/>
        <w:contextualSpacing/>
        <w:jc w:val="both"/>
        <w:rPr>
          <w:rFonts w:eastAsia="Calibri"/>
          <w:color w:val="000000" w:themeColor="text1"/>
          <w:sz w:val="28"/>
          <w:szCs w:val="28"/>
          <w:lang w:val="en-US" w:eastAsia="en-US"/>
        </w:rPr>
      </w:pPr>
    </w:p>
    <w:p w14:paraId="30E47917" w14:textId="01D32A84" w:rsidR="00CB60E3" w:rsidRPr="00D549EE" w:rsidRDefault="00E05531" w:rsidP="00C9582F">
      <w:pPr>
        <w:contextualSpacing/>
        <w:jc w:val="right"/>
        <w:rPr>
          <w:rFonts w:eastAsia="Calibri"/>
          <w:color w:val="000000" w:themeColor="text1"/>
          <w:sz w:val="32"/>
          <w:szCs w:val="32"/>
          <w:lang w:val="en-US" w:eastAsia="en-US"/>
        </w:rPr>
      </w:pPr>
      <w:r w:rsidRPr="00D549EE">
        <w:rPr>
          <w:rFonts w:eastAsia="Calibri"/>
          <w:color w:val="000000" w:themeColor="text1"/>
          <w:sz w:val="32"/>
          <w:szCs w:val="32"/>
          <w:lang w:val="en-US" w:eastAsia="en-US"/>
        </w:rPr>
        <w:tab/>
      </w:r>
      <w:r w:rsidRPr="00D549EE">
        <w:rPr>
          <w:rFonts w:eastAsia="Calibri"/>
          <w:color w:val="000000" w:themeColor="text1"/>
          <w:sz w:val="32"/>
          <w:szCs w:val="32"/>
          <w:lang w:val="en-US" w:eastAsia="en-US"/>
        </w:rPr>
        <w:tab/>
      </w:r>
      <w:r w:rsidRPr="00D549EE">
        <w:rPr>
          <w:rFonts w:eastAsia="Calibri"/>
          <w:color w:val="000000" w:themeColor="text1"/>
          <w:sz w:val="32"/>
          <w:szCs w:val="32"/>
          <w:lang w:val="en-US" w:eastAsia="en-US"/>
        </w:rPr>
        <w:tab/>
      </w:r>
      <w:r w:rsidRPr="00D549EE">
        <w:rPr>
          <w:rFonts w:eastAsia="Calibri"/>
          <w:color w:val="000000" w:themeColor="text1"/>
          <w:sz w:val="28"/>
          <w:szCs w:val="28"/>
          <w:lang w:val="en-US" w:eastAsia="en-US"/>
        </w:rPr>
        <w:t xml:space="preserve">ISFI = </w:t>
      </w:r>
      <m:oMath>
        <m:nary>
          <m:naryPr>
            <m:chr m:val="∑"/>
            <m:limLoc m:val="undOvr"/>
            <m:ctrlPr>
              <w:rPr>
                <w:rFonts w:ascii="Cambria Math" w:eastAsia="Calibri" w:hAnsi="Cambria Math"/>
                <w:i/>
                <w:color w:val="000000" w:themeColor="text1"/>
                <w:sz w:val="28"/>
                <w:szCs w:val="28"/>
                <w:lang w:val="en-US" w:eastAsia="en-US"/>
              </w:rPr>
            </m:ctrlPr>
          </m:naryPr>
          <m:sub>
            <m:r>
              <w:rPr>
                <w:rFonts w:ascii="Cambria Math" w:eastAsia="Calibri" w:hAnsi="Cambria Math"/>
                <w:color w:val="000000" w:themeColor="text1"/>
                <w:sz w:val="28"/>
                <w:szCs w:val="28"/>
                <w:lang w:val="en-US" w:eastAsia="en-US"/>
              </w:rPr>
              <m:t>i=1</m:t>
            </m:r>
          </m:sub>
          <m:sup>
            <m:r>
              <w:rPr>
                <w:rFonts w:ascii="Cambria Math" w:eastAsia="Calibri" w:hAnsi="Cambria Math"/>
                <w:color w:val="000000" w:themeColor="text1"/>
                <w:sz w:val="28"/>
                <w:szCs w:val="28"/>
                <w:lang w:val="en-US" w:eastAsia="en-US"/>
              </w:rPr>
              <m:t>N</m:t>
            </m:r>
          </m:sup>
          <m:e>
            <m:f>
              <m:fPr>
                <m:ctrlPr>
                  <w:rPr>
                    <w:rFonts w:ascii="Cambria Math" w:eastAsia="Calibri" w:hAnsi="Cambria Math"/>
                    <w:i/>
                    <w:color w:val="000000" w:themeColor="text1"/>
                    <w:sz w:val="28"/>
                    <w:szCs w:val="28"/>
                    <w:lang w:val="en-US" w:eastAsia="en-US"/>
                  </w:rPr>
                </m:ctrlPr>
              </m:fPr>
              <m:num>
                <m:sSub>
                  <m:sSubPr>
                    <m:ctrlPr>
                      <w:rPr>
                        <w:rFonts w:ascii="Cambria Math" w:eastAsia="Calibri" w:hAnsi="Cambria Math"/>
                        <w:i/>
                        <w:color w:val="000000" w:themeColor="text1"/>
                        <w:sz w:val="28"/>
                        <w:szCs w:val="28"/>
                        <w:lang w:val="en-US" w:eastAsia="en-US"/>
                      </w:rPr>
                    </m:ctrlPr>
                  </m:sSubPr>
                  <m:e>
                    <m:r>
                      <w:rPr>
                        <w:rFonts w:ascii="Cambria Math" w:eastAsia="Calibri" w:hAnsi="Cambria Math"/>
                        <w:color w:val="000000" w:themeColor="text1"/>
                        <w:sz w:val="28"/>
                        <w:szCs w:val="28"/>
                        <w:lang w:val="en-US" w:eastAsia="en-US"/>
                      </w:rPr>
                      <m:t>x</m:t>
                    </m:r>
                  </m:e>
                  <m:sub>
                    <m:r>
                      <w:rPr>
                        <w:rFonts w:ascii="Cambria Math" w:eastAsia="Calibri" w:hAnsi="Cambria Math"/>
                        <w:color w:val="000000" w:themeColor="text1"/>
                        <w:sz w:val="28"/>
                        <w:szCs w:val="28"/>
                        <w:lang w:val="en-US" w:eastAsia="en-US"/>
                      </w:rPr>
                      <m:t>i</m:t>
                    </m:r>
                  </m:sub>
                </m:sSub>
              </m:num>
              <m:den>
                <m:r>
                  <w:rPr>
                    <w:rFonts w:ascii="Cambria Math" w:eastAsia="Calibri" w:hAnsi="Cambria Math"/>
                    <w:color w:val="000000" w:themeColor="text1"/>
                    <w:sz w:val="28"/>
                    <w:szCs w:val="28"/>
                    <w:lang w:val="en-US" w:eastAsia="en-US"/>
                  </w:rPr>
                  <m:t>N</m:t>
                </m:r>
              </m:den>
            </m:f>
          </m:e>
        </m:nary>
      </m:oMath>
      <w:r w:rsidRPr="00D549EE">
        <w:rPr>
          <w:rFonts w:eastAsia="Calibri"/>
          <w:color w:val="000000" w:themeColor="text1"/>
          <w:sz w:val="28"/>
          <w:szCs w:val="28"/>
          <w:lang w:val="en-US" w:eastAsia="en-US"/>
        </w:rPr>
        <w:t xml:space="preserve">      </w:t>
      </w:r>
      <w:r w:rsidR="00593219" w:rsidRPr="00D549EE">
        <w:rPr>
          <w:rFonts w:eastAsia="Calibri"/>
          <w:color w:val="000000" w:themeColor="text1"/>
          <w:sz w:val="28"/>
          <w:szCs w:val="28"/>
          <w:lang w:val="en-US" w:eastAsia="en-US"/>
        </w:rPr>
        <w:t xml:space="preserve">                                  </w:t>
      </w:r>
      <w:r w:rsidRPr="00D549EE">
        <w:rPr>
          <w:rFonts w:eastAsia="Calibri"/>
          <w:color w:val="000000" w:themeColor="text1"/>
          <w:sz w:val="28"/>
          <w:szCs w:val="28"/>
          <w:lang w:val="en-US" w:eastAsia="en-US"/>
        </w:rPr>
        <w:t xml:space="preserve">                   (</w:t>
      </w:r>
      <w:r w:rsidR="00E406B5" w:rsidRPr="00D549EE">
        <w:rPr>
          <w:rFonts w:eastAsia="Calibri"/>
          <w:color w:val="000000" w:themeColor="text1"/>
          <w:sz w:val="28"/>
          <w:szCs w:val="28"/>
          <w:lang w:val="en-US" w:eastAsia="en-US"/>
        </w:rPr>
        <w:t>8</w:t>
      </w:r>
      <w:r w:rsidRPr="00D549EE">
        <w:rPr>
          <w:rFonts w:eastAsia="Calibri"/>
          <w:color w:val="000000" w:themeColor="text1"/>
          <w:sz w:val="28"/>
          <w:szCs w:val="28"/>
          <w:lang w:val="en-US" w:eastAsia="en-US"/>
        </w:rPr>
        <w:t>)</w:t>
      </w:r>
    </w:p>
    <w:p w14:paraId="7C77DEB0" w14:textId="1DA6F92E" w:rsidR="00E05531" w:rsidRPr="00D549EE" w:rsidRDefault="00E05531" w:rsidP="00C9582F">
      <w:pPr>
        <w:contextualSpacing/>
        <w:jc w:val="both"/>
        <w:rPr>
          <w:rFonts w:eastAsia="Calibri"/>
          <w:color w:val="000000" w:themeColor="text1"/>
          <w:sz w:val="32"/>
          <w:szCs w:val="32"/>
          <w:lang w:val="en-US" w:eastAsia="en-US"/>
        </w:rPr>
      </w:pPr>
    </w:p>
    <w:p w14:paraId="5FF13B25" w14:textId="77777777" w:rsidR="00593219" w:rsidRPr="00D549EE" w:rsidRDefault="00C62D0B" w:rsidP="00C9582F">
      <w:pPr>
        <w:contextualSpacing/>
        <w:jc w:val="both"/>
        <w:rPr>
          <w:rFonts w:eastAsia="Calibri"/>
          <w:color w:val="000000" w:themeColor="text1"/>
          <w:sz w:val="28"/>
          <w:szCs w:val="28"/>
          <w:lang w:val="en-US" w:eastAsia="en-US"/>
        </w:rPr>
      </w:pPr>
      <w:r w:rsidRPr="00D549EE">
        <w:rPr>
          <w:rFonts w:eastAsia="Calibri"/>
          <w:color w:val="000000" w:themeColor="text1"/>
          <w:sz w:val="28"/>
          <w:szCs w:val="28"/>
          <w:lang w:val="en-US" w:eastAsia="en-US"/>
        </w:rPr>
        <w:t>w</w:t>
      </w:r>
      <w:r w:rsidR="00E05531" w:rsidRPr="00D549EE">
        <w:rPr>
          <w:rFonts w:eastAsia="Calibri"/>
          <w:color w:val="000000" w:themeColor="text1"/>
          <w:sz w:val="28"/>
          <w:szCs w:val="28"/>
          <w:lang w:val="en-US" w:eastAsia="en-US"/>
        </w:rPr>
        <w:t>here</w:t>
      </w:r>
      <w:r w:rsidRPr="00D549EE">
        <w:rPr>
          <w:rFonts w:eastAsia="Calibri"/>
          <w:color w:val="000000" w:themeColor="text1"/>
          <w:sz w:val="28"/>
          <w:szCs w:val="28"/>
          <w:lang w:val="en-US" w:eastAsia="en-US"/>
        </w:rPr>
        <w:t xml:space="preserve">            </w:t>
      </w:r>
    </w:p>
    <w:p w14:paraId="0E304BB3" w14:textId="4015C2A5" w:rsidR="00C62D0B" w:rsidRPr="00D549EE" w:rsidRDefault="00E05531" w:rsidP="00C9582F">
      <w:pPr>
        <w:contextualSpacing/>
        <w:jc w:val="both"/>
        <w:rPr>
          <w:rFonts w:eastAsia="Calibri"/>
          <w:color w:val="000000" w:themeColor="text1"/>
          <w:sz w:val="28"/>
          <w:szCs w:val="28"/>
          <w:lang w:val="en-US" w:eastAsia="en-US"/>
        </w:rPr>
      </w:pPr>
      <w:r w:rsidRPr="00D549EE">
        <w:rPr>
          <w:rFonts w:eastAsia="Calibri"/>
          <w:color w:val="000000" w:themeColor="text1"/>
          <w:sz w:val="28"/>
          <w:szCs w:val="28"/>
          <w:lang w:val="en-US" w:eastAsia="en-US"/>
        </w:rPr>
        <w:t>ISFI</w:t>
      </w:r>
      <w:r w:rsidR="00C62D0B" w:rsidRPr="00D549EE">
        <w:rPr>
          <w:rFonts w:eastAsia="Calibri"/>
          <w:color w:val="000000" w:themeColor="text1"/>
          <w:sz w:val="28"/>
          <w:szCs w:val="28"/>
          <w:lang w:val="en-US" w:eastAsia="en-US"/>
        </w:rPr>
        <w:t xml:space="preserve">j </w:t>
      </w:r>
      <w:r w:rsidR="00593219" w:rsidRPr="00D549EE">
        <w:rPr>
          <w:color w:val="000000" w:themeColor="text1"/>
          <w:sz w:val="28"/>
          <w:szCs w:val="28"/>
          <w:lang w:val="en-US"/>
        </w:rPr>
        <w:t>–</w:t>
      </w:r>
      <w:r w:rsidR="00C62D0B" w:rsidRPr="00D549EE">
        <w:rPr>
          <w:rFonts w:eastAsia="Calibri"/>
          <w:color w:val="000000" w:themeColor="text1"/>
          <w:sz w:val="28"/>
          <w:szCs w:val="28"/>
          <w:lang w:val="en-US" w:eastAsia="en-US"/>
        </w:rPr>
        <w:t xml:space="preserve"> social finance index score for Islamic institution j</w:t>
      </w:r>
      <w:r w:rsidR="00593219" w:rsidRPr="00D549EE">
        <w:rPr>
          <w:rFonts w:eastAsia="Calibri"/>
          <w:color w:val="000000" w:themeColor="text1"/>
          <w:sz w:val="28"/>
          <w:szCs w:val="28"/>
          <w:lang w:val="en-US" w:eastAsia="en-US"/>
        </w:rPr>
        <w:t>;</w:t>
      </w:r>
    </w:p>
    <w:p w14:paraId="12856FF6" w14:textId="0BCE98BD" w:rsidR="00C62D0B" w:rsidRPr="00D549EE" w:rsidRDefault="00C62D0B" w:rsidP="00C9582F">
      <w:pPr>
        <w:contextualSpacing/>
        <w:jc w:val="both"/>
        <w:rPr>
          <w:sz w:val="28"/>
          <w:szCs w:val="28"/>
          <w:lang w:val="en-US"/>
        </w:rPr>
      </w:pPr>
      <w:r w:rsidRPr="00D549EE">
        <w:rPr>
          <w:sz w:val="28"/>
          <w:szCs w:val="28"/>
          <w:lang w:val="en-US"/>
        </w:rPr>
        <w:t xml:space="preserve">N </w:t>
      </w:r>
      <w:r w:rsidR="00593219" w:rsidRPr="00D549EE">
        <w:rPr>
          <w:color w:val="000000" w:themeColor="text1"/>
          <w:sz w:val="28"/>
          <w:szCs w:val="28"/>
          <w:lang w:val="en-US"/>
        </w:rPr>
        <w:t>–</w:t>
      </w:r>
      <w:r w:rsidRPr="00D549EE">
        <w:rPr>
          <w:color w:val="000000" w:themeColor="text1"/>
          <w:sz w:val="28"/>
          <w:szCs w:val="28"/>
          <w:lang w:val="en-US"/>
        </w:rPr>
        <w:t xml:space="preserve"> </w:t>
      </w:r>
      <w:r w:rsidRPr="00D549EE">
        <w:rPr>
          <w:sz w:val="28"/>
          <w:szCs w:val="28"/>
          <w:lang w:val="en-US"/>
        </w:rPr>
        <w:t>number of items in the index</w:t>
      </w:r>
      <w:r w:rsidR="00593219" w:rsidRPr="00D549EE">
        <w:rPr>
          <w:sz w:val="28"/>
          <w:szCs w:val="28"/>
          <w:lang w:val="en-US"/>
        </w:rPr>
        <w:t>;</w:t>
      </w:r>
    </w:p>
    <w:p w14:paraId="61B8DE69" w14:textId="09CAEE76" w:rsidR="00C62D0B" w:rsidRPr="00D549EE" w:rsidRDefault="00593219" w:rsidP="00C9582F">
      <w:pPr>
        <w:contextualSpacing/>
        <w:rPr>
          <w:rFonts w:eastAsia="Calibri"/>
          <w:color w:val="000000" w:themeColor="text1"/>
          <w:sz w:val="28"/>
          <w:szCs w:val="28"/>
          <w:lang w:val="en-US" w:eastAsia="en-US"/>
        </w:rPr>
      </w:pPr>
      <w:r w:rsidRPr="00D549EE">
        <w:rPr>
          <w:sz w:val="28"/>
          <w:szCs w:val="28"/>
          <w:lang w:val="en-US"/>
        </w:rPr>
        <w:t>x</w:t>
      </w:r>
      <w:r w:rsidR="00C62D0B" w:rsidRPr="00D549EE">
        <w:rPr>
          <w:position w:val="-4"/>
          <w:sz w:val="28"/>
          <w:szCs w:val="28"/>
          <w:lang w:val="en-US"/>
        </w:rPr>
        <w:t>i</w:t>
      </w:r>
      <w:r w:rsidRPr="00D549EE">
        <w:rPr>
          <w:position w:val="-4"/>
          <w:sz w:val="28"/>
          <w:szCs w:val="28"/>
          <w:lang w:val="en-US"/>
        </w:rPr>
        <w:t xml:space="preserve"> </w:t>
      </w:r>
      <w:r w:rsidRPr="00D549EE">
        <w:rPr>
          <w:color w:val="000000" w:themeColor="text1"/>
          <w:sz w:val="28"/>
          <w:szCs w:val="28"/>
          <w:lang w:val="en-US"/>
        </w:rPr>
        <w:t>–</w:t>
      </w:r>
      <w:r w:rsidR="00C62D0B" w:rsidRPr="00D549EE">
        <w:rPr>
          <w:sz w:val="28"/>
          <w:szCs w:val="28"/>
          <w:lang w:val="en-US"/>
        </w:rPr>
        <w:t xml:space="preserve"> 1 if the item is disclosed</w:t>
      </w:r>
      <w:r w:rsidRPr="00D549EE">
        <w:rPr>
          <w:sz w:val="28"/>
          <w:szCs w:val="28"/>
          <w:lang w:val="en-US"/>
        </w:rPr>
        <w:t>;</w:t>
      </w:r>
      <w:r w:rsidR="00C62D0B" w:rsidRPr="00D549EE">
        <w:rPr>
          <w:sz w:val="28"/>
          <w:szCs w:val="28"/>
          <w:lang w:val="en-US"/>
        </w:rPr>
        <w:br/>
        <w:t>x</w:t>
      </w:r>
      <w:r w:rsidR="00C62D0B" w:rsidRPr="00D549EE">
        <w:rPr>
          <w:position w:val="-4"/>
          <w:sz w:val="28"/>
          <w:szCs w:val="28"/>
          <w:lang w:val="en-US"/>
        </w:rPr>
        <w:t xml:space="preserve">i </w:t>
      </w:r>
      <w:r w:rsidRPr="00D549EE">
        <w:rPr>
          <w:color w:val="000000" w:themeColor="text1"/>
          <w:sz w:val="28"/>
          <w:szCs w:val="28"/>
          <w:lang w:val="en-US"/>
        </w:rPr>
        <w:t>–</w:t>
      </w:r>
      <w:r w:rsidR="00C62D0B" w:rsidRPr="00D549EE">
        <w:rPr>
          <w:position w:val="-4"/>
          <w:sz w:val="28"/>
          <w:szCs w:val="28"/>
          <w:lang w:val="en-US"/>
        </w:rPr>
        <w:t xml:space="preserve"> </w:t>
      </w:r>
      <w:r w:rsidR="00C62D0B" w:rsidRPr="00D549EE">
        <w:rPr>
          <w:sz w:val="28"/>
          <w:szCs w:val="28"/>
          <w:lang w:val="en-US"/>
        </w:rPr>
        <w:t xml:space="preserve">0 if the item is not disclosed. </w:t>
      </w:r>
    </w:p>
    <w:p w14:paraId="17C9A32E" w14:textId="1025F604" w:rsidR="002E635F" w:rsidRDefault="00FE4099" w:rsidP="009D0784">
      <w:pPr>
        <w:pStyle w:val="a5"/>
        <w:contextualSpacing/>
        <w:jc w:val="both"/>
        <w:rPr>
          <w:rFonts w:eastAsia="Calibri"/>
          <w:color w:val="000000" w:themeColor="text1"/>
          <w:sz w:val="28"/>
          <w:szCs w:val="28"/>
          <w:lang w:val="en-US" w:eastAsia="en-US"/>
        </w:rPr>
      </w:pPr>
      <w:r w:rsidRPr="00D549EE">
        <w:rPr>
          <w:rFonts w:eastAsia="Calibri"/>
          <w:color w:val="000000" w:themeColor="text1"/>
          <w:sz w:val="32"/>
          <w:szCs w:val="32"/>
          <w:lang w:val="en-US" w:eastAsia="en-US"/>
        </w:rPr>
        <w:tab/>
      </w:r>
      <w:r w:rsidR="009D0784" w:rsidRPr="009D0784">
        <w:rPr>
          <w:rFonts w:eastAsia="Calibri"/>
          <w:color w:val="000000" w:themeColor="text1"/>
          <w:sz w:val="28"/>
          <w:szCs w:val="28"/>
          <w:lang w:val="en-US" w:eastAsia="en-US"/>
        </w:rPr>
        <w:t xml:space="preserve">The information obtained from interviews was used to assess the Islamic financial institutions' Islamic social financial activity index. The index is estimated as the score for each theme examined in this study: Shariah; zakat; charity and donation, qard-hasan; delay in the case of hardship; employee, prohibition of haram business financing. The themes consist of sub-themes, and the score of 1 for reported and opened themes divided by the number of sub-themes for unopened theme (sub-theme) estimation is 0. The overall Islamic Social Finance index for the every considered financial institution was estimated. The study conducted the following table results. </w:t>
      </w:r>
    </w:p>
    <w:p w14:paraId="0078C0FA" w14:textId="77777777" w:rsidR="002E635F" w:rsidRDefault="002E635F" w:rsidP="009D0784">
      <w:pPr>
        <w:pStyle w:val="a5"/>
        <w:contextualSpacing/>
        <w:jc w:val="both"/>
        <w:rPr>
          <w:sz w:val="28"/>
          <w:szCs w:val="28"/>
          <w:lang w:val="en-US"/>
        </w:rPr>
      </w:pPr>
    </w:p>
    <w:p w14:paraId="51E81C52" w14:textId="338FEABF" w:rsidR="00A063B4" w:rsidRPr="00D549EE" w:rsidRDefault="00B16F67" w:rsidP="002E635F">
      <w:pPr>
        <w:pStyle w:val="a5"/>
        <w:contextualSpacing/>
        <w:jc w:val="both"/>
        <w:rPr>
          <w:rFonts w:eastAsia="Calibri"/>
          <w:color w:val="000000" w:themeColor="text1"/>
          <w:sz w:val="28"/>
          <w:szCs w:val="28"/>
          <w:lang w:val="en-US" w:eastAsia="en-US"/>
        </w:rPr>
      </w:pPr>
      <w:r w:rsidRPr="00D549EE">
        <w:rPr>
          <w:sz w:val="28"/>
          <w:szCs w:val="28"/>
          <w:lang w:val="en-US"/>
        </w:rPr>
        <w:t xml:space="preserve">Table </w:t>
      </w:r>
      <w:r w:rsidR="00304A3C" w:rsidRPr="00D549EE">
        <w:rPr>
          <w:sz w:val="28"/>
          <w:szCs w:val="28"/>
          <w:lang w:val="en-US"/>
        </w:rPr>
        <w:t>3</w:t>
      </w:r>
      <w:r w:rsidR="00066364" w:rsidRPr="00D549EE">
        <w:rPr>
          <w:sz w:val="28"/>
          <w:szCs w:val="28"/>
          <w:lang w:val="en-US"/>
        </w:rPr>
        <w:t>4</w:t>
      </w:r>
      <w:r w:rsidRPr="00D549EE">
        <w:rPr>
          <w:sz w:val="28"/>
          <w:szCs w:val="28"/>
          <w:lang w:val="en-US"/>
        </w:rPr>
        <w:t xml:space="preserve"> – </w:t>
      </w:r>
      <w:r w:rsidR="00D26E58" w:rsidRPr="00D549EE">
        <w:rPr>
          <w:sz w:val="28"/>
          <w:szCs w:val="28"/>
          <w:lang w:val="en-US"/>
        </w:rPr>
        <w:t>Islamic social finance index</w:t>
      </w:r>
      <w:r w:rsidR="00A063B4" w:rsidRPr="00D549EE">
        <w:rPr>
          <w:sz w:val="28"/>
          <w:szCs w:val="28"/>
          <w:lang w:val="en-US"/>
        </w:rPr>
        <w:t xml:space="preserve"> (</w:t>
      </w:r>
      <w:r w:rsidR="00A063B4" w:rsidRPr="00D549EE">
        <w:rPr>
          <w:rFonts w:eastAsia="Calibri"/>
          <w:color w:val="000000" w:themeColor="text1"/>
          <w:sz w:val="28"/>
          <w:szCs w:val="28"/>
          <w:lang w:val="en-US" w:eastAsia="en-US"/>
        </w:rPr>
        <w:t>ISFI)</w:t>
      </w:r>
    </w:p>
    <w:tbl>
      <w:tblPr>
        <w:tblStyle w:val="a9"/>
        <w:tblW w:w="0" w:type="auto"/>
        <w:tblLook w:val="04A0" w:firstRow="1" w:lastRow="0" w:firstColumn="1" w:lastColumn="0" w:noHBand="0" w:noVBand="1"/>
      </w:tblPr>
      <w:tblGrid>
        <w:gridCol w:w="3452"/>
        <w:gridCol w:w="1198"/>
        <w:gridCol w:w="1196"/>
        <w:gridCol w:w="636"/>
        <w:gridCol w:w="1376"/>
        <w:gridCol w:w="1765"/>
      </w:tblGrid>
      <w:tr w:rsidR="008765FD" w:rsidRPr="00D549EE" w14:paraId="170FE33F" w14:textId="4A4D7AAF" w:rsidTr="00A063B4">
        <w:tc>
          <w:tcPr>
            <w:tcW w:w="0" w:type="auto"/>
          </w:tcPr>
          <w:p w14:paraId="2B27B7C7" w14:textId="04119DB6" w:rsidR="00A063B4" w:rsidRPr="00D549EE" w:rsidRDefault="00A063B4" w:rsidP="00C9582F">
            <w:pPr>
              <w:rPr>
                <w:bCs/>
                <w:color w:val="000000" w:themeColor="text1"/>
                <w:lang w:val="en-US"/>
              </w:rPr>
            </w:pPr>
            <w:r w:rsidRPr="00D549EE">
              <w:rPr>
                <w:bCs/>
                <w:color w:val="000000" w:themeColor="text1"/>
                <w:lang w:val="en-US"/>
              </w:rPr>
              <w:t>Theme</w:t>
            </w:r>
          </w:p>
        </w:tc>
        <w:tc>
          <w:tcPr>
            <w:tcW w:w="0" w:type="auto"/>
          </w:tcPr>
          <w:p w14:paraId="2DC226AF" w14:textId="389C90B1" w:rsidR="00A063B4" w:rsidRPr="00D549EE" w:rsidRDefault="00A063B4" w:rsidP="00C9582F">
            <w:pPr>
              <w:rPr>
                <w:bCs/>
                <w:color w:val="000000" w:themeColor="text1"/>
                <w:lang w:val="en-US"/>
              </w:rPr>
            </w:pPr>
            <w:r w:rsidRPr="00D549EE">
              <w:rPr>
                <w:bCs/>
                <w:color w:val="000000" w:themeColor="text1"/>
                <w:lang w:val="en-US"/>
              </w:rPr>
              <w:t>Al-Hilal Bank</w:t>
            </w:r>
          </w:p>
        </w:tc>
        <w:tc>
          <w:tcPr>
            <w:tcW w:w="0" w:type="auto"/>
          </w:tcPr>
          <w:p w14:paraId="0C52D5CE" w14:textId="7CB2388E" w:rsidR="00A063B4" w:rsidRPr="00D549EE" w:rsidRDefault="00A063B4" w:rsidP="00C9582F">
            <w:pPr>
              <w:rPr>
                <w:bCs/>
                <w:color w:val="000000" w:themeColor="text1"/>
                <w:lang w:val="en-US"/>
              </w:rPr>
            </w:pPr>
            <w:r w:rsidRPr="00D549EE">
              <w:rPr>
                <w:bCs/>
                <w:color w:val="000000" w:themeColor="text1"/>
                <w:lang w:val="en-US"/>
              </w:rPr>
              <w:t>Zaman Bank</w:t>
            </w:r>
          </w:p>
        </w:tc>
        <w:tc>
          <w:tcPr>
            <w:tcW w:w="0" w:type="auto"/>
          </w:tcPr>
          <w:p w14:paraId="60E0E539" w14:textId="02D58CF4" w:rsidR="00A063B4" w:rsidRPr="00D549EE" w:rsidRDefault="00A063B4" w:rsidP="00C9582F">
            <w:pPr>
              <w:rPr>
                <w:bCs/>
                <w:color w:val="000000" w:themeColor="text1"/>
                <w:lang w:val="en-US"/>
              </w:rPr>
            </w:pPr>
            <w:r w:rsidRPr="00D549EE">
              <w:rPr>
                <w:bCs/>
                <w:color w:val="000000" w:themeColor="text1"/>
                <w:lang w:val="en-US"/>
              </w:rPr>
              <w:t>KIC</w:t>
            </w:r>
          </w:p>
        </w:tc>
        <w:tc>
          <w:tcPr>
            <w:tcW w:w="0" w:type="auto"/>
          </w:tcPr>
          <w:p w14:paraId="2EC6AE0D" w14:textId="4A889CF3" w:rsidR="00A063B4" w:rsidRPr="00D549EE" w:rsidRDefault="00A063B4" w:rsidP="00C9582F">
            <w:pPr>
              <w:rPr>
                <w:bCs/>
                <w:color w:val="000000" w:themeColor="text1"/>
                <w:lang w:val="en-US"/>
              </w:rPr>
            </w:pPr>
            <w:r w:rsidRPr="00D549EE">
              <w:rPr>
                <w:bCs/>
                <w:color w:val="000000" w:themeColor="text1"/>
                <w:lang w:val="en-US"/>
              </w:rPr>
              <w:t>Al-Saqr finance</w:t>
            </w:r>
          </w:p>
        </w:tc>
        <w:tc>
          <w:tcPr>
            <w:tcW w:w="0" w:type="auto"/>
          </w:tcPr>
          <w:p w14:paraId="19686E55" w14:textId="111780EF" w:rsidR="00A063B4" w:rsidRPr="00D549EE" w:rsidRDefault="008765FD" w:rsidP="00C9582F">
            <w:pPr>
              <w:rPr>
                <w:bCs/>
                <w:color w:val="000000" w:themeColor="text1"/>
                <w:lang w:val="en-US"/>
              </w:rPr>
            </w:pPr>
            <w:r w:rsidRPr="00D549EE">
              <w:rPr>
                <w:bCs/>
                <w:color w:val="000000" w:themeColor="text1"/>
                <w:lang w:val="en-US"/>
              </w:rPr>
              <w:t>Score/</w:t>
            </w:r>
            <w:r w:rsidR="00A063B4" w:rsidRPr="00D549EE">
              <w:rPr>
                <w:bCs/>
                <w:color w:val="000000" w:themeColor="text1"/>
                <w:lang w:val="en-US"/>
              </w:rPr>
              <w:t>Theme rank</w:t>
            </w:r>
          </w:p>
        </w:tc>
      </w:tr>
      <w:tr w:rsidR="008765FD" w:rsidRPr="00D549EE" w14:paraId="67F35B86" w14:textId="565D75CA" w:rsidTr="00A063B4">
        <w:tc>
          <w:tcPr>
            <w:tcW w:w="0" w:type="auto"/>
          </w:tcPr>
          <w:p w14:paraId="578D960B" w14:textId="2B7C6497" w:rsidR="00A063B4" w:rsidRPr="00D549EE" w:rsidRDefault="00A063B4" w:rsidP="00C9582F">
            <w:pPr>
              <w:rPr>
                <w:color w:val="000000" w:themeColor="text1"/>
                <w:lang w:val="en-US"/>
              </w:rPr>
            </w:pPr>
            <w:r w:rsidRPr="00D549EE">
              <w:rPr>
                <w:color w:val="000000" w:themeColor="text1"/>
                <w:lang w:val="en-US"/>
              </w:rPr>
              <w:t>Sariah</w:t>
            </w:r>
          </w:p>
        </w:tc>
        <w:tc>
          <w:tcPr>
            <w:tcW w:w="0" w:type="auto"/>
          </w:tcPr>
          <w:p w14:paraId="6DC1F9A3" w14:textId="707B2626"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4592D3A8" w14:textId="2C4115A7"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2CCEAE2C" w14:textId="6C4DF1F1"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0FFC952B" w14:textId="26E0BE8E"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5A7CA817" w14:textId="10B29B2F" w:rsidR="00A063B4" w:rsidRPr="00D549EE" w:rsidRDefault="00E6606A" w:rsidP="00C9582F">
            <w:pPr>
              <w:rPr>
                <w:color w:val="000000" w:themeColor="text1"/>
                <w:lang w:val="en-US"/>
              </w:rPr>
            </w:pPr>
            <w:r w:rsidRPr="00D549EE">
              <w:rPr>
                <w:color w:val="000000" w:themeColor="text1"/>
                <w:lang w:val="en-US"/>
              </w:rPr>
              <w:t>4</w:t>
            </w:r>
            <w:r w:rsidR="008765FD" w:rsidRPr="00D549EE">
              <w:rPr>
                <w:color w:val="000000" w:themeColor="text1"/>
                <w:lang w:val="en-US"/>
              </w:rPr>
              <w:t>/ 1 rank</w:t>
            </w:r>
          </w:p>
        </w:tc>
      </w:tr>
      <w:tr w:rsidR="008765FD" w:rsidRPr="00D549EE" w14:paraId="57012D23" w14:textId="7B494ECC" w:rsidTr="00A063B4">
        <w:tc>
          <w:tcPr>
            <w:tcW w:w="0" w:type="auto"/>
          </w:tcPr>
          <w:p w14:paraId="7E0B19C3" w14:textId="6891F887" w:rsidR="00A063B4" w:rsidRPr="00D549EE" w:rsidRDefault="00A063B4" w:rsidP="00C9582F">
            <w:pPr>
              <w:rPr>
                <w:color w:val="000000" w:themeColor="text1"/>
                <w:lang w:val="en-US"/>
              </w:rPr>
            </w:pPr>
            <w:r w:rsidRPr="00D549EE">
              <w:rPr>
                <w:color w:val="000000" w:themeColor="text1"/>
                <w:lang w:val="en-US"/>
              </w:rPr>
              <w:t>Zakat</w:t>
            </w:r>
          </w:p>
        </w:tc>
        <w:tc>
          <w:tcPr>
            <w:tcW w:w="0" w:type="auto"/>
          </w:tcPr>
          <w:p w14:paraId="0AE8583C" w14:textId="51344577" w:rsidR="00A063B4" w:rsidRPr="00D549EE" w:rsidRDefault="008765FD" w:rsidP="00C9582F">
            <w:pPr>
              <w:rPr>
                <w:color w:val="000000" w:themeColor="text1"/>
                <w:lang w:val="en-US"/>
              </w:rPr>
            </w:pPr>
            <w:r w:rsidRPr="00D549EE">
              <w:rPr>
                <w:color w:val="000000" w:themeColor="text1"/>
                <w:lang w:val="en-US"/>
              </w:rPr>
              <w:t>0.66</w:t>
            </w:r>
          </w:p>
        </w:tc>
        <w:tc>
          <w:tcPr>
            <w:tcW w:w="0" w:type="auto"/>
          </w:tcPr>
          <w:p w14:paraId="0E8DBC28" w14:textId="3F8366A7" w:rsidR="00A063B4" w:rsidRPr="00D549EE" w:rsidRDefault="008765FD" w:rsidP="00C9582F">
            <w:pPr>
              <w:rPr>
                <w:color w:val="000000" w:themeColor="text1"/>
                <w:lang w:val="en-US"/>
              </w:rPr>
            </w:pPr>
            <w:r w:rsidRPr="00D549EE">
              <w:rPr>
                <w:color w:val="000000" w:themeColor="text1"/>
                <w:lang w:val="en-US"/>
              </w:rPr>
              <w:t>0.34</w:t>
            </w:r>
          </w:p>
        </w:tc>
        <w:tc>
          <w:tcPr>
            <w:tcW w:w="0" w:type="auto"/>
          </w:tcPr>
          <w:p w14:paraId="6E781382" w14:textId="42C3F82F" w:rsidR="00A063B4" w:rsidRPr="00D549EE" w:rsidRDefault="008765FD" w:rsidP="00C9582F">
            <w:pPr>
              <w:rPr>
                <w:color w:val="000000" w:themeColor="text1"/>
                <w:lang w:val="en-US"/>
              </w:rPr>
            </w:pPr>
            <w:r w:rsidRPr="00D549EE">
              <w:rPr>
                <w:color w:val="000000" w:themeColor="text1"/>
                <w:lang w:val="en-US"/>
              </w:rPr>
              <w:t>0.66</w:t>
            </w:r>
          </w:p>
        </w:tc>
        <w:tc>
          <w:tcPr>
            <w:tcW w:w="0" w:type="auto"/>
          </w:tcPr>
          <w:p w14:paraId="0F915F49" w14:textId="63DA811D" w:rsidR="00A063B4" w:rsidRPr="00D549EE" w:rsidRDefault="00A063B4" w:rsidP="00C9582F">
            <w:pPr>
              <w:rPr>
                <w:color w:val="000000" w:themeColor="text1"/>
                <w:lang w:val="en-US"/>
              </w:rPr>
            </w:pPr>
            <w:r w:rsidRPr="00D549EE">
              <w:rPr>
                <w:color w:val="000000" w:themeColor="text1"/>
                <w:lang w:val="en-US"/>
              </w:rPr>
              <w:t>0</w:t>
            </w:r>
            <w:r w:rsidR="008765FD" w:rsidRPr="00D549EE">
              <w:rPr>
                <w:color w:val="000000" w:themeColor="text1"/>
                <w:lang w:val="en-US"/>
              </w:rPr>
              <w:t>.34</w:t>
            </w:r>
          </w:p>
        </w:tc>
        <w:tc>
          <w:tcPr>
            <w:tcW w:w="0" w:type="auto"/>
          </w:tcPr>
          <w:p w14:paraId="4660DD26" w14:textId="4D16FDB3" w:rsidR="00A063B4" w:rsidRPr="00D549EE" w:rsidRDefault="008765FD" w:rsidP="00C9582F">
            <w:pPr>
              <w:rPr>
                <w:color w:val="000000" w:themeColor="text1"/>
                <w:lang w:val="en-US"/>
              </w:rPr>
            </w:pPr>
            <w:r w:rsidRPr="00D549EE">
              <w:rPr>
                <w:color w:val="000000" w:themeColor="text1"/>
                <w:lang w:val="en-US"/>
              </w:rPr>
              <w:t>2 / 5 rank</w:t>
            </w:r>
          </w:p>
        </w:tc>
      </w:tr>
      <w:tr w:rsidR="008765FD" w:rsidRPr="00D549EE" w14:paraId="7DBF93CF" w14:textId="0D10CA28" w:rsidTr="00A063B4">
        <w:tc>
          <w:tcPr>
            <w:tcW w:w="0" w:type="auto"/>
          </w:tcPr>
          <w:p w14:paraId="632D8BB4" w14:textId="2564FCF5" w:rsidR="00A063B4" w:rsidRPr="00D549EE" w:rsidRDefault="00A063B4" w:rsidP="00C9582F">
            <w:pPr>
              <w:rPr>
                <w:color w:val="000000" w:themeColor="text1"/>
                <w:lang w:val="en-US"/>
              </w:rPr>
            </w:pPr>
            <w:r w:rsidRPr="00D549EE">
              <w:rPr>
                <w:color w:val="000000" w:themeColor="text1"/>
              </w:rPr>
              <w:t>Charity and donation</w:t>
            </w:r>
          </w:p>
        </w:tc>
        <w:tc>
          <w:tcPr>
            <w:tcW w:w="0" w:type="auto"/>
          </w:tcPr>
          <w:p w14:paraId="6555591F" w14:textId="352F5F39"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1648E736" w14:textId="0B2247E8"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05DABA25" w14:textId="2923C339"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3323C168" w14:textId="3B219DE9"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582821B8" w14:textId="7EEE229B" w:rsidR="00A063B4" w:rsidRPr="00D549EE" w:rsidRDefault="00E6606A" w:rsidP="00C9582F">
            <w:pPr>
              <w:rPr>
                <w:color w:val="000000" w:themeColor="text1"/>
                <w:lang w:val="en-US"/>
              </w:rPr>
            </w:pPr>
            <w:r w:rsidRPr="00D549EE">
              <w:rPr>
                <w:color w:val="000000" w:themeColor="text1"/>
                <w:lang w:val="en-US"/>
              </w:rPr>
              <w:t>4</w:t>
            </w:r>
            <w:r w:rsidR="008765FD" w:rsidRPr="00D549EE">
              <w:rPr>
                <w:color w:val="000000" w:themeColor="text1"/>
                <w:lang w:val="en-US"/>
              </w:rPr>
              <w:t>/ 1 rank</w:t>
            </w:r>
          </w:p>
        </w:tc>
      </w:tr>
      <w:tr w:rsidR="008765FD" w:rsidRPr="00D549EE" w14:paraId="0D6DB158" w14:textId="16A26ABC" w:rsidTr="00A063B4">
        <w:tc>
          <w:tcPr>
            <w:tcW w:w="0" w:type="auto"/>
          </w:tcPr>
          <w:p w14:paraId="39967505" w14:textId="7DB9FF5E" w:rsidR="00A063B4" w:rsidRPr="00D549EE" w:rsidRDefault="00A063B4" w:rsidP="00C9582F">
            <w:pPr>
              <w:rPr>
                <w:color w:val="000000" w:themeColor="text1"/>
                <w:lang w:val="en-US"/>
              </w:rPr>
            </w:pPr>
            <w:r w:rsidRPr="00D549EE">
              <w:rPr>
                <w:color w:val="000000" w:themeColor="text1"/>
                <w:lang w:val="en-US"/>
              </w:rPr>
              <w:t>Qard-Hasan</w:t>
            </w:r>
          </w:p>
        </w:tc>
        <w:tc>
          <w:tcPr>
            <w:tcW w:w="0" w:type="auto"/>
          </w:tcPr>
          <w:p w14:paraId="5C140E5E" w14:textId="7564D6D6" w:rsidR="00A063B4" w:rsidRPr="00D549EE" w:rsidRDefault="00A063B4" w:rsidP="00C9582F">
            <w:pPr>
              <w:rPr>
                <w:color w:val="000000" w:themeColor="text1"/>
                <w:lang w:val="en-US"/>
              </w:rPr>
            </w:pPr>
            <w:r w:rsidRPr="00D549EE">
              <w:rPr>
                <w:color w:val="000000" w:themeColor="text1"/>
                <w:lang w:val="en-US"/>
              </w:rPr>
              <w:t>0</w:t>
            </w:r>
          </w:p>
        </w:tc>
        <w:tc>
          <w:tcPr>
            <w:tcW w:w="0" w:type="auto"/>
          </w:tcPr>
          <w:p w14:paraId="087805EB" w14:textId="3D2D3F50" w:rsidR="00A063B4" w:rsidRPr="00D549EE" w:rsidRDefault="00A063B4" w:rsidP="00C9582F">
            <w:pPr>
              <w:rPr>
                <w:color w:val="000000" w:themeColor="text1"/>
                <w:lang w:val="en-US"/>
              </w:rPr>
            </w:pPr>
            <w:r w:rsidRPr="00D549EE">
              <w:rPr>
                <w:color w:val="000000" w:themeColor="text1"/>
                <w:lang w:val="en-US"/>
              </w:rPr>
              <w:t>0</w:t>
            </w:r>
          </w:p>
        </w:tc>
        <w:tc>
          <w:tcPr>
            <w:tcW w:w="0" w:type="auto"/>
          </w:tcPr>
          <w:p w14:paraId="7F87ACB5" w14:textId="5C053A1F" w:rsidR="00A063B4" w:rsidRPr="00D549EE" w:rsidRDefault="00A063B4" w:rsidP="00C9582F">
            <w:pPr>
              <w:rPr>
                <w:color w:val="000000" w:themeColor="text1"/>
                <w:lang w:val="en-US"/>
              </w:rPr>
            </w:pPr>
            <w:r w:rsidRPr="00D549EE">
              <w:rPr>
                <w:color w:val="000000" w:themeColor="text1"/>
                <w:lang w:val="en-US"/>
              </w:rPr>
              <w:t>0</w:t>
            </w:r>
          </w:p>
        </w:tc>
        <w:tc>
          <w:tcPr>
            <w:tcW w:w="0" w:type="auto"/>
          </w:tcPr>
          <w:p w14:paraId="12F99FA1" w14:textId="4F939DFD" w:rsidR="00A063B4" w:rsidRPr="00D549EE" w:rsidRDefault="00A063B4" w:rsidP="00C9582F">
            <w:pPr>
              <w:rPr>
                <w:color w:val="000000" w:themeColor="text1"/>
                <w:lang w:val="en-US"/>
              </w:rPr>
            </w:pPr>
            <w:r w:rsidRPr="00D549EE">
              <w:rPr>
                <w:color w:val="000000" w:themeColor="text1"/>
                <w:lang w:val="en-US"/>
              </w:rPr>
              <w:t>0</w:t>
            </w:r>
          </w:p>
        </w:tc>
        <w:tc>
          <w:tcPr>
            <w:tcW w:w="0" w:type="auto"/>
          </w:tcPr>
          <w:p w14:paraId="6FE56E6F" w14:textId="37C859B9" w:rsidR="00A063B4" w:rsidRPr="00D549EE" w:rsidRDefault="00E6606A" w:rsidP="00C9582F">
            <w:pPr>
              <w:rPr>
                <w:color w:val="000000" w:themeColor="text1"/>
                <w:lang w:val="en-US"/>
              </w:rPr>
            </w:pPr>
            <w:r w:rsidRPr="00D549EE">
              <w:rPr>
                <w:color w:val="000000" w:themeColor="text1"/>
                <w:lang w:val="en-US"/>
              </w:rPr>
              <w:t>0</w:t>
            </w:r>
            <w:r w:rsidR="008765FD" w:rsidRPr="00D549EE">
              <w:rPr>
                <w:color w:val="000000" w:themeColor="text1"/>
                <w:lang w:val="en-US"/>
              </w:rPr>
              <w:t xml:space="preserve"> / 7 rank </w:t>
            </w:r>
          </w:p>
        </w:tc>
      </w:tr>
      <w:tr w:rsidR="008765FD" w:rsidRPr="00D549EE" w14:paraId="050AACBD" w14:textId="4FCA84BF" w:rsidTr="00A063B4">
        <w:tc>
          <w:tcPr>
            <w:tcW w:w="0" w:type="auto"/>
          </w:tcPr>
          <w:p w14:paraId="443925E1" w14:textId="6601FAC1" w:rsidR="00A063B4" w:rsidRPr="00D549EE" w:rsidRDefault="00A063B4" w:rsidP="00C9582F">
            <w:pPr>
              <w:rPr>
                <w:color w:val="000000" w:themeColor="text1"/>
                <w:lang w:val="en-US"/>
              </w:rPr>
            </w:pPr>
            <w:r w:rsidRPr="00D549EE">
              <w:rPr>
                <w:color w:val="000000" w:themeColor="text1"/>
                <w:lang w:val="en-US"/>
              </w:rPr>
              <w:t>The policy of payment delay in the case of hardship</w:t>
            </w:r>
          </w:p>
        </w:tc>
        <w:tc>
          <w:tcPr>
            <w:tcW w:w="0" w:type="auto"/>
          </w:tcPr>
          <w:p w14:paraId="5F6F0952" w14:textId="7EF823FC"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41C56DCC" w14:textId="60AA09DF" w:rsidR="00A063B4" w:rsidRPr="00D549EE" w:rsidRDefault="008765FD" w:rsidP="00C9582F">
            <w:pPr>
              <w:rPr>
                <w:color w:val="000000" w:themeColor="text1"/>
                <w:lang w:val="en-US"/>
              </w:rPr>
            </w:pPr>
            <w:r w:rsidRPr="00D549EE">
              <w:rPr>
                <w:color w:val="000000" w:themeColor="text1"/>
                <w:lang w:val="en-US"/>
              </w:rPr>
              <w:t>0.33</w:t>
            </w:r>
          </w:p>
        </w:tc>
        <w:tc>
          <w:tcPr>
            <w:tcW w:w="0" w:type="auto"/>
          </w:tcPr>
          <w:p w14:paraId="4E12113C" w14:textId="6D20CDDF"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262C1ABE" w14:textId="60B5CD8C" w:rsidR="00A063B4" w:rsidRPr="00D549EE" w:rsidRDefault="000916F6" w:rsidP="00C9582F">
            <w:pPr>
              <w:rPr>
                <w:color w:val="000000" w:themeColor="text1"/>
                <w:lang w:val="en-US"/>
              </w:rPr>
            </w:pPr>
            <w:r w:rsidRPr="00D549EE">
              <w:rPr>
                <w:color w:val="000000" w:themeColor="text1"/>
                <w:lang w:val="en-US"/>
              </w:rPr>
              <w:t>1</w:t>
            </w:r>
          </w:p>
        </w:tc>
        <w:tc>
          <w:tcPr>
            <w:tcW w:w="0" w:type="auto"/>
          </w:tcPr>
          <w:p w14:paraId="275366EF" w14:textId="169E2049" w:rsidR="00A063B4" w:rsidRPr="00D549EE" w:rsidRDefault="000916F6" w:rsidP="00C9582F">
            <w:pPr>
              <w:rPr>
                <w:color w:val="000000" w:themeColor="text1"/>
                <w:lang w:val="en-US"/>
              </w:rPr>
            </w:pPr>
            <w:r w:rsidRPr="00D549EE">
              <w:rPr>
                <w:color w:val="000000" w:themeColor="text1"/>
                <w:lang w:val="en-US"/>
              </w:rPr>
              <w:t>3</w:t>
            </w:r>
            <w:r w:rsidR="008765FD" w:rsidRPr="00D549EE">
              <w:rPr>
                <w:color w:val="000000" w:themeColor="text1"/>
                <w:lang w:val="en-US"/>
              </w:rPr>
              <w:t>.33 / 4 rank</w:t>
            </w:r>
          </w:p>
        </w:tc>
      </w:tr>
      <w:tr w:rsidR="008765FD" w:rsidRPr="00D549EE" w14:paraId="7C8B2017" w14:textId="45A0A69B" w:rsidTr="00A063B4">
        <w:tc>
          <w:tcPr>
            <w:tcW w:w="0" w:type="auto"/>
          </w:tcPr>
          <w:p w14:paraId="05918D9B" w14:textId="0B67F8B6" w:rsidR="00A063B4" w:rsidRPr="00D549EE" w:rsidRDefault="00A063B4" w:rsidP="00C9582F">
            <w:pPr>
              <w:rPr>
                <w:color w:val="000000" w:themeColor="text1"/>
                <w:lang w:val="en-US"/>
              </w:rPr>
            </w:pPr>
            <w:r w:rsidRPr="00D549EE">
              <w:rPr>
                <w:color w:val="000000" w:themeColor="text1"/>
              </w:rPr>
              <w:t>Employee</w:t>
            </w:r>
          </w:p>
        </w:tc>
        <w:tc>
          <w:tcPr>
            <w:tcW w:w="0" w:type="auto"/>
          </w:tcPr>
          <w:p w14:paraId="3BF2169A" w14:textId="68A51406" w:rsidR="00A063B4" w:rsidRPr="00D549EE" w:rsidRDefault="008765FD" w:rsidP="00C9582F">
            <w:pPr>
              <w:rPr>
                <w:color w:val="000000" w:themeColor="text1"/>
                <w:lang w:val="en-US"/>
              </w:rPr>
            </w:pPr>
            <w:r w:rsidRPr="00D549EE">
              <w:rPr>
                <w:color w:val="000000" w:themeColor="text1"/>
                <w:lang w:val="en-US"/>
              </w:rPr>
              <w:t>0.5</w:t>
            </w:r>
          </w:p>
        </w:tc>
        <w:tc>
          <w:tcPr>
            <w:tcW w:w="0" w:type="auto"/>
          </w:tcPr>
          <w:p w14:paraId="5159DAA0" w14:textId="10BE2A3A" w:rsidR="00A063B4" w:rsidRPr="00D549EE" w:rsidRDefault="00A063B4" w:rsidP="00C9582F">
            <w:pPr>
              <w:rPr>
                <w:color w:val="000000" w:themeColor="text1"/>
                <w:lang w:val="en-US"/>
              </w:rPr>
            </w:pPr>
            <w:r w:rsidRPr="00D549EE">
              <w:rPr>
                <w:color w:val="000000" w:themeColor="text1"/>
                <w:lang w:val="en-US"/>
              </w:rPr>
              <w:t>0</w:t>
            </w:r>
          </w:p>
        </w:tc>
        <w:tc>
          <w:tcPr>
            <w:tcW w:w="0" w:type="auto"/>
          </w:tcPr>
          <w:p w14:paraId="7F250D4E" w14:textId="7D18A540" w:rsidR="00A063B4" w:rsidRPr="00D549EE" w:rsidRDefault="00A063B4" w:rsidP="00C9582F">
            <w:pPr>
              <w:rPr>
                <w:color w:val="000000" w:themeColor="text1"/>
                <w:lang w:val="en-US"/>
              </w:rPr>
            </w:pPr>
            <w:r w:rsidRPr="00D549EE">
              <w:rPr>
                <w:color w:val="000000" w:themeColor="text1"/>
                <w:lang w:val="en-US"/>
              </w:rPr>
              <w:t>0</w:t>
            </w:r>
            <w:r w:rsidR="008765FD" w:rsidRPr="00D549EE">
              <w:rPr>
                <w:color w:val="000000" w:themeColor="text1"/>
                <w:lang w:val="en-US"/>
              </w:rPr>
              <w:t>.66</w:t>
            </w:r>
          </w:p>
        </w:tc>
        <w:tc>
          <w:tcPr>
            <w:tcW w:w="0" w:type="auto"/>
          </w:tcPr>
          <w:p w14:paraId="4B7C59BA" w14:textId="08E7019E" w:rsidR="00A063B4" w:rsidRPr="00D549EE" w:rsidRDefault="00A063B4" w:rsidP="00C9582F">
            <w:pPr>
              <w:rPr>
                <w:color w:val="000000" w:themeColor="text1"/>
                <w:lang w:val="en-US"/>
              </w:rPr>
            </w:pPr>
            <w:r w:rsidRPr="00D549EE">
              <w:rPr>
                <w:color w:val="000000" w:themeColor="text1"/>
                <w:lang w:val="en-US"/>
              </w:rPr>
              <w:t>0</w:t>
            </w:r>
            <w:r w:rsidR="008765FD" w:rsidRPr="00D549EE">
              <w:rPr>
                <w:color w:val="000000" w:themeColor="text1"/>
                <w:lang w:val="en-US"/>
              </w:rPr>
              <w:t>.5</w:t>
            </w:r>
          </w:p>
        </w:tc>
        <w:tc>
          <w:tcPr>
            <w:tcW w:w="0" w:type="auto"/>
          </w:tcPr>
          <w:p w14:paraId="3F246299" w14:textId="246DACC8" w:rsidR="00A063B4" w:rsidRPr="00D549EE" w:rsidRDefault="008765FD" w:rsidP="00C9582F">
            <w:pPr>
              <w:rPr>
                <w:color w:val="000000" w:themeColor="text1"/>
                <w:lang w:val="en-US"/>
              </w:rPr>
            </w:pPr>
            <w:r w:rsidRPr="00D549EE">
              <w:rPr>
                <w:color w:val="000000" w:themeColor="text1"/>
                <w:lang w:val="en-US"/>
              </w:rPr>
              <w:t>1.66 / 6 rank</w:t>
            </w:r>
          </w:p>
        </w:tc>
      </w:tr>
      <w:tr w:rsidR="008765FD" w:rsidRPr="00D549EE" w14:paraId="7992D83C" w14:textId="71E75CB3" w:rsidTr="00A063B4">
        <w:tc>
          <w:tcPr>
            <w:tcW w:w="0" w:type="auto"/>
          </w:tcPr>
          <w:p w14:paraId="7945BBB5" w14:textId="117E7C12" w:rsidR="00A063B4" w:rsidRPr="00D549EE" w:rsidRDefault="00A063B4" w:rsidP="00C9582F">
            <w:pPr>
              <w:rPr>
                <w:color w:val="000000" w:themeColor="text1"/>
                <w:lang w:val="en-US"/>
              </w:rPr>
            </w:pPr>
            <w:r w:rsidRPr="00D549EE">
              <w:rPr>
                <w:color w:val="000000" w:themeColor="text1"/>
                <w:lang w:val="en-US"/>
              </w:rPr>
              <w:t>Prohibition of financing haram businesses</w:t>
            </w:r>
          </w:p>
        </w:tc>
        <w:tc>
          <w:tcPr>
            <w:tcW w:w="0" w:type="auto"/>
          </w:tcPr>
          <w:p w14:paraId="033F11CF" w14:textId="719926B5" w:rsidR="00A063B4" w:rsidRPr="00D549EE" w:rsidRDefault="008765FD" w:rsidP="00C9582F">
            <w:pPr>
              <w:rPr>
                <w:color w:val="000000" w:themeColor="text1"/>
                <w:lang w:val="en-US"/>
              </w:rPr>
            </w:pPr>
            <w:r w:rsidRPr="00D549EE">
              <w:rPr>
                <w:color w:val="000000" w:themeColor="text1"/>
                <w:lang w:val="en-US"/>
              </w:rPr>
              <w:t>1</w:t>
            </w:r>
          </w:p>
        </w:tc>
        <w:tc>
          <w:tcPr>
            <w:tcW w:w="0" w:type="auto"/>
          </w:tcPr>
          <w:p w14:paraId="259AD9D7" w14:textId="6A66B00F"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40A3C3F5" w14:textId="414E071E" w:rsidR="00A063B4" w:rsidRPr="00D549EE" w:rsidRDefault="008765FD" w:rsidP="00C9582F">
            <w:pPr>
              <w:rPr>
                <w:color w:val="000000" w:themeColor="text1"/>
                <w:lang w:val="en-US"/>
              </w:rPr>
            </w:pPr>
            <w:r w:rsidRPr="00D549EE">
              <w:rPr>
                <w:color w:val="000000" w:themeColor="text1"/>
                <w:lang w:val="en-US"/>
              </w:rPr>
              <w:t>0.5</w:t>
            </w:r>
          </w:p>
        </w:tc>
        <w:tc>
          <w:tcPr>
            <w:tcW w:w="0" w:type="auto"/>
          </w:tcPr>
          <w:p w14:paraId="65A156FB" w14:textId="342FBFE0" w:rsidR="00A063B4" w:rsidRPr="00D549EE" w:rsidRDefault="00A063B4" w:rsidP="00C9582F">
            <w:pPr>
              <w:rPr>
                <w:color w:val="000000" w:themeColor="text1"/>
                <w:lang w:val="en-US"/>
              </w:rPr>
            </w:pPr>
            <w:r w:rsidRPr="00D549EE">
              <w:rPr>
                <w:color w:val="000000" w:themeColor="text1"/>
                <w:lang w:val="en-US"/>
              </w:rPr>
              <w:t>1</w:t>
            </w:r>
          </w:p>
        </w:tc>
        <w:tc>
          <w:tcPr>
            <w:tcW w:w="0" w:type="auto"/>
          </w:tcPr>
          <w:p w14:paraId="53DC260E" w14:textId="0C2FF9DD" w:rsidR="00A063B4" w:rsidRPr="00D549EE" w:rsidRDefault="00E6606A" w:rsidP="00C9582F">
            <w:pPr>
              <w:rPr>
                <w:color w:val="000000" w:themeColor="text1"/>
                <w:lang w:val="en-US"/>
              </w:rPr>
            </w:pPr>
            <w:r w:rsidRPr="00D549EE">
              <w:rPr>
                <w:color w:val="000000" w:themeColor="text1"/>
                <w:lang w:val="en-US"/>
              </w:rPr>
              <w:t>3</w:t>
            </w:r>
            <w:r w:rsidR="008765FD" w:rsidRPr="00D549EE">
              <w:rPr>
                <w:color w:val="000000" w:themeColor="text1"/>
                <w:lang w:val="en-US"/>
              </w:rPr>
              <w:t>.5 / 3 rank</w:t>
            </w:r>
          </w:p>
        </w:tc>
      </w:tr>
      <w:tr w:rsidR="008765FD" w:rsidRPr="00D549EE" w14:paraId="54C2E089" w14:textId="77777777" w:rsidTr="00A063B4">
        <w:tc>
          <w:tcPr>
            <w:tcW w:w="0" w:type="auto"/>
          </w:tcPr>
          <w:p w14:paraId="48F3F1D6" w14:textId="29A1AB64" w:rsidR="00A063B4" w:rsidRPr="00D549EE" w:rsidRDefault="00A063B4" w:rsidP="00C9582F">
            <w:pPr>
              <w:rPr>
                <w:color w:val="000000" w:themeColor="text1"/>
                <w:lang w:val="en-US"/>
              </w:rPr>
            </w:pPr>
            <w:r w:rsidRPr="00D549EE">
              <w:rPr>
                <w:color w:val="000000" w:themeColor="text1"/>
                <w:lang w:val="en-US"/>
              </w:rPr>
              <w:t>Overal index by each institution</w:t>
            </w:r>
          </w:p>
        </w:tc>
        <w:tc>
          <w:tcPr>
            <w:tcW w:w="0" w:type="auto"/>
          </w:tcPr>
          <w:p w14:paraId="51916A7E" w14:textId="0658C809" w:rsidR="00A063B4" w:rsidRPr="00D549EE" w:rsidRDefault="00A063B4" w:rsidP="00C9582F">
            <w:pPr>
              <w:rPr>
                <w:color w:val="000000" w:themeColor="text1"/>
                <w:lang w:val="en-US"/>
              </w:rPr>
            </w:pPr>
            <w:r w:rsidRPr="00D549EE">
              <w:rPr>
                <w:color w:val="000000" w:themeColor="text1"/>
                <w:lang w:val="en-US"/>
              </w:rPr>
              <w:t>0.7</w:t>
            </w:r>
            <w:r w:rsidR="008765FD" w:rsidRPr="00D549EE">
              <w:rPr>
                <w:color w:val="000000" w:themeColor="text1"/>
                <w:lang w:val="en-US"/>
              </w:rPr>
              <w:t>4</w:t>
            </w:r>
          </w:p>
        </w:tc>
        <w:tc>
          <w:tcPr>
            <w:tcW w:w="0" w:type="auto"/>
          </w:tcPr>
          <w:p w14:paraId="52AF561D" w14:textId="7ED29B02" w:rsidR="00A063B4" w:rsidRPr="00D549EE" w:rsidRDefault="00A063B4" w:rsidP="00C9582F">
            <w:pPr>
              <w:rPr>
                <w:color w:val="000000" w:themeColor="text1"/>
                <w:lang w:val="en-US"/>
              </w:rPr>
            </w:pPr>
            <w:r w:rsidRPr="00D549EE">
              <w:rPr>
                <w:color w:val="000000" w:themeColor="text1"/>
                <w:lang w:val="en-US"/>
              </w:rPr>
              <w:t>0.5</w:t>
            </w:r>
            <w:r w:rsidR="008765FD" w:rsidRPr="00D549EE">
              <w:rPr>
                <w:color w:val="000000" w:themeColor="text1"/>
                <w:lang w:val="en-US"/>
              </w:rPr>
              <w:t>2</w:t>
            </w:r>
          </w:p>
        </w:tc>
        <w:tc>
          <w:tcPr>
            <w:tcW w:w="0" w:type="auto"/>
          </w:tcPr>
          <w:p w14:paraId="2B87776B" w14:textId="6E1A8816" w:rsidR="00A063B4" w:rsidRPr="00D549EE" w:rsidRDefault="00E6606A" w:rsidP="00C9582F">
            <w:pPr>
              <w:rPr>
                <w:color w:val="000000" w:themeColor="text1"/>
                <w:lang w:val="en-US"/>
              </w:rPr>
            </w:pPr>
            <w:r w:rsidRPr="00D549EE">
              <w:rPr>
                <w:color w:val="000000" w:themeColor="text1"/>
                <w:lang w:val="en-US"/>
              </w:rPr>
              <w:t>0.</w:t>
            </w:r>
            <w:r w:rsidR="008765FD" w:rsidRPr="00D549EE">
              <w:rPr>
                <w:color w:val="000000" w:themeColor="text1"/>
                <w:lang w:val="en-US"/>
              </w:rPr>
              <w:t>69</w:t>
            </w:r>
          </w:p>
        </w:tc>
        <w:tc>
          <w:tcPr>
            <w:tcW w:w="0" w:type="auto"/>
          </w:tcPr>
          <w:p w14:paraId="06FD1865" w14:textId="50C86734" w:rsidR="00A063B4" w:rsidRPr="00D549EE" w:rsidRDefault="00E6606A" w:rsidP="00C9582F">
            <w:pPr>
              <w:rPr>
                <w:color w:val="000000" w:themeColor="text1"/>
                <w:lang w:val="en-US"/>
              </w:rPr>
            </w:pPr>
            <w:r w:rsidRPr="00D549EE">
              <w:rPr>
                <w:color w:val="000000" w:themeColor="text1"/>
                <w:lang w:val="en-US"/>
              </w:rPr>
              <w:t>0.</w:t>
            </w:r>
            <w:r w:rsidR="008765FD" w:rsidRPr="00D549EE">
              <w:rPr>
                <w:color w:val="000000" w:themeColor="text1"/>
                <w:lang w:val="en-US"/>
              </w:rPr>
              <w:t>69</w:t>
            </w:r>
          </w:p>
        </w:tc>
        <w:tc>
          <w:tcPr>
            <w:tcW w:w="0" w:type="auto"/>
          </w:tcPr>
          <w:p w14:paraId="369D89F9" w14:textId="77777777" w:rsidR="00A063B4" w:rsidRPr="00D549EE" w:rsidRDefault="00A063B4" w:rsidP="00C9582F">
            <w:pPr>
              <w:rPr>
                <w:color w:val="000000" w:themeColor="text1"/>
                <w:lang w:val="en-US"/>
              </w:rPr>
            </w:pPr>
          </w:p>
        </w:tc>
      </w:tr>
      <w:tr w:rsidR="00FE4099" w:rsidRPr="00FC685D" w14:paraId="7B15EBBB" w14:textId="77777777" w:rsidTr="003E7334">
        <w:tc>
          <w:tcPr>
            <w:tcW w:w="0" w:type="auto"/>
            <w:gridSpan w:val="6"/>
          </w:tcPr>
          <w:p w14:paraId="3D8A3B68" w14:textId="30D277BB" w:rsidR="00FE4099" w:rsidRPr="00D549EE" w:rsidRDefault="00304A3C" w:rsidP="00C9582F">
            <w:pPr>
              <w:ind w:left="449" w:hanging="449"/>
              <w:rPr>
                <w:color w:val="000000" w:themeColor="text1"/>
                <w:lang w:val="en-US"/>
              </w:rPr>
            </w:pPr>
            <w:r w:rsidRPr="00D549EE">
              <w:rPr>
                <w:color w:val="000000" w:themeColor="text1"/>
                <w:sz w:val="22"/>
                <w:szCs w:val="22"/>
                <w:lang w:val="en-US"/>
              </w:rPr>
              <w:t xml:space="preserve">         </w:t>
            </w:r>
            <w:r w:rsidR="00FE4099" w:rsidRPr="00D549EE">
              <w:rPr>
                <w:color w:val="000000" w:themeColor="text1"/>
                <w:sz w:val="22"/>
                <w:szCs w:val="22"/>
                <w:lang w:val="en-US"/>
              </w:rPr>
              <w:t xml:space="preserve">Note </w:t>
            </w:r>
            <w:r w:rsidR="00FE4099" w:rsidRPr="00D549EE">
              <w:rPr>
                <w:sz w:val="28"/>
                <w:szCs w:val="28"/>
                <w:lang w:val="en-US"/>
              </w:rPr>
              <w:t xml:space="preserve">– </w:t>
            </w:r>
            <w:r w:rsidR="00FE4099" w:rsidRPr="00D549EE">
              <w:rPr>
                <w:color w:val="000000" w:themeColor="text1"/>
                <w:sz w:val="22"/>
                <w:szCs w:val="22"/>
                <w:lang w:val="en-US"/>
              </w:rPr>
              <w:t xml:space="preserve">Compiled by the author </w:t>
            </w:r>
          </w:p>
        </w:tc>
      </w:tr>
    </w:tbl>
    <w:p w14:paraId="3DBECC88" w14:textId="1B5BACA8" w:rsidR="00A063B4" w:rsidRDefault="00A063B4" w:rsidP="00C9582F">
      <w:pPr>
        <w:jc w:val="both"/>
        <w:rPr>
          <w:sz w:val="28"/>
          <w:szCs w:val="28"/>
          <w:lang w:val="en-US"/>
        </w:rPr>
      </w:pPr>
    </w:p>
    <w:p w14:paraId="26FB5B29" w14:textId="5286B6E9" w:rsidR="00B71E0A" w:rsidRPr="00D549EE" w:rsidRDefault="00B71E0A" w:rsidP="00C9582F">
      <w:pPr>
        <w:jc w:val="both"/>
        <w:rPr>
          <w:sz w:val="28"/>
          <w:szCs w:val="28"/>
          <w:lang w:val="en-US"/>
        </w:rPr>
      </w:pPr>
      <w:r>
        <w:rPr>
          <w:rFonts w:eastAsia="Calibri"/>
          <w:color w:val="000000" w:themeColor="text1"/>
          <w:sz w:val="28"/>
          <w:szCs w:val="28"/>
          <w:lang w:val="en-US" w:eastAsia="en-US"/>
        </w:rPr>
        <w:tab/>
      </w:r>
      <w:r w:rsidRPr="009D0784">
        <w:rPr>
          <w:rFonts w:eastAsia="Calibri"/>
          <w:color w:val="000000" w:themeColor="text1"/>
          <w:sz w:val="28"/>
          <w:szCs w:val="28"/>
          <w:lang w:val="en-US" w:eastAsia="en-US"/>
        </w:rPr>
        <w:t>The theme dedicated to Shariah products and services of Islamic financial institutions and the Charity and donation theme (but interviewers warned about the inability to use the information for marketing purposes) took the first place in the rating of the theme disclosure. Table 34 illustrates that the prohibition of financing haram businesses ranks third in the revealed themes, and the policy in the case of clients' hardship ranks 4 — one of the interesting of our study themes zakat, which has 2 scores and ranks 5. We estimated the amount of zakat from the annual published statement [32, p. 520].</w:t>
      </w:r>
    </w:p>
    <w:p w14:paraId="5CCAEFA5" w14:textId="77777777" w:rsidR="008F681C" w:rsidRPr="008F681C" w:rsidRDefault="000942D6" w:rsidP="008F681C">
      <w:pPr>
        <w:jc w:val="both"/>
        <w:rPr>
          <w:sz w:val="28"/>
          <w:szCs w:val="28"/>
          <w:lang w:val="en-US"/>
        </w:rPr>
      </w:pPr>
      <w:r w:rsidRPr="00D549EE">
        <w:rPr>
          <w:sz w:val="28"/>
          <w:szCs w:val="28"/>
          <w:lang w:val="en-US"/>
        </w:rPr>
        <w:tab/>
      </w:r>
      <w:r w:rsidR="008F681C" w:rsidRPr="008F681C">
        <w:rPr>
          <w:sz w:val="28"/>
          <w:szCs w:val="28"/>
          <w:lang w:val="en-US"/>
        </w:rPr>
        <w:t xml:space="preserve">We found that only one Islamic financial institution pays zakat on retained earnings through the institution's account, the other two estimate its amount for shareholders, and one leaves it for shareholders estimation and payment. As can be seen from the table, there is a lack of information on the qard-hasan. Even though this instrument is one of the social in comparison with other Islamic financial instruments, there is no practice of using qard-hasan for customers in Kazakhstan. </w:t>
      </w:r>
    </w:p>
    <w:p w14:paraId="70588700" w14:textId="77777777" w:rsidR="008F681C" w:rsidRPr="008F681C" w:rsidRDefault="008F681C" w:rsidP="008F681C">
      <w:pPr>
        <w:jc w:val="both"/>
        <w:rPr>
          <w:sz w:val="28"/>
          <w:szCs w:val="28"/>
          <w:lang w:val="en-US"/>
        </w:rPr>
      </w:pPr>
      <w:r w:rsidRPr="008F681C">
        <w:rPr>
          <w:sz w:val="28"/>
          <w:szCs w:val="28"/>
          <w:lang w:val="en-US"/>
        </w:rPr>
        <w:tab/>
        <w:t xml:space="preserve">Using the method of assessment Islamic social finance index for Islamic financial institutions, we attempted to understand the social effects of institutions through interviews and content analysis. The specific feature of these institutions is their social responsibility inactivity and operations, one of the main differences from the same convectional institutions. There are evidence and facts about the institutions' voluntary charity transfers and other social activities. This assumes a more significant voluntary role in social welfare. The role of each institution and the AIFC is considered further in the study. </w:t>
      </w:r>
    </w:p>
    <w:p w14:paraId="0F3FEC2F" w14:textId="77777777" w:rsidR="008F681C" w:rsidRPr="008F681C" w:rsidRDefault="008F681C" w:rsidP="008F681C">
      <w:pPr>
        <w:jc w:val="both"/>
        <w:rPr>
          <w:sz w:val="28"/>
          <w:szCs w:val="28"/>
          <w:lang w:val="en-US"/>
        </w:rPr>
      </w:pPr>
      <w:r w:rsidRPr="008F681C">
        <w:rPr>
          <w:sz w:val="28"/>
          <w:szCs w:val="28"/>
          <w:lang w:val="en-US"/>
        </w:rPr>
        <w:tab/>
        <w:t xml:space="preserve">Islamic Bank Al-Hilal JSC. The following information is provided from interviews of the member of the Management Board of the bank – Interviewer 1, and the member of the Shariah Board – Interviewer 2. Al-Hilal Islamic Bank is the first Islamic bank in Kazakhstan and the CIS, established in 2010 under the agreement of the Governments of the Republic of Kazakhstan and the United Arab Emirates. It is a subsidiary of Al-Hilal Bank PJSC – one of the fastest-growing Islamic banks in the UAE, with 100% participation of the government of Abu Dhabi. After 7 years of successful work with corporate clients, the bank launched a retail business line in 2017. Furthermore, currently, the bank provides a wide range of banking products and services that comply with the principles and rules of Shariah, such as accounts, deposits, financing products, cash and settlement services, treasury services, and others, through branches in Almaty, Nur-Sultan and Shymkent. The head Al-Hilal Bank PJSC joined a major banking group, merging with Abu Dhabi Commercial Bank (ADCB) and Union National Bank (UNB) in 2019. The number of employees in the bank is 120 people for all branches in Kazakhstan. </w:t>
      </w:r>
    </w:p>
    <w:p w14:paraId="01609963" w14:textId="21525DD7" w:rsidR="00ED1FCF" w:rsidRPr="00D549EE" w:rsidRDefault="008F681C" w:rsidP="008F681C">
      <w:pPr>
        <w:jc w:val="both"/>
        <w:rPr>
          <w:sz w:val="28"/>
          <w:szCs w:val="28"/>
          <w:lang w:val="en-US"/>
        </w:rPr>
      </w:pPr>
      <w:r>
        <w:rPr>
          <w:sz w:val="28"/>
          <w:szCs w:val="28"/>
          <w:lang w:val="en-US"/>
        </w:rPr>
        <w:tab/>
      </w:r>
      <w:r w:rsidRPr="008F681C">
        <w:rPr>
          <w:sz w:val="28"/>
          <w:szCs w:val="28"/>
          <w:lang w:val="en-US"/>
        </w:rPr>
        <w:t>Initially, Al-Hilal Bank in Kazakhstan focused on the corporate sector, providing Islamic financial instruments and solutions for large and medium-sized businesses. It offers Murabaha, commodity Murabaha, ijara, and wakala instruments to corporate clients. Al-Hilal Islamic Bank has started to cooperate with the Damu program, and it impacts increased the share of medium-sized businesses. In specific projects related to microfinance, there is a diversification towards medium-sized businesses, retail, and microfinance (from 3000 thousand US dollars). For individual clients bank offers home financing within Murabaha contract, wakala, and mudaraba instruments, the minimum sum is 1500 US dollars for individuals. The bank presented itself as a bank for a targeted client with a stable income with high requirements for risk management. The bank provides internet banking for clients, alhilal-online. Forming a digital structure is an expensive project and needs millions of investments. As a result, the bank does not have digital solutions for all clients, and there is work on the development own application for the bank.</w:t>
      </w:r>
      <w:r w:rsidR="002415E8" w:rsidRPr="00D549EE">
        <w:rPr>
          <w:sz w:val="28"/>
          <w:szCs w:val="28"/>
          <w:lang w:val="en-US"/>
        </w:rPr>
        <w:t xml:space="preserve"> </w:t>
      </w:r>
    </w:p>
    <w:p w14:paraId="14F7411C" w14:textId="77777777" w:rsidR="00ED1FCF" w:rsidRPr="00D549EE" w:rsidRDefault="00ED1FCF" w:rsidP="00C9582F">
      <w:pPr>
        <w:ind w:firstLine="708"/>
        <w:jc w:val="both"/>
        <w:rPr>
          <w:b/>
          <w:sz w:val="28"/>
          <w:szCs w:val="28"/>
          <w:lang w:val="en-US"/>
        </w:rPr>
      </w:pPr>
    </w:p>
    <w:p w14:paraId="357038FA" w14:textId="65AE1FB1" w:rsidR="00F13742" w:rsidRPr="00D549EE" w:rsidRDefault="00F13742" w:rsidP="00C9582F">
      <w:pPr>
        <w:jc w:val="both"/>
        <w:rPr>
          <w:sz w:val="28"/>
          <w:szCs w:val="28"/>
          <w:lang w:val="en-US"/>
        </w:rPr>
      </w:pPr>
      <w:r w:rsidRPr="00D549EE">
        <w:rPr>
          <w:sz w:val="28"/>
          <w:szCs w:val="28"/>
          <w:lang w:val="en-US"/>
        </w:rPr>
        <w:t xml:space="preserve">Table </w:t>
      </w:r>
      <w:r w:rsidR="00EA7525" w:rsidRPr="00D549EE">
        <w:rPr>
          <w:sz w:val="28"/>
          <w:szCs w:val="28"/>
          <w:lang w:val="en-US"/>
        </w:rPr>
        <w:t>3</w:t>
      </w:r>
      <w:r w:rsidR="00066364" w:rsidRPr="00D549EE">
        <w:rPr>
          <w:sz w:val="28"/>
          <w:szCs w:val="28"/>
          <w:lang w:val="en-US"/>
        </w:rPr>
        <w:t>5</w:t>
      </w:r>
      <w:r w:rsidRPr="00D549EE">
        <w:rPr>
          <w:sz w:val="28"/>
          <w:szCs w:val="28"/>
          <w:lang w:val="en-US"/>
        </w:rPr>
        <w:t xml:space="preserve"> </w:t>
      </w:r>
      <w:r w:rsidR="00ED1FCF" w:rsidRPr="00D549EE">
        <w:rPr>
          <w:sz w:val="28"/>
          <w:szCs w:val="28"/>
          <w:lang w:val="en-US"/>
        </w:rPr>
        <w:t xml:space="preserve">– </w:t>
      </w:r>
      <w:r w:rsidRPr="00D549EE">
        <w:rPr>
          <w:sz w:val="28"/>
          <w:szCs w:val="28"/>
          <w:lang w:val="en-US"/>
        </w:rPr>
        <w:t>Financial statement of Islamic Bank Al-Hilal JSC for 2020</w:t>
      </w:r>
    </w:p>
    <w:p w14:paraId="239BFA37" w14:textId="77777777" w:rsidR="00F13742" w:rsidRPr="00D549EE" w:rsidRDefault="00F13742" w:rsidP="00C9582F">
      <w:pPr>
        <w:ind w:firstLine="708"/>
        <w:jc w:val="both"/>
        <w:rPr>
          <w:sz w:val="28"/>
          <w:szCs w:val="28"/>
          <w:lang w:val="en-US"/>
        </w:rPr>
      </w:pPr>
    </w:p>
    <w:tbl>
      <w:tblPr>
        <w:tblStyle w:val="a9"/>
        <w:tblW w:w="0" w:type="auto"/>
        <w:tblLook w:val="04A0" w:firstRow="1" w:lastRow="0" w:firstColumn="1" w:lastColumn="0" w:noHBand="0" w:noVBand="1"/>
      </w:tblPr>
      <w:tblGrid>
        <w:gridCol w:w="5637"/>
        <w:gridCol w:w="1984"/>
        <w:gridCol w:w="1950"/>
      </w:tblGrid>
      <w:tr w:rsidR="00F13742" w:rsidRPr="00D549EE" w14:paraId="7E24EB92" w14:textId="77777777" w:rsidTr="00C025A2">
        <w:tc>
          <w:tcPr>
            <w:tcW w:w="5637" w:type="dxa"/>
          </w:tcPr>
          <w:p w14:paraId="31DAC40F" w14:textId="77777777" w:rsidR="00F13742" w:rsidRPr="00D549EE" w:rsidRDefault="00F13742" w:rsidP="00C9582F">
            <w:pPr>
              <w:rPr>
                <w:lang w:val="en-US"/>
              </w:rPr>
            </w:pPr>
          </w:p>
        </w:tc>
        <w:tc>
          <w:tcPr>
            <w:tcW w:w="1984" w:type="dxa"/>
          </w:tcPr>
          <w:p w14:paraId="30A03024" w14:textId="35EBAE93" w:rsidR="00F13742" w:rsidRPr="00D549EE" w:rsidRDefault="00F13742" w:rsidP="00C9582F">
            <w:pPr>
              <w:rPr>
                <w:lang w:val="en-US"/>
              </w:rPr>
            </w:pPr>
            <w:r w:rsidRPr="00D549EE">
              <w:rPr>
                <w:lang w:val="kk-KZ"/>
              </w:rPr>
              <w:t>01</w:t>
            </w:r>
            <w:r w:rsidRPr="00D549EE">
              <w:rPr>
                <w:lang w:val="en-US"/>
              </w:rPr>
              <w:t>.01.2021</w:t>
            </w:r>
          </w:p>
          <w:p w14:paraId="0C63B3DE" w14:textId="0A2FA2D6" w:rsidR="00F13742" w:rsidRPr="00D549EE" w:rsidRDefault="00F13742" w:rsidP="00C9582F">
            <w:r w:rsidRPr="00D549EE">
              <w:rPr>
                <w:lang w:val="en-US"/>
              </w:rPr>
              <w:t>(thousand tenge</w:t>
            </w:r>
            <w:r w:rsidRPr="00D549EE">
              <w:t>)</w:t>
            </w:r>
          </w:p>
        </w:tc>
        <w:tc>
          <w:tcPr>
            <w:tcW w:w="1950" w:type="dxa"/>
          </w:tcPr>
          <w:p w14:paraId="67F7F681" w14:textId="77777777" w:rsidR="00F13742" w:rsidRPr="00D549EE" w:rsidRDefault="00F13742" w:rsidP="00C9582F">
            <w:r w:rsidRPr="00D549EE">
              <w:rPr>
                <w:lang w:val="kk-KZ"/>
              </w:rPr>
              <w:t>01</w:t>
            </w:r>
            <w:r w:rsidRPr="00D549EE">
              <w:t>.01.2020</w:t>
            </w:r>
          </w:p>
          <w:p w14:paraId="2EB8AF2C" w14:textId="6EFB79C6" w:rsidR="00F13742" w:rsidRPr="00D549EE" w:rsidRDefault="00F13742" w:rsidP="00C9582F">
            <w:r w:rsidRPr="00D549EE">
              <w:t>(</w:t>
            </w:r>
            <w:r w:rsidRPr="00D549EE">
              <w:rPr>
                <w:lang w:val="en-US"/>
              </w:rPr>
              <w:t>thousand tenge</w:t>
            </w:r>
            <w:r w:rsidRPr="00D549EE">
              <w:t>)</w:t>
            </w:r>
          </w:p>
        </w:tc>
      </w:tr>
      <w:tr w:rsidR="00F13742" w:rsidRPr="00D549EE" w14:paraId="4330B877" w14:textId="77777777" w:rsidTr="00C025A2">
        <w:tc>
          <w:tcPr>
            <w:tcW w:w="9571" w:type="dxa"/>
            <w:gridSpan w:val="3"/>
          </w:tcPr>
          <w:p w14:paraId="696E2FE8" w14:textId="31942723" w:rsidR="00F13742" w:rsidRPr="00D549EE" w:rsidRDefault="00F13742" w:rsidP="00C9582F">
            <w:pPr>
              <w:rPr>
                <w:lang w:val="en-US"/>
              </w:rPr>
            </w:pPr>
            <w:r w:rsidRPr="00D549EE">
              <w:rPr>
                <w:lang w:val="en-US"/>
              </w:rPr>
              <w:t>Assets</w:t>
            </w:r>
          </w:p>
        </w:tc>
      </w:tr>
      <w:tr w:rsidR="00F13742" w:rsidRPr="00D549EE" w14:paraId="374AD42C" w14:textId="77777777" w:rsidTr="00C025A2">
        <w:tc>
          <w:tcPr>
            <w:tcW w:w="5637" w:type="dxa"/>
          </w:tcPr>
          <w:p w14:paraId="3F217743" w14:textId="4160DB27" w:rsidR="00F13742" w:rsidRPr="00D549EE" w:rsidRDefault="00C919D8" w:rsidP="00C9582F">
            <w:pPr>
              <w:rPr>
                <w:lang w:val="en-US"/>
              </w:rPr>
            </w:pPr>
            <w:r w:rsidRPr="00D549EE">
              <w:rPr>
                <w:lang w:val="en-US"/>
              </w:rPr>
              <w:t>Cash</w:t>
            </w:r>
          </w:p>
        </w:tc>
        <w:tc>
          <w:tcPr>
            <w:tcW w:w="1984" w:type="dxa"/>
          </w:tcPr>
          <w:p w14:paraId="01E90A81" w14:textId="78BFBDE2" w:rsidR="00F13742" w:rsidRPr="00D549EE" w:rsidRDefault="00F13742" w:rsidP="00C9582F">
            <w:r w:rsidRPr="00D549EE">
              <w:t>1</w:t>
            </w:r>
            <w:r w:rsidR="00905AC7" w:rsidRPr="00D549EE">
              <w:rPr>
                <w:lang w:val="en-US"/>
              </w:rPr>
              <w:t> 645 183</w:t>
            </w:r>
          </w:p>
        </w:tc>
        <w:tc>
          <w:tcPr>
            <w:tcW w:w="1950" w:type="dxa"/>
          </w:tcPr>
          <w:p w14:paraId="64449D13" w14:textId="275BC8C3" w:rsidR="00F13742" w:rsidRPr="00D549EE" w:rsidRDefault="00F13742" w:rsidP="00C9582F">
            <w:r w:rsidRPr="00D549EE">
              <w:t>766</w:t>
            </w:r>
            <w:r w:rsidRPr="00D549EE">
              <w:rPr>
                <w:lang w:val="en-US"/>
              </w:rPr>
              <w:t xml:space="preserve"> </w:t>
            </w:r>
            <w:r w:rsidRPr="00D549EE">
              <w:t>101</w:t>
            </w:r>
          </w:p>
        </w:tc>
      </w:tr>
      <w:tr w:rsidR="00F13742" w:rsidRPr="00D549EE" w14:paraId="61F7775B" w14:textId="77777777" w:rsidTr="00C025A2">
        <w:tc>
          <w:tcPr>
            <w:tcW w:w="5637" w:type="dxa"/>
          </w:tcPr>
          <w:p w14:paraId="4CBA668A" w14:textId="5F27BB9B" w:rsidR="00F13742" w:rsidRPr="00D549EE" w:rsidRDefault="00F13742" w:rsidP="00C9582F">
            <w:pPr>
              <w:rPr>
                <w:lang w:val="en-US"/>
              </w:rPr>
            </w:pPr>
            <w:r w:rsidRPr="00D549EE">
              <w:rPr>
                <w:lang w:val="en-US"/>
              </w:rPr>
              <w:t xml:space="preserve">Accounts in the National Bank of RK </w:t>
            </w:r>
          </w:p>
        </w:tc>
        <w:tc>
          <w:tcPr>
            <w:tcW w:w="1984" w:type="dxa"/>
          </w:tcPr>
          <w:p w14:paraId="25FC8BB5" w14:textId="509B6C5E" w:rsidR="00F13742" w:rsidRPr="00D549EE" w:rsidRDefault="00F13742" w:rsidP="00C9582F">
            <w:pPr>
              <w:rPr>
                <w:lang w:val="en-US"/>
              </w:rPr>
            </w:pPr>
            <w:r w:rsidRPr="00D549EE">
              <w:t>1</w:t>
            </w:r>
            <w:r w:rsidR="00905AC7" w:rsidRPr="00D549EE">
              <w:rPr>
                <w:lang w:val="en-US"/>
              </w:rPr>
              <w:t>4 424 928</w:t>
            </w:r>
          </w:p>
        </w:tc>
        <w:tc>
          <w:tcPr>
            <w:tcW w:w="1950" w:type="dxa"/>
          </w:tcPr>
          <w:p w14:paraId="648874D8" w14:textId="378A3DD1" w:rsidR="00F13742" w:rsidRPr="00D549EE" w:rsidRDefault="00F13742" w:rsidP="00C9582F">
            <w:r w:rsidRPr="00D549EE">
              <w:t>7</w:t>
            </w:r>
            <w:r w:rsidRPr="00D549EE">
              <w:rPr>
                <w:lang w:val="en-US"/>
              </w:rPr>
              <w:t> </w:t>
            </w:r>
            <w:r w:rsidRPr="00D549EE">
              <w:t>369</w:t>
            </w:r>
            <w:r w:rsidRPr="00D549EE">
              <w:rPr>
                <w:lang w:val="en-US"/>
              </w:rPr>
              <w:t xml:space="preserve"> </w:t>
            </w:r>
            <w:r w:rsidRPr="00D549EE">
              <w:t>203</w:t>
            </w:r>
          </w:p>
        </w:tc>
      </w:tr>
      <w:tr w:rsidR="00F13742" w:rsidRPr="00D549EE" w14:paraId="139FE825" w14:textId="77777777" w:rsidTr="00C025A2">
        <w:tc>
          <w:tcPr>
            <w:tcW w:w="5637" w:type="dxa"/>
          </w:tcPr>
          <w:p w14:paraId="6DAAC5AF" w14:textId="75FD365A" w:rsidR="00F13742" w:rsidRPr="00D549EE" w:rsidRDefault="00C919D8" w:rsidP="00C9582F">
            <w:pPr>
              <w:rPr>
                <w:lang w:val="en-US"/>
              </w:rPr>
            </w:pPr>
            <w:r w:rsidRPr="00D549EE">
              <w:rPr>
                <w:color w:val="000000"/>
                <w:shd w:val="clear" w:color="auto" w:fill="FFFFFF"/>
                <w:lang w:val="en-US"/>
              </w:rPr>
              <w:t>Debts of banks and other financial organizations</w:t>
            </w:r>
          </w:p>
        </w:tc>
        <w:tc>
          <w:tcPr>
            <w:tcW w:w="1984" w:type="dxa"/>
          </w:tcPr>
          <w:p w14:paraId="4B6EAC6E" w14:textId="1C90325F" w:rsidR="00F13742" w:rsidRPr="00D549EE" w:rsidRDefault="00905AC7" w:rsidP="00C9582F">
            <w:pPr>
              <w:rPr>
                <w:lang w:val="en-US"/>
              </w:rPr>
            </w:pPr>
            <w:r w:rsidRPr="00D549EE">
              <w:rPr>
                <w:lang w:val="en-US"/>
              </w:rPr>
              <w:t>5 572 957</w:t>
            </w:r>
          </w:p>
        </w:tc>
        <w:tc>
          <w:tcPr>
            <w:tcW w:w="1950" w:type="dxa"/>
          </w:tcPr>
          <w:p w14:paraId="6FD9DA7D" w14:textId="4E205240" w:rsidR="00F13742" w:rsidRPr="00D549EE" w:rsidRDefault="00F13742" w:rsidP="00C9582F">
            <w:r w:rsidRPr="00D549EE">
              <w:t>7</w:t>
            </w:r>
            <w:r w:rsidRPr="00D549EE">
              <w:rPr>
                <w:lang w:val="en-US"/>
              </w:rPr>
              <w:t> </w:t>
            </w:r>
            <w:r w:rsidRPr="00D549EE">
              <w:t>669</w:t>
            </w:r>
            <w:r w:rsidRPr="00D549EE">
              <w:rPr>
                <w:lang w:val="en-US"/>
              </w:rPr>
              <w:t xml:space="preserve"> </w:t>
            </w:r>
            <w:r w:rsidRPr="00D549EE">
              <w:t>381</w:t>
            </w:r>
          </w:p>
        </w:tc>
      </w:tr>
      <w:tr w:rsidR="00F13742" w:rsidRPr="00D549EE" w14:paraId="5B606D15" w14:textId="77777777" w:rsidTr="00C025A2">
        <w:tc>
          <w:tcPr>
            <w:tcW w:w="5637" w:type="dxa"/>
          </w:tcPr>
          <w:p w14:paraId="78999B4B" w14:textId="345AD89A" w:rsidR="00F13742" w:rsidRPr="00D549EE" w:rsidRDefault="00905AC7" w:rsidP="00C9582F">
            <w:pPr>
              <w:rPr>
                <w:lang w:val="en-US"/>
              </w:rPr>
            </w:pPr>
            <w:r w:rsidRPr="00D549EE">
              <w:rPr>
                <w:lang w:val="en-US"/>
              </w:rPr>
              <w:t>Requirements to c</w:t>
            </w:r>
            <w:r w:rsidR="004F00CC" w:rsidRPr="00D549EE">
              <w:rPr>
                <w:lang w:val="en-US"/>
              </w:rPr>
              <w:t>ustomer</w:t>
            </w:r>
            <w:r w:rsidRPr="00D549EE">
              <w:rPr>
                <w:lang w:val="en-US"/>
              </w:rPr>
              <w:t>s</w:t>
            </w:r>
            <w:r w:rsidR="004F00CC" w:rsidRPr="00D549EE">
              <w:rPr>
                <w:lang w:val="en-US"/>
              </w:rPr>
              <w:t xml:space="preserve"> </w:t>
            </w:r>
          </w:p>
        </w:tc>
        <w:tc>
          <w:tcPr>
            <w:tcW w:w="1984" w:type="dxa"/>
          </w:tcPr>
          <w:p w14:paraId="37E793DE" w14:textId="0B3021E3" w:rsidR="00F13742" w:rsidRPr="00D549EE" w:rsidRDefault="00905AC7" w:rsidP="00C9582F">
            <w:pPr>
              <w:rPr>
                <w:lang w:val="en-US"/>
              </w:rPr>
            </w:pPr>
            <w:r w:rsidRPr="00D549EE">
              <w:rPr>
                <w:lang w:val="en-US"/>
              </w:rPr>
              <w:t>31 308 817</w:t>
            </w:r>
          </w:p>
        </w:tc>
        <w:tc>
          <w:tcPr>
            <w:tcW w:w="1950" w:type="dxa"/>
          </w:tcPr>
          <w:p w14:paraId="4A207CCC" w14:textId="274D8C1F" w:rsidR="00F13742" w:rsidRPr="00D549EE" w:rsidRDefault="00F13742" w:rsidP="00C9582F">
            <w:r w:rsidRPr="00D549EE">
              <w:t>16</w:t>
            </w:r>
            <w:r w:rsidRPr="00D549EE">
              <w:rPr>
                <w:lang w:val="en-US"/>
              </w:rPr>
              <w:t> </w:t>
            </w:r>
            <w:r w:rsidRPr="00D549EE">
              <w:t>237</w:t>
            </w:r>
            <w:r w:rsidRPr="00D549EE">
              <w:rPr>
                <w:lang w:val="en-US"/>
              </w:rPr>
              <w:t xml:space="preserve"> </w:t>
            </w:r>
            <w:r w:rsidRPr="00D549EE">
              <w:t>568</w:t>
            </w:r>
          </w:p>
        </w:tc>
      </w:tr>
      <w:tr w:rsidR="00F13742" w:rsidRPr="00D549EE" w14:paraId="091F0495" w14:textId="77777777" w:rsidTr="00C025A2">
        <w:tc>
          <w:tcPr>
            <w:tcW w:w="5637" w:type="dxa"/>
          </w:tcPr>
          <w:p w14:paraId="1D45A9B4" w14:textId="0FA83947" w:rsidR="00F13742" w:rsidRPr="00D549EE" w:rsidRDefault="004F00CC" w:rsidP="00C9582F">
            <w:r w:rsidRPr="00D549EE">
              <w:t>Available-for-sale securities</w:t>
            </w:r>
          </w:p>
        </w:tc>
        <w:tc>
          <w:tcPr>
            <w:tcW w:w="1984" w:type="dxa"/>
          </w:tcPr>
          <w:p w14:paraId="148C2786" w14:textId="77777777" w:rsidR="00F13742" w:rsidRPr="00D549EE" w:rsidRDefault="00F13742" w:rsidP="00C9582F">
            <w:r w:rsidRPr="00D549EE">
              <w:t>0</w:t>
            </w:r>
          </w:p>
        </w:tc>
        <w:tc>
          <w:tcPr>
            <w:tcW w:w="1950" w:type="dxa"/>
          </w:tcPr>
          <w:p w14:paraId="5FD4FDF2" w14:textId="77777777" w:rsidR="00F13742" w:rsidRPr="00D549EE" w:rsidRDefault="00F13742" w:rsidP="00C9582F">
            <w:r w:rsidRPr="00D549EE">
              <w:t>0</w:t>
            </w:r>
          </w:p>
        </w:tc>
      </w:tr>
      <w:tr w:rsidR="00F13742" w:rsidRPr="00D549EE" w14:paraId="1EC81391" w14:textId="77777777" w:rsidTr="00C025A2">
        <w:tc>
          <w:tcPr>
            <w:tcW w:w="5637" w:type="dxa"/>
          </w:tcPr>
          <w:p w14:paraId="05FF8F8A" w14:textId="71FD3A58" w:rsidR="00F13742" w:rsidRPr="00D549EE" w:rsidRDefault="00C919D8" w:rsidP="00C9582F">
            <w:r w:rsidRPr="00D549EE">
              <w:rPr>
                <w:lang w:val="en-US"/>
              </w:rPr>
              <w:t xml:space="preserve">Accounts receivable </w:t>
            </w:r>
          </w:p>
        </w:tc>
        <w:tc>
          <w:tcPr>
            <w:tcW w:w="1984" w:type="dxa"/>
          </w:tcPr>
          <w:p w14:paraId="38325895" w14:textId="2DF2F910" w:rsidR="00F13742" w:rsidRPr="00D549EE" w:rsidRDefault="00F13742" w:rsidP="00C9582F">
            <w:r w:rsidRPr="00D549EE">
              <w:t>3</w:t>
            </w:r>
            <w:r w:rsidR="00905AC7" w:rsidRPr="00D549EE">
              <w:rPr>
                <w:lang w:val="en-US"/>
              </w:rPr>
              <w:t> 439 480</w:t>
            </w:r>
          </w:p>
        </w:tc>
        <w:tc>
          <w:tcPr>
            <w:tcW w:w="1950" w:type="dxa"/>
          </w:tcPr>
          <w:p w14:paraId="7E7D0F7C" w14:textId="2D962F84" w:rsidR="00F13742" w:rsidRPr="00D549EE" w:rsidRDefault="00F13742" w:rsidP="00C9582F">
            <w:r w:rsidRPr="00D549EE">
              <w:t>3</w:t>
            </w:r>
            <w:r w:rsidRPr="00D549EE">
              <w:rPr>
                <w:lang w:val="en-US"/>
              </w:rPr>
              <w:t> </w:t>
            </w:r>
            <w:r w:rsidRPr="00D549EE">
              <w:t>088</w:t>
            </w:r>
            <w:r w:rsidRPr="00D549EE">
              <w:rPr>
                <w:lang w:val="en-US"/>
              </w:rPr>
              <w:t xml:space="preserve"> </w:t>
            </w:r>
            <w:r w:rsidRPr="00D549EE">
              <w:t>296</w:t>
            </w:r>
          </w:p>
        </w:tc>
      </w:tr>
      <w:tr w:rsidR="00F13742" w:rsidRPr="00D549EE" w14:paraId="547233D0" w14:textId="77777777" w:rsidTr="00C025A2">
        <w:tc>
          <w:tcPr>
            <w:tcW w:w="5637" w:type="dxa"/>
          </w:tcPr>
          <w:p w14:paraId="7CA35D8A" w14:textId="21C2B99A" w:rsidR="004F00CC" w:rsidRPr="00D549EE" w:rsidRDefault="004F00CC" w:rsidP="00C9582F">
            <w:pPr>
              <w:rPr>
                <w:lang w:val="en-US"/>
              </w:rPr>
            </w:pPr>
            <w:r w:rsidRPr="00D549EE">
              <w:rPr>
                <w:color w:val="000000" w:themeColor="text1"/>
                <w:shd w:val="clear" w:color="auto" w:fill="FFFFFF"/>
                <w:lang w:val="en-US"/>
              </w:rPr>
              <w:t xml:space="preserve">Property, plant and equipment and </w:t>
            </w:r>
            <w:r w:rsidR="00D94421" w:rsidRPr="00D549EE">
              <w:rPr>
                <w:color w:val="000000" w:themeColor="text1"/>
                <w:shd w:val="clear" w:color="auto" w:fill="FFFFFF"/>
                <w:lang w:val="en-US"/>
              </w:rPr>
              <w:t>intangible</w:t>
            </w:r>
            <w:r w:rsidRPr="00D549EE">
              <w:rPr>
                <w:color w:val="000000" w:themeColor="text1"/>
                <w:shd w:val="clear" w:color="auto" w:fill="FFFFFF"/>
                <w:lang w:val="en-US"/>
              </w:rPr>
              <w:t xml:space="preserve"> assets</w:t>
            </w:r>
          </w:p>
        </w:tc>
        <w:tc>
          <w:tcPr>
            <w:tcW w:w="1984" w:type="dxa"/>
          </w:tcPr>
          <w:p w14:paraId="22487C5C" w14:textId="46DEBD56" w:rsidR="00F13742" w:rsidRPr="00D549EE" w:rsidRDefault="00F13742" w:rsidP="00C9582F">
            <w:r w:rsidRPr="00D549EE">
              <w:t>1</w:t>
            </w:r>
            <w:r w:rsidR="00905AC7" w:rsidRPr="00D549EE">
              <w:rPr>
                <w:lang w:val="en-US"/>
              </w:rPr>
              <w:t> 276 669</w:t>
            </w:r>
          </w:p>
        </w:tc>
        <w:tc>
          <w:tcPr>
            <w:tcW w:w="1950" w:type="dxa"/>
          </w:tcPr>
          <w:p w14:paraId="51D78766" w14:textId="37057954" w:rsidR="00F13742" w:rsidRPr="00D549EE" w:rsidRDefault="00F13742" w:rsidP="00C9582F">
            <w:r w:rsidRPr="00D549EE">
              <w:t>1</w:t>
            </w:r>
            <w:r w:rsidRPr="00D549EE">
              <w:rPr>
                <w:lang w:val="en-US"/>
              </w:rPr>
              <w:t> </w:t>
            </w:r>
            <w:r w:rsidRPr="00D549EE">
              <w:t>829</w:t>
            </w:r>
            <w:r w:rsidRPr="00D549EE">
              <w:rPr>
                <w:lang w:val="en-US"/>
              </w:rPr>
              <w:t xml:space="preserve"> </w:t>
            </w:r>
            <w:r w:rsidRPr="00D549EE">
              <w:t>574</w:t>
            </w:r>
          </w:p>
        </w:tc>
      </w:tr>
      <w:tr w:rsidR="00F13742" w:rsidRPr="00D549EE" w14:paraId="34C55FCE" w14:textId="77777777" w:rsidTr="00C025A2">
        <w:tc>
          <w:tcPr>
            <w:tcW w:w="5637" w:type="dxa"/>
          </w:tcPr>
          <w:p w14:paraId="3C3A91A6" w14:textId="081A00DE" w:rsidR="00F13742" w:rsidRPr="00D549EE" w:rsidRDefault="00C919D8" w:rsidP="00C9582F">
            <w:pPr>
              <w:rPr>
                <w:lang w:val="en-US"/>
              </w:rPr>
            </w:pPr>
            <w:r w:rsidRPr="00D549EE">
              <w:rPr>
                <w:lang w:val="en-US"/>
              </w:rPr>
              <w:t>Other assets</w:t>
            </w:r>
          </w:p>
        </w:tc>
        <w:tc>
          <w:tcPr>
            <w:tcW w:w="1984" w:type="dxa"/>
          </w:tcPr>
          <w:p w14:paraId="2DF2540A" w14:textId="1AB0B4BF" w:rsidR="00F13742" w:rsidRPr="00D549EE" w:rsidRDefault="00905AC7" w:rsidP="00C9582F">
            <w:pPr>
              <w:rPr>
                <w:lang w:val="en-US"/>
              </w:rPr>
            </w:pPr>
            <w:r w:rsidRPr="00D549EE">
              <w:rPr>
                <w:lang w:val="en-US"/>
              </w:rPr>
              <w:t>156 876</w:t>
            </w:r>
          </w:p>
        </w:tc>
        <w:tc>
          <w:tcPr>
            <w:tcW w:w="1950" w:type="dxa"/>
          </w:tcPr>
          <w:p w14:paraId="448EC917" w14:textId="2816BAF3" w:rsidR="00F13742" w:rsidRPr="00D549EE" w:rsidRDefault="00F13742" w:rsidP="00C9582F">
            <w:r w:rsidRPr="00D549EE">
              <w:t>68</w:t>
            </w:r>
            <w:r w:rsidRPr="00D549EE">
              <w:rPr>
                <w:lang w:val="en-US"/>
              </w:rPr>
              <w:t xml:space="preserve"> </w:t>
            </w:r>
            <w:r w:rsidRPr="00D549EE">
              <w:t>382</w:t>
            </w:r>
          </w:p>
        </w:tc>
      </w:tr>
      <w:tr w:rsidR="00F13742" w:rsidRPr="00D549EE" w14:paraId="14DAC38D" w14:textId="77777777" w:rsidTr="00C025A2">
        <w:tc>
          <w:tcPr>
            <w:tcW w:w="5637" w:type="dxa"/>
          </w:tcPr>
          <w:p w14:paraId="12F9439F" w14:textId="155AFCAB" w:rsidR="00F13742" w:rsidRPr="00D549EE" w:rsidRDefault="00F13742" w:rsidP="00C9582F">
            <w:pPr>
              <w:rPr>
                <w:lang w:val="en-US"/>
              </w:rPr>
            </w:pPr>
            <w:r w:rsidRPr="00D549EE">
              <w:rPr>
                <w:lang w:val="en-US"/>
              </w:rPr>
              <w:t>Total assets</w:t>
            </w:r>
          </w:p>
        </w:tc>
        <w:tc>
          <w:tcPr>
            <w:tcW w:w="1984" w:type="dxa"/>
          </w:tcPr>
          <w:p w14:paraId="7FA3DFCF" w14:textId="0938A24F" w:rsidR="00F13742" w:rsidRPr="00D549EE" w:rsidRDefault="00905AC7" w:rsidP="00C9582F">
            <w:pPr>
              <w:rPr>
                <w:lang w:val="en-US"/>
              </w:rPr>
            </w:pPr>
            <w:r w:rsidRPr="00D549EE">
              <w:rPr>
                <w:lang w:val="en-US"/>
              </w:rPr>
              <w:t>57 824 910</w:t>
            </w:r>
          </w:p>
        </w:tc>
        <w:tc>
          <w:tcPr>
            <w:tcW w:w="1950" w:type="dxa"/>
          </w:tcPr>
          <w:p w14:paraId="4CCDF91E" w14:textId="3807182B" w:rsidR="00F13742" w:rsidRPr="00D549EE" w:rsidRDefault="00F13742" w:rsidP="00C9582F">
            <w:r w:rsidRPr="00D549EE">
              <w:t>37</w:t>
            </w:r>
            <w:r w:rsidRPr="00D549EE">
              <w:rPr>
                <w:lang w:val="en-US"/>
              </w:rPr>
              <w:t> </w:t>
            </w:r>
            <w:r w:rsidRPr="00D549EE">
              <w:t>058</w:t>
            </w:r>
            <w:r w:rsidRPr="00D549EE">
              <w:rPr>
                <w:lang w:val="en-US"/>
              </w:rPr>
              <w:t xml:space="preserve"> </w:t>
            </w:r>
            <w:r w:rsidRPr="00D549EE">
              <w:t>505</w:t>
            </w:r>
          </w:p>
        </w:tc>
      </w:tr>
      <w:tr w:rsidR="00F13742" w:rsidRPr="00D549EE" w14:paraId="5B1F5E23" w14:textId="77777777" w:rsidTr="00C025A2">
        <w:tc>
          <w:tcPr>
            <w:tcW w:w="9571" w:type="dxa"/>
            <w:gridSpan w:val="3"/>
          </w:tcPr>
          <w:p w14:paraId="278CAEEC" w14:textId="00ABEB19" w:rsidR="00F13742" w:rsidRPr="00D549EE" w:rsidRDefault="00F13742" w:rsidP="00C9582F">
            <w:pPr>
              <w:rPr>
                <w:bCs/>
              </w:rPr>
            </w:pPr>
            <w:r w:rsidRPr="00D549EE">
              <w:rPr>
                <w:bCs/>
                <w:color w:val="000000" w:themeColor="text1"/>
                <w:shd w:val="clear" w:color="auto" w:fill="FFFFFF"/>
              </w:rPr>
              <w:t>Liabilities and equity</w:t>
            </w:r>
          </w:p>
        </w:tc>
      </w:tr>
      <w:tr w:rsidR="00F13742" w:rsidRPr="00D549EE" w14:paraId="18859AD9" w14:textId="77777777" w:rsidTr="00C025A2">
        <w:tc>
          <w:tcPr>
            <w:tcW w:w="5637" w:type="dxa"/>
          </w:tcPr>
          <w:p w14:paraId="5D6B4CB7" w14:textId="6E501AA1" w:rsidR="00F13742" w:rsidRPr="00D549EE" w:rsidRDefault="00F13742" w:rsidP="00C9582F">
            <w:pPr>
              <w:rPr>
                <w:lang w:val="en-US"/>
              </w:rPr>
            </w:pPr>
            <w:r w:rsidRPr="00D549EE">
              <w:rPr>
                <w:color w:val="000000"/>
                <w:shd w:val="clear" w:color="auto" w:fill="FFFFFF"/>
                <w:lang w:val="en-US"/>
              </w:rPr>
              <w:t>Debt to banks and other financial organizations</w:t>
            </w:r>
          </w:p>
        </w:tc>
        <w:tc>
          <w:tcPr>
            <w:tcW w:w="1984" w:type="dxa"/>
          </w:tcPr>
          <w:p w14:paraId="786AE6D0" w14:textId="74DA2AB8" w:rsidR="00F13742" w:rsidRPr="00D549EE" w:rsidRDefault="00905AC7" w:rsidP="00C9582F">
            <w:pPr>
              <w:rPr>
                <w:lang w:val="en-US"/>
              </w:rPr>
            </w:pPr>
            <w:r w:rsidRPr="00D549EE">
              <w:rPr>
                <w:lang w:val="en-US"/>
              </w:rPr>
              <w:t>10 298 645</w:t>
            </w:r>
          </w:p>
        </w:tc>
        <w:tc>
          <w:tcPr>
            <w:tcW w:w="1950" w:type="dxa"/>
          </w:tcPr>
          <w:p w14:paraId="3825ADB4" w14:textId="2313906A" w:rsidR="00F13742" w:rsidRPr="00D549EE" w:rsidRDefault="00F13742" w:rsidP="00C9582F">
            <w:r w:rsidRPr="00D549EE">
              <w:t>124</w:t>
            </w:r>
            <w:r w:rsidR="0094582F" w:rsidRPr="00D549EE">
              <w:rPr>
                <w:lang w:val="en-US"/>
              </w:rPr>
              <w:t xml:space="preserve"> </w:t>
            </w:r>
            <w:r w:rsidRPr="00D549EE">
              <w:t>423</w:t>
            </w:r>
          </w:p>
        </w:tc>
      </w:tr>
      <w:tr w:rsidR="00F13742" w:rsidRPr="00D549EE" w14:paraId="18DE7A43" w14:textId="77777777" w:rsidTr="00C025A2">
        <w:tc>
          <w:tcPr>
            <w:tcW w:w="5637" w:type="dxa"/>
          </w:tcPr>
          <w:p w14:paraId="5892431C" w14:textId="29A231A3" w:rsidR="00F13742" w:rsidRPr="00D549EE" w:rsidRDefault="00F13742" w:rsidP="00C9582F">
            <w:pPr>
              <w:rPr>
                <w:lang w:val="en-US"/>
              </w:rPr>
            </w:pPr>
            <w:r w:rsidRPr="00D549EE">
              <w:rPr>
                <w:color w:val="000000"/>
                <w:shd w:val="clear" w:color="auto" w:fill="FFFFFF"/>
                <w:lang w:val="en-US"/>
              </w:rPr>
              <w:t>Current accounts and client deposits</w:t>
            </w:r>
          </w:p>
        </w:tc>
        <w:tc>
          <w:tcPr>
            <w:tcW w:w="1984" w:type="dxa"/>
          </w:tcPr>
          <w:p w14:paraId="7E255F90" w14:textId="03174AB1" w:rsidR="00F13742" w:rsidRPr="00D549EE" w:rsidRDefault="00905AC7" w:rsidP="00C9582F">
            <w:pPr>
              <w:rPr>
                <w:lang w:val="en-US"/>
              </w:rPr>
            </w:pPr>
            <w:r w:rsidRPr="00D549EE">
              <w:rPr>
                <w:lang w:val="en-US"/>
              </w:rPr>
              <w:t>20 503 531</w:t>
            </w:r>
          </w:p>
        </w:tc>
        <w:tc>
          <w:tcPr>
            <w:tcW w:w="1950" w:type="dxa"/>
          </w:tcPr>
          <w:p w14:paraId="7AD001B5" w14:textId="40C94B53" w:rsidR="00F13742" w:rsidRPr="00D549EE" w:rsidRDefault="00F13742" w:rsidP="00C9582F">
            <w:r w:rsidRPr="00D549EE">
              <w:t>16</w:t>
            </w:r>
            <w:r w:rsidR="0094582F" w:rsidRPr="00D549EE">
              <w:rPr>
                <w:lang w:val="en-US"/>
              </w:rPr>
              <w:t> </w:t>
            </w:r>
            <w:r w:rsidRPr="00D549EE">
              <w:t>245</w:t>
            </w:r>
            <w:r w:rsidR="0094582F" w:rsidRPr="00D549EE">
              <w:rPr>
                <w:lang w:val="en-US"/>
              </w:rPr>
              <w:t xml:space="preserve"> </w:t>
            </w:r>
            <w:r w:rsidRPr="00D549EE">
              <w:t>674</w:t>
            </w:r>
          </w:p>
        </w:tc>
      </w:tr>
      <w:tr w:rsidR="00F13742" w:rsidRPr="00D549EE" w14:paraId="180CECA4" w14:textId="77777777" w:rsidTr="00C025A2">
        <w:tc>
          <w:tcPr>
            <w:tcW w:w="5637" w:type="dxa"/>
          </w:tcPr>
          <w:p w14:paraId="2A051968" w14:textId="00CB7BE8" w:rsidR="00F13742" w:rsidRPr="00D549EE" w:rsidRDefault="004F00CC" w:rsidP="00C9582F">
            <w:r w:rsidRPr="00D549EE">
              <w:rPr>
                <w:lang w:val="en-US"/>
              </w:rPr>
              <w:t>Accounts payable</w:t>
            </w:r>
            <w:r w:rsidR="00F13742" w:rsidRPr="00D549EE">
              <w:t xml:space="preserve"> </w:t>
            </w:r>
          </w:p>
        </w:tc>
        <w:tc>
          <w:tcPr>
            <w:tcW w:w="1984" w:type="dxa"/>
          </w:tcPr>
          <w:p w14:paraId="20AC860C" w14:textId="772FD029" w:rsidR="00F13742" w:rsidRPr="00D549EE" w:rsidRDefault="00905AC7" w:rsidP="00C9582F">
            <w:pPr>
              <w:rPr>
                <w:lang w:val="en-US"/>
              </w:rPr>
            </w:pPr>
            <w:r w:rsidRPr="00D549EE">
              <w:rPr>
                <w:lang w:val="en-US"/>
              </w:rPr>
              <w:t>1 173 309</w:t>
            </w:r>
          </w:p>
        </w:tc>
        <w:tc>
          <w:tcPr>
            <w:tcW w:w="1950" w:type="dxa"/>
          </w:tcPr>
          <w:p w14:paraId="159F36FB" w14:textId="092B61D0" w:rsidR="00F13742" w:rsidRPr="00D549EE" w:rsidRDefault="00F13742" w:rsidP="00C9582F">
            <w:r w:rsidRPr="00D549EE">
              <w:t>866</w:t>
            </w:r>
            <w:r w:rsidR="0094582F" w:rsidRPr="00D549EE">
              <w:rPr>
                <w:lang w:val="en-US"/>
              </w:rPr>
              <w:t xml:space="preserve"> </w:t>
            </w:r>
            <w:r w:rsidRPr="00D549EE">
              <w:t>358</w:t>
            </w:r>
          </w:p>
        </w:tc>
      </w:tr>
      <w:tr w:rsidR="00F13742" w:rsidRPr="00D549EE" w14:paraId="45926EC8" w14:textId="77777777" w:rsidTr="00C025A2">
        <w:tc>
          <w:tcPr>
            <w:tcW w:w="5637" w:type="dxa"/>
          </w:tcPr>
          <w:p w14:paraId="42DEFE8F" w14:textId="7195A8EB" w:rsidR="00F13742" w:rsidRPr="00D549EE" w:rsidRDefault="00C919D8" w:rsidP="00C9582F">
            <w:pPr>
              <w:rPr>
                <w:lang w:val="en-US"/>
              </w:rPr>
            </w:pPr>
            <w:r w:rsidRPr="00D549EE">
              <w:rPr>
                <w:color w:val="000000" w:themeColor="text1"/>
                <w:lang w:val="en-US"/>
              </w:rPr>
              <w:t>Other liabilities</w:t>
            </w:r>
          </w:p>
        </w:tc>
        <w:tc>
          <w:tcPr>
            <w:tcW w:w="1984" w:type="dxa"/>
          </w:tcPr>
          <w:p w14:paraId="7FD88984" w14:textId="3FA46AD4" w:rsidR="00F13742" w:rsidRPr="00D549EE" w:rsidRDefault="00905AC7" w:rsidP="00C9582F">
            <w:pPr>
              <w:rPr>
                <w:lang w:val="en-US"/>
              </w:rPr>
            </w:pPr>
            <w:r w:rsidRPr="00D549EE">
              <w:rPr>
                <w:lang w:val="en-US"/>
              </w:rPr>
              <w:t>8 101 370</w:t>
            </w:r>
          </w:p>
        </w:tc>
        <w:tc>
          <w:tcPr>
            <w:tcW w:w="1950" w:type="dxa"/>
          </w:tcPr>
          <w:p w14:paraId="3120776D" w14:textId="7900DE12" w:rsidR="00F13742" w:rsidRPr="00D549EE" w:rsidRDefault="00F13742" w:rsidP="00C9582F">
            <w:r w:rsidRPr="00D549EE">
              <w:t>2</w:t>
            </w:r>
            <w:r w:rsidR="0094582F" w:rsidRPr="00D549EE">
              <w:rPr>
                <w:lang w:val="en-US"/>
              </w:rPr>
              <w:t> </w:t>
            </w:r>
            <w:r w:rsidRPr="00D549EE">
              <w:t>490</w:t>
            </w:r>
            <w:r w:rsidR="0094582F" w:rsidRPr="00D549EE">
              <w:rPr>
                <w:lang w:val="en-US"/>
              </w:rPr>
              <w:t xml:space="preserve"> </w:t>
            </w:r>
            <w:r w:rsidRPr="00D549EE">
              <w:t>615</w:t>
            </w:r>
          </w:p>
        </w:tc>
      </w:tr>
      <w:tr w:rsidR="00F13742" w:rsidRPr="00D549EE" w14:paraId="5C210F89" w14:textId="77777777" w:rsidTr="00C025A2">
        <w:tc>
          <w:tcPr>
            <w:tcW w:w="5637" w:type="dxa"/>
          </w:tcPr>
          <w:p w14:paraId="1DB0D4DC" w14:textId="6EFD0995" w:rsidR="00F13742" w:rsidRPr="00D549EE" w:rsidRDefault="00F13742" w:rsidP="00C9582F">
            <w:pPr>
              <w:rPr>
                <w:lang w:val="en-US"/>
              </w:rPr>
            </w:pPr>
            <w:r w:rsidRPr="00D549EE">
              <w:rPr>
                <w:lang w:val="en-US"/>
              </w:rPr>
              <w:t>Total l</w:t>
            </w:r>
            <w:r w:rsidRPr="00D549EE">
              <w:rPr>
                <w:color w:val="000000"/>
                <w:shd w:val="clear" w:color="auto" w:fill="FFFFFF"/>
              </w:rPr>
              <w:t>iabilities</w:t>
            </w:r>
          </w:p>
        </w:tc>
        <w:tc>
          <w:tcPr>
            <w:tcW w:w="1984" w:type="dxa"/>
          </w:tcPr>
          <w:p w14:paraId="23E2CC79" w14:textId="46338BD9" w:rsidR="00F13742" w:rsidRPr="00D549EE" w:rsidRDefault="00905AC7" w:rsidP="00C9582F">
            <w:pPr>
              <w:rPr>
                <w:lang w:val="en-US"/>
              </w:rPr>
            </w:pPr>
            <w:r w:rsidRPr="00D549EE">
              <w:rPr>
                <w:lang w:val="en-US"/>
              </w:rPr>
              <w:t>40 076 855</w:t>
            </w:r>
          </w:p>
        </w:tc>
        <w:tc>
          <w:tcPr>
            <w:tcW w:w="1950" w:type="dxa"/>
          </w:tcPr>
          <w:p w14:paraId="4ECAFB8C" w14:textId="0C89DDB2" w:rsidR="00F13742" w:rsidRPr="00D549EE" w:rsidRDefault="00F13742" w:rsidP="00C9582F">
            <w:r w:rsidRPr="00D549EE">
              <w:t>19</w:t>
            </w:r>
            <w:r w:rsidR="0094582F" w:rsidRPr="00D549EE">
              <w:rPr>
                <w:lang w:val="en-US"/>
              </w:rPr>
              <w:t> </w:t>
            </w:r>
            <w:r w:rsidRPr="00D549EE">
              <w:t>727</w:t>
            </w:r>
            <w:r w:rsidR="0094582F" w:rsidRPr="00D549EE">
              <w:rPr>
                <w:lang w:val="en-US"/>
              </w:rPr>
              <w:t xml:space="preserve"> </w:t>
            </w:r>
            <w:r w:rsidRPr="00D549EE">
              <w:t>070</w:t>
            </w:r>
          </w:p>
        </w:tc>
      </w:tr>
      <w:tr w:rsidR="00F13742" w:rsidRPr="00D549EE" w14:paraId="5C7DF624" w14:textId="77777777" w:rsidTr="00C025A2">
        <w:tc>
          <w:tcPr>
            <w:tcW w:w="9571" w:type="dxa"/>
            <w:gridSpan w:val="3"/>
          </w:tcPr>
          <w:p w14:paraId="7B5DE743" w14:textId="6A5AD625" w:rsidR="00F13742" w:rsidRPr="00D549EE" w:rsidRDefault="0094582F" w:rsidP="00C9582F">
            <w:pPr>
              <w:rPr>
                <w:lang w:val="en-US"/>
              </w:rPr>
            </w:pPr>
            <w:r w:rsidRPr="00D549EE">
              <w:rPr>
                <w:lang w:val="en-US"/>
              </w:rPr>
              <w:t>Equity</w:t>
            </w:r>
          </w:p>
        </w:tc>
      </w:tr>
      <w:tr w:rsidR="00F13742" w:rsidRPr="00D549EE" w14:paraId="0827BD56" w14:textId="77777777" w:rsidTr="00C025A2">
        <w:tc>
          <w:tcPr>
            <w:tcW w:w="5637" w:type="dxa"/>
          </w:tcPr>
          <w:p w14:paraId="6758A635" w14:textId="7FAFE308" w:rsidR="00F13742" w:rsidRPr="00D549EE" w:rsidRDefault="00C919D8" w:rsidP="00C9582F">
            <w:pPr>
              <w:pStyle w:val="3"/>
              <w:spacing w:before="0"/>
              <w:outlineLvl w:val="2"/>
              <w:rPr>
                <w:rFonts w:ascii="Times New Roman" w:hAnsi="Times New Roman" w:cs="Times New Roman"/>
                <w:color w:val="111111"/>
              </w:rPr>
            </w:pPr>
            <w:r w:rsidRPr="00D549EE">
              <w:rPr>
                <w:rStyle w:val="mntl-sc-block-subheadingtext"/>
                <w:rFonts w:ascii="Times New Roman" w:hAnsi="Times New Roman" w:cs="Times New Roman"/>
                <w:color w:val="111111"/>
              </w:rPr>
              <w:t>Shareholders' Equity</w:t>
            </w:r>
          </w:p>
        </w:tc>
        <w:tc>
          <w:tcPr>
            <w:tcW w:w="1984" w:type="dxa"/>
          </w:tcPr>
          <w:p w14:paraId="4EED2502" w14:textId="2760FA96" w:rsidR="00F13742" w:rsidRPr="00D549EE" w:rsidRDefault="00F13742" w:rsidP="00C9582F">
            <w:r w:rsidRPr="00D549EE">
              <w:t>10</w:t>
            </w:r>
            <w:r w:rsidR="0094582F" w:rsidRPr="00D549EE">
              <w:rPr>
                <w:lang w:val="en-US"/>
              </w:rPr>
              <w:t> </w:t>
            </w:r>
            <w:r w:rsidRPr="00D549EE">
              <w:t>732</w:t>
            </w:r>
            <w:r w:rsidR="0094582F" w:rsidRPr="00D549EE">
              <w:rPr>
                <w:lang w:val="en-US"/>
              </w:rPr>
              <w:t xml:space="preserve"> </w:t>
            </w:r>
            <w:r w:rsidRPr="00D549EE">
              <w:t>338</w:t>
            </w:r>
          </w:p>
        </w:tc>
        <w:tc>
          <w:tcPr>
            <w:tcW w:w="1950" w:type="dxa"/>
          </w:tcPr>
          <w:p w14:paraId="7AB18AD3" w14:textId="022B14FB" w:rsidR="00F13742" w:rsidRPr="00D549EE" w:rsidRDefault="00F13742" w:rsidP="00C9582F">
            <w:r w:rsidRPr="00D549EE">
              <w:t>10</w:t>
            </w:r>
            <w:r w:rsidR="0094582F" w:rsidRPr="00D549EE">
              <w:rPr>
                <w:lang w:val="en-US"/>
              </w:rPr>
              <w:t> </w:t>
            </w:r>
            <w:r w:rsidRPr="00D549EE">
              <w:t>732</w:t>
            </w:r>
            <w:r w:rsidR="0094582F" w:rsidRPr="00D549EE">
              <w:rPr>
                <w:lang w:val="en-US"/>
              </w:rPr>
              <w:t xml:space="preserve"> </w:t>
            </w:r>
            <w:r w:rsidRPr="00D549EE">
              <w:t>338</w:t>
            </w:r>
          </w:p>
        </w:tc>
      </w:tr>
      <w:tr w:rsidR="00F13742" w:rsidRPr="00D549EE" w14:paraId="20BF13E5" w14:textId="77777777" w:rsidTr="00C025A2">
        <w:tc>
          <w:tcPr>
            <w:tcW w:w="5637" w:type="dxa"/>
          </w:tcPr>
          <w:p w14:paraId="7797494E" w14:textId="070DA4DD" w:rsidR="00F13742" w:rsidRPr="00D549EE" w:rsidRDefault="004F00CC" w:rsidP="00C9582F">
            <w:pPr>
              <w:rPr>
                <w:lang w:val="en-US"/>
              </w:rPr>
            </w:pPr>
            <w:r w:rsidRPr="00D549EE">
              <w:rPr>
                <w:lang w:val="en-US"/>
              </w:rPr>
              <w:t>Reserve capital</w:t>
            </w:r>
          </w:p>
        </w:tc>
        <w:tc>
          <w:tcPr>
            <w:tcW w:w="1984" w:type="dxa"/>
          </w:tcPr>
          <w:p w14:paraId="01E436F7" w14:textId="00153EE7" w:rsidR="00F13742" w:rsidRPr="00D549EE" w:rsidRDefault="00F13742" w:rsidP="00C9582F">
            <w:pPr>
              <w:rPr>
                <w:lang w:val="en-US"/>
              </w:rPr>
            </w:pPr>
            <w:r w:rsidRPr="00D549EE">
              <w:t>6</w:t>
            </w:r>
            <w:r w:rsidR="00905AC7" w:rsidRPr="00D549EE">
              <w:rPr>
                <w:lang w:val="en-US"/>
              </w:rPr>
              <w:t> 583 821</w:t>
            </w:r>
          </w:p>
        </w:tc>
        <w:tc>
          <w:tcPr>
            <w:tcW w:w="1950" w:type="dxa"/>
          </w:tcPr>
          <w:p w14:paraId="2B1D5E80" w14:textId="0860940D" w:rsidR="00F13742" w:rsidRPr="00D549EE" w:rsidRDefault="00F13742" w:rsidP="00C9582F">
            <w:r w:rsidRPr="00D549EE">
              <w:t>5</w:t>
            </w:r>
            <w:r w:rsidR="0094582F" w:rsidRPr="00D549EE">
              <w:rPr>
                <w:lang w:val="en-US"/>
              </w:rPr>
              <w:t> </w:t>
            </w:r>
            <w:r w:rsidRPr="00D549EE">
              <w:t>197</w:t>
            </w:r>
            <w:r w:rsidR="0094582F" w:rsidRPr="00D549EE">
              <w:rPr>
                <w:lang w:val="en-US"/>
              </w:rPr>
              <w:t xml:space="preserve"> </w:t>
            </w:r>
            <w:r w:rsidRPr="00D549EE">
              <w:t>160</w:t>
            </w:r>
          </w:p>
        </w:tc>
      </w:tr>
      <w:tr w:rsidR="00F13742" w:rsidRPr="00D549EE" w14:paraId="372959DF" w14:textId="77777777" w:rsidTr="00C025A2">
        <w:tc>
          <w:tcPr>
            <w:tcW w:w="5637" w:type="dxa"/>
          </w:tcPr>
          <w:p w14:paraId="5D6AF5EE" w14:textId="0D8BB5C5" w:rsidR="00F13742" w:rsidRPr="00D549EE" w:rsidRDefault="0094582F" w:rsidP="00C9582F">
            <w:pPr>
              <w:rPr>
                <w:lang w:val="en-US"/>
              </w:rPr>
            </w:pPr>
            <w:r w:rsidRPr="00D549EE">
              <w:rPr>
                <w:color w:val="000000"/>
                <w:shd w:val="clear" w:color="auto" w:fill="FFFFFF"/>
                <w:lang w:val="en-US"/>
              </w:rPr>
              <w:t>Provision for revaluation of available-for-sale investment securities</w:t>
            </w:r>
          </w:p>
        </w:tc>
        <w:tc>
          <w:tcPr>
            <w:tcW w:w="1984" w:type="dxa"/>
          </w:tcPr>
          <w:p w14:paraId="6B699F13" w14:textId="77777777" w:rsidR="00F13742" w:rsidRPr="00D549EE" w:rsidRDefault="00F13742" w:rsidP="00C9582F">
            <w:r w:rsidRPr="00D549EE">
              <w:t>0</w:t>
            </w:r>
          </w:p>
        </w:tc>
        <w:tc>
          <w:tcPr>
            <w:tcW w:w="1950" w:type="dxa"/>
          </w:tcPr>
          <w:p w14:paraId="4E088028" w14:textId="77777777" w:rsidR="00F13742" w:rsidRPr="00D549EE" w:rsidRDefault="00F13742" w:rsidP="00C9582F">
            <w:r w:rsidRPr="00D549EE">
              <w:t>0</w:t>
            </w:r>
          </w:p>
        </w:tc>
      </w:tr>
      <w:tr w:rsidR="00F13742" w:rsidRPr="00D549EE" w14:paraId="739480A2" w14:textId="77777777" w:rsidTr="00C025A2">
        <w:tc>
          <w:tcPr>
            <w:tcW w:w="5637" w:type="dxa"/>
          </w:tcPr>
          <w:p w14:paraId="48698399" w14:textId="78CF0995" w:rsidR="00F13742" w:rsidRPr="00D549EE" w:rsidRDefault="0094582F" w:rsidP="00C9582F">
            <w:r w:rsidRPr="00D549EE">
              <w:rPr>
                <w:lang w:val="en-US"/>
              </w:rPr>
              <w:t>R</w:t>
            </w:r>
            <w:r w:rsidRPr="00D549EE">
              <w:t xml:space="preserve">etained earnings </w:t>
            </w:r>
          </w:p>
        </w:tc>
        <w:tc>
          <w:tcPr>
            <w:tcW w:w="1984" w:type="dxa"/>
          </w:tcPr>
          <w:p w14:paraId="12EA5848" w14:textId="3DC9A7B5" w:rsidR="00F13742" w:rsidRPr="00D549EE" w:rsidRDefault="00905AC7" w:rsidP="00C9582F">
            <w:pPr>
              <w:rPr>
                <w:i/>
                <w:iCs/>
                <w:lang w:val="en-US"/>
              </w:rPr>
            </w:pPr>
            <w:r w:rsidRPr="00D549EE">
              <w:rPr>
                <w:i/>
                <w:iCs/>
                <w:lang w:val="en-US"/>
              </w:rPr>
              <w:t>431 896</w:t>
            </w:r>
          </w:p>
        </w:tc>
        <w:tc>
          <w:tcPr>
            <w:tcW w:w="1950" w:type="dxa"/>
          </w:tcPr>
          <w:p w14:paraId="43497183" w14:textId="26E2B9AB" w:rsidR="00F13742" w:rsidRPr="00D549EE" w:rsidRDefault="00F13742" w:rsidP="00C9582F">
            <w:pPr>
              <w:rPr>
                <w:i/>
                <w:iCs/>
              </w:rPr>
            </w:pPr>
            <w:r w:rsidRPr="00D549EE">
              <w:rPr>
                <w:i/>
                <w:iCs/>
              </w:rPr>
              <w:t>1</w:t>
            </w:r>
            <w:r w:rsidR="0094582F" w:rsidRPr="00D549EE">
              <w:rPr>
                <w:i/>
                <w:iCs/>
                <w:lang w:val="en-US"/>
              </w:rPr>
              <w:t> </w:t>
            </w:r>
            <w:r w:rsidRPr="00D549EE">
              <w:rPr>
                <w:i/>
                <w:iCs/>
              </w:rPr>
              <w:t>401</w:t>
            </w:r>
            <w:r w:rsidR="0094582F" w:rsidRPr="00D549EE">
              <w:rPr>
                <w:i/>
                <w:iCs/>
                <w:lang w:val="en-US"/>
              </w:rPr>
              <w:t xml:space="preserve"> </w:t>
            </w:r>
            <w:r w:rsidRPr="00D549EE">
              <w:rPr>
                <w:i/>
                <w:iCs/>
              </w:rPr>
              <w:t>937</w:t>
            </w:r>
          </w:p>
        </w:tc>
      </w:tr>
      <w:tr w:rsidR="00F13742" w:rsidRPr="00D549EE" w14:paraId="7F7147E8" w14:textId="77777777" w:rsidTr="00C025A2">
        <w:tc>
          <w:tcPr>
            <w:tcW w:w="5637" w:type="dxa"/>
          </w:tcPr>
          <w:p w14:paraId="2317C316" w14:textId="2173A5CF" w:rsidR="00F13742" w:rsidRPr="00D549EE" w:rsidRDefault="0094582F" w:rsidP="00C9582F">
            <w:pPr>
              <w:rPr>
                <w:lang w:val="en-US"/>
              </w:rPr>
            </w:pPr>
            <w:r w:rsidRPr="00D549EE">
              <w:rPr>
                <w:lang w:val="en-US"/>
              </w:rPr>
              <w:t>Total equiety</w:t>
            </w:r>
          </w:p>
        </w:tc>
        <w:tc>
          <w:tcPr>
            <w:tcW w:w="1984" w:type="dxa"/>
          </w:tcPr>
          <w:p w14:paraId="61A3DCC3" w14:textId="1CC91B10" w:rsidR="00F13742" w:rsidRPr="00D549EE" w:rsidRDefault="00F13742" w:rsidP="00C9582F">
            <w:pPr>
              <w:rPr>
                <w:lang w:val="en-US"/>
              </w:rPr>
            </w:pPr>
            <w:r w:rsidRPr="00D549EE">
              <w:t>17</w:t>
            </w:r>
            <w:r w:rsidR="00905AC7" w:rsidRPr="00D549EE">
              <w:rPr>
                <w:lang w:val="en-US"/>
              </w:rPr>
              <w:t> 748 055</w:t>
            </w:r>
          </w:p>
        </w:tc>
        <w:tc>
          <w:tcPr>
            <w:tcW w:w="1950" w:type="dxa"/>
          </w:tcPr>
          <w:p w14:paraId="66590066" w14:textId="71E3AAB5" w:rsidR="00F13742" w:rsidRPr="00D549EE" w:rsidRDefault="00F13742" w:rsidP="00C9582F">
            <w:r w:rsidRPr="00D549EE">
              <w:t>17</w:t>
            </w:r>
            <w:r w:rsidR="0094582F" w:rsidRPr="00D549EE">
              <w:rPr>
                <w:lang w:val="en-US"/>
              </w:rPr>
              <w:t> </w:t>
            </w:r>
            <w:r w:rsidRPr="00D549EE">
              <w:t>331</w:t>
            </w:r>
            <w:r w:rsidR="0094582F" w:rsidRPr="00D549EE">
              <w:rPr>
                <w:lang w:val="en-US"/>
              </w:rPr>
              <w:t xml:space="preserve"> </w:t>
            </w:r>
            <w:r w:rsidRPr="00D549EE">
              <w:t>435</w:t>
            </w:r>
          </w:p>
        </w:tc>
      </w:tr>
      <w:tr w:rsidR="00F13742" w:rsidRPr="00D549EE" w14:paraId="423B86F0" w14:textId="77777777" w:rsidTr="00C025A2">
        <w:tc>
          <w:tcPr>
            <w:tcW w:w="5637" w:type="dxa"/>
          </w:tcPr>
          <w:p w14:paraId="37E07CFA" w14:textId="431E0B26" w:rsidR="00F13742" w:rsidRPr="00D549EE" w:rsidRDefault="0094582F" w:rsidP="00C9582F">
            <w:pPr>
              <w:rPr>
                <w:lang w:val="en-US"/>
              </w:rPr>
            </w:pPr>
            <w:r w:rsidRPr="00D549EE">
              <w:rPr>
                <w:lang w:val="en-US"/>
              </w:rPr>
              <w:t>Total liabilities and equity</w:t>
            </w:r>
            <w:r w:rsidR="00F13742" w:rsidRPr="00D549EE">
              <w:rPr>
                <w:lang w:val="en-US"/>
              </w:rPr>
              <w:t xml:space="preserve"> </w:t>
            </w:r>
          </w:p>
        </w:tc>
        <w:tc>
          <w:tcPr>
            <w:tcW w:w="1984" w:type="dxa"/>
          </w:tcPr>
          <w:p w14:paraId="3A2759AA" w14:textId="163806AB" w:rsidR="00F13742" w:rsidRPr="00D549EE" w:rsidRDefault="00905AC7" w:rsidP="00C9582F">
            <w:pPr>
              <w:rPr>
                <w:lang w:val="en-US"/>
              </w:rPr>
            </w:pPr>
            <w:r w:rsidRPr="00D549EE">
              <w:rPr>
                <w:lang w:val="en-US"/>
              </w:rPr>
              <w:t>57 824 910</w:t>
            </w:r>
          </w:p>
        </w:tc>
        <w:tc>
          <w:tcPr>
            <w:tcW w:w="1950" w:type="dxa"/>
          </w:tcPr>
          <w:p w14:paraId="12A7963E" w14:textId="095F66CB" w:rsidR="00F13742" w:rsidRPr="00D549EE" w:rsidRDefault="00F13742" w:rsidP="00C9582F">
            <w:r w:rsidRPr="00D549EE">
              <w:t>37</w:t>
            </w:r>
            <w:r w:rsidR="0094582F" w:rsidRPr="00D549EE">
              <w:rPr>
                <w:lang w:val="en-US"/>
              </w:rPr>
              <w:t xml:space="preserve"> </w:t>
            </w:r>
            <w:r w:rsidRPr="00D549EE">
              <w:t>058</w:t>
            </w:r>
            <w:r w:rsidR="0094582F" w:rsidRPr="00D549EE">
              <w:rPr>
                <w:lang w:val="en-US"/>
              </w:rPr>
              <w:t xml:space="preserve"> </w:t>
            </w:r>
            <w:r w:rsidRPr="00D549EE">
              <w:t>505</w:t>
            </w:r>
          </w:p>
        </w:tc>
      </w:tr>
      <w:tr w:rsidR="00905AC7" w:rsidRPr="00FC685D" w14:paraId="7EA0174B" w14:textId="77777777" w:rsidTr="00C025A2">
        <w:tc>
          <w:tcPr>
            <w:tcW w:w="9571" w:type="dxa"/>
            <w:gridSpan w:val="3"/>
          </w:tcPr>
          <w:p w14:paraId="31C21B5A" w14:textId="1AA3D41D" w:rsidR="00905AC7" w:rsidRPr="00D549EE" w:rsidRDefault="00EA7525" w:rsidP="00C9582F">
            <w:pPr>
              <w:rPr>
                <w:bCs/>
                <w:lang w:val="en-US"/>
              </w:rPr>
            </w:pPr>
            <w:r w:rsidRPr="00D549EE">
              <w:rPr>
                <w:bCs/>
                <w:lang w:val="en-US"/>
              </w:rPr>
              <w:t xml:space="preserve">      </w:t>
            </w:r>
            <w:r w:rsidR="00ED1FCF" w:rsidRPr="00D549EE">
              <w:rPr>
                <w:bCs/>
                <w:lang w:val="en-US"/>
              </w:rPr>
              <w:t xml:space="preserve">Note </w:t>
            </w:r>
            <w:r w:rsidR="00ED1FCF" w:rsidRPr="00D549EE">
              <w:rPr>
                <w:sz w:val="28"/>
                <w:szCs w:val="28"/>
                <w:lang w:val="en-US"/>
              </w:rPr>
              <w:t xml:space="preserve">– </w:t>
            </w:r>
            <w:r w:rsidR="00905AC7" w:rsidRPr="00D549EE">
              <w:rPr>
                <w:bCs/>
                <w:lang w:val="en-US"/>
              </w:rPr>
              <w:t>Source Financial statement 2020 Islamic Bank Al-Hilal</w:t>
            </w:r>
          </w:p>
        </w:tc>
      </w:tr>
    </w:tbl>
    <w:p w14:paraId="25BB3EF0" w14:textId="6F6C2A34" w:rsidR="003C2DEA" w:rsidRPr="00D549EE" w:rsidRDefault="00215999" w:rsidP="00C9582F">
      <w:pPr>
        <w:ind w:firstLine="708"/>
        <w:jc w:val="both"/>
        <w:rPr>
          <w:sz w:val="28"/>
          <w:szCs w:val="28"/>
          <w:lang w:val="en-US"/>
        </w:rPr>
      </w:pPr>
      <w:r w:rsidRPr="00D549EE">
        <w:rPr>
          <w:sz w:val="28"/>
          <w:szCs w:val="28"/>
          <w:lang w:val="en-US"/>
        </w:rPr>
        <w:t xml:space="preserve"> </w:t>
      </w:r>
    </w:p>
    <w:p w14:paraId="480BA35E" w14:textId="6A00B974" w:rsidR="00A92D73" w:rsidRDefault="00A92D73" w:rsidP="00C9582F">
      <w:pPr>
        <w:snapToGrid w:val="0"/>
        <w:contextualSpacing/>
        <w:jc w:val="both"/>
        <w:rPr>
          <w:bCs/>
          <w:color w:val="000000" w:themeColor="text1"/>
          <w:sz w:val="28"/>
          <w:szCs w:val="28"/>
          <w:lang w:val="en-US"/>
        </w:rPr>
      </w:pPr>
      <w:r w:rsidRPr="00D549EE">
        <w:rPr>
          <w:bCs/>
          <w:color w:val="000000" w:themeColor="text1"/>
          <w:sz w:val="28"/>
          <w:szCs w:val="28"/>
          <w:lang w:val="en-US"/>
        </w:rPr>
        <w:tab/>
      </w:r>
      <w:r w:rsidR="00C025A2" w:rsidRPr="00D549EE">
        <w:rPr>
          <w:bCs/>
          <w:color w:val="000000" w:themeColor="text1"/>
          <w:sz w:val="28"/>
          <w:szCs w:val="28"/>
          <w:lang w:val="en-US"/>
        </w:rPr>
        <w:t>The assets of the Bank ha</w:t>
      </w:r>
      <w:r w:rsidR="003C7ED8" w:rsidRPr="00D549EE">
        <w:rPr>
          <w:bCs/>
          <w:color w:val="000000" w:themeColor="text1"/>
          <w:sz w:val="28"/>
          <w:szCs w:val="28"/>
          <w:lang w:val="en-US"/>
        </w:rPr>
        <w:t xml:space="preserve">ve </w:t>
      </w:r>
      <w:r w:rsidR="00C025A2" w:rsidRPr="00D549EE">
        <w:rPr>
          <w:bCs/>
          <w:color w:val="000000" w:themeColor="text1"/>
          <w:sz w:val="28"/>
          <w:szCs w:val="28"/>
          <w:lang w:val="en-US"/>
        </w:rPr>
        <w:t xml:space="preserve">increased from the establishing year for </w:t>
      </w:r>
      <w:r w:rsidRPr="00D549EE">
        <w:rPr>
          <w:bCs/>
          <w:color w:val="000000" w:themeColor="text1"/>
          <w:sz w:val="28"/>
          <w:szCs w:val="28"/>
          <w:lang w:val="en-US"/>
        </w:rPr>
        <w:t xml:space="preserve">about 9 times in tenge term for ten years. </w:t>
      </w:r>
    </w:p>
    <w:p w14:paraId="3D694F98" w14:textId="0C1F600D" w:rsidR="00B71E0A" w:rsidRPr="00602727" w:rsidRDefault="00B71E0A" w:rsidP="00B71E0A">
      <w:pPr>
        <w:snapToGrid w:val="0"/>
        <w:contextualSpacing/>
        <w:jc w:val="both"/>
        <w:rPr>
          <w:color w:val="000000" w:themeColor="text1"/>
          <w:sz w:val="28"/>
          <w:szCs w:val="28"/>
          <w:lang w:val="en-US"/>
        </w:rPr>
      </w:pPr>
      <w:r>
        <w:rPr>
          <w:color w:val="000000" w:themeColor="text1"/>
          <w:sz w:val="28"/>
          <w:szCs w:val="28"/>
          <w:lang w:val="en-US"/>
        </w:rPr>
        <w:tab/>
      </w:r>
      <w:r w:rsidRPr="00602727">
        <w:rPr>
          <w:color w:val="000000" w:themeColor="text1"/>
          <w:sz w:val="28"/>
          <w:szCs w:val="28"/>
          <w:lang w:val="en-US"/>
        </w:rPr>
        <w:t>The current liquidity ratio, which characterizes the overall availability of the bank's working capital for financial activity and timely repayment of the bank's current liabilities, increased in the period under review from 1.00 to 1.53, or by 53%. The standard value for this indicator is usually considered to be in the range of 1 to 2. The positive trend in this indicator over the analyzed period increased the probability of repayment of current liabilities at the expense of cash, receivables, and other current assets. The term liquidity ratio, or as it is also called the quick liquidity ratio, which reflects the share of current liabilities covered by cash, receivables, and the sale of short-term securities, increased in the analyzed period from 0.22 to 0.23 or by 4%. The absolute liquidity ratio, which reflects the share of current liabilities covered exclusively by cash, increased in the analyzed period from 0.05 to 0.08, or by 70%. Return on equity (ROE) and return on assets (ROA) for 2020 are 2.43% and 0.70%, respectively.</w:t>
      </w:r>
    </w:p>
    <w:p w14:paraId="401F20B3" w14:textId="77777777" w:rsidR="00AE17C3" w:rsidRPr="00D549EE" w:rsidRDefault="00AE17C3" w:rsidP="00C9582F">
      <w:pPr>
        <w:snapToGrid w:val="0"/>
        <w:contextualSpacing/>
        <w:jc w:val="both"/>
        <w:rPr>
          <w:sz w:val="28"/>
          <w:szCs w:val="28"/>
          <w:lang w:val="en-US"/>
        </w:rPr>
      </w:pPr>
    </w:p>
    <w:p w14:paraId="06583FEE" w14:textId="5891DBB3" w:rsidR="00A92D73" w:rsidRPr="00D549EE" w:rsidRDefault="00567B5B" w:rsidP="00C9582F">
      <w:pPr>
        <w:snapToGrid w:val="0"/>
        <w:contextualSpacing/>
        <w:jc w:val="both"/>
        <w:rPr>
          <w:sz w:val="28"/>
          <w:szCs w:val="28"/>
          <w:lang w:val="en-US"/>
        </w:rPr>
      </w:pPr>
      <w:r w:rsidRPr="00D549EE">
        <w:rPr>
          <w:sz w:val="28"/>
          <w:szCs w:val="28"/>
          <w:lang w:val="en-US"/>
        </w:rPr>
        <w:t xml:space="preserve">Table </w:t>
      </w:r>
      <w:r w:rsidR="00B119D2" w:rsidRPr="00D549EE">
        <w:rPr>
          <w:sz w:val="28"/>
          <w:szCs w:val="28"/>
          <w:lang w:val="en-US"/>
        </w:rPr>
        <w:t>3</w:t>
      </w:r>
      <w:r w:rsidR="00066364" w:rsidRPr="00D549EE">
        <w:rPr>
          <w:sz w:val="28"/>
          <w:szCs w:val="28"/>
          <w:lang w:val="en-US"/>
        </w:rPr>
        <w:t>6</w:t>
      </w:r>
      <w:r w:rsidRPr="00D549EE">
        <w:rPr>
          <w:sz w:val="28"/>
          <w:szCs w:val="28"/>
          <w:lang w:val="en-US"/>
        </w:rPr>
        <w:t xml:space="preserve"> – Financial indicators of Al-Hilal JSC for </w:t>
      </w:r>
      <w:r w:rsidR="00502BD1" w:rsidRPr="00D549EE">
        <w:rPr>
          <w:sz w:val="28"/>
          <w:szCs w:val="28"/>
          <w:lang w:val="en-US"/>
        </w:rPr>
        <w:t>2019-</w:t>
      </w:r>
      <w:r w:rsidRPr="00D549EE">
        <w:rPr>
          <w:sz w:val="28"/>
          <w:szCs w:val="28"/>
          <w:lang w:val="en-US"/>
        </w:rPr>
        <w:t>2020</w:t>
      </w:r>
    </w:p>
    <w:p w14:paraId="4C1CCD68" w14:textId="0800E7F3" w:rsidR="00502BD1" w:rsidRPr="00D549EE" w:rsidRDefault="00502BD1" w:rsidP="00C9582F">
      <w:pPr>
        <w:snapToGrid w:val="0"/>
        <w:contextualSpacing/>
        <w:jc w:val="both"/>
        <w:rPr>
          <w:b/>
          <w:color w:val="000000" w:themeColor="text1"/>
          <w:sz w:val="28"/>
          <w:szCs w:val="28"/>
          <w:lang w:val="en-US"/>
        </w:rPr>
      </w:pPr>
    </w:p>
    <w:tbl>
      <w:tblPr>
        <w:tblW w:w="0" w:type="auto"/>
        <w:tblInd w:w="-12" w:type="dxa"/>
        <w:tblLook w:val="04A0" w:firstRow="1" w:lastRow="0" w:firstColumn="1" w:lastColumn="0" w:noHBand="0" w:noVBand="1"/>
      </w:tblPr>
      <w:tblGrid>
        <w:gridCol w:w="4543"/>
        <w:gridCol w:w="1560"/>
        <w:gridCol w:w="1275"/>
        <w:gridCol w:w="1400"/>
        <w:gridCol w:w="816"/>
      </w:tblGrid>
      <w:tr w:rsidR="00502BD1" w:rsidRPr="00D549EE" w14:paraId="4A20143E" w14:textId="77777777" w:rsidTr="00B31652">
        <w:trPr>
          <w:trHeight w:val="255"/>
        </w:trPr>
        <w:tc>
          <w:tcPr>
            <w:tcW w:w="45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1D48FE" w14:textId="739E413C" w:rsidR="00502BD1" w:rsidRPr="00D549EE" w:rsidRDefault="00502BD1" w:rsidP="00C9582F">
            <w:pPr>
              <w:jc w:val="center"/>
              <w:rPr>
                <w:lang w:val="en-US"/>
              </w:rPr>
            </w:pPr>
            <w:r w:rsidRPr="00D549EE">
              <w:rPr>
                <w:lang w:val="en-US"/>
              </w:rPr>
              <w:t>Indicators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86334F" w14:textId="5C5626A1" w:rsidR="00502BD1" w:rsidRPr="00D549EE" w:rsidRDefault="00502BD1" w:rsidP="00C9582F">
            <w:pPr>
              <w:jc w:val="center"/>
            </w:pPr>
            <w:r w:rsidRPr="00D549EE">
              <w:t xml:space="preserve"> </w:t>
            </w:r>
            <w:r w:rsidRPr="00D549EE">
              <w:rPr>
                <w:lang w:val="en-US"/>
              </w:rPr>
              <w:t>20</w:t>
            </w:r>
            <w:r w:rsidR="00A97483" w:rsidRPr="00D549EE">
              <w:rPr>
                <w:lang w:val="en-US"/>
              </w:rPr>
              <w:t>19</w:t>
            </w:r>
            <w:r w:rsidRPr="00D549EE">
              <w:t xml:space="preserve">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6B1B12" w14:textId="68598998" w:rsidR="00502BD1" w:rsidRPr="00D549EE" w:rsidRDefault="00502BD1" w:rsidP="00C9582F">
            <w:pPr>
              <w:jc w:val="center"/>
            </w:pPr>
            <w:r w:rsidRPr="00D549EE">
              <w:t xml:space="preserve"> </w:t>
            </w:r>
            <w:r w:rsidRPr="00D549EE">
              <w:rPr>
                <w:lang w:val="en-US"/>
              </w:rPr>
              <w:t>20</w:t>
            </w:r>
            <w:r w:rsidR="00A97483" w:rsidRPr="00D549EE">
              <w:rPr>
                <w:lang w:val="en-US"/>
              </w:rPr>
              <w:t>20</w:t>
            </w:r>
            <w:r w:rsidRPr="00D549EE">
              <w:t xml:space="preserve"> </w:t>
            </w:r>
          </w:p>
        </w:tc>
        <w:tc>
          <w:tcPr>
            <w:tcW w:w="2216" w:type="dxa"/>
            <w:gridSpan w:val="2"/>
            <w:tcBorders>
              <w:top w:val="single" w:sz="4" w:space="0" w:color="auto"/>
              <w:left w:val="nil"/>
              <w:bottom w:val="single" w:sz="4" w:space="0" w:color="auto"/>
              <w:right w:val="single" w:sz="4" w:space="0" w:color="000000"/>
            </w:tcBorders>
            <w:shd w:val="clear" w:color="auto" w:fill="auto"/>
            <w:noWrap/>
            <w:vAlign w:val="bottom"/>
          </w:tcPr>
          <w:p w14:paraId="1C74DBC7" w14:textId="2901DFD1" w:rsidR="00502BD1" w:rsidRPr="00D549EE" w:rsidRDefault="008C1BC5" w:rsidP="00C9582F">
            <w:pPr>
              <w:jc w:val="center"/>
              <w:rPr>
                <w:lang w:val="en-US"/>
              </w:rPr>
            </w:pPr>
            <w:r w:rsidRPr="00D549EE">
              <w:rPr>
                <w:lang w:val="en-US"/>
              </w:rPr>
              <w:t>Changes</w:t>
            </w:r>
          </w:p>
        </w:tc>
      </w:tr>
      <w:tr w:rsidR="00502BD1" w:rsidRPr="00D549EE" w14:paraId="370CF21B" w14:textId="77777777" w:rsidTr="00B31652">
        <w:trPr>
          <w:trHeight w:val="255"/>
        </w:trPr>
        <w:tc>
          <w:tcPr>
            <w:tcW w:w="45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B57C25" w14:textId="77777777" w:rsidR="00502BD1" w:rsidRPr="00D549EE" w:rsidRDefault="00502BD1" w:rsidP="00C9582F"/>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686752" w14:textId="77777777" w:rsidR="00502BD1" w:rsidRPr="00D549EE" w:rsidRDefault="00502BD1" w:rsidP="00C9582F"/>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505A08" w14:textId="77777777" w:rsidR="00502BD1" w:rsidRPr="00D549EE" w:rsidRDefault="00502BD1" w:rsidP="00C9582F"/>
        </w:tc>
        <w:tc>
          <w:tcPr>
            <w:tcW w:w="1400" w:type="dxa"/>
            <w:tcBorders>
              <w:top w:val="nil"/>
              <w:left w:val="nil"/>
              <w:bottom w:val="single" w:sz="4" w:space="0" w:color="auto"/>
              <w:right w:val="single" w:sz="4" w:space="0" w:color="auto"/>
            </w:tcBorders>
            <w:shd w:val="clear" w:color="auto" w:fill="auto"/>
            <w:noWrap/>
            <w:vAlign w:val="bottom"/>
          </w:tcPr>
          <w:p w14:paraId="346A070A" w14:textId="6DA19A29" w:rsidR="00502BD1" w:rsidRPr="00D549EE" w:rsidRDefault="002F1DD5" w:rsidP="00C9582F">
            <w:pPr>
              <w:rPr>
                <w:lang w:val="en-US"/>
              </w:rPr>
            </w:pPr>
            <w:r w:rsidRPr="00D549EE">
              <w:rPr>
                <w:lang w:val="en-US"/>
              </w:rPr>
              <w:t>G</w:t>
            </w:r>
            <w:r w:rsidR="00502BD1" w:rsidRPr="00D549EE">
              <w:rPr>
                <w:lang w:val="en-US"/>
              </w:rPr>
              <w:t>rowth</w:t>
            </w:r>
          </w:p>
        </w:tc>
        <w:tc>
          <w:tcPr>
            <w:tcW w:w="816" w:type="dxa"/>
            <w:tcBorders>
              <w:top w:val="nil"/>
              <w:left w:val="nil"/>
              <w:bottom w:val="single" w:sz="4" w:space="0" w:color="auto"/>
              <w:right w:val="single" w:sz="4" w:space="0" w:color="auto"/>
            </w:tcBorders>
            <w:shd w:val="clear" w:color="auto" w:fill="auto"/>
            <w:noWrap/>
            <w:vAlign w:val="bottom"/>
          </w:tcPr>
          <w:p w14:paraId="629CDE67" w14:textId="384DDECA" w:rsidR="00502BD1" w:rsidRPr="00D549EE" w:rsidRDefault="00502BD1" w:rsidP="00C9582F">
            <w:r w:rsidRPr="00D549EE">
              <w:rPr>
                <w:lang w:val="en-US"/>
              </w:rPr>
              <w:t>i</w:t>
            </w:r>
            <w:r w:rsidRPr="00D549EE">
              <w:t>n  %</w:t>
            </w:r>
          </w:p>
        </w:tc>
      </w:tr>
      <w:tr w:rsidR="00C10043" w:rsidRPr="00D549EE" w14:paraId="14EF05A1" w14:textId="77777777" w:rsidTr="00C10043">
        <w:trPr>
          <w:trHeight w:val="255"/>
        </w:trPr>
        <w:tc>
          <w:tcPr>
            <w:tcW w:w="9594" w:type="dxa"/>
            <w:gridSpan w:val="5"/>
            <w:tcBorders>
              <w:top w:val="nil"/>
              <w:left w:val="single" w:sz="4" w:space="0" w:color="auto"/>
              <w:bottom w:val="single" w:sz="4" w:space="0" w:color="auto"/>
              <w:right w:val="single" w:sz="4" w:space="0" w:color="auto"/>
            </w:tcBorders>
            <w:shd w:val="clear" w:color="auto" w:fill="auto"/>
            <w:noWrap/>
            <w:vAlign w:val="bottom"/>
          </w:tcPr>
          <w:p w14:paraId="7BFF871B" w14:textId="6012F0A4" w:rsidR="00C10043" w:rsidRPr="00D549EE" w:rsidRDefault="00C10043" w:rsidP="00C9582F">
            <w:pPr>
              <w:jc w:val="center"/>
              <w:rPr>
                <w:lang w:val="en-US"/>
              </w:rPr>
            </w:pPr>
            <w:r w:rsidRPr="00D549EE">
              <w:rPr>
                <w:lang w:val="en-US"/>
              </w:rPr>
              <w:t>Liquidity indicators</w:t>
            </w:r>
          </w:p>
        </w:tc>
      </w:tr>
      <w:tr w:rsidR="00502BD1" w:rsidRPr="00D549EE" w14:paraId="69BB1BDB" w14:textId="77777777" w:rsidTr="00B31652">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4D135F98" w14:textId="49C4FC2F" w:rsidR="00502BD1" w:rsidRPr="00D549EE" w:rsidRDefault="00A97483" w:rsidP="00C9582F">
            <w:pPr>
              <w:rPr>
                <w:lang w:val="en-US"/>
              </w:rPr>
            </w:pPr>
            <w:r w:rsidRPr="00D549EE">
              <w:rPr>
                <w:color w:val="000000"/>
                <w:shd w:val="clear" w:color="auto" w:fill="FFFFFF"/>
                <w:lang w:val="en-US"/>
              </w:rPr>
              <w:t xml:space="preserve">Coefficient of absolute liquidity </w:t>
            </w:r>
            <w:r w:rsidRPr="00D549EE">
              <w:rPr>
                <w:lang w:val="en-US"/>
              </w:rPr>
              <w:t>(Cash Ratio)</w:t>
            </w:r>
          </w:p>
        </w:tc>
        <w:tc>
          <w:tcPr>
            <w:tcW w:w="1560" w:type="dxa"/>
            <w:tcBorders>
              <w:top w:val="nil"/>
              <w:left w:val="nil"/>
              <w:bottom w:val="single" w:sz="4" w:space="0" w:color="auto"/>
              <w:right w:val="single" w:sz="4" w:space="0" w:color="auto"/>
            </w:tcBorders>
            <w:shd w:val="clear" w:color="auto" w:fill="auto"/>
            <w:noWrap/>
            <w:vAlign w:val="bottom"/>
          </w:tcPr>
          <w:p w14:paraId="7B472999" w14:textId="1565C564" w:rsidR="00502BD1" w:rsidRPr="00D549EE" w:rsidRDefault="00234EFD" w:rsidP="00C9582F">
            <w:pPr>
              <w:jc w:val="right"/>
              <w:rPr>
                <w:lang w:val="en-US"/>
              </w:rPr>
            </w:pPr>
            <w:r w:rsidRPr="00D549EE">
              <w:rPr>
                <w:lang w:val="en-US"/>
              </w:rPr>
              <w:t>1.04</w:t>
            </w:r>
          </w:p>
        </w:tc>
        <w:tc>
          <w:tcPr>
            <w:tcW w:w="1275" w:type="dxa"/>
            <w:tcBorders>
              <w:top w:val="nil"/>
              <w:left w:val="nil"/>
              <w:bottom w:val="single" w:sz="4" w:space="0" w:color="auto"/>
              <w:right w:val="single" w:sz="4" w:space="0" w:color="auto"/>
            </w:tcBorders>
            <w:shd w:val="clear" w:color="auto" w:fill="auto"/>
            <w:noWrap/>
            <w:vAlign w:val="bottom"/>
          </w:tcPr>
          <w:p w14:paraId="7413DB8C" w14:textId="598A72ED" w:rsidR="00502BD1" w:rsidRPr="00D549EE" w:rsidRDefault="00234EFD" w:rsidP="00C9582F">
            <w:pPr>
              <w:jc w:val="right"/>
              <w:rPr>
                <w:lang w:val="en-US"/>
              </w:rPr>
            </w:pPr>
            <w:r w:rsidRPr="00D549EE">
              <w:rPr>
                <w:lang w:val="en-US"/>
              </w:rPr>
              <w:t>1.60</w:t>
            </w:r>
          </w:p>
        </w:tc>
        <w:tc>
          <w:tcPr>
            <w:tcW w:w="1400" w:type="dxa"/>
            <w:tcBorders>
              <w:top w:val="nil"/>
              <w:left w:val="nil"/>
              <w:bottom w:val="single" w:sz="4" w:space="0" w:color="auto"/>
              <w:right w:val="single" w:sz="4" w:space="0" w:color="auto"/>
            </w:tcBorders>
            <w:shd w:val="clear" w:color="auto" w:fill="auto"/>
            <w:noWrap/>
            <w:vAlign w:val="bottom"/>
          </w:tcPr>
          <w:p w14:paraId="3328D6F9" w14:textId="1D6367F5" w:rsidR="00502BD1" w:rsidRPr="00D549EE" w:rsidRDefault="00502BD1" w:rsidP="00C9582F">
            <w:pPr>
              <w:jc w:val="right"/>
              <w:rPr>
                <w:lang w:val="en-US"/>
              </w:rPr>
            </w:pPr>
            <w:r w:rsidRPr="00D549EE">
              <w:t>0</w:t>
            </w:r>
            <w:r w:rsidR="00234EFD" w:rsidRPr="00D549EE">
              <w:rPr>
                <w:lang w:val="en-US"/>
              </w:rPr>
              <w:t>.56</w:t>
            </w:r>
          </w:p>
        </w:tc>
        <w:tc>
          <w:tcPr>
            <w:tcW w:w="816" w:type="dxa"/>
            <w:tcBorders>
              <w:top w:val="nil"/>
              <w:left w:val="nil"/>
              <w:bottom w:val="single" w:sz="4" w:space="0" w:color="auto"/>
              <w:right w:val="single" w:sz="4" w:space="0" w:color="auto"/>
            </w:tcBorders>
            <w:shd w:val="clear" w:color="auto" w:fill="auto"/>
            <w:noWrap/>
            <w:vAlign w:val="bottom"/>
          </w:tcPr>
          <w:p w14:paraId="40CBE91F" w14:textId="07D72051" w:rsidR="00502BD1" w:rsidRPr="00D549EE" w:rsidRDefault="00234EFD" w:rsidP="00C9582F">
            <w:pPr>
              <w:jc w:val="right"/>
            </w:pPr>
            <w:r w:rsidRPr="00D549EE">
              <w:rPr>
                <w:lang w:val="en-US"/>
              </w:rPr>
              <w:t>54</w:t>
            </w:r>
            <w:r w:rsidR="00502BD1" w:rsidRPr="00D549EE">
              <w:t>%</w:t>
            </w:r>
          </w:p>
        </w:tc>
      </w:tr>
      <w:tr w:rsidR="00502BD1" w:rsidRPr="00D549EE" w14:paraId="3CB1DBFF" w14:textId="77777777" w:rsidTr="00B31652">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4A289958" w14:textId="679E63F2" w:rsidR="00502BD1" w:rsidRPr="00D549EE" w:rsidRDefault="006870B5" w:rsidP="00C9582F">
            <w:pPr>
              <w:rPr>
                <w:lang w:val="en-US"/>
              </w:rPr>
            </w:pPr>
            <w:r w:rsidRPr="00D549EE">
              <w:rPr>
                <w:color w:val="000000"/>
                <w:shd w:val="clear" w:color="auto" w:fill="FFFFFF"/>
                <w:lang w:val="en-US"/>
              </w:rPr>
              <w:t>Coefficient of urgent liquidity</w:t>
            </w:r>
            <w:r w:rsidR="00A97483" w:rsidRPr="00D549EE">
              <w:rPr>
                <w:color w:val="000000"/>
                <w:shd w:val="clear" w:color="auto" w:fill="FFFFFF"/>
                <w:lang w:val="en-US"/>
              </w:rPr>
              <w:t xml:space="preserve"> </w:t>
            </w:r>
            <w:r w:rsidR="00502BD1" w:rsidRPr="00D549EE">
              <w:rPr>
                <w:lang w:val="en-US"/>
              </w:rPr>
              <w:t>(Q</w:t>
            </w:r>
            <w:r w:rsidR="00A97483" w:rsidRPr="00D549EE">
              <w:rPr>
                <w:lang w:val="en-US"/>
              </w:rPr>
              <w:t xml:space="preserve">uick </w:t>
            </w:r>
            <w:r w:rsidR="00502BD1" w:rsidRPr="00D549EE">
              <w:rPr>
                <w:lang w:val="en-US"/>
              </w:rPr>
              <w:t>R</w:t>
            </w:r>
            <w:r w:rsidR="00A97483" w:rsidRPr="00D549EE">
              <w:rPr>
                <w:lang w:val="en-US"/>
              </w:rPr>
              <w:t>atio</w:t>
            </w:r>
            <w:r w:rsidR="00502BD1" w:rsidRPr="00D549EE">
              <w:rPr>
                <w:lang w:val="en-US"/>
              </w:rPr>
              <w:t>)</w:t>
            </w:r>
          </w:p>
        </w:tc>
        <w:tc>
          <w:tcPr>
            <w:tcW w:w="1560" w:type="dxa"/>
            <w:tcBorders>
              <w:top w:val="nil"/>
              <w:left w:val="nil"/>
              <w:bottom w:val="single" w:sz="4" w:space="0" w:color="auto"/>
              <w:right w:val="single" w:sz="4" w:space="0" w:color="auto"/>
            </w:tcBorders>
            <w:shd w:val="clear" w:color="auto" w:fill="auto"/>
            <w:noWrap/>
            <w:vAlign w:val="bottom"/>
          </w:tcPr>
          <w:p w14:paraId="128F9751" w14:textId="4D87554C" w:rsidR="00502BD1" w:rsidRPr="00D549EE" w:rsidRDefault="00767549" w:rsidP="00C9582F">
            <w:pPr>
              <w:jc w:val="right"/>
              <w:rPr>
                <w:lang w:val="en-US"/>
              </w:rPr>
            </w:pPr>
            <w:r w:rsidRPr="00D549EE">
              <w:rPr>
                <w:lang w:val="en-US"/>
              </w:rPr>
              <w:t>0</w:t>
            </w:r>
            <w:r w:rsidR="00B43AF2" w:rsidRPr="00D549EE">
              <w:rPr>
                <w:lang w:val="en-US"/>
              </w:rPr>
              <w:t>.</w:t>
            </w:r>
            <w:r w:rsidRPr="00D549EE">
              <w:rPr>
                <w:lang w:val="en-US"/>
              </w:rPr>
              <w:t>22</w:t>
            </w:r>
          </w:p>
        </w:tc>
        <w:tc>
          <w:tcPr>
            <w:tcW w:w="1275" w:type="dxa"/>
            <w:tcBorders>
              <w:top w:val="nil"/>
              <w:left w:val="nil"/>
              <w:bottom w:val="single" w:sz="4" w:space="0" w:color="auto"/>
              <w:right w:val="single" w:sz="4" w:space="0" w:color="auto"/>
            </w:tcBorders>
            <w:shd w:val="clear" w:color="auto" w:fill="auto"/>
            <w:noWrap/>
            <w:vAlign w:val="bottom"/>
          </w:tcPr>
          <w:p w14:paraId="29ACC9CE" w14:textId="3D071963" w:rsidR="00502BD1" w:rsidRPr="00D549EE" w:rsidRDefault="00767549" w:rsidP="00C9582F">
            <w:pPr>
              <w:jc w:val="right"/>
              <w:rPr>
                <w:lang w:val="en-US"/>
              </w:rPr>
            </w:pPr>
            <w:r w:rsidRPr="00D549EE">
              <w:rPr>
                <w:lang w:val="en-US"/>
              </w:rPr>
              <w:t>0</w:t>
            </w:r>
            <w:r w:rsidR="00B43AF2" w:rsidRPr="00D549EE">
              <w:rPr>
                <w:lang w:val="en-US"/>
              </w:rPr>
              <w:t>.</w:t>
            </w:r>
            <w:r w:rsidRPr="00D549EE">
              <w:rPr>
                <w:lang w:val="en-US"/>
              </w:rPr>
              <w:t>23</w:t>
            </w:r>
          </w:p>
        </w:tc>
        <w:tc>
          <w:tcPr>
            <w:tcW w:w="1400" w:type="dxa"/>
            <w:tcBorders>
              <w:top w:val="nil"/>
              <w:left w:val="nil"/>
              <w:bottom w:val="single" w:sz="4" w:space="0" w:color="auto"/>
              <w:right w:val="single" w:sz="4" w:space="0" w:color="auto"/>
            </w:tcBorders>
            <w:shd w:val="clear" w:color="auto" w:fill="auto"/>
            <w:noWrap/>
            <w:vAlign w:val="bottom"/>
          </w:tcPr>
          <w:p w14:paraId="35DAB95E" w14:textId="5DC63552" w:rsidR="00502BD1" w:rsidRPr="00D549EE" w:rsidRDefault="00B43AF2" w:rsidP="00C9582F">
            <w:pPr>
              <w:jc w:val="right"/>
              <w:rPr>
                <w:lang w:val="en-US"/>
              </w:rPr>
            </w:pPr>
            <w:r w:rsidRPr="00D549EE">
              <w:rPr>
                <w:lang w:val="en-US"/>
              </w:rPr>
              <w:t>0.</w:t>
            </w:r>
            <w:r w:rsidR="00767549" w:rsidRPr="00D549EE">
              <w:rPr>
                <w:lang w:val="en-US"/>
              </w:rPr>
              <w:t>01</w:t>
            </w:r>
          </w:p>
        </w:tc>
        <w:tc>
          <w:tcPr>
            <w:tcW w:w="816" w:type="dxa"/>
            <w:tcBorders>
              <w:top w:val="nil"/>
              <w:left w:val="nil"/>
              <w:bottom w:val="single" w:sz="4" w:space="0" w:color="auto"/>
              <w:right w:val="single" w:sz="4" w:space="0" w:color="auto"/>
            </w:tcBorders>
            <w:shd w:val="clear" w:color="auto" w:fill="auto"/>
            <w:noWrap/>
            <w:vAlign w:val="bottom"/>
          </w:tcPr>
          <w:p w14:paraId="23061DCC" w14:textId="17F862D5" w:rsidR="00502BD1" w:rsidRPr="00D549EE" w:rsidRDefault="00B43AF2" w:rsidP="00C9582F">
            <w:pPr>
              <w:jc w:val="right"/>
            </w:pPr>
            <w:r w:rsidRPr="00D549EE">
              <w:rPr>
                <w:lang w:val="en-US"/>
              </w:rPr>
              <w:t>4</w:t>
            </w:r>
            <w:r w:rsidR="00502BD1" w:rsidRPr="00D549EE">
              <w:t>%</w:t>
            </w:r>
          </w:p>
        </w:tc>
      </w:tr>
      <w:tr w:rsidR="00502BD1" w:rsidRPr="00D549EE" w14:paraId="0388A327" w14:textId="77777777" w:rsidTr="00B31652">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0E51AB05" w14:textId="3164D085" w:rsidR="00502BD1" w:rsidRPr="00D549EE" w:rsidRDefault="006870B5" w:rsidP="00C9582F">
            <w:pPr>
              <w:rPr>
                <w:lang w:val="en-US"/>
              </w:rPr>
            </w:pPr>
            <w:r w:rsidRPr="00D549EE">
              <w:rPr>
                <w:color w:val="000000"/>
                <w:shd w:val="clear" w:color="auto" w:fill="FFFFFF"/>
                <w:lang w:val="en-US"/>
              </w:rPr>
              <w:t xml:space="preserve">Coefficient of </w:t>
            </w:r>
            <w:r w:rsidR="00A97483" w:rsidRPr="00D549EE">
              <w:rPr>
                <w:color w:val="000000"/>
                <w:shd w:val="clear" w:color="auto" w:fill="FFFFFF"/>
                <w:lang w:val="en-US"/>
              </w:rPr>
              <w:t>current</w:t>
            </w:r>
            <w:r w:rsidRPr="00D549EE">
              <w:rPr>
                <w:color w:val="000000"/>
                <w:shd w:val="clear" w:color="auto" w:fill="FFFFFF"/>
                <w:lang w:val="en-US"/>
              </w:rPr>
              <w:t xml:space="preserve"> liquidity</w:t>
            </w:r>
            <w:r w:rsidR="00A97483" w:rsidRPr="00D549EE">
              <w:rPr>
                <w:color w:val="000000"/>
                <w:shd w:val="clear" w:color="auto" w:fill="FFFFFF"/>
                <w:lang w:val="en-US"/>
              </w:rPr>
              <w:t xml:space="preserve"> </w:t>
            </w:r>
            <w:r w:rsidR="00502BD1" w:rsidRPr="00D549EE">
              <w:rPr>
                <w:lang w:val="en-US"/>
              </w:rPr>
              <w:t>(C</w:t>
            </w:r>
            <w:r w:rsidR="00A97483" w:rsidRPr="00D549EE">
              <w:rPr>
                <w:lang w:val="en-US"/>
              </w:rPr>
              <w:t xml:space="preserve">urrent </w:t>
            </w:r>
            <w:r w:rsidR="00502BD1" w:rsidRPr="00D549EE">
              <w:rPr>
                <w:lang w:val="en-US"/>
              </w:rPr>
              <w:t>R</w:t>
            </w:r>
            <w:r w:rsidR="00A97483" w:rsidRPr="00D549EE">
              <w:rPr>
                <w:lang w:val="en-US"/>
              </w:rPr>
              <w:t>atio</w:t>
            </w:r>
            <w:r w:rsidR="00502BD1" w:rsidRPr="00D549EE">
              <w:rPr>
                <w:lang w:val="en-US"/>
              </w:rPr>
              <w:t>)</w:t>
            </w:r>
          </w:p>
        </w:tc>
        <w:tc>
          <w:tcPr>
            <w:tcW w:w="1560" w:type="dxa"/>
            <w:tcBorders>
              <w:top w:val="nil"/>
              <w:left w:val="nil"/>
              <w:bottom w:val="single" w:sz="4" w:space="0" w:color="auto"/>
              <w:right w:val="single" w:sz="4" w:space="0" w:color="auto"/>
            </w:tcBorders>
            <w:shd w:val="clear" w:color="auto" w:fill="auto"/>
            <w:noWrap/>
            <w:vAlign w:val="bottom"/>
          </w:tcPr>
          <w:p w14:paraId="6E1A8913" w14:textId="66D0BB45" w:rsidR="00502BD1" w:rsidRPr="00D549EE" w:rsidRDefault="009E3290" w:rsidP="00C9582F">
            <w:pPr>
              <w:jc w:val="right"/>
              <w:rPr>
                <w:lang w:val="en-US"/>
              </w:rPr>
            </w:pPr>
            <w:r w:rsidRPr="00D549EE">
              <w:rPr>
                <w:lang w:val="en-US"/>
              </w:rPr>
              <w:t>0</w:t>
            </w:r>
            <w:r w:rsidR="00A97483" w:rsidRPr="00D549EE">
              <w:rPr>
                <w:lang w:val="en-US"/>
              </w:rPr>
              <w:t>.0</w:t>
            </w:r>
            <w:r w:rsidRPr="00D549EE">
              <w:rPr>
                <w:lang w:val="en-US"/>
              </w:rPr>
              <w:t>5</w:t>
            </w:r>
          </w:p>
        </w:tc>
        <w:tc>
          <w:tcPr>
            <w:tcW w:w="1275" w:type="dxa"/>
            <w:tcBorders>
              <w:top w:val="nil"/>
              <w:left w:val="nil"/>
              <w:bottom w:val="single" w:sz="4" w:space="0" w:color="auto"/>
              <w:right w:val="single" w:sz="4" w:space="0" w:color="auto"/>
            </w:tcBorders>
            <w:shd w:val="clear" w:color="auto" w:fill="auto"/>
            <w:noWrap/>
            <w:vAlign w:val="bottom"/>
          </w:tcPr>
          <w:p w14:paraId="0B0988D4" w14:textId="67D89E42" w:rsidR="00502BD1" w:rsidRPr="00D549EE" w:rsidRDefault="009E3290" w:rsidP="00C9582F">
            <w:pPr>
              <w:jc w:val="right"/>
              <w:rPr>
                <w:lang w:val="en-US"/>
              </w:rPr>
            </w:pPr>
            <w:r w:rsidRPr="00D549EE">
              <w:rPr>
                <w:lang w:val="en-US"/>
              </w:rPr>
              <w:t>0</w:t>
            </w:r>
            <w:r w:rsidR="00A97483" w:rsidRPr="00D549EE">
              <w:rPr>
                <w:lang w:val="en-US"/>
              </w:rPr>
              <w:t>.</w:t>
            </w:r>
            <w:r w:rsidRPr="00D549EE">
              <w:rPr>
                <w:lang w:val="en-US"/>
              </w:rPr>
              <w:t>08</w:t>
            </w:r>
          </w:p>
        </w:tc>
        <w:tc>
          <w:tcPr>
            <w:tcW w:w="1400" w:type="dxa"/>
            <w:tcBorders>
              <w:top w:val="nil"/>
              <w:left w:val="nil"/>
              <w:bottom w:val="single" w:sz="4" w:space="0" w:color="auto"/>
              <w:right w:val="single" w:sz="4" w:space="0" w:color="auto"/>
            </w:tcBorders>
            <w:shd w:val="clear" w:color="auto" w:fill="auto"/>
            <w:noWrap/>
            <w:vAlign w:val="bottom"/>
          </w:tcPr>
          <w:p w14:paraId="412605FF" w14:textId="2E968ED5" w:rsidR="00502BD1" w:rsidRPr="00D549EE" w:rsidRDefault="00502BD1" w:rsidP="00C9582F">
            <w:pPr>
              <w:jc w:val="right"/>
              <w:rPr>
                <w:lang w:val="en-US"/>
              </w:rPr>
            </w:pPr>
            <w:r w:rsidRPr="00D549EE">
              <w:t>0</w:t>
            </w:r>
            <w:r w:rsidR="00A97483" w:rsidRPr="00D549EE">
              <w:rPr>
                <w:lang w:val="en-US"/>
              </w:rPr>
              <w:t>.</w:t>
            </w:r>
            <w:r w:rsidR="009E3290" w:rsidRPr="00D549EE">
              <w:rPr>
                <w:lang w:val="en-US"/>
              </w:rPr>
              <w:t>03</w:t>
            </w:r>
          </w:p>
        </w:tc>
        <w:tc>
          <w:tcPr>
            <w:tcW w:w="816" w:type="dxa"/>
            <w:tcBorders>
              <w:top w:val="nil"/>
              <w:left w:val="nil"/>
              <w:bottom w:val="single" w:sz="4" w:space="0" w:color="auto"/>
              <w:right w:val="single" w:sz="4" w:space="0" w:color="auto"/>
            </w:tcBorders>
            <w:shd w:val="clear" w:color="auto" w:fill="auto"/>
            <w:noWrap/>
            <w:vAlign w:val="bottom"/>
          </w:tcPr>
          <w:p w14:paraId="6AC0DA6E" w14:textId="62EBA4D6" w:rsidR="00502BD1" w:rsidRPr="00D549EE" w:rsidRDefault="009E3290" w:rsidP="00C9582F">
            <w:pPr>
              <w:jc w:val="right"/>
            </w:pPr>
            <w:r w:rsidRPr="00D549EE">
              <w:t>70</w:t>
            </w:r>
            <w:r w:rsidR="00502BD1" w:rsidRPr="00D549EE">
              <w:t>%</w:t>
            </w:r>
          </w:p>
        </w:tc>
      </w:tr>
      <w:tr w:rsidR="00C10043" w:rsidRPr="00D549EE" w14:paraId="1CA245D1" w14:textId="77777777" w:rsidTr="00C10043">
        <w:trPr>
          <w:trHeight w:val="255"/>
        </w:trPr>
        <w:tc>
          <w:tcPr>
            <w:tcW w:w="9594" w:type="dxa"/>
            <w:gridSpan w:val="5"/>
            <w:tcBorders>
              <w:top w:val="nil"/>
              <w:left w:val="single" w:sz="4" w:space="0" w:color="auto"/>
              <w:bottom w:val="single" w:sz="4" w:space="0" w:color="auto"/>
              <w:right w:val="single" w:sz="4" w:space="0" w:color="auto"/>
            </w:tcBorders>
            <w:shd w:val="clear" w:color="auto" w:fill="auto"/>
            <w:noWrap/>
            <w:vAlign w:val="bottom"/>
          </w:tcPr>
          <w:p w14:paraId="59A7FD03" w14:textId="6E24A984" w:rsidR="00C10043" w:rsidRPr="00D549EE" w:rsidRDefault="00C10043" w:rsidP="00C9582F">
            <w:pPr>
              <w:jc w:val="center"/>
              <w:rPr>
                <w:lang w:val="en-US"/>
              </w:rPr>
            </w:pPr>
            <w:r w:rsidRPr="00D549EE">
              <w:rPr>
                <w:lang w:val="en-US"/>
              </w:rPr>
              <w:t>Capital structure indicators</w:t>
            </w:r>
          </w:p>
        </w:tc>
      </w:tr>
      <w:tr w:rsidR="00502BD1" w:rsidRPr="00D549EE" w14:paraId="2006D493" w14:textId="77777777" w:rsidTr="00B31652">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77D98C84" w14:textId="6DA23F8A" w:rsidR="00502BD1" w:rsidRPr="00D549EE" w:rsidRDefault="00CA2F52" w:rsidP="00C9582F">
            <w:pPr>
              <w:rPr>
                <w:lang w:val="en-US"/>
              </w:rPr>
            </w:pPr>
            <w:r w:rsidRPr="00D549EE">
              <w:rPr>
                <w:lang w:val="en-US"/>
              </w:rPr>
              <w:t xml:space="preserve">Financial independence ratio </w:t>
            </w:r>
            <w:r w:rsidR="00502BD1" w:rsidRPr="00D549EE">
              <w:rPr>
                <w:lang w:val="en-US"/>
              </w:rPr>
              <w:t>(EQ/TA)</w:t>
            </w:r>
          </w:p>
        </w:tc>
        <w:tc>
          <w:tcPr>
            <w:tcW w:w="1560" w:type="dxa"/>
            <w:tcBorders>
              <w:top w:val="nil"/>
              <w:left w:val="nil"/>
              <w:bottom w:val="single" w:sz="4" w:space="0" w:color="auto"/>
              <w:right w:val="single" w:sz="4" w:space="0" w:color="auto"/>
            </w:tcBorders>
            <w:shd w:val="clear" w:color="auto" w:fill="auto"/>
            <w:noWrap/>
            <w:vAlign w:val="bottom"/>
          </w:tcPr>
          <w:p w14:paraId="6FF09012" w14:textId="68235A20" w:rsidR="00502BD1" w:rsidRPr="00D549EE" w:rsidRDefault="002F1DD5" w:rsidP="00C9582F">
            <w:pPr>
              <w:jc w:val="right"/>
              <w:rPr>
                <w:lang w:val="en-US"/>
              </w:rPr>
            </w:pPr>
            <w:r w:rsidRPr="00D549EE">
              <w:rPr>
                <w:lang w:val="en-US"/>
              </w:rPr>
              <w:t>0.46</w:t>
            </w:r>
          </w:p>
        </w:tc>
        <w:tc>
          <w:tcPr>
            <w:tcW w:w="1275" w:type="dxa"/>
            <w:tcBorders>
              <w:top w:val="nil"/>
              <w:left w:val="nil"/>
              <w:bottom w:val="single" w:sz="4" w:space="0" w:color="auto"/>
              <w:right w:val="single" w:sz="4" w:space="0" w:color="auto"/>
            </w:tcBorders>
            <w:shd w:val="clear" w:color="auto" w:fill="auto"/>
            <w:noWrap/>
            <w:vAlign w:val="bottom"/>
          </w:tcPr>
          <w:p w14:paraId="7AD406EF" w14:textId="45658309" w:rsidR="00502BD1" w:rsidRPr="00D549EE" w:rsidRDefault="00502BD1" w:rsidP="00C9582F">
            <w:pPr>
              <w:jc w:val="right"/>
              <w:rPr>
                <w:lang w:val="en-US"/>
              </w:rPr>
            </w:pPr>
            <w:r w:rsidRPr="00D549EE">
              <w:t>0</w:t>
            </w:r>
            <w:r w:rsidR="00CA2F52" w:rsidRPr="00D549EE">
              <w:rPr>
                <w:lang w:val="en-US"/>
              </w:rPr>
              <w:t>.30</w:t>
            </w:r>
          </w:p>
        </w:tc>
        <w:tc>
          <w:tcPr>
            <w:tcW w:w="1400" w:type="dxa"/>
            <w:tcBorders>
              <w:top w:val="nil"/>
              <w:left w:val="nil"/>
              <w:bottom w:val="single" w:sz="4" w:space="0" w:color="auto"/>
              <w:right w:val="single" w:sz="4" w:space="0" w:color="auto"/>
            </w:tcBorders>
            <w:shd w:val="clear" w:color="auto" w:fill="auto"/>
            <w:noWrap/>
            <w:vAlign w:val="bottom"/>
          </w:tcPr>
          <w:p w14:paraId="2D7D03E1" w14:textId="33A45647" w:rsidR="00502BD1" w:rsidRPr="00D549EE" w:rsidRDefault="002F1DD5" w:rsidP="00C9582F">
            <w:pPr>
              <w:jc w:val="right"/>
            </w:pPr>
            <w:r w:rsidRPr="00D549EE">
              <w:rPr>
                <w:lang w:val="en-US"/>
              </w:rPr>
              <w:t>(0.16)</w:t>
            </w:r>
          </w:p>
        </w:tc>
        <w:tc>
          <w:tcPr>
            <w:tcW w:w="816" w:type="dxa"/>
            <w:tcBorders>
              <w:top w:val="nil"/>
              <w:left w:val="nil"/>
              <w:bottom w:val="single" w:sz="4" w:space="0" w:color="auto"/>
              <w:right w:val="single" w:sz="4" w:space="0" w:color="auto"/>
            </w:tcBorders>
            <w:shd w:val="clear" w:color="auto" w:fill="auto"/>
            <w:noWrap/>
            <w:vAlign w:val="bottom"/>
          </w:tcPr>
          <w:p w14:paraId="300A8E6E" w14:textId="302B9227" w:rsidR="00502BD1" w:rsidRPr="00D549EE" w:rsidRDefault="002F1DD5" w:rsidP="00C9582F">
            <w:pPr>
              <w:jc w:val="right"/>
              <w:rPr>
                <w:lang w:val="en-US"/>
              </w:rPr>
            </w:pPr>
            <w:r w:rsidRPr="00D549EE">
              <w:rPr>
                <w:lang w:val="en-US"/>
              </w:rPr>
              <w:t>(34</w:t>
            </w:r>
            <w:r w:rsidR="00502BD1" w:rsidRPr="00D549EE">
              <w:t>%</w:t>
            </w:r>
            <w:r w:rsidRPr="00D549EE">
              <w:rPr>
                <w:lang w:val="en-US"/>
              </w:rPr>
              <w:t>)</w:t>
            </w:r>
          </w:p>
        </w:tc>
      </w:tr>
      <w:tr w:rsidR="00502BD1" w:rsidRPr="00D549EE" w14:paraId="7A630276" w14:textId="77777777" w:rsidTr="00B31652">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19018CFB" w14:textId="77777777" w:rsidR="002F1DD5" w:rsidRPr="00D549EE" w:rsidRDefault="002F1DD5" w:rsidP="00C9582F">
            <w:pPr>
              <w:pStyle w:val="3"/>
              <w:spacing w:before="0"/>
              <w:rPr>
                <w:rFonts w:ascii="Times New Roman" w:hAnsi="Times New Roman" w:cs="Times New Roman"/>
                <w:color w:val="111111"/>
                <w:lang w:val="en-US"/>
              </w:rPr>
            </w:pPr>
            <w:r w:rsidRPr="00D549EE">
              <w:rPr>
                <w:rStyle w:val="mntl-sc-block-subheadingtext"/>
                <w:rFonts w:ascii="Times New Roman" w:hAnsi="Times New Roman" w:cs="Times New Roman"/>
                <w:bCs/>
                <w:color w:val="111111"/>
                <w:lang w:val="en-US"/>
              </w:rPr>
              <w:t>Total-Debt-to-Total-Assets</w:t>
            </w:r>
          </w:p>
          <w:p w14:paraId="4115D13C" w14:textId="2EDA6154" w:rsidR="00502BD1" w:rsidRPr="00D549EE" w:rsidRDefault="002F1DD5" w:rsidP="00C9582F">
            <w:pPr>
              <w:rPr>
                <w:lang w:val="en-US"/>
              </w:rPr>
            </w:pPr>
            <w:r w:rsidRPr="00D549EE">
              <w:rPr>
                <w:lang w:val="en-US"/>
              </w:rPr>
              <w:t xml:space="preserve"> </w:t>
            </w:r>
            <w:r w:rsidR="00502BD1" w:rsidRPr="00D549EE">
              <w:rPr>
                <w:lang w:val="en-US"/>
              </w:rPr>
              <w:t>(TD/TA)</w:t>
            </w:r>
          </w:p>
        </w:tc>
        <w:tc>
          <w:tcPr>
            <w:tcW w:w="1560" w:type="dxa"/>
            <w:tcBorders>
              <w:top w:val="nil"/>
              <w:left w:val="nil"/>
              <w:bottom w:val="single" w:sz="4" w:space="0" w:color="auto"/>
              <w:right w:val="single" w:sz="4" w:space="0" w:color="auto"/>
            </w:tcBorders>
            <w:shd w:val="clear" w:color="auto" w:fill="auto"/>
            <w:noWrap/>
            <w:vAlign w:val="bottom"/>
          </w:tcPr>
          <w:p w14:paraId="7D08CFB9" w14:textId="566F121F" w:rsidR="00502BD1" w:rsidRPr="00D549EE" w:rsidRDefault="00502BD1" w:rsidP="00C9582F">
            <w:pPr>
              <w:jc w:val="right"/>
              <w:rPr>
                <w:lang w:val="en-US"/>
              </w:rPr>
            </w:pPr>
            <w:r w:rsidRPr="00D549EE">
              <w:t>0</w:t>
            </w:r>
            <w:r w:rsidR="0091063F" w:rsidRPr="00D549EE">
              <w:rPr>
                <w:lang w:val="en-US"/>
              </w:rPr>
              <w:t>.53</w:t>
            </w:r>
          </w:p>
        </w:tc>
        <w:tc>
          <w:tcPr>
            <w:tcW w:w="1275" w:type="dxa"/>
            <w:tcBorders>
              <w:top w:val="nil"/>
              <w:left w:val="nil"/>
              <w:bottom w:val="single" w:sz="4" w:space="0" w:color="auto"/>
              <w:right w:val="single" w:sz="4" w:space="0" w:color="auto"/>
            </w:tcBorders>
            <w:shd w:val="clear" w:color="auto" w:fill="auto"/>
            <w:noWrap/>
            <w:vAlign w:val="bottom"/>
          </w:tcPr>
          <w:p w14:paraId="5615DFBF" w14:textId="3DC12FDE" w:rsidR="00502BD1" w:rsidRPr="00D549EE" w:rsidRDefault="00502BD1" w:rsidP="00C9582F">
            <w:pPr>
              <w:jc w:val="right"/>
              <w:rPr>
                <w:lang w:val="en-US"/>
              </w:rPr>
            </w:pPr>
            <w:r w:rsidRPr="00D549EE">
              <w:t>0</w:t>
            </w:r>
            <w:r w:rsidR="0091063F" w:rsidRPr="00D549EE">
              <w:rPr>
                <w:lang w:val="en-US"/>
              </w:rPr>
              <w:t>.69</w:t>
            </w:r>
          </w:p>
        </w:tc>
        <w:tc>
          <w:tcPr>
            <w:tcW w:w="1400" w:type="dxa"/>
            <w:tcBorders>
              <w:top w:val="nil"/>
              <w:left w:val="nil"/>
              <w:bottom w:val="single" w:sz="4" w:space="0" w:color="auto"/>
              <w:right w:val="single" w:sz="4" w:space="0" w:color="auto"/>
            </w:tcBorders>
            <w:shd w:val="clear" w:color="auto" w:fill="auto"/>
            <w:noWrap/>
            <w:vAlign w:val="bottom"/>
          </w:tcPr>
          <w:p w14:paraId="3F758889" w14:textId="19BA922A" w:rsidR="00502BD1" w:rsidRPr="00D549EE" w:rsidRDefault="0091063F" w:rsidP="00C9582F">
            <w:pPr>
              <w:jc w:val="right"/>
              <w:rPr>
                <w:lang w:val="en-US"/>
              </w:rPr>
            </w:pPr>
            <w:r w:rsidRPr="00D549EE">
              <w:rPr>
                <w:lang w:val="en-US"/>
              </w:rPr>
              <w:t>0.</w:t>
            </w:r>
            <w:r w:rsidR="00502BD1" w:rsidRPr="00D549EE">
              <w:t>1</w:t>
            </w:r>
            <w:r w:rsidRPr="00D549EE">
              <w:rPr>
                <w:lang w:val="en-US"/>
              </w:rPr>
              <w:t>6</w:t>
            </w:r>
          </w:p>
        </w:tc>
        <w:tc>
          <w:tcPr>
            <w:tcW w:w="816" w:type="dxa"/>
            <w:tcBorders>
              <w:top w:val="nil"/>
              <w:left w:val="nil"/>
              <w:bottom w:val="single" w:sz="4" w:space="0" w:color="auto"/>
              <w:right w:val="single" w:sz="4" w:space="0" w:color="auto"/>
            </w:tcBorders>
            <w:shd w:val="clear" w:color="auto" w:fill="auto"/>
            <w:noWrap/>
            <w:vAlign w:val="bottom"/>
          </w:tcPr>
          <w:p w14:paraId="1B03C32B" w14:textId="51678A68" w:rsidR="00502BD1" w:rsidRPr="00D549EE" w:rsidRDefault="0091063F" w:rsidP="00C9582F">
            <w:pPr>
              <w:jc w:val="right"/>
            </w:pPr>
            <w:r w:rsidRPr="00D549EE">
              <w:rPr>
                <w:lang w:val="en-US"/>
              </w:rPr>
              <w:t>30</w:t>
            </w:r>
            <w:r w:rsidR="00502BD1" w:rsidRPr="00D549EE">
              <w:t>%</w:t>
            </w:r>
          </w:p>
        </w:tc>
      </w:tr>
      <w:tr w:rsidR="00502BD1" w:rsidRPr="00D549EE" w14:paraId="31F53FD4" w14:textId="77777777" w:rsidTr="00B31652">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436271C3" w14:textId="0F348448" w:rsidR="00502BD1" w:rsidRPr="00D549EE" w:rsidRDefault="0091063F" w:rsidP="00C9582F">
            <w:pPr>
              <w:rPr>
                <w:lang w:val="en-US"/>
              </w:rPr>
            </w:pPr>
            <w:r w:rsidRPr="00D549EE">
              <w:rPr>
                <w:lang w:val="en-US"/>
              </w:rPr>
              <w:t xml:space="preserve">Total liabilities to equity </w:t>
            </w:r>
            <w:r w:rsidR="00502BD1" w:rsidRPr="00D549EE">
              <w:rPr>
                <w:lang w:val="en-US"/>
              </w:rPr>
              <w:t>(TD/EQ)</w:t>
            </w:r>
          </w:p>
        </w:tc>
        <w:tc>
          <w:tcPr>
            <w:tcW w:w="1560" w:type="dxa"/>
            <w:tcBorders>
              <w:top w:val="nil"/>
              <w:left w:val="nil"/>
              <w:bottom w:val="single" w:sz="4" w:space="0" w:color="auto"/>
              <w:right w:val="single" w:sz="4" w:space="0" w:color="auto"/>
            </w:tcBorders>
            <w:shd w:val="clear" w:color="auto" w:fill="auto"/>
            <w:noWrap/>
            <w:vAlign w:val="bottom"/>
          </w:tcPr>
          <w:p w14:paraId="32B31A49" w14:textId="0E514C62" w:rsidR="00502BD1" w:rsidRPr="00D549EE" w:rsidRDefault="0091063F" w:rsidP="00C9582F">
            <w:pPr>
              <w:jc w:val="right"/>
              <w:rPr>
                <w:lang w:val="en-US"/>
              </w:rPr>
            </w:pPr>
            <w:r w:rsidRPr="00D549EE">
              <w:rPr>
                <w:lang w:val="en-US"/>
              </w:rPr>
              <w:t>1</w:t>
            </w:r>
            <w:r w:rsidR="004131C1" w:rsidRPr="00D549EE">
              <w:rPr>
                <w:lang w:val="en-US"/>
              </w:rPr>
              <w:t>.14</w:t>
            </w:r>
          </w:p>
        </w:tc>
        <w:tc>
          <w:tcPr>
            <w:tcW w:w="1275" w:type="dxa"/>
            <w:tcBorders>
              <w:top w:val="nil"/>
              <w:left w:val="nil"/>
              <w:bottom w:val="single" w:sz="4" w:space="0" w:color="auto"/>
              <w:right w:val="single" w:sz="4" w:space="0" w:color="auto"/>
            </w:tcBorders>
            <w:shd w:val="clear" w:color="auto" w:fill="auto"/>
            <w:noWrap/>
            <w:vAlign w:val="bottom"/>
          </w:tcPr>
          <w:p w14:paraId="1C043132" w14:textId="4D334990" w:rsidR="00502BD1" w:rsidRPr="00D549EE" w:rsidRDefault="0091063F" w:rsidP="00C9582F">
            <w:pPr>
              <w:jc w:val="right"/>
              <w:rPr>
                <w:lang w:val="en-US"/>
              </w:rPr>
            </w:pPr>
            <w:r w:rsidRPr="00D549EE">
              <w:rPr>
                <w:lang w:val="en-US"/>
              </w:rPr>
              <w:t>2.26</w:t>
            </w:r>
          </w:p>
        </w:tc>
        <w:tc>
          <w:tcPr>
            <w:tcW w:w="1400" w:type="dxa"/>
            <w:tcBorders>
              <w:top w:val="nil"/>
              <w:left w:val="nil"/>
              <w:bottom w:val="single" w:sz="4" w:space="0" w:color="auto"/>
              <w:right w:val="single" w:sz="4" w:space="0" w:color="auto"/>
            </w:tcBorders>
            <w:shd w:val="clear" w:color="auto" w:fill="auto"/>
            <w:noWrap/>
            <w:vAlign w:val="bottom"/>
          </w:tcPr>
          <w:p w14:paraId="1B603B67" w14:textId="3CC2EF5C" w:rsidR="00502BD1" w:rsidRPr="00D549EE" w:rsidRDefault="0091063F" w:rsidP="00C9582F">
            <w:pPr>
              <w:jc w:val="right"/>
              <w:rPr>
                <w:lang w:val="en-US"/>
              </w:rPr>
            </w:pPr>
            <w:r w:rsidRPr="00D549EE">
              <w:rPr>
                <w:lang w:val="en-US"/>
              </w:rPr>
              <w:t>1.12</w:t>
            </w:r>
          </w:p>
        </w:tc>
        <w:tc>
          <w:tcPr>
            <w:tcW w:w="816" w:type="dxa"/>
            <w:tcBorders>
              <w:top w:val="nil"/>
              <w:left w:val="nil"/>
              <w:bottom w:val="single" w:sz="4" w:space="0" w:color="auto"/>
              <w:right w:val="single" w:sz="4" w:space="0" w:color="auto"/>
            </w:tcBorders>
            <w:shd w:val="clear" w:color="auto" w:fill="auto"/>
            <w:noWrap/>
            <w:vAlign w:val="bottom"/>
          </w:tcPr>
          <w:p w14:paraId="55D39B2F" w14:textId="31E07F23" w:rsidR="00502BD1" w:rsidRPr="00D549EE" w:rsidRDefault="0091063F" w:rsidP="00C9582F">
            <w:pPr>
              <w:jc w:val="right"/>
            </w:pPr>
            <w:r w:rsidRPr="00D549EE">
              <w:rPr>
                <w:lang w:val="en-US"/>
              </w:rPr>
              <w:t>98</w:t>
            </w:r>
            <w:r w:rsidR="00502BD1" w:rsidRPr="00D549EE">
              <w:t>%</w:t>
            </w:r>
          </w:p>
        </w:tc>
      </w:tr>
      <w:tr w:rsidR="00502BD1" w:rsidRPr="00D549EE" w14:paraId="2BCF0C60" w14:textId="77777777" w:rsidTr="00B31652">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289E751E" w14:textId="542686D8" w:rsidR="00502BD1" w:rsidRPr="00D549EE" w:rsidRDefault="009E3290" w:rsidP="00C9582F">
            <w:pPr>
              <w:rPr>
                <w:lang w:val="en-US"/>
              </w:rPr>
            </w:pPr>
            <w:r w:rsidRPr="00D549EE">
              <w:rPr>
                <w:lang w:val="en-US"/>
              </w:rPr>
              <w:t xml:space="preserve">Non-current liabilities to assets </w:t>
            </w:r>
            <w:r w:rsidR="00502BD1" w:rsidRPr="00D549EE">
              <w:rPr>
                <w:lang w:val="en-US"/>
              </w:rPr>
              <w:t>(LTD/TA)</w:t>
            </w:r>
          </w:p>
        </w:tc>
        <w:tc>
          <w:tcPr>
            <w:tcW w:w="1560" w:type="dxa"/>
            <w:tcBorders>
              <w:top w:val="nil"/>
              <w:left w:val="nil"/>
              <w:bottom w:val="single" w:sz="4" w:space="0" w:color="auto"/>
              <w:right w:val="single" w:sz="4" w:space="0" w:color="auto"/>
            </w:tcBorders>
            <w:shd w:val="clear" w:color="auto" w:fill="auto"/>
            <w:noWrap/>
            <w:vAlign w:val="bottom"/>
          </w:tcPr>
          <w:p w14:paraId="61FFD637" w14:textId="135950AA" w:rsidR="00502BD1" w:rsidRPr="00D549EE" w:rsidRDefault="00502BD1" w:rsidP="00C9582F">
            <w:pPr>
              <w:jc w:val="right"/>
              <w:rPr>
                <w:lang w:val="en-US"/>
              </w:rPr>
            </w:pPr>
            <w:r w:rsidRPr="00D549EE">
              <w:t>0</w:t>
            </w:r>
            <w:r w:rsidR="00B31652" w:rsidRPr="00D549EE">
              <w:rPr>
                <w:lang w:val="en-US"/>
              </w:rPr>
              <w:t>.</w:t>
            </w:r>
            <w:r w:rsidR="004131C1" w:rsidRPr="00D549EE">
              <w:rPr>
                <w:lang w:val="en-US"/>
              </w:rPr>
              <w:t>07</w:t>
            </w:r>
          </w:p>
        </w:tc>
        <w:tc>
          <w:tcPr>
            <w:tcW w:w="1275" w:type="dxa"/>
            <w:tcBorders>
              <w:top w:val="nil"/>
              <w:left w:val="nil"/>
              <w:bottom w:val="single" w:sz="4" w:space="0" w:color="auto"/>
              <w:right w:val="single" w:sz="4" w:space="0" w:color="auto"/>
            </w:tcBorders>
            <w:shd w:val="clear" w:color="auto" w:fill="auto"/>
            <w:noWrap/>
            <w:vAlign w:val="bottom"/>
          </w:tcPr>
          <w:p w14:paraId="2EC9DF69" w14:textId="0932D548" w:rsidR="00502BD1" w:rsidRPr="00D549EE" w:rsidRDefault="00502BD1" w:rsidP="00C9582F">
            <w:pPr>
              <w:jc w:val="right"/>
              <w:rPr>
                <w:lang w:val="en-US"/>
              </w:rPr>
            </w:pPr>
            <w:r w:rsidRPr="00D549EE">
              <w:t>0</w:t>
            </w:r>
            <w:r w:rsidR="00B31652" w:rsidRPr="00D549EE">
              <w:rPr>
                <w:lang w:val="en-US"/>
              </w:rPr>
              <w:t>.</w:t>
            </w:r>
            <w:r w:rsidR="004131C1" w:rsidRPr="00D549EE">
              <w:rPr>
                <w:lang w:val="en-US"/>
              </w:rPr>
              <w:t>32</w:t>
            </w:r>
          </w:p>
        </w:tc>
        <w:tc>
          <w:tcPr>
            <w:tcW w:w="1400" w:type="dxa"/>
            <w:tcBorders>
              <w:top w:val="nil"/>
              <w:left w:val="nil"/>
              <w:bottom w:val="single" w:sz="4" w:space="0" w:color="auto"/>
              <w:right w:val="single" w:sz="4" w:space="0" w:color="auto"/>
            </w:tcBorders>
            <w:shd w:val="clear" w:color="auto" w:fill="auto"/>
            <w:noWrap/>
            <w:vAlign w:val="bottom"/>
          </w:tcPr>
          <w:p w14:paraId="5A0C6AC3" w14:textId="3CFAABAD" w:rsidR="00502BD1" w:rsidRPr="00D549EE" w:rsidRDefault="00B31652" w:rsidP="00C9582F">
            <w:pPr>
              <w:jc w:val="right"/>
              <w:rPr>
                <w:lang w:val="en-US"/>
              </w:rPr>
            </w:pPr>
            <w:r w:rsidRPr="00D549EE">
              <w:rPr>
                <w:lang w:val="en-US"/>
              </w:rPr>
              <w:t>0.24</w:t>
            </w:r>
          </w:p>
        </w:tc>
        <w:tc>
          <w:tcPr>
            <w:tcW w:w="816" w:type="dxa"/>
            <w:tcBorders>
              <w:top w:val="nil"/>
              <w:left w:val="nil"/>
              <w:bottom w:val="single" w:sz="4" w:space="0" w:color="auto"/>
              <w:right w:val="single" w:sz="4" w:space="0" w:color="auto"/>
            </w:tcBorders>
            <w:shd w:val="clear" w:color="auto" w:fill="auto"/>
            <w:noWrap/>
            <w:vAlign w:val="bottom"/>
          </w:tcPr>
          <w:p w14:paraId="296892A8" w14:textId="6727D715" w:rsidR="00502BD1" w:rsidRPr="00D549EE" w:rsidRDefault="00B31652" w:rsidP="00C9582F">
            <w:pPr>
              <w:jc w:val="right"/>
            </w:pPr>
            <w:r w:rsidRPr="00D549EE">
              <w:rPr>
                <w:lang w:val="en-US"/>
              </w:rPr>
              <w:t>351</w:t>
            </w:r>
            <w:r w:rsidR="00502BD1" w:rsidRPr="00D549EE">
              <w:t>%</w:t>
            </w:r>
          </w:p>
        </w:tc>
      </w:tr>
      <w:tr w:rsidR="00C10043" w:rsidRPr="00D549EE" w14:paraId="46F7D8D7" w14:textId="77777777" w:rsidTr="00C10043">
        <w:trPr>
          <w:trHeight w:val="255"/>
        </w:trPr>
        <w:tc>
          <w:tcPr>
            <w:tcW w:w="9594" w:type="dxa"/>
            <w:gridSpan w:val="5"/>
            <w:tcBorders>
              <w:top w:val="nil"/>
              <w:left w:val="single" w:sz="4" w:space="0" w:color="auto"/>
              <w:bottom w:val="single" w:sz="4" w:space="0" w:color="auto"/>
              <w:right w:val="single" w:sz="4" w:space="0" w:color="auto"/>
            </w:tcBorders>
            <w:shd w:val="clear" w:color="auto" w:fill="auto"/>
            <w:noWrap/>
            <w:vAlign w:val="bottom"/>
          </w:tcPr>
          <w:p w14:paraId="6A0117B8" w14:textId="6AD5D34F" w:rsidR="00C10043" w:rsidRPr="00D549EE" w:rsidRDefault="00C10043" w:rsidP="00C9582F">
            <w:pPr>
              <w:jc w:val="center"/>
              <w:rPr>
                <w:lang w:val="en-US"/>
              </w:rPr>
            </w:pPr>
            <w:r w:rsidRPr="00D549EE">
              <w:t>Profitability indicators</w:t>
            </w:r>
          </w:p>
        </w:tc>
      </w:tr>
      <w:tr w:rsidR="00552A62" w:rsidRPr="00D549EE" w14:paraId="4CE44A38" w14:textId="77777777" w:rsidTr="00552A62">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6337D1B0" w14:textId="69B436B2" w:rsidR="00502BD1" w:rsidRPr="00D549EE" w:rsidRDefault="00B31652" w:rsidP="00C9582F">
            <w:pPr>
              <w:rPr>
                <w:lang w:val="en-US"/>
              </w:rPr>
            </w:pPr>
            <w:r w:rsidRPr="00D549EE">
              <w:t xml:space="preserve">Return on equity </w:t>
            </w:r>
            <w:r w:rsidR="00502BD1" w:rsidRPr="00D549EE">
              <w:t>(ROE)</w:t>
            </w:r>
            <w:r w:rsidR="00571DCB" w:rsidRPr="00D549EE">
              <w:rPr>
                <w:lang w:val="en-US"/>
              </w:rPr>
              <w:t>, %</w:t>
            </w:r>
          </w:p>
        </w:tc>
        <w:tc>
          <w:tcPr>
            <w:tcW w:w="1560" w:type="dxa"/>
            <w:tcBorders>
              <w:top w:val="nil"/>
              <w:left w:val="nil"/>
              <w:bottom w:val="single" w:sz="4" w:space="0" w:color="auto"/>
              <w:right w:val="single" w:sz="4" w:space="0" w:color="auto"/>
            </w:tcBorders>
            <w:shd w:val="clear" w:color="auto" w:fill="auto"/>
            <w:noWrap/>
            <w:vAlign w:val="bottom"/>
          </w:tcPr>
          <w:p w14:paraId="6F743935" w14:textId="61044FAD" w:rsidR="00502BD1" w:rsidRPr="00D549EE" w:rsidRDefault="00552A62" w:rsidP="00C9582F">
            <w:pPr>
              <w:jc w:val="right"/>
              <w:rPr>
                <w:lang w:val="en-US"/>
              </w:rPr>
            </w:pPr>
            <w:r w:rsidRPr="00D549EE">
              <w:t>8</w:t>
            </w:r>
            <w:r w:rsidR="00643952" w:rsidRPr="00D549EE">
              <w:t>.09</w:t>
            </w:r>
          </w:p>
        </w:tc>
        <w:tc>
          <w:tcPr>
            <w:tcW w:w="1275" w:type="dxa"/>
            <w:tcBorders>
              <w:top w:val="nil"/>
              <w:left w:val="nil"/>
              <w:bottom w:val="single" w:sz="4" w:space="0" w:color="auto"/>
              <w:right w:val="single" w:sz="4" w:space="0" w:color="auto"/>
            </w:tcBorders>
            <w:shd w:val="clear" w:color="auto" w:fill="auto"/>
            <w:noWrap/>
            <w:vAlign w:val="bottom"/>
          </w:tcPr>
          <w:p w14:paraId="58C39226" w14:textId="6B284B45" w:rsidR="00502BD1" w:rsidRPr="00D549EE" w:rsidRDefault="00643952" w:rsidP="00C9582F">
            <w:pPr>
              <w:jc w:val="right"/>
              <w:rPr>
                <w:lang w:val="en-US"/>
              </w:rPr>
            </w:pPr>
            <w:r w:rsidRPr="00D549EE">
              <w:rPr>
                <w:lang w:val="en-US"/>
              </w:rPr>
              <w:t>2</w:t>
            </w:r>
            <w:r w:rsidR="00B31652" w:rsidRPr="00D549EE">
              <w:rPr>
                <w:lang w:val="en-US"/>
              </w:rPr>
              <w:t>.</w:t>
            </w:r>
            <w:r w:rsidRPr="00D549EE">
              <w:rPr>
                <w:lang w:val="en-US"/>
              </w:rPr>
              <w:t>43</w:t>
            </w:r>
          </w:p>
        </w:tc>
        <w:tc>
          <w:tcPr>
            <w:tcW w:w="1400" w:type="dxa"/>
            <w:tcBorders>
              <w:top w:val="nil"/>
              <w:left w:val="nil"/>
              <w:bottom w:val="single" w:sz="4" w:space="0" w:color="auto"/>
              <w:right w:val="single" w:sz="4" w:space="0" w:color="auto"/>
            </w:tcBorders>
            <w:shd w:val="clear" w:color="auto" w:fill="auto"/>
            <w:noWrap/>
            <w:vAlign w:val="bottom"/>
          </w:tcPr>
          <w:p w14:paraId="3717875E" w14:textId="1EC7D9F3" w:rsidR="00502BD1" w:rsidRPr="00D549EE" w:rsidRDefault="004131C1" w:rsidP="00C9582F">
            <w:pPr>
              <w:jc w:val="right"/>
              <w:rPr>
                <w:lang w:val="en-US"/>
              </w:rPr>
            </w:pPr>
            <w:r w:rsidRPr="00D549EE">
              <w:rPr>
                <w:lang w:val="en-US"/>
              </w:rPr>
              <w:t>(</w:t>
            </w:r>
            <w:r w:rsidR="00502BD1" w:rsidRPr="00D549EE">
              <w:t>0</w:t>
            </w:r>
            <w:r w:rsidRPr="00D549EE">
              <w:rPr>
                <w:lang w:val="en-US"/>
              </w:rPr>
              <w:t>.09)</w:t>
            </w:r>
          </w:p>
        </w:tc>
        <w:tc>
          <w:tcPr>
            <w:tcW w:w="816" w:type="dxa"/>
            <w:tcBorders>
              <w:top w:val="nil"/>
              <w:left w:val="nil"/>
              <w:bottom w:val="single" w:sz="4" w:space="0" w:color="auto"/>
              <w:right w:val="single" w:sz="4" w:space="0" w:color="auto"/>
            </w:tcBorders>
            <w:shd w:val="clear" w:color="auto" w:fill="auto"/>
            <w:noWrap/>
            <w:vAlign w:val="bottom"/>
          </w:tcPr>
          <w:p w14:paraId="1CB0FCF0" w14:textId="6D0A4BD8" w:rsidR="00502BD1" w:rsidRPr="00D549EE" w:rsidRDefault="004131C1" w:rsidP="00C9582F">
            <w:pPr>
              <w:jc w:val="right"/>
              <w:rPr>
                <w:lang w:val="en-US"/>
              </w:rPr>
            </w:pPr>
            <w:r w:rsidRPr="00D549EE">
              <w:rPr>
                <w:lang w:val="en-US"/>
              </w:rPr>
              <w:t>(69</w:t>
            </w:r>
            <w:r w:rsidR="00502BD1" w:rsidRPr="00D549EE">
              <w:t>%</w:t>
            </w:r>
            <w:r w:rsidRPr="00D549EE">
              <w:rPr>
                <w:lang w:val="en-US"/>
              </w:rPr>
              <w:t>)</w:t>
            </w:r>
          </w:p>
        </w:tc>
      </w:tr>
      <w:tr w:rsidR="008C1BC5" w:rsidRPr="00D549EE" w14:paraId="38C41B05" w14:textId="77777777" w:rsidTr="00552A62">
        <w:trPr>
          <w:trHeight w:val="255"/>
        </w:trPr>
        <w:tc>
          <w:tcPr>
            <w:tcW w:w="4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027AC" w14:textId="1626BABF" w:rsidR="00502BD1" w:rsidRPr="00D549EE" w:rsidRDefault="004131C1" w:rsidP="00C9582F">
            <w:pPr>
              <w:rPr>
                <w:lang w:val="en-US"/>
              </w:rPr>
            </w:pPr>
            <w:r w:rsidRPr="00D549EE">
              <w:rPr>
                <w:lang w:val="en-US"/>
              </w:rPr>
              <w:t>Return on assets</w:t>
            </w:r>
            <w:r w:rsidR="00502BD1" w:rsidRPr="00D549EE">
              <w:t xml:space="preserve"> (R</w:t>
            </w:r>
            <w:r w:rsidRPr="00D549EE">
              <w:rPr>
                <w:lang w:val="en-US"/>
              </w:rPr>
              <w:t>O</w:t>
            </w:r>
            <w:r w:rsidR="00502BD1" w:rsidRPr="00D549EE">
              <w:t>A)</w:t>
            </w:r>
            <w:r w:rsidR="008C1BC5" w:rsidRPr="00D549EE">
              <w:t>, %</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39FEEFD0" w14:textId="2127DDBC" w:rsidR="00502BD1" w:rsidRPr="00D549EE" w:rsidRDefault="008C1BC5" w:rsidP="00C9582F">
            <w:pPr>
              <w:jc w:val="right"/>
              <w:rPr>
                <w:lang w:val="en-US"/>
              </w:rPr>
            </w:pPr>
            <w:r w:rsidRPr="00D549EE">
              <w:rPr>
                <w:lang w:val="en-US"/>
              </w:rPr>
              <w:t>3.78</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0442E1FF" w14:textId="648A89EC" w:rsidR="00502BD1" w:rsidRPr="00D549EE" w:rsidRDefault="008C1BC5" w:rsidP="00C9582F">
            <w:pPr>
              <w:jc w:val="right"/>
            </w:pPr>
            <w:r w:rsidRPr="00D549EE">
              <w:rPr>
                <w:lang w:val="en-US"/>
              </w:rPr>
              <w:t>0.75</w:t>
            </w:r>
          </w:p>
        </w:tc>
        <w:tc>
          <w:tcPr>
            <w:tcW w:w="1400" w:type="dxa"/>
            <w:tcBorders>
              <w:top w:val="single" w:sz="4" w:space="0" w:color="auto"/>
              <w:left w:val="nil"/>
              <w:bottom w:val="single" w:sz="4" w:space="0" w:color="auto"/>
              <w:right w:val="single" w:sz="4" w:space="0" w:color="auto"/>
            </w:tcBorders>
            <w:shd w:val="clear" w:color="auto" w:fill="auto"/>
            <w:noWrap/>
            <w:vAlign w:val="bottom"/>
          </w:tcPr>
          <w:p w14:paraId="232272C0" w14:textId="54B08D3F" w:rsidR="00502BD1" w:rsidRPr="00D549EE" w:rsidRDefault="004131C1" w:rsidP="00C9582F">
            <w:pPr>
              <w:jc w:val="right"/>
              <w:rPr>
                <w:lang w:val="en-US"/>
              </w:rPr>
            </w:pPr>
            <w:r w:rsidRPr="00D549EE">
              <w:rPr>
                <w:lang w:val="en-US"/>
              </w:rPr>
              <w:t>(</w:t>
            </w:r>
            <w:r w:rsidR="00502BD1" w:rsidRPr="00D549EE">
              <w:t>0</w:t>
            </w:r>
            <w:r w:rsidRPr="00D549EE">
              <w:rPr>
                <w:lang w:val="en-US"/>
              </w:rPr>
              <w:t>.03)</w:t>
            </w:r>
          </w:p>
        </w:tc>
        <w:tc>
          <w:tcPr>
            <w:tcW w:w="816" w:type="dxa"/>
            <w:tcBorders>
              <w:top w:val="single" w:sz="4" w:space="0" w:color="auto"/>
              <w:left w:val="nil"/>
              <w:bottom w:val="single" w:sz="4" w:space="0" w:color="auto"/>
              <w:right w:val="single" w:sz="4" w:space="0" w:color="auto"/>
            </w:tcBorders>
            <w:shd w:val="clear" w:color="auto" w:fill="auto"/>
            <w:noWrap/>
            <w:vAlign w:val="bottom"/>
          </w:tcPr>
          <w:p w14:paraId="7B990790" w14:textId="574E6C44" w:rsidR="00502BD1" w:rsidRPr="00D549EE" w:rsidRDefault="004131C1" w:rsidP="00C9582F">
            <w:pPr>
              <w:jc w:val="right"/>
              <w:rPr>
                <w:lang w:val="en-US"/>
              </w:rPr>
            </w:pPr>
            <w:r w:rsidRPr="00D549EE">
              <w:rPr>
                <w:lang w:val="en-US"/>
              </w:rPr>
              <w:t>(80</w:t>
            </w:r>
            <w:r w:rsidR="00502BD1" w:rsidRPr="00D549EE">
              <w:t>%</w:t>
            </w:r>
            <w:r w:rsidRPr="00D549EE">
              <w:rPr>
                <w:lang w:val="en-US"/>
              </w:rPr>
              <w:t>)</w:t>
            </w:r>
          </w:p>
        </w:tc>
      </w:tr>
      <w:tr w:rsidR="008C1BC5" w:rsidRPr="00FC685D" w14:paraId="42B5CA50" w14:textId="77777777" w:rsidTr="00262A0A">
        <w:trPr>
          <w:trHeight w:val="255"/>
        </w:trPr>
        <w:tc>
          <w:tcPr>
            <w:tcW w:w="9594" w:type="dxa"/>
            <w:gridSpan w:val="5"/>
            <w:tcBorders>
              <w:top w:val="nil"/>
              <w:left w:val="single" w:sz="4" w:space="0" w:color="auto"/>
              <w:bottom w:val="single" w:sz="4" w:space="0" w:color="auto"/>
              <w:right w:val="single" w:sz="4" w:space="0" w:color="auto"/>
            </w:tcBorders>
            <w:shd w:val="clear" w:color="auto" w:fill="auto"/>
            <w:noWrap/>
            <w:vAlign w:val="bottom"/>
          </w:tcPr>
          <w:p w14:paraId="5652D4AD" w14:textId="168BCF36" w:rsidR="008C1BC5" w:rsidRPr="00D549EE" w:rsidRDefault="00B119D2" w:rsidP="00C9582F">
            <w:pPr>
              <w:rPr>
                <w:lang w:val="en-US"/>
              </w:rPr>
            </w:pPr>
            <w:r w:rsidRPr="00D549EE">
              <w:rPr>
                <w:color w:val="000000" w:themeColor="text1"/>
                <w:lang w:val="en-US"/>
              </w:rPr>
              <w:t xml:space="preserve">          </w:t>
            </w:r>
            <w:r w:rsidR="008C1BC5" w:rsidRPr="00D549EE">
              <w:rPr>
                <w:color w:val="000000" w:themeColor="text1"/>
                <w:lang w:val="en-US"/>
              </w:rPr>
              <w:t xml:space="preserve">Note </w:t>
            </w:r>
            <w:r w:rsidR="008C1BC5" w:rsidRPr="00D549EE">
              <w:rPr>
                <w:lang w:val="en-US"/>
              </w:rPr>
              <w:t xml:space="preserve">– </w:t>
            </w:r>
            <w:r w:rsidR="008C1BC5" w:rsidRPr="00D549EE">
              <w:rPr>
                <w:color w:val="000000" w:themeColor="text1"/>
                <w:lang w:val="en-US"/>
              </w:rPr>
              <w:t xml:space="preserve">Compiled </w:t>
            </w:r>
            <w:r w:rsidR="005D7325" w:rsidRPr="00D549EE">
              <w:rPr>
                <w:color w:val="000000" w:themeColor="text1"/>
                <w:lang w:val="en-US"/>
              </w:rPr>
              <w:t xml:space="preserve">and estimated </w:t>
            </w:r>
            <w:r w:rsidR="008C1BC5" w:rsidRPr="00D549EE">
              <w:rPr>
                <w:color w:val="000000" w:themeColor="text1"/>
                <w:lang w:val="en-US"/>
              </w:rPr>
              <w:t>by the author</w:t>
            </w:r>
          </w:p>
        </w:tc>
      </w:tr>
    </w:tbl>
    <w:p w14:paraId="7ED9934D" w14:textId="359D2E29" w:rsidR="00602727" w:rsidRPr="00602727" w:rsidRDefault="00602727" w:rsidP="00602727">
      <w:pPr>
        <w:snapToGrid w:val="0"/>
        <w:contextualSpacing/>
        <w:jc w:val="both"/>
        <w:rPr>
          <w:color w:val="000000" w:themeColor="text1"/>
          <w:sz w:val="28"/>
          <w:szCs w:val="28"/>
          <w:lang w:val="en-US"/>
        </w:rPr>
      </w:pPr>
    </w:p>
    <w:p w14:paraId="454B169E" w14:textId="7BF5004F" w:rsidR="001D1FF9" w:rsidRPr="00D549EE" w:rsidRDefault="00602727" w:rsidP="00602727">
      <w:pPr>
        <w:snapToGrid w:val="0"/>
        <w:contextualSpacing/>
        <w:jc w:val="both"/>
        <w:rPr>
          <w:color w:val="000000" w:themeColor="text1"/>
          <w:sz w:val="28"/>
          <w:szCs w:val="28"/>
          <w:lang w:val="en-US"/>
        </w:rPr>
      </w:pPr>
      <w:r w:rsidRPr="00602727">
        <w:rPr>
          <w:color w:val="000000" w:themeColor="text1"/>
          <w:sz w:val="28"/>
          <w:szCs w:val="28"/>
          <w:lang w:val="en-US"/>
        </w:rPr>
        <w:tab/>
        <w:t>We used the business orientation of Islamic banks by using indicators. First, the ratio of fee-based to total operating is an indicator of bank involvement in the fee-based business. The second is the loan-to-deposit ratio, which shows bank liquidity by comparing total loans to total deposits and non-deposit funding to total funding. Then, the indicators of bank efficiency - overhead cost and cost-income ratio (alternative efficiency indicator) have been used. T. Beck suggested these indicators for assessing Islamic banks' business orientation and efficiency [39]. The indicators of stability are considered in table 36 as financial indicators of the bank. The results are shown below:</w:t>
      </w:r>
    </w:p>
    <w:p w14:paraId="54599011" w14:textId="77777777" w:rsidR="00602727" w:rsidRDefault="00602727" w:rsidP="00C9582F">
      <w:pPr>
        <w:snapToGrid w:val="0"/>
        <w:contextualSpacing/>
        <w:jc w:val="both"/>
        <w:rPr>
          <w:sz w:val="28"/>
          <w:szCs w:val="28"/>
          <w:lang w:val="en-US"/>
        </w:rPr>
      </w:pPr>
    </w:p>
    <w:p w14:paraId="0CD4DF8F" w14:textId="0119C2FA" w:rsidR="00CE4C7F" w:rsidRPr="00D549EE" w:rsidRDefault="00CE4C7F" w:rsidP="00C9582F">
      <w:pPr>
        <w:snapToGrid w:val="0"/>
        <w:contextualSpacing/>
        <w:jc w:val="both"/>
        <w:rPr>
          <w:sz w:val="28"/>
          <w:szCs w:val="28"/>
          <w:lang w:val="en-US"/>
        </w:rPr>
      </w:pPr>
      <w:r w:rsidRPr="00D549EE">
        <w:rPr>
          <w:sz w:val="28"/>
          <w:szCs w:val="28"/>
          <w:lang w:val="en-US"/>
        </w:rPr>
        <w:t xml:space="preserve">Table </w:t>
      </w:r>
      <w:r w:rsidR="00B119D2" w:rsidRPr="00D549EE">
        <w:rPr>
          <w:sz w:val="28"/>
          <w:szCs w:val="28"/>
          <w:lang w:val="en-US"/>
        </w:rPr>
        <w:t>3</w:t>
      </w:r>
      <w:r w:rsidR="00066364" w:rsidRPr="00D549EE">
        <w:rPr>
          <w:sz w:val="28"/>
          <w:szCs w:val="28"/>
          <w:lang w:val="en-US"/>
        </w:rPr>
        <w:t>7</w:t>
      </w:r>
      <w:r w:rsidRPr="00D549EE">
        <w:rPr>
          <w:sz w:val="28"/>
          <w:szCs w:val="28"/>
          <w:lang w:val="en-US"/>
        </w:rPr>
        <w:t xml:space="preserve"> – Business orientation and bank efficiency indicators of Al-Hilal JSC for 2020</w:t>
      </w:r>
    </w:p>
    <w:p w14:paraId="07B8B923" w14:textId="3B807016" w:rsidR="00CE4C7F" w:rsidRPr="00D549EE" w:rsidRDefault="00CE4C7F" w:rsidP="00C9582F">
      <w:pPr>
        <w:snapToGrid w:val="0"/>
        <w:contextualSpacing/>
        <w:jc w:val="both"/>
        <w:rPr>
          <w:sz w:val="28"/>
          <w:szCs w:val="28"/>
          <w:lang w:val="en-US"/>
        </w:rPr>
      </w:pPr>
    </w:p>
    <w:tbl>
      <w:tblPr>
        <w:tblStyle w:val="a9"/>
        <w:tblW w:w="0" w:type="auto"/>
        <w:tblLook w:val="04A0" w:firstRow="1" w:lastRow="0" w:firstColumn="1" w:lastColumn="0" w:noHBand="0" w:noVBand="1"/>
      </w:tblPr>
      <w:tblGrid>
        <w:gridCol w:w="1291"/>
        <w:gridCol w:w="2091"/>
        <w:gridCol w:w="1951"/>
        <w:gridCol w:w="1375"/>
        <w:gridCol w:w="1243"/>
        <w:gridCol w:w="836"/>
        <w:gridCol w:w="836"/>
      </w:tblGrid>
      <w:tr w:rsidR="00DE3100" w:rsidRPr="00D549EE" w14:paraId="322A5DB4" w14:textId="77777777" w:rsidTr="007E60BC">
        <w:tc>
          <w:tcPr>
            <w:tcW w:w="0" w:type="auto"/>
            <w:gridSpan w:val="7"/>
          </w:tcPr>
          <w:p w14:paraId="50CF0CC9" w14:textId="100A78AA" w:rsidR="00DE3100" w:rsidRPr="00D549EE" w:rsidRDefault="00DE3100" w:rsidP="00C9582F">
            <w:pPr>
              <w:snapToGrid w:val="0"/>
              <w:contextualSpacing/>
              <w:jc w:val="center"/>
              <w:rPr>
                <w:lang w:val="en-US"/>
              </w:rPr>
            </w:pPr>
            <w:r w:rsidRPr="00D549EE">
              <w:rPr>
                <w:lang w:val="en-US"/>
              </w:rPr>
              <w:t>Indicator</w:t>
            </w:r>
          </w:p>
        </w:tc>
      </w:tr>
      <w:tr w:rsidR="007E60BC" w:rsidRPr="00D549EE" w14:paraId="4BB84EAB" w14:textId="77777777" w:rsidTr="005D7325">
        <w:tc>
          <w:tcPr>
            <w:tcW w:w="0" w:type="auto"/>
            <w:gridSpan w:val="3"/>
          </w:tcPr>
          <w:p w14:paraId="30D9871B" w14:textId="16C1AAB2" w:rsidR="00DE3100" w:rsidRPr="00D549EE" w:rsidRDefault="00DE3100" w:rsidP="00C9582F">
            <w:pPr>
              <w:snapToGrid w:val="0"/>
              <w:contextualSpacing/>
              <w:rPr>
                <w:lang w:val="en-US"/>
              </w:rPr>
            </w:pPr>
            <w:r w:rsidRPr="00D549EE">
              <w:rPr>
                <w:lang w:val="en-US"/>
              </w:rPr>
              <w:t>Business model</w:t>
            </w:r>
          </w:p>
        </w:tc>
        <w:tc>
          <w:tcPr>
            <w:tcW w:w="0" w:type="auto"/>
            <w:gridSpan w:val="2"/>
          </w:tcPr>
          <w:p w14:paraId="2420E662" w14:textId="0DAF3A1B" w:rsidR="00DE3100" w:rsidRPr="00D549EE" w:rsidRDefault="00DE3100" w:rsidP="00C9582F">
            <w:pPr>
              <w:snapToGrid w:val="0"/>
              <w:contextualSpacing/>
              <w:rPr>
                <w:lang w:val="en-US"/>
              </w:rPr>
            </w:pPr>
            <w:r w:rsidRPr="00D549EE">
              <w:rPr>
                <w:lang w:val="en-US"/>
              </w:rPr>
              <w:t>Efficiency</w:t>
            </w:r>
          </w:p>
        </w:tc>
        <w:tc>
          <w:tcPr>
            <w:tcW w:w="0" w:type="auto"/>
            <w:gridSpan w:val="2"/>
          </w:tcPr>
          <w:p w14:paraId="1D3313B2" w14:textId="0F6919ED" w:rsidR="00DE3100" w:rsidRPr="00D549EE" w:rsidRDefault="00DE3100" w:rsidP="00C9582F">
            <w:pPr>
              <w:snapToGrid w:val="0"/>
              <w:contextualSpacing/>
              <w:rPr>
                <w:lang w:val="en-US"/>
              </w:rPr>
            </w:pPr>
            <w:r w:rsidRPr="00D549EE">
              <w:rPr>
                <w:lang w:val="en-US"/>
              </w:rPr>
              <w:t xml:space="preserve">Stability </w:t>
            </w:r>
          </w:p>
        </w:tc>
      </w:tr>
      <w:tr w:rsidR="005D7325" w:rsidRPr="00D549EE" w14:paraId="32C7C274" w14:textId="77777777" w:rsidTr="005D7325">
        <w:tc>
          <w:tcPr>
            <w:tcW w:w="0" w:type="auto"/>
          </w:tcPr>
          <w:p w14:paraId="58417E64" w14:textId="04D5B9D4" w:rsidR="005D7325" w:rsidRPr="00D549EE" w:rsidRDefault="005D7325" w:rsidP="00C9582F">
            <w:pPr>
              <w:snapToGrid w:val="0"/>
              <w:contextualSpacing/>
              <w:rPr>
                <w:lang w:val="en-US"/>
              </w:rPr>
            </w:pPr>
            <w:r w:rsidRPr="00D549EE">
              <w:rPr>
                <w:lang w:val="en-US"/>
              </w:rPr>
              <w:t>Fee income</w:t>
            </w:r>
          </w:p>
        </w:tc>
        <w:tc>
          <w:tcPr>
            <w:tcW w:w="0" w:type="auto"/>
          </w:tcPr>
          <w:p w14:paraId="639A9951" w14:textId="5EA327B6" w:rsidR="005D7325" w:rsidRPr="00D549EE" w:rsidRDefault="005D7325" w:rsidP="00C9582F">
            <w:pPr>
              <w:snapToGrid w:val="0"/>
              <w:contextualSpacing/>
              <w:rPr>
                <w:lang w:val="en-US"/>
              </w:rPr>
            </w:pPr>
            <w:r w:rsidRPr="00D549EE">
              <w:rPr>
                <w:lang w:val="en-US"/>
              </w:rPr>
              <w:t>Non-deposit funding</w:t>
            </w:r>
          </w:p>
        </w:tc>
        <w:tc>
          <w:tcPr>
            <w:tcW w:w="0" w:type="auto"/>
          </w:tcPr>
          <w:p w14:paraId="4D28FB7E" w14:textId="53954272" w:rsidR="005D7325" w:rsidRPr="00D549EE" w:rsidRDefault="005D7325" w:rsidP="00C9582F">
            <w:pPr>
              <w:snapToGrid w:val="0"/>
              <w:contextualSpacing/>
              <w:rPr>
                <w:lang w:val="en-US"/>
              </w:rPr>
            </w:pPr>
            <w:r w:rsidRPr="00D549EE">
              <w:rPr>
                <w:lang w:val="en-US"/>
              </w:rPr>
              <w:t>Loans deposit ratio</w:t>
            </w:r>
          </w:p>
        </w:tc>
        <w:tc>
          <w:tcPr>
            <w:tcW w:w="0" w:type="auto"/>
          </w:tcPr>
          <w:p w14:paraId="6C377D7D" w14:textId="1F6C188D" w:rsidR="005D7325" w:rsidRPr="00D549EE" w:rsidRDefault="005D7325" w:rsidP="00C9582F">
            <w:pPr>
              <w:snapToGrid w:val="0"/>
              <w:contextualSpacing/>
              <w:rPr>
                <w:lang w:val="en-US"/>
              </w:rPr>
            </w:pPr>
            <w:r w:rsidRPr="00D549EE">
              <w:rPr>
                <w:lang w:val="en-US"/>
              </w:rPr>
              <w:t>Cost income</w:t>
            </w:r>
          </w:p>
        </w:tc>
        <w:tc>
          <w:tcPr>
            <w:tcW w:w="0" w:type="auto"/>
          </w:tcPr>
          <w:p w14:paraId="27D6121C" w14:textId="69A48266" w:rsidR="005D7325" w:rsidRPr="00D549EE" w:rsidRDefault="005D7325" w:rsidP="00C9582F">
            <w:pPr>
              <w:snapToGrid w:val="0"/>
              <w:contextualSpacing/>
              <w:rPr>
                <w:lang w:val="en-US"/>
              </w:rPr>
            </w:pPr>
            <w:r w:rsidRPr="00D549EE">
              <w:rPr>
                <w:lang w:val="en-US"/>
              </w:rPr>
              <w:t>Overheads</w:t>
            </w:r>
          </w:p>
        </w:tc>
        <w:tc>
          <w:tcPr>
            <w:tcW w:w="0" w:type="auto"/>
          </w:tcPr>
          <w:p w14:paraId="7694525E" w14:textId="396404A0" w:rsidR="005D7325" w:rsidRPr="00D549EE" w:rsidRDefault="005D7325" w:rsidP="00C9582F">
            <w:pPr>
              <w:snapToGrid w:val="0"/>
              <w:contextualSpacing/>
            </w:pPr>
            <w:r w:rsidRPr="00D549EE">
              <w:rPr>
                <w:lang w:val="en-US"/>
              </w:rPr>
              <w:t>RO</w:t>
            </w:r>
            <w:r w:rsidRPr="00D549EE">
              <w:t>А</w:t>
            </w:r>
          </w:p>
        </w:tc>
        <w:tc>
          <w:tcPr>
            <w:tcW w:w="0" w:type="auto"/>
          </w:tcPr>
          <w:p w14:paraId="3328D915" w14:textId="15CBC7DF" w:rsidR="005D7325" w:rsidRPr="00D549EE" w:rsidRDefault="005D7325" w:rsidP="00C9582F">
            <w:pPr>
              <w:snapToGrid w:val="0"/>
              <w:contextualSpacing/>
              <w:rPr>
                <w:lang w:val="en-US"/>
              </w:rPr>
            </w:pPr>
            <w:r w:rsidRPr="00D549EE">
              <w:rPr>
                <w:lang w:val="en-US"/>
              </w:rPr>
              <w:t>CAR</w:t>
            </w:r>
          </w:p>
        </w:tc>
      </w:tr>
      <w:tr w:rsidR="005D7325" w:rsidRPr="00D549EE" w14:paraId="77A508D2" w14:textId="77777777" w:rsidTr="005D7325">
        <w:tc>
          <w:tcPr>
            <w:tcW w:w="0" w:type="auto"/>
          </w:tcPr>
          <w:p w14:paraId="0092FDA1" w14:textId="612479BA" w:rsidR="005D7325" w:rsidRPr="00D549EE" w:rsidRDefault="005D7325" w:rsidP="00C9582F">
            <w:pPr>
              <w:snapToGrid w:val="0"/>
              <w:contextualSpacing/>
              <w:rPr>
                <w:lang w:val="en-US"/>
              </w:rPr>
            </w:pPr>
            <w:r w:rsidRPr="00D549EE">
              <w:rPr>
                <w:lang w:val="en-US"/>
              </w:rPr>
              <w:t>31%</w:t>
            </w:r>
          </w:p>
        </w:tc>
        <w:tc>
          <w:tcPr>
            <w:tcW w:w="0" w:type="auto"/>
          </w:tcPr>
          <w:p w14:paraId="2218B686" w14:textId="262AA52B" w:rsidR="005D7325" w:rsidRPr="00D549EE" w:rsidRDefault="005D7325" w:rsidP="00C9582F">
            <w:pPr>
              <w:snapToGrid w:val="0"/>
              <w:contextualSpacing/>
              <w:rPr>
                <w:lang w:val="en-US"/>
              </w:rPr>
            </w:pPr>
            <w:r w:rsidRPr="00D549EE">
              <w:rPr>
                <w:lang w:val="en-US"/>
              </w:rPr>
              <w:t>48.8%</w:t>
            </w:r>
          </w:p>
        </w:tc>
        <w:tc>
          <w:tcPr>
            <w:tcW w:w="0" w:type="auto"/>
          </w:tcPr>
          <w:p w14:paraId="291EEC87" w14:textId="0968AFB5" w:rsidR="005D7325" w:rsidRPr="00D549EE" w:rsidRDefault="00DD1597" w:rsidP="00C9582F">
            <w:pPr>
              <w:snapToGrid w:val="0"/>
              <w:contextualSpacing/>
              <w:rPr>
                <w:lang w:val="en-US"/>
              </w:rPr>
            </w:pPr>
            <w:r w:rsidRPr="00D549EE">
              <w:rPr>
                <w:lang w:val="en-US"/>
              </w:rPr>
              <w:t>119.7%</w:t>
            </w:r>
          </w:p>
        </w:tc>
        <w:tc>
          <w:tcPr>
            <w:tcW w:w="0" w:type="auto"/>
          </w:tcPr>
          <w:p w14:paraId="2264BEB7" w14:textId="068B970F" w:rsidR="005D7325" w:rsidRPr="00D549EE" w:rsidRDefault="005D7325" w:rsidP="00C9582F">
            <w:pPr>
              <w:snapToGrid w:val="0"/>
              <w:contextualSpacing/>
              <w:rPr>
                <w:lang w:val="en-US"/>
              </w:rPr>
            </w:pPr>
            <w:r w:rsidRPr="00D549EE">
              <w:rPr>
                <w:lang w:val="en-US"/>
              </w:rPr>
              <w:t>127%</w:t>
            </w:r>
          </w:p>
        </w:tc>
        <w:tc>
          <w:tcPr>
            <w:tcW w:w="0" w:type="auto"/>
          </w:tcPr>
          <w:p w14:paraId="0DF52F23" w14:textId="0AFDD776" w:rsidR="005D7325" w:rsidRPr="00D549EE" w:rsidRDefault="0069406F" w:rsidP="00C9582F">
            <w:pPr>
              <w:snapToGrid w:val="0"/>
              <w:contextualSpacing/>
              <w:rPr>
                <w:lang w:val="en-US"/>
              </w:rPr>
            </w:pPr>
            <w:r w:rsidRPr="00D549EE">
              <w:rPr>
                <w:lang w:val="en-US"/>
              </w:rPr>
              <w:t>6</w:t>
            </w:r>
            <w:r w:rsidR="005D7325" w:rsidRPr="00D549EE">
              <w:rPr>
                <w:lang w:val="en-US"/>
              </w:rPr>
              <w:t>.</w:t>
            </w:r>
            <w:r w:rsidRPr="00D549EE">
              <w:rPr>
                <w:lang w:val="en-US"/>
              </w:rPr>
              <w:t>38</w:t>
            </w:r>
            <w:r w:rsidR="005D7325" w:rsidRPr="00D549EE">
              <w:rPr>
                <w:lang w:val="en-US"/>
              </w:rPr>
              <w:t>%</w:t>
            </w:r>
          </w:p>
        </w:tc>
        <w:tc>
          <w:tcPr>
            <w:tcW w:w="0" w:type="auto"/>
          </w:tcPr>
          <w:p w14:paraId="27D1E6D8" w14:textId="72E7AC15" w:rsidR="005D7325" w:rsidRPr="00D549EE" w:rsidRDefault="005D7325" w:rsidP="00C9582F">
            <w:pPr>
              <w:snapToGrid w:val="0"/>
              <w:contextualSpacing/>
              <w:rPr>
                <w:lang w:val="en-US"/>
              </w:rPr>
            </w:pPr>
            <w:r w:rsidRPr="00D549EE">
              <w:rPr>
                <w:lang w:val="en-US"/>
              </w:rPr>
              <w:t>0.75%</w:t>
            </w:r>
          </w:p>
        </w:tc>
        <w:tc>
          <w:tcPr>
            <w:tcW w:w="0" w:type="auto"/>
          </w:tcPr>
          <w:p w14:paraId="3A91C23A" w14:textId="1B2AFB00" w:rsidR="005D7325" w:rsidRPr="00D549EE" w:rsidRDefault="005D7325" w:rsidP="00C9582F">
            <w:pPr>
              <w:snapToGrid w:val="0"/>
              <w:contextualSpacing/>
              <w:rPr>
                <w:lang w:val="en-US"/>
              </w:rPr>
            </w:pPr>
            <w:r w:rsidRPr="00D549EE">
              <w:rPr>
                <w:lang w:val="en-US"/>
              </w:rPr>
              <w:t>30.7%</w:t>
            </w:r>
          </w:p>
        </w:tc>
      </w:tr>
      <w:tr w:rsidR="005D7325" w:rsidRPr="00FC685D" w14:paraId="1F6C86F0" w14:textId="77777777" w:rsidTr="007E7A00">
        <w:tc>
          <w:tcPr>
            <w:tcW w:w="0" w:type="auto"/>
            <w:gridSpan w:val="7"/>
          </w:tcPr>
          <w:p w14:paraId="65F91376" w14:textId="6D1CEE84" w:rsidR="005D7325" w:rsidRPr="00D549EE" w:rsidRDefault="00B119D2" w:rsidP="00C9582F">
            <w:pPr>
              <w:snapToGrid w:val="0"/>
              <w:contextualSpacing/>
              <w:rPr>
                <w:lang w:val="en-US"/>
              </w:rPr>
            </w:pPr>
            <w:r w:rsidRPr="00D549EE">
              <w:rPr>
                <w:color w:val="000000" w:themeColor="text1"/>
                <w:lang w:val="en-US"/>
              </w:rPr>
              <w:t xml:space="preserve">          </w:t>
            </w:r>
            <w:r w:rsidR="005D7325" w:rsidRPr="00D549EE">
              <w:rPr>
                <w:color w:val="000000" w:themeColor="text1"/>
                <w:lang w:val="en-US"/>
              </w:rPr>
              <w:t xml:space="preserve">Note </w:t>
            </w:r>
            <w:r w:rsidR="005D7325" w:rsidRPr="00D549EE">
              <w:rPr>
                <w:lang w:val="en-US"/>
              </w:rPr>
              <w:t xml:space="preserve">– </w:t>
            </w:r>
            <w:r w:rsidR="005D7325" w:rsidRPr="00D549EE">
              <w:rPr>
                <w:color w:val="000000" w:themeColor="text1"/>
                <w:lang w:val="en-US"/>
              </w:rPr>
              <w:t>Compiled and estimated by the author</w:t>
            </w:r>
          </w:p>
        </w:tc>
      </w:tr>
    </w:tbl>
    <w:p w14:paraId="3D79E0E3" w14:textId="77777777" w:rsidR="00CE4C7F" w:rsidRPr="00D549EE" w:rsidRDefault="00CE4C7F" w:rsidP="00C9582F">
      <w:pPr>
        <w:snapToGrid w:val="0"/>
        <w:contextualSpacing/>
        <w:jc w:val="both"/>
        <w:rPr>
          <w:color w:val="000000" w:themeColor="text1"/>
          <w:sz w:val="28"/>
          <w:szCs w:val="28"/>
          <w:lang w:val="en-US"/>
        </w:rPr>
      </w:pPr>
    </w:p>
    <w:p w14:paraId="74124E7E" w14:textId="77777777" w:rsidR="005113CA" w:rsidRPr="005113CA" w:rsidRDefault="00A92D73" w:rsidP="005113CA">
      <w:pPr>
        <w:snapToGrid w:val="0"/>
        <w:contextualSpacing/>
        <w:jc w:val="both"/>
        <w:rPr>
          <w:color w:val="000000" w:themeColor="text1"/>
          <w:sz w:val="28"/>
          <w:szCs w:val="28"/>
          <w:lang w:val="en-US"/>
        </w:rPr>
      </w:pPr>
      <w:r w:rsidRPr="00D549EE">
        <w:rPr>
          <w:b/>
          <w:color w:val="000000" w:themeColor="text1"/>
          <w:sz w:val="28"/>
          <w:szCs w:val="28"/>
          <w:lang w:val="en-US"/>
        </w:rPr>
        <w:tab/>
      </w:r>
      <w:r w:rsidR="005113CA" w:rsidRPr="005113CA">
        <w:rPr>
          <w:color w:val="000000" w:themeColor="text1"/>
          <w:sz w:val="28"/>
          <w:szCs w:val="28"/>
          <w:lang w:val="en-US"/>
        </w:rPr>
        <w:t xml:space="preserve">The first indicator of business orientation is in the frame of average indicators for banks – conventional and Islamic. According to T. Beck, the fee income indicator is 31%, while the average is 33% (from 5.7% to 68.2%), according to T. Beck. The loan to deposit ratio and the non-deposit funding ratio is out of the average indicator value of 119.7% (17.8%-110%) and 48.8% (0-13.9%). All three business model indicators for the bank are higher than conventional ones, which is the specificity of the Islamic banks. However, the efficiency indicators are less than conventional and in the frame of average, for cost-income – 127% (1%-714%), and overheads, which is the main indicator of bank efficiency – 6.38% (1%-5%).  </w:t>
      </w:r>
    </w:p>
    <w:p w14:paraId="7D5A3C9E" w14:textId="77777777" w:rsidR="005113CA" w:rsidRPr="005113CA" w:rsidRDefault="005113CA" w:rsidP="005113CA">
      <w:pPr>
        <w:snapToGrid w:val="0"/>
        <w:contextualSpacing/>
        <w:jc w:val="both"/>
        <w:rPr>
          <w:color w:val="000000" w:themeColor="text1"/>
          <w:sz w:val="28"/>
          <w:szCs w:val="28"/>
          <w:lang w:val="en-US"/>
        </w:rPr>
      </w:pPr>
      <w:r w:rsidRPr="005113CA">
        <w:rPr>
          <w:color w:val="000000" w:themeColor="text1"/>
          <w:sz w:val="28"/>
          <w:szCs w:val="28"/>
          <w:lang w:val="en-US"/>
        </w:rPr>
        <w:tab/>
        <w:t xml:space="preserve">If to turn to the social activity of the bank, the information is not available in any sources because, according to Shariah, using the social activities for promotion or marketing is strongly prohibited. </w:t>
      </w:r>
    </w:p>
    <w:p w14:paraId="09D47B8D" w14:textId="77777777" w:rsidR="005113CA" w:rsidRPr="005113CA" w:rsidRDefault="005113CA" w:rsidP="005113CA">
      <w:pPr>
        <w:snapToGrid w:val="0"/>
        <w:contextualSpacing/>
        <w:jc w:val="both"/>
        <w:rPr>
          <w:color w:val="000000" w:themeColor="text1"/>
          <w:sz w:val="28"/>
          <w:szCs w:val="28"/>
          <w:lang w:val="en-US"/>
        </w:rPr>
      </w:pPr>
      <w:r w:rsidRPr="005113CA">
        <w:rPr>
          <w:color w:val="000000" w:themeColor="text1"/>
          <w:sz w:val="28"/>
          <w:szCs w:val="28"/>
          <w:lang w:val="en-US"/>
        </w:rPr>
        <w:tab/>
        <w:t xml:space="preserve">There is a special account for charity uses where the funds received from the non-halal activity are accumulated, and fines and penalties to clients. This account forms the charity fund and is used for charity projects divided into two parts in Al-Hilal Bank, the first one is for the promotion and popularization of Islam, and the second one is assistance to the needy people, orphanages, and medical organizations. Zakat-fund of the Bank is formed from the zakat of the profit and organized at the ADCB group level. The bank's social activities are aimed at working with individuals and charitable foundations. </w:t>
      </w:r>
    </w:p>
    <w:p w14:paraId="37949755" w14:textId="77777777" w:rsidR="005113CA" w:rsidRPr="005113CA" w:rsidRDefault="005113CA" w:rsidP="005113CA">
      <w:pPr>
        <w:snapToGrid w:val="0"/>
        <w:contextualSpacing/>
        <w:jc w:val="both"/>
        <w:rPr>
          <w:color w:val="000000" w:themeColor="text1"/>
          <w:sz w:val="28"/>
          <w:szCs w:val="28"/>
          <w:lang w:val="en-US"/>
        </w:rPr>
      </w:pPr>
      <w:r w:rsidRPr="005113CA">
        <w:rPr>
          <w:color w:val="000000" w:themeColor="text1"/>
          <w:sz w:val="28"/>
          <w:szCs w:val="28"/>
          <w:lang w:val="en-US"/>
        </w:rPr>
        <w:tab/>
        <w:t xml:space="preserve">The bank does not have a particular service, department, or employee to assess the reliability of information about individuals in need. There were many cases of applying for help from cobblers and unscrupulous people. However, the unformal comity handles all requests and applications for assistance on a local level, and then requests are sent to the Shariah Board. The Shariah Board of Islamic Bank Al-Hilal is in the UAE, and funding for social projects is provided only after approval and decision. Bank mainly assists the individuals in regions of the country where there are more in need families than in large cities such as Almaty and Nur-Sultan. Furthermore, assistance is provided not in the form of cash and money, for example, payment for treatment, purchase of necessary equipment, and others. Thus, targeted and direct assistance is provided to the final consumer in need. </w:t>
      </w:r>
    </w:p>
    <w:p w14:paraId="5A7E59D1" w14:textId="77777777" w:rsidR="005113CA" w:rsidRPr="005113CA" w:rsidRDefault="005113CA" w:rsidP="005113CA">
      <w:pPr>
        <w:snapToGrid w:val="0"/>
        <w:contextualSpacing/>
        <w:jc w:val="both"/>
        <w:rPr>
          <w:color w:val="000000" w:themeColor="text1"/>
          <w:sz w:val="28"/>
          <w:szCs w:val="28"/>
          <w:lang w:val="en-US"/>
        </w:rPr>
      </w:pPr>
      <w:r w:rsidRPr="005113CA">
        <w:rPr>
          <w:color w:val="000000" w:themeColor="text1"/>
          <w:sz w:val="28"/>
          <w:szCs w:val="28"/>
          <w:lang w:val="en-US"/>
        </w:rPr>
        <w:tab/>
        <w:t xml:space="preserve">The social assistance to hospitals and other medical institutions for children with cerebral palsy and others is provided in the form of medical equipment, medical products, or in the form of repair work, which repair work, which is paid directly to the company's teams to eliminate speculation with the cash and money.  </w:t>
      </w:r>
    </w:p>
    <w:p w14:paraId="3C487AC5" w14:textId="77777777" w:rsidR="005113CA" w:rsidRPr="005113CA" w:rsidRDefault="005113CA" w:rsidP="005113CA">
      <w:pPr>
        <w:snapToGrid w:val="0"/>
        <w:contextualSpacing/>
        <w:jc w:val="both"/>
        <w:rPr>
          <w:color w:val="000000" w:themeColor="text1"/>
          <w:sz w:val="28"/>
          <w:szCs w:val="28"/>
          <w:lang w:val="en-US"/>
        </w:rPr>
      </w:pPr>
      <w:r w:rsidRPr="005113CA">
        <w:rPr>
          <w:color w:val="000000" w:themeColor="text1"/>
          <w:sz w:val="28"/>
          <w:szCs w:val="28"/>
          <w:lang w:val="en-US"/>
        </w:rPr>
        <w:tab/>
        <w:t xml:space="preserve">The educational projects supported by the bank have 3 types of social responsibility. Firstly, there have been organized extensive pieces of training for imams, about 200-300 listeners in each city, of the mosques in Islamic finance in Almaty, Nur-Sultan, Shymkent, and East Kazakhstan by scholars of Shariah board from Abu-Dhabi. The second type is to select the best Kazakh students for studying in UAE, in Islamic studies universities, and the bank cover payments for education, accommodation, and others. Three students have already graduated. The third direction is supporting educational organizations in Kazakhstan. As a result of the bank's support, this institution had high accreditation and provided a high quality of education. As can be seen from the information above, the social effects of the bank's supporting activity can be assessed in the number of graduated students from universities in UAE and from local educational organizations, participating listeners, and their dissemination of the knowledge gained. </w:t>
      </w:r>
    </w:p>
    <w:p w14:paraId="439ABB39" w14:textId="77777777" w:rsidR="005113CA" w:rsidRPr="005113CA" w:rsidRDefault="005113CA" w:rsidP="005113CA">
      <w:pPr>
        <w:snapToGrid w:val="0"/>
        <w:contextualSpacing/>
        <w:jc w:val="both"/>
        <w:rPr>
          <w:color w:val="000000" w:themeColor="text1"/>
          <w:sz w:val="28"/>
          <w:szCs w:val="28"/>
          <w:lang w:val="en-US"/>
        </w:rPr>
      </w:pPr>
      <w:r w:rsidRPr="005113CA">
        <w:rPr>
          <w:color w:val="000000" w:themeColor="text1"/>
          <w:sz w:val="28"/>
          <w:szCs w:val="28"/>
          <w:lang w:val="en-US"/>
        </w:rPr>
        <w:tab/>
        <w:t xml:space="preserve">One more direction of social activity is implemented through SAMK (Spiritual Muslims Administration of Kazakhstan). There have been projects such as the payment of utilities, food, and accommodation for children studying in the madrasah of Nur-Mubarak University. </w:t>
      </w:r>
    </w:p>
    <w:p w14:paraId="2F3D86D1" w14:textId="220D4383" w:rsidR="00A92D73" w:rsidRPr="00D549EE" w:rsidRDefault="005113CA" w:rsidP="005113CA">
      <w:pPr>
        <w:snapToGrid w:val="0"/>
        <w:contextualSpacing/>
        <w:jc w:val="both"/>
        <w:rPr>
          <w:color w:val="000000" w:themeColor="text1"/>
          <w:sz w:val="28"/>
          <w:szCs w:val="28"/>
          <w:lang w:val="en-US"/>
        </w:rPr>
      </w:pPr>
      <w:r w:rsidRPr="005113CA">
        <w:rPr>
          <w:color w:val="000000" w:themeColor="text1"/>
          <w:sz w:val="28"/>
          <w:szCs w:val="28"/>
          <w:lang w:val="en-US"/>
        </w:rPr>
        <w:tab/>
        <w:t xml:space="preserve"> There is a way to estimate the actual zakat of the bank shareholders, as Islamic financial institutions are obliged to zakat payment through the bank, and either shareholder pays it themselves. In the case of Islamic Bank Al-Hilal, the zakat amount is payable through the bank using zakat-fund.</w:t>
      </w:r>
      <w:r w:rsidR="00205F50" w:rsidRPr="00D549EE">
        <w:rPr>
          <w:color w:val="000000" w:themeColor="text1"/>
          <w:sz w:val="28"/>
          <w:szCs w:val="28"/>
          <w:lang w:val="en-US"/>
        </w:rPr>
        <w:t xml:space="preserve"> </w:t>
      </w:r>
    </w:p>
    <w:p w14:paraId="155BF478" w14:textId="03BE64AF" w:rsidR="00205F50" w:rsidRPr="00D549EE" w:rsidRDefault="00205F50" w:rsidP="00C9582F">
      <w:pPr>
        <w:snapToGrid w:val="0"/>
        <w:contextualSpacing/>
        <w:jc w:val="both"/>
        <w:rPr>
          <w:color w:val="000000" w:themeColor="text1"/>
          <w:sz w:val="28"/>
          <w:szCs w:val="28"/>
          <w:lang w:val="en-US"/>
        </w:rPr>
      </w:pPr>
    </w:p>
    <w:p w14:paraId="69EF9D15" w14:textId="5C2FE3C0" w:rsidR="00205F50" w:rsidRPr="00D549EE" w:rsidRDefault="00205F50" w:rsidP="00C9582F">
      <w:pPr>
        <w:snapToGrid w:val="0"/>
        <w:contextualSpacing/>
        <w:jc w:val="both"/>
        <w:rPr>
          <w:color w:val="000000" w:themeColor="text1"/>
          <w:sz w:val="28"/>
          <w:szCs w:val="28"/>
          <w:lang w:val="en-US"/>
        </w:rPr>
      </w:pPr>
      <w:r w:rsidRPr="00D549EE">
        <w:rPr>
          <w:color w:val="000000" w:themeColor="text1"/>
          <w:sz w:val="28"/>
          <w:szCs w:val="28"/>
          <w:lang w:val="en-US"/>
        </w:rPr>
        <w:t xml:space="preserve">Table </w:t>
      </w:r>
      <w:r w:rsidR="00B119D2" w:rsidRPr="00D549EE">
        <w:rPr>
          <w:color w:val="000000" w:themeColor="text1"/>
          <w:sz w:val="28"/>
          <w:szCs w:val="28"/>
          <w:lang w:val="en-US"/>
        </w:rPr>
        <w:t>3</w:t>
      </w:r>
      <w:r w:rsidR="004E76BC" w:rsidRPr="00D549EE">
        <w:rPr>
          <w:color w:val="000000" w:themeColor="text1"/>
          <w:sz w:val="28"/>
          <w:szCs w:val="28"/>
          <w:lang w:val="en-US"/>
        </w:rPr>
        <w:t>8</w:t>
      </w:r>
      <w:r w:rsidR="00ED1FCF" w:rsidRPr="00D549EE">
        <w:rPr>
          <w:b/>
          <w:color w:val="000000" w:themeColor="text1"/>
          <w:sz w:val="28"/>
          <w:szCs w:val="28"/>
          <w:lang w:val="en-US"/>
        </w:rPr>
        <w:t xml:space="preserve"> </w:t>
      </w:r>
      <w:r w:rsidR="00ED1FCF" w:rsidRPr="00D549EE">
        <w:rPr>
          <w:sz w:val="28"/>
          <w:szCs w:val="28"/>
          <w:lang w:val="en-US"/>
        </w:rPr>
        <w:t>–</w:t>
      </w:r>
      <w:r w:rsidRPr="00D549EE">
        <w:rPr>
          <w:color w:val="000000" w:themeColor="text1"/>
          <w:sz w:val="28"/>
          <w:szCs w:val="28"/>
          <w:lang w:val="en-US"/>
        </w:rPr>
        <w:t xml:space="preserve"> Zakat estimation of Islamic Bank Al-Hilal</w:t>
      </w:r>
      <w:r w:rsidR="00D135AE" w:rsidRPr="00D549EE">
        <w:rPr>
          <w:color w:val="000000" w:themeColor="text1"/>
          <w:sz w:val="28"/>
          <w:szCs w:val="28"/>
          <w:lang w:val="en-US"/>
        </w:rPr>
        <w:t xml:space="preserve"> for 2012-2020</w:t>
      </w:r>
      <w:r w:rsidRPr="00D549EE">
        <w:rPr>
          <w:color w:val="000000" w:themeColor="text1"/>
          <w:sz w:val="28"/>
          <w:szCs w:val="28"/>
          <w:lang w:val="en-US"/>
        </w:rPr>
        <w:t xml:space="preserve"> </w:t>
      </w:r>
    </w:p>
    <w:p w14:paraId="0D8EB8D0" w14:textId="77777777" w:rsidR="00205F50" w:rsidRPr="00D549EE" w:rsidRDefault="00205F50" w:rsidP="00C9582F">
      <w:pPr>
        <w:snapToGrid w:val="0"/>
        <w:contextualSpacing/>
        <w:jc w:val="both"/>
        <w:rPr>
          <w:color w:val="000000" w:themeColor="text1"/>
          <w:sz w:val="28"/>
          <w:szCs w:val="28"/>
          <w:lang w:val="en-US"/>
        </w:rPr>
      </w:pPr>
    </w:p>
    <w:tbl>
      <w:tblPr>
        <w:tblStyle w:val="a9"/>
        <w:tblW w:w="0" w:type="auto"/>
        <w:tblLook w:val="04A0" w:firstRow="1" w:lastRow="0" w:firstColumn="1" w:lastColumn="0" w:noHBand="0" w:noVBand="1"/>
      </w:tblPr>
      <w:tblGrid>
        <w:gridCol w:w="1409"/>
        <w:gridCol w:w="876"/>
        <w:gridCol w:w="986"/>
        <w:gridCol w:w="876"/>
        <w:gridCol w:w="876"/>
        <w:gridCol w:w="986"/>
        <w:gridCol w:w="986"/>
        <w:gridCol w:w="876"/>
        <w:gridCol w:w="876"/>
        <w:gridCol w:w="876"/>
      </w:tblGrid>
      <w:tr w:rsidR="00E5760F" w:rsidRPr="00D549EE" w14:paraId="0B0BCD05" w14:textId="24C69117" w:rsidTr="00E5760F">
        <w:tc>
          <w:tcPr>
            <w:tcW w:w="0" w:type="auto"/>
          </w:tcPr>
          <w:p w14:paraId="28B7D3EB" w14:textId="5E40814A"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Year</w:t>
            </w:r>
          </w:p>
        </w:tc>
        <w:tc>
          <w:tcPr>
            <w:tcW w:w="0" w:type="auto"/>
          </w:tcPr>
          <w:p w14:paraId="2F499F7C" w14:textId="079BE853"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2020</w:t>
            </w:r>
          </w:p>
        </w:tc>
        <w:tc>
          <w:tcPr>
            <w:tcW w:w="0" w:type="auto"/>
          </w:tcPr>
          <w:p w14:paraId="36782BF8" w14:textId="5C746CA7"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2019</w:t>
            </w:r>
          </w:p>
        </w:tc>
        <w:tc>
          <w:tcPr>
            <w:tcW w:w="0" w:type="auto"/>
          </w:tcPr>
          <w:p w14:paraId="3B3B8D5B" w14:textId="4D914EE5"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2018</w:t>
            </w:r>
          </w:p>
        </w:tc>
        <w:tc>
          <w:tcPr>
            <w:tcW w:w="0" w:type="auto"/>
          </w:tcPr>
          <w:p w14:paraId="76AAA1BD" w14:textId="59DC9C55"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2017</w:t>
            </w:r>
          </w:p>
        </w:tc>
        <w:tc>
          <w:tcPr>
            <w:tcW w:w="0" w:type="auto"/>
          </w:tcPr>
          <w:p w14:paraId="4A48BF48" w14:textId="07B5110E"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2016</w:t>
            </w:r>
          </w:p>
        </w:tc>
        <w:tc>
          <w:tcPr>
            <w:tcW w:w="0" w:type="auto"/>
          </w:tcPr>
          <w:p w14:paraId="33FA61E5" w14:textId="05DDC259"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2015</w:t>
            </w:r>
          </w:p>
        </w:tc>
        <w:tc>
          <w:tcPr>
            <w:tcW w:w="0" w:type="auto"/>
          </w:tcPr>
          <w:p w14:paraId="778B3051" w14:textId="4F40C774"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2014</w:t>
            </w:r>
          </w:p>
        </w:tc>
        <w:tc>
          <w:tcPr>
            <w:tcW w:w="0" w:type="auto"/>
          </w:tcPr>
          <w:p w14:paraId="4B93842B" w14:textId="14FFA916"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2013</w:t>
            </w:r>
          </w:p>
        </w:tc>
        <w:tc>
          <w:tcPr>
            <w:tcW w:w="0" w:type="auto"/>
          </w:tcPr>
          <w:p w14:paraId="70B8ED94" w14:textId="2E26515B"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2012</w:t>
            </w:r>
          </w:p>
        </w:tc>
      </w:tr>
      <w:tr w:rsidR="00E5760F" w:rsidRPr="00D549EE" w14:paraId="7600A1DD" w14:textId="017F38E3" w:rsidTr="00E5760F">
        <w:tc>
          <w:tcPr>
            <w:tcW w:w="0" w:type="auto"/>
          </w:tcPr>
          <w:p w14:paraId="5EC4E7F2" w14:textId="763BDFB8"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Profit in thousand tenge</w:t>
            </w:r>
          </w:p>
        </w:tc>
        <w:tc>
          <w:tcPr>
            <w:tcW w:w="0" w:type="auto"/>
          </w:tcPr>
          <w:p w14:paraId="4303126B" w14:textId="0096AABA" w:rsidR="007A3671" w:rsidRPr="00D549EE" w:rsidRDefault="00E5760F" w:rsidP="00C9582F">
            <w:pPr>
              <w:snapToGrid w:val="0"/>
              <w:contextualSpacing/>
              <w:rPr>
                <w:color w:val="000000" w:themeColor="text1"/>
                <w:sz w:val="22"/>
                <w:szCs w:val="22"/>
                <w:lang w:val="en-US"/>
              </w:rPr>
            </w:pPr>
            <w:r w:rsidRPr="00D549EE">
              <w:rPr>
                <w:color w:val="000000"/>
                <w:sz w:val="22"/>
                <w:szCs w:val="22"/>
              </w:rPr>
              <w:t>431896</w:t>
            </w:r>
          </w:p>
        </w:tc>
        <w:tc>
          <w:tcPr>
            <w:tcW w:w="0" w:type="auto"/>
          </w:tcPr>
          <w:p w14:paraId="67E6751A" w14:textId="7CB1761E" w:rsidR="007A3671" w:rsidRPr="00D549EE" w:rsidRDefault="00E5760F" w:rsidP="00C9582F">
            <w:pPr>
              <w:snapToGrid w:val="0"/>
              <w:contextualSpacing/>
              <w:rPr>
                <w:color w:val="000000" w:themeColor="text1"/>
                <w:sz w:val="22"/>
                <w:szCs w:val="22"/>
                <w:lang w:val="en-US"/>
              </w:rPr>
            </w:pPr>
            <w:r w:rsidRPr="00D549EE">
              <w:rPr>
                <w:color w:val="000000"/>
                <w:sz w:val="22"/>
                <w:szCs w:val="22"/>
              </w:rPr>
              <w:t>1401937</w:t>
            </w:r>
          </w:p>
        </w:tc>
        <w:tc>
          <w:tcPr>
            <w:tcW w:w="0" w:type="auto"/>
          </w:tcPr>
          <w:p w14:paraId="0F27454F" w14:textId="2D61A751" w:rsidR="007A3671" w:rsidRPr="00D549EE" w:rsidRDefault="00E5760F" w:rsidP="00C9582F">
            <w:pPr>
              <w:snapToGrid w:val="0"/>
              <w:contextualSpacing/>
              <w:rPr>
                <w:color w:val="000000" w:themeColor="text1"/>
                <w:sz w:val="22"/>
                <w:szCs w:val="22"/>
                <w:lang w:val="en-US"/>
              </w:rPr>
            </w:pPr>
            <w:r w:rsidRPr="00D549EE">
              <w:rPr>
                <w:color w:val="000000"/>
                <w:sz w:val="22"/>
                <w:szCs w:val="22"/>
              </w:rPr>
              <w:t>563599</w:t>
            </w:r>
          </w:p>
        </w:tc>
        <w:tc>
          <w:tcPr>
            <w:tcW w:w="0" w:type="auto"/>
          </w:tcPr>
          <w:p w14:paraId="709A9986" w14:textId="49D53318" w:rsidR="007A3671" w:rsidRPr="00D549EE" w:rsidRDefault="00E5760F" w:rsidP="00C9582F">
            <w:pPr>
              <w:snapToGrid w:val="0"/>
              <w:contextualSpacing/>
              <w:rPr>
                <w:color w:val="000000" w:themeColor="text1"/>
                <w:sz w:val="22"/>
                <w:szCs w:val="22"/>
                <w:lang w:val="en-US"/>
              </w:rPr>
            </w:pPr>
            <w:r w:rsidRPr="00D549EE">
              <w:rPr>
                <w:color w:val="000000"/>
                <w:sz w:val="22"/>
                <w:szCs w:val="22"/>
              </w:rPr>
              <w:t>816804</w:t>
            </w:r>
          </w:p>
        </w:tc>
        <w:tc>
          <w:tcPr>
            <w:tcW w:w="0" w:type="auto"/>
          </w:tcPr>
          <w:p w14:paraId="7BBAD1B9" w14:textId="41675C3E" w:rsidR="007A3671" w:rsidRPr="00D549EE" w:rsidRDefault="00E5760F" w:rsidP="00C9582F">
            <w:pPr>
              <w:snapToGrid w:val="0"/>
              <w:contextualSpacing/>
              <w:rPr>
                <w:color w:val="000000" w:themeColor="text1"/>
                <w:sz w:val="22"/>
                <w:szCs w:val="22"/>
                <w:lang w:val="en-US"/>
              </w:rPr>
            </w:pPr>
            <w:r w:rsidRPr="00D549EE">
              <w:rPr>
                <w:color w:val="000000"/>
                <w:sz w:val="22"/>
                <w:szCs w:val="22"/>
              </w:rPr>
              <w:t>1479073</w:t>
            </w:r>
          </w:p>
        </w:tc>
        <w:tc>
          <w:tcPr>
            <w:tcW w:w="0" w:type="auto"/>
          </w:tcPr>
          <w:p w14:paraId="016D079D" w14:textId="33666B34" w:rsidR="007A3671" w:rsidRPr="00D549EE" w:rsidRDefault="00E5760F" w:rsidP="00C9582F">
            <w:pPr>
              <w:snapToGrid w:val="0"/>
              <w:contextualSpacing/>
              <w:rPr>
                <w:color w:val="000000" w:themeColor="text1"/>
                <w:sz w:val="22"/>
                <w:szCs w:val="22"/>
                <w:lang w:val="en-US"/>
              </w:rPr>
            </w:pPr>
            <w:r w:rsidRPr="00D549EE">
              <w:rPr>
                <w:color w:val="000000"/>
                <w:sz w:val="22"/>
                <w:szCs w:val="22"/>
              </w:rPr>
              <w:t>1611872</w:t>
            </w:r>
          </w:p>
        </w:tc>
        <w:tc>
          <w:tcPr>
            <w:tcW w:w="0" w:type="auto"/>
          </w:tcPr>
          <w:p w14:paraId="1D67F6DB" w14:textId="7B745805" w:rsidR="007A3671" w:rsidRPr="00D549EE" w:rsidRDefault="00E5760F" w:rsidP="00C9582F">
            <w:pPr>
              <w:snapToGrid w:val="0"/>
              <w:contextualSpacing/>
              <w:rPr>
                <w:color w:val="000000" w:themeColor="text1"/>
                <w:sz w:val="22"/>
                <w:szCs w:val="22"/>
                <w:lang w:val="en-US"/>
              </w:rPr>
            </w:pPr>
            <w:r w:rsidRPr="00D549EE">
              <w:rPr>
                <w:color w:val="000000"/>
                <w:sz w:val="22"/>
                <w:szCs w:val="22"/>
              </w:rPr>
              <w:t>577552</w:t>
            </w:r>
          </w:p>
        </w:tc>
        <w:tc>
          <w:tcPr>
            <w:tcW w:w="0" w:type="auto"/>
          </w:tcPr>
          <w:p w14:paraId="0B35B046" w14:textId="249AC879" w:rsidR="007A3671" w:rsidRPr="00D549EE" w:rsidRDefault="00E5760F" w:rsidP="00C9582F">
            <w:pPr>
              <w:snapToGrid w:val="0"/>
              <w:contextualSpacing/>
              <w:rPr>
                <w:color w:val="000000" w:themeColor="text1"/>
                <w:sz w:val="22"/>
                <w:szCs w:val="22"/>
                <w:lang w:val="en-US"/>
              </w:rPr>
            </w:pPr>
            <w:r w:rsidRPr="00D549EE">
              <w:rPr>
                <w:color w:val="000000"/>
                <w:sz w:val="22"/>
                <w:szCs w:val="22"/>
              </w:rPr>
              <w:t>419906</w:t>
            </w:r>
          </w:p>
        </w:tc>
        <w:tc>
          <w:tcPr>
            <w:tcW w:w="0" w:type="auto"/>
          </w:tcPr>
          <w:p w14:paraId="08B60228" w14:textId="2DFDC3D6" w:rsidR="007A3671" w:rsidRPr="00D549EE" w:rsidRDefault="00E5760F" w:rsidP="00C9582F">
            <w:pPr>
              <w:snapToGrid w:val="0"/>
              <w:contextualSpacing/>
              <w:rPr>
                <w:color w:val="000000" w:themeColor="text1"/>
                <w:sz w:val="22"/>
                <w:szCs w:val="22"/>
                <w:lang w:val="en-US"/>
              </w:rPr>
            </w:pPr>
            <w:r w:rsidRPr="00D549EE">
              <w:rPr>
                <w:color w:val="000000"/>
                <w:sz w:val="22"/>
                <w:szCs w:val="22"/>
              </w:rPr>
              <w:t>303566</w:t>
            </w:r>
          </w:p>
        </w:tc>
      </w:tr>
      <w:tr w:rsidR="00E5760F" w:rsidRPr="00D549EE" w14:paraId="2B49C629" w14:textId="497D7A05" w:rsidTr="00E5760F">
        <w:tc>
          <w:tcPr>
            <w:tcW w:w="0" w:type="auto"/>
          </w:tcPr>
          <w:p w14:paraId="114E829D" w14:textId="6A4EB00F" w:rsidR="007A3671" w:rsidRPr="00D549EE" w:rsidRDefault="007A3671" w:rsidP="00C9582F">
            <w:pPr>
              <w:snapToGrid w:val="0"/>
              <w:contextualSpacing/>
              <w:rPr>
                <w:color w:val="000000" w:themeColor="text1"/>
                <w:sz w:val="22"/>
                <w:szCs w:val="22"/>
                <w:lang w:val="en-US"/>
              </w:rPr>
            </w:pPr>
            <w:r w:rsidRPr="00D549EE">
              <w:rPr>
                <w:color w:val="000000" w:themeColor="text1"/>
                <w:sz w:val="22"/>
                <w:szCs w:val="22"/>
                <w:lang w:val="en-US"/>
              </w:rPr>
              <w:t>Zakat</w:t>
            </w:r>
            <w:r w:rsidR="00D96B62" w:rsidRPr="00D549EE">
              <w:rPr>
                <w:color w:val="000000" w:themeColor="text1"/>
                <w:sz w:val="22"/>
                <w:szCs w:val="22"/>
                <w:lang w:val="en-US"/>
              </w:rPr>
              <w:t>*</w:t>
            </w:r>
            <w:r w:rsidRPr="00D549EE">
              <w:rPr>
                <w:color w:val="000000" w:themeColor="text1"/>
                <w:sz w:val="22"/>
                <w:szCs w:val="22"/>
                <w:lang w:val="en-US"/>
              </w:rPr>
              <w:t xml:space="preserve"> in thousand tenge</w:t>
            </w:r>
          </w:p>
        </w:tc>
        <w:tc>
          <w:tcPr>
            <w:tcW w:w="0" w:type="auto"/>
          </w:tcPr>
          <w:p w14:paraId="0BF58719" w14:textId="3BE10E6C" w:rsidR="007A3671" w:rsidRPr="00D549EE" w:rsidRDefault="00E5760F" w:rsidP="00C9582F">
            <w:pPr>
              <w:snapToGrid w:val="0"/>
              <w:contextualSpacing/>
              <w:rPr>
                <w:color w:val="000000" w:themeColor="text1"/>
                <w:sz w:val="22"/>
                <w:szCs w:val="22"/>
                <w:lang w:val="en-US"/>
              </w:rPr>
            </w:pPr>
            <w:r w:rsidRPr="00D549EE">
              <w:rPr>
                <w:color w:val="000000"/>
                <w:sz w:val="22"/>
                <w:szCs w:val="22"/>
              </w:rPr>
              <w:t>10</w:t>
            </w:r>
            <w:r w:rsidRPr="00D549EE">
              <w:rPr>
                <w:color w:val="000000"/>
                <w:sz w:val="22"/>
                <w:szCs w:val="22"/>
                <w:lang w:val="en-US"/>
              </w:rPr>
              <w:t xml:space="preserve"> </w:t>
            </w:r>
            <w:r w:rsidRPr="00D549EE">
              <w:rPr>
                <w:color w:val="000000"/>
                <w:sz w:val="22"/>
                <w:szCs w:val="22"/>
              </w:rPr>
              <w:t>797</w:t>
            </w:r>
          </w:p>
        </w:tc>
        <w:tc>
          <w:tcPr>
            <w:tcW w:w="0" w:type="auto"/>
          </w:tcPr>
          <w:p w14:paraId="654C7730" w14:textId="43F32272" w:rsidR="007A3671" w:rsidRPr="00D549EE" w:rsidRDefault="00E5760F" w:rsidP="00C9582F">
            <w:pPr>
              <w:snapToGrid w:val="0"/>
              <w:contextualSpacing/>
              <w:rPr>
                <w:color w:val="000000" w:themeColor="text1"/>
                <w:sz w:val="22"/>
                <w:szCs w:val="22"/>
                <w:lang w:val="en-US"/>
              </w:rPr>
            </w:pPr>
            <w:r w:rsidRPr="00D549EE">
              <w:rPr>
                <w:color w:val="000000"/>
                <w:sz w:val="22"/>
                <w:szCs w:val="22"/>
              </w:rPr>
              <w:t>35</w:t>
            </w:r>
            <w:r w:rsidRPr="00D549EE">
              <w:rPr>
                <w:color w:val="000000"/>
                <w:sz w:val="22"/>
                <w:szCs w:val="22"/>
                <w:lang w:val="en-US"/>
              </w:rPr>
              <w:t xml:space="preserve"> </w:t>
            </w:r>
            <w:r w:rsidRPr="00D549EE">
              <w:rPr>
                <w:color w:val="000000"/>
                <w:sz w:val="22"/>
                <w:szCs w:val="22"/>
              </w:rPr>
              <w:t>048</w:t>
            </w:r>
          </w:p>
        </w:tc>
        <w:tc>
          <w:tcPr>
            <w:tcW w:w="0" w:type="auto"/>
          </w:tcPr>
          <w:p w14:paraId="4185539D" w14:textId="617D47C1" w:rsidR="007A3671" w:rsidRPr="00D549EE" w:rsidRDefault="00E5760F" w:rsidP="00C9582F">
            <w:pPr>
              <w:snapToGrid w:val="0"/>
              <w:contextualSpacing/>
              <w:rPr>
                <w:color w:val="000000" w:themeColor="text1"/>
                <w:sz w:val="22"/>
                <w:szCs w:val="22"/>
                <w:lang w:val="en-US"/>
              </w:rPr>
            </w:pPr>
            <w:r w:rsidRPr="00D549EE">
              <w:rPr>
                <w:color w:val="000000"/>
                <w:sz w:val="22"/>
                <w:szCs w:val="22"/>
              </w:rPr>
              <w:t>14</w:t>
            </w:r>
            <w:r w:rsidRPr="00D549EE">
              <w:rPr>
                <w:color w:val="000000"/>
                <w:sz w:val="22"/>
                <w:szCs w:val="22"/>
                <w:lang w:val="en-US"/>
              </w:rPr>
              <w:t xml:space="preserve"> </w:t>
            </w:r>
            <w:r w:rsidRPr="00D549EE">
              <w:rPr>
                <w:color w:val="000000"/>
                <w:sz w:val="22"/>
                <w:szCs w:val="22"/>
              </w:rPr>
              <w:t>090</w:t>
            </w:r>
          </w:p>
        </w:tc>
        <w:tc>
          <w:tcPr>
            <w:tcW w:w="0" w:type="auto"/>
          </w:tcPr>
          <w:p w14:paraId="32E58C72" w14:textId="1E3696E0" w:rsidR="007A3671" w:rsidRPr="00D549EE" w:rsidRDefault="00E5760F" w:rsidP="00C9582F">
            <w:pPr>
              <w:snapToGrid w:val="0"/>
              <w:contextualSpacing/>
              <w:rPr>
                <w:color w:val="000000" w:themeColor="text1"/>
                <w:sz w:val="22"/>
                <w:szCs w:val="22"/>
                <w:lang w:val="en-US"/>
              </w:rPr>
            </w:pPr>
            <w:r w:rsidRPr="00D549EE">
              <w:rPr>
                <w:color w:val="000000"/>
                <w:sz w:val="22"/>
                <w:szCs w:val="22"/>
              </w:rPr>
              <w:t>20</w:t>
            </w:r>
            <w:r w:rsidRPr="00D549EE">
              <w:rPr>
                <w:color w:val="000000"/>
                <w:sz w:val="22"/>
                <w:szCs w:val="22"/>
                <w:lang w:val="en-US"/>
              </w:rPr>
              <w:t xml:space="preserve"> </w:t>
            </w:r>
            <w:r w:rsidRPr="00D549EE">
              <w:rPr>
                <w:color w:val="000000"/>
                <w:sz w:val="22"/>
                <w:szCs w:val="22"/>
              </w:rPr>
              <w:t>420</w:t>
            </w:r>
          </w:p>
        </w:tc>
        <w:tc>
          <w:tcPr>
            <w:tcW w:w="0" w:type="auto"/>
          </w:tcPr>
          <w:p w14:paraId="03FA2BAC" w14:textId="2F46C819" w:rsidR="007A3671" w:rsidRPr="00D549EE" w:rsidRDefault="00E5760F" w:rsidP="00C9582F">
            <w:pPr>
              <w:snapToGrid w:val="0"/>
              <w:contextualSpacing/>
              <w:rPr>
                <w:color w:val="000000" w:themeColor="text1"/>
                <w:sz w:val="22"/>
                <w:szCs w:val="22"/>
                <w:lang w:val="en-US"/>
              </w:rPr>
            </w:pPr>
            <w:r w:rsidRPr="00D549EE">
              <w:rPr>
                <w:color w:val="000000"/>
                <w:sz w:val="22"/>
                <w:szCs w:val="22"/>
              </w:rPr>
              <w:t>36</w:t>
            </w:r>
            <w:r w:rsidRPr="00D549EE">
              <w:rPr>
                <w:color w:val="000000"/>
                <w:sz w:val="22"/>
                <w:szCs w:val="22"/>
                <w:lang w:val="en-US"/>
              </w:rPr>
              <w:t xml:space="preserve"> </w:t>
            </w:r>
            <w:r w:rsidRPr="00D549EE">
              <w:rPr>
                <w:color w:val="000000"/>
                <w:sz w:val="22"/>
                <w:szCs w:val="22"/>
              </w:rPr>
              <w:t>977</w:t>
            </w:r>
          </w:p>
        </w:tc>
        <w:tc>
          <w:tcPr>
            <w:tcW w:w="0" w:type="auto"/>
          </w:tcPr>
          <w:p w14:paraId="2A720962" w14:textId="49772DD0" w:rsidR="007A3671" w:rsidRPr="00D549EE" w:rsidRDefault="00E5760F" w:rsidP="00C9582F">
            <w:pPr>
              <w:snapToGrid w:val="0"/>
              <w:contextualSpacing/>
              <w:rPr>
                <w:color w:val="000000" w:themeColor="text1"/>
                <w:sz w:val="22"/>
                <w:szCs w:val="22"/>
                <w:lang w:val="en-US"/>
              </w:rPr>
            </w:pPr>
            <w:r w:rsidRPr="00D549EE">
              <w:rPr>
                <w:color w:val="000000"/>
                <w:sz w:val="22"/>
                <w:szCs w:val="22"/>
              </w:rPr>
              <w:t>40</w:t>
            </w:r>
            <w:r w:rsidRPr="00D549EE">
              <w:rPr>
                <w:color w:val="000000"/>
                <w:sz w:val="22"/>
                <w:szCs w:val="22"/>
                <w:lang w:val="en-US"/>
              </w:rPr>
              <w:t xml:space="preserve"> </w:t>
            </w:r>
            <w:r w:rsidRPr="00D549EE">
              <w:rPr>
                <w:color w:val="000000"/>
                <w:sz w:val="22"/>
                <w:szCs w:val="22"/>
              </w:rPr>
              <w:t>297</w:t>
            </w:r>
          </w:p>
        </w:tc>
        <w:tc>
          <w:tcPr>
            <w:tcW w:w="0" w:type="auto"/>
          </w:tcPr>
          <w:p w14:paraId="1F5CAD62" w14:textId="7C257062" w:rsidR="007A3671" w:rsidRPr="00D549EE" w:rsidRDefault="00E5760F" w:rsidP="00C9582F">
            <w:pPr>
              <w:snapToGrid w:val="0"/>
              <w:contextualSpacing/>
              <w:rPr>
                <w:color w:val="000000" w:themeColor="text1"/>
                <w:sz w:val="22"/>
                <w:szCs w:val="22"/>
                <w:lang w:val="en-US"/>
              </w:rPr>
            </w:pPr>
            <w:r w:rsidRPr="00D549EE">
              <w:rPr>
                <w:color w:val="000000"/>
                <w:sz w:val="22"/>
                <w:szCs w:val="22"/>
              </w:rPr>
              <w:t>14</w:t>
            </w:r>
            <w:r w:rsidRPr="00D549EE">
              <w:rPr>
                <w:color w:val="000000"/>
                <w:sz w:val="22"/>
                <w:szCs w:val="22"/>
                <w:lang w:val="en-US"/>
              </w:rPr>
              <w:t xml:space="preserve"> </w:t>
            </w:r>
            <w:r w:rsidRPr="00D549EE">
              <w:rPr>
                <w:color w:val="000000"/>
                <w:sz w:val="22"/>
                <w:szCs w:val="22"/>
              </w:rPr>
              <w:t>439</w:t>
            </w:r>
          </w:p>
        </w:tc>
        <w:tc>
          <w:tcPr>
            <w:tcW w:w="0" w:type="auto"/>
          </w:tcPr>
          <w:p w14:paraId="23BC36FD" w14:textId="4355480D" w:rsidR="007A3671" w:rsidRPr="00D549EE" w:rsidRDefault="00E5760F" w:rsidP="00C9582F">
            <w:pPr>
              <w:snapToGrid w:val="0"/>
              <w:contextualSpacing/>
              <w:rPr>
                <w:color w:val="000000" w:themeColor="text1"/>
                <w:sz w:val="22"/>
                <w:szCs w:val="22"/>
                <w:lang w:val="en-US"/>
              </w:rPr>
            </w:pPr>
            <w:r w:rsidRPr="00D549EE">
              <w:rPr>
                <w:color w:val="000000"/>
                <w:sz w:val="22"/>
                <w:szCs w:val="22"/>
              </w:rPr>
              <w:t>10</w:t>
            </w:r>
            <w:r w:rsidRPr="00D549EE">
              <w:rPr>
                <w:color w:val="000000"/>
                <w:sz w:val="22"/>
                <w:szCs w:val="22"/>
                <w:lang w:val="en-US"/>
              </w:rPr>
              <w:t xml:space="preserve"> </w:t>
            </w:r>
            <w:r w:rsidRPr="00D549EE">
              <w:rPr>
                <w:color w:val="000000"/>
                <w:sz w:val="22"/>
                <w:szCs w:val="22"/>
              </w:rPr>
              <w:t>498</w:t>
            </w:r>
          </w:p>
        </w:tc>
        <w:tc>
          <w:tcPr>
            <w:tcW w:w="0" w:type="auto"/>
          </w:tcPr>
          <w:p w14:paraId="6DBEEDB7" w14:textId="39B9FCA8" w:rsidR="007A3671" w:rsidRPr="00D549EE" w:rsidRDefault="00E5760F" w:rsidP="00C9582F">
            <w:pPr>
              <w:snapToGrid w:val="0"/>
              <w:contextualSpacing/>
              <w:rPr>
                <w:color w:val="000000" w:themeColor="text1"/>
                <w:sz w:val="22"/>
                <w:szCs w:val="22"/>
                <w:lang w:val="en-US"/>
              </w:rPr>
            </w:pPr>
            <w:r w:rsidRPr="00D549EE">
              <w:rPr>
                <w:color w:val="000000"/>
                <w:sz w:val="22"/>
                <w:szCs w:val="22"/>
              </w:rPr>
              <w:t>7</w:t>
            </w:r>
            <w:r w:rsidRPr="00D549EE">
              <w:rPr>
                <w:color w:val="000000"/>
                <w:sz w:val="22"/>
                <w:szCs w:val="22"/>
                <w:lang w:val="en-US"/>
              </w:rPr>
              <w:t xml:space="preserve"> </w:t>
            </w:r>
            <w:r w:rsidRPr="00D549EE">
              <w:rPr>
                <w:color w:val="000000"/>
                <w:sz w:val="22"/>
                <w:szCs w:val="22"/>
              </w:rPr>
              <w:t>589</w:t>
            </w:r>
          </w:p>
        </w:tc>
      </w:tr>
      <w:tr w:rsidR="00E5760F" w:rsidRPr="00D549EE" w14:paraId="7B09D700" w14:textId="50B26A2F" w:rsidTr="00CE1B45">
        <w:tc>
          <w:tcPr>
            <w:tcW w:w="0" w:type="auto"/>
            <w:gridSpan w:val="10"/>
          </w:tcPr>
          <w:p w14:paraId="67A06BB5" w14:textId="502320A9" w:rsidR="00E5760F" w:rsidRPr="00D549EE" w:rsidRDefault="00B119D2" w:rsidP="00C9582F">
            <w:pPr>
              <w:snapToGrid w:val="0"/>
              <w:contextualSpacing/>
              <w:rPr>
                <w:color w:val="000000" w:themeColor="text1"/>
                <w:sz w:val="22"/>
                <w:szCs w:val="22"/>
                <w:lang w:val="en-US"/>
              </w:rPr>
            </w:pPr>
            <w:r w:rsidRPr="00D549EE">
              <w:rPr>
                <w:color w:val="000000" w:themeColor="text1"/>
                <w:sz w:val="22"/>
                <w:szCs w:val="22"/>
                <w:lang w:val="en-US"/>
              </w:rPr>
              <w:t xml:space="preserve">        </w:t>
            </w:r>
            <w:r w:rsidR="00ED1FCF" w:rsidRPr="00D549EE">
              <w:rPr>
                <w:color w:val="000000" w:themeColor="text1"/>
                <w:sz w:val="22"/>
                <w:szCs w:val="22"/>
                <w:lang w:val="en-US"/>
              </w:rPr>
              <w:t xml:space="preserve">Note </w:t>
            </w:r>
            <w:r w:rsidR="00ED1FCF" w:rsidRPr="00D549EE">
              <w:rPr>
                <w:sz w:val="28"/>
                <w:szCs w:val="28"/>
                <w:lang w:val="en-US"/>
              </w:rPr>
              <w:t xml:space="preserve">– </w:t>
            </w:r>
            <w:r w:rsidR="00E5760F" w:rsidRPr="00D549EE">
              <w:rPr>
                <w:color w:val="000000" w:themeColor="text1"/>
                <w:sz w:val="22"/>
                <w:szCs w:val="22"/>
                <w:lang w:val="en-US"/>
              </w:rPr>
              <w:t xml:space="preserve">Author’s own estimation </w:t>
            </w:r>
          </w:p>
        </w:tc>
      </w:tr>
    </w:tbl>
    <w:p w14:paraId="3A292CD2" w14:textId="2E46B738" w:rsidR="00205F50" w:rsidRPr="00D549EE" w:rsidRDefault="00205F50" w:rsidP="00C9582F">
      <w:pPr>
        <w:snapToGrid w:val="0"/>
        <w:contextualSpacing/>
        <w:jc w:val="both"/>
        <w:rPr>
          <w:color w:val="000000" w:themeColor="text1"/>
          <w:sz w:val="28"/>
          <w:szCs w:val="28"/>
          <w:lang w:val="en-US"/>
        </w:rPr>
      </w:pPr>
    </w:p>
    <w:p w14:paraId="0A03D9E1" w14:textId="77777777" w:rsidR="00C64857" w:rsidRPr="00C64857" w:rsidRDefault="00D53E47" w:rsidP="00C64857">
      <w:pPr>
        <w:snapToGrid w:val="0"/>
        <w:contextualSpacing/>
        <w:jc w:val="both"/>
        <w:rPr>
          <w:color w:val="000000" w:themeColor="text1"/>
          <w:sz w:val="28"/>
          <w:szCs w:val="28"/>
          <w:lang w:val="en-US"/>
        </w:rPr>
      </w:pPr>
      <w:r w:rsidRPr="00D549EE">
        <w:rPr>
          <w:b/>
          <w:color w:val="000000" w:themeColor="text1"/>
          <w:sz w:val="28"/>
          <w:szCs w:val="28"/>
          <w:lang w:val="en-US"/>
        </w:rPr>
        <w:tab/>
      </w:r>
      <w:r w:rsidR="00C64857" w:rsidRPr="00C64857">
        <w:rPr>
          <w:color w:val="000000" w:themeColor="text1"/>
          <w:sz w:val="28"/>
          <w:szCs w:val="28"/>
          <w:lang w:val="en-US"/>
        </w:rPr>
        <w:t xml:space="preserve">The table above illustrates the zakat payment of Islamic Bank Al-Hilal for 9 years of taking profit from the Bank. The Islamic financial institutions are responsible for paying zakat every year by shariah, and mostly zakat must be paid in the country where profit was earned. </w:t>
      </w:r>
    </w:p>
    <w:p w14:paraId="50CA4529" w14:textId="77777777" w:rsidR="00C64857" w:rsidRPr="00C64857" w:rsidRDefault="00C64857" w:rsidP="00C64857">
      <w:pPr>
        <w:snapToGrid w:val="0"/>
        <w:contextualSpacing/>
        <w:jc w:val="both"/>
        <w:rPr>
          <w:color w:val="000000" w:themeColor="text1"/>
          <w:sz w:val="28"/>
          <w:szCs w:val="28"/>
          <w:lang w:val="en-US"/>
        </w:rPr>
      </w:pPr>
      <w:r w:rsidRPr="00C64857">
        <w:rPr>
          <w:color w:val="000000" w:themeColor="text1"/>
          <w:sz w:val="28"/>
          <w:szCs w:val="28"/>
          <w:lang w:val="en-US"/>
        </w:rPr>
        <w:tab/>
        <w:t>Islamic Bank Zaman JSC. The interview respondent was the top manager of the Bank – Interviewer 3. Zaman Bank was founded in 1991 and is one of the five oldest banks in Kazakhstan. The Bank has 27 years of banking successful activity experience. As Islamic Bank, it was converted in 2017 from the conventional Bank with a long way of conversation from the initiation of the conversion procedure in 2013. The major participants of the Bank are Tasbolat Abguzhinov, Bekbolat Abguzhinov, and Alan Abguzhinov (95%). The Islamic Corporation for Private Sector Development (ICD), a multilateral organization and a member of the Islamic Development Bank (IDB) group, is also a shareholder of the Bank (5%). Furthermore, the Bank is a partner of the Shariah Review Bureau, a member of the Malaysian Commodity Exchange “Bursa Malaysia,” a member of the Kazakhstan Stock Exchange, and has a representative office in the Astana International Financial Center (AIFC). There are 70-80 employees in the Bank for all branches in Kazakhstan.</w:t>
      </w:r>
    </w:p>
    <w:p w14:paraId="474D2222" w14:textId="1884B857" w:rsidR="00C64857" w:rsidRDefault="00C64857" w:rsidP="00C64857">
      <w:pPr>
        <w:snapToGrid w:val="0"/>
        <w:contextualSpacing/>
        <w:jc w:val="both"/>
        <w:rPr>
          <w:color w:val="000000" w:themeColor="text1"/>
          <w:sz w:val="28"/>
          <w:szCs w:val="28"/>
          <w:lang w:val="en-US"/>
        </w:rPr>
      </w:pPr>
      <w:r w:rsidRPr="00C64857">
        <w:rPr>
          <w:color w:val="000000" w:themeColor="text1"/>
          <w:sz w:val="28"/>
          <w:szCs w:val="28"/>
          <w:lang w:val="en-US"/>
        </w:rPr>
        <w:tab/>
        <w:t>The main target clients of the Bank are small and medium companies and individuals. The list of services provided fully complies with the requirements of the banking legislation of the country. The main instruments of the Bank for individuals and companies are Mudaraba and Wakala, the starting financing of which is 100 US dollars for individuals and 1500 US dollars for companies. Being Islamic Bank, financial institutions try to be among the competitive banks of the country and offer favorable operating rates. The Bank provides an internet banking system for clients but does not provide the application. As the card system providing is expensive and needs processing center solutions, being the associate member of the Visa or Master Card for the international payment system, Bank does not have their own card system these days</w:t>
      </w:r>
    </w:p>
    <w:p w14:paraId="36A092FC" w14:textId="77777777" w:rsidR="00B71E0A" w:rsidRPr="00D549EE" w:rsidRDefault="00B71E0A" w:rsidP="00C64857">
      <w:pPr>
        <w:snapToGrid w:val="0"/>
        <w:contextualSpacing/>
        <w:jc w:val="both"/>
        <w:rPr>
          <w:color w:val="000000" w:themeColor="text1"/>
          <w:sz w:val="28"/>
          <w:szCs w:val="28"/>
          <w:lang w:val="en-US"/>
        </w:rPr>
      </w:pPr>
    </w:p>
    <w:p w14:paraId="44CC40E4" w14:textId="412903B9" w:rsidR="004051B9" w:rsidRPr="00D549EE" w:rsidRDefault="004051B9" w:rsidP="00C9582F">
      <w:pPr>
        <w:snapToGrid w:val="0"/>
        <w:contextualSpacing/>
        <w:jc w:val="both"/>
        <w:rPr>
          <w:color w:val="000000" w:themeColor="text1"/>
          <w:sz w:val="28"/>
          <w:szCs w:val="28"/>
          <w:lang w:val="en-US"/>
        </w:rPr>
      </w:pPr>
      <w:r w:rsidRPr="00D549EE">
        <w:rPr>
          <w:sz w:val="28"/>
          <w:szCs w:val="28"/>
          <w:lang w:val="en-US"/>
        </w:rPr>
        <w:t xml:space="preserve">Table </w:t>
      </w:r>
      <w:r w:rsidR="001A7B0E" w:rsidRPr="00D549EE">
        <w:rPr>
          <w:sz w:val="28"/>
          <w:szCs w:val="28"/>
          <w:lang w:val="en-US"/>
        </w:rPr>
        <w:t>3</w:t>
      </w:r>
      <w:r w:rsidR="004E76BC" w:rsidRPr="00D549EE">
        <w:rPr>
          <w:sz w:val="28"/>
          <w:szCs w:val="28"/>
          <w:lang w:val="en-US"/>
        </w:rPr>
        <w:t>9</w:t>
      </w:r>
      <w:r w:rsidR="00ED1FCF" w:rsidRPr="00D549EE">
        <w:rPr>
          <w:b/>
          <w:sz w:val="28"/>
          <w:szCs w:val="28"/>
          <w:lang w:val="en-US"/>
        </w:rPr>
        <w:t xml:space="preserve"> </w:t>
      </w:r>
      <w:r w:rsidR="00ED1FCF" w:rsidRPr="00D549EE">
        <w:rPr>
          <w:sz w:val="28"/>
          <w:szCs w:val="28"/>
          <w:lang w:val="en-US"/>
        </w:rPr>
        <w:t>–</w:t>
      </w:r>
      <w:r w:rsidRPr="00D549EE">
        <w:rPr>
          <w:sz w:val="28"/>
          <w:szCs w:val="28"/>
          <w:lang w:val="en-US"/>
        </w:rPr>
        <w:t xml:space="preserve"> Financial statement of Islamic Bank Zaman JSC for 2020</w:t>
      </w:r>
    </w:p>
    <w:p w14:paraId="3A9BBE50" w14:textId="4BC40E23" w:rsidR="00D53E47" w:rsidRPr="00D549EE" w:rsidRDefault="00D53E47" w:rsidP="00C9582F">
      <w:pPr>
        <w:snapToGrid w:val="0"/>
        <w:contextualSpacing/>
        <w:jc w:val="both"/>
        <w:rPr>
          <w:color w:val="000000" w:themeColor="text1"/>
          <w:sz w:val="28"/>
          <w:szCs w:val="28"/>
          <w:lang w:val="en-US"/>
        </w:rPr>
      </w:pPr>
    </w:p>
    <w:tbl>
      <w:tblPr>
        <w:tblStyle w:val="a9"/>
        <w:tblW w:w="0" w:type="auto"/>
        <w:tblLook w:val="04A0" w:firstRow="1" w:lastRow="0" w:firstColumn="1" w:lastColumn="0" w:noHBand="0" w:noVBand="1"/>
      </w:tblPr>
      <w:tblGrid>
        <w:gridCol w:w="5637"/>
        <w:gridCol w:w="1984"/>
        <w:gridCol w:w="1950"/>
      </w:tblGrid>
      <w:tr w:rsidR="004051B9" w:rsidRPr="00D549EE" w14:paraId="12CB90D8" w14:textId="77777777" w:rsidTr="005A053C">
        <w:tc>
          <w:tcPr>
            <w:tcW w:w="5637" w:type="dxa"/>
          </w:tcPr>
          <w:p w14:paraId="4FA07734" w14:textId="77777777" w:rsidR="004051B9" w:rsidRPr="00D549EE" w:rsidRDefault="004051B9" w:rsidP="00C9582F">
            <w:pPr>
              <w:rPr>
                <w:lang w:val="en-US"/>
              </w:rPr>
            </w:pPr>
          </w:p>
        </w:tc>
        <w:tc>
          <w:tcPr>
            <w:tcW w:w="1984" w:type="dxa"/>
          </w:tcPr>
          <w:p w14:paraId="5A09E007" w14:textId="77777777" w:rsidR="004051B9" w:rsidRPr="00D549EE" w:rsidRDefault="004051B9" w:rsidP="00C9582F">
            <w:pPr>
              <w:rPr>
                <w:lang w:val="en-US"/>
              </w:rPr>
            </w:pPr>
            <w:r w:rsidRPr="00D549EE">
              <w:rPr>
                <w:lang w:val="kk-KZ"/>
              </w:rPr>
              <w:t>01</w:t>
            </w:r>
            <w:r w:rsidRPr="00D549EE">
              <w:rPr>
                <w:lang w:val="en-US"/>
              </w:rPr>
              <w:t>.01.2021</w:t>
            </w:r>
          </w:p>
          <w:p w14:paraId="47E45A17" w14:textId="77777777" w:rsidR="004051B9" w:rsidRPr="00D549EE" w:rsidRDefault="004051B9" w:rsidP="00C9582F">
            <w:r w:rsidRPr="00D549EE">
              <w:rPr>
                <w:lang w:val="en-US"/>
              </w:rPr>
              <w:t>(thousand tenge</w:t>
            </w:r>
            <w:r w:rsidRPr="00D549EE">
              <w:t>)</w:t>
            </w:r>
          </w:p>
        </w:tc>
        <w:tc>
          <w:tcPr>
            <w:tcW w:w="1950" w:type="dxa"/>
          </w:tcPr>
          <w:p w14:paraId="1E60ED43" w14:textId="77777777" w:rsidR="004051B9" w:rsidRPr="00D549EE" w:rsidRDefault="004051B9" w:rsidP="00C9582F">
            <w:r w:rsidRPr="00D549EE">
              <w:rPr>
                <w:lang w:val="kk-KZ"/>
              </w:rPr>
              <w:t>01</w:t>
            </w:r>
            <w:r w:rsidRPr="00D549EE">
              <w:t>.01.2020</w:t>
            </w:r>
          </w:p>
          <w:p w14:paraId="077AF311" w14:textId="77777777" w:rsidR="004051B9" w:rsidRPr="00D549EE" w:rsidRDefault="004051B9" w:rsidP="00C9582F">
            <w:r w:rsidRPr="00D549EE">
              <w:t>(</w:t>
            </w:r>
            <w:r w:rsidRPr="00D549EE">
              <w:rPr>
                <w:lang w:val="en-US"/>
              </w:rPr>
              <w:t>thousand tenge</w:t>
            </w:r>
            <w:r w:rsidRPr="00D549EE">
              <w:t>)</w:t>
            </w:r>
          </w:p>
        </w:tc>
      </w:tr>
      <w:tr w:rsidR="004051B9" w:rsidRPr="00D549EE" w14:paraId="290BD220" w14:textId="77777777" w:rsidTr="005A053C">
        <w:tc>
          <w:tcPr>
            <w:tcW w:w="9571" w:type="dxa"/>
            <w:gridSpan w:val="3"/>
          </w:tcPr>
          <w:p w14:paraId="268074C1" w14:textId="77777777" w:rsidR="004051B9" w:rsidRPr="00D549EE" w:rsidRDefault="004051B9" w:rsidP="00C9582F">
            <w:pPr>
              <w:rPr>
                <w:lang w:val="en-US"/>
              </w:rPr>
            </w:pPr>
            <w:r w:rsidRPr="00D549EE">
              <w:rPr>
                <w:lang w:val="en-US"/>
              </w:rPr>
              <w:t>Assets</w:t>
            </w:r>
          </w:p>
        </w:tc>
      </w:tr>
      <w:tr w:rsidR="004051B9" w:rsidRPr="00D549EE" w14:paraId="4AE3F38F" w14:textId="77777777" w:rsidTr="005A053C">
        <w:tc>
          <w:tcPr>
            <w:tcW w:w="5637" w:type="dxa"/>
          </w:tcPr>
          <w:p w14:paraId="4588F070" w14:textId="6AFBF14E" w:rsidR="004051B9" w:rsidRPr="00D549EE" w:rsidRDefault="004051B9" w:rsidP="00C9582F">
            <w:pPr>
              <w:rPr>
                <w:lang w:val="kk-KZ"/>
              </w:rPr>
            </w:pPr>
            <w:r w:rsidRPr="00D549EE">
              <w:rPr>
                <w:lang w:val="en-US"/>
              </w:rPr>
              <w:t>Cash</w:t>
            </w:r>
            <w:r w:rsidR="00A67A26" w:rsidRPr="00D549EE">
              <w:rPr>
                <w:lang w:val="en-US"/>
              </w:rPr>
              <w:t xml:space="preserve"> and equivalents</w:t>
            </w:r>
          </w:p>
        </w:tc>
        <w:tc>
          <w:tcPr>
            <w:tcW w:w="1984" w:type="dxa"/>
          </w:tcPr>
          <w:p w14:paraId="317CD839" w14:textId="300FF661" w:rsidR="004051B9" w:rsidRPr="00D549EE" w:rsidRDefault="00A67A26" w:rsidP="00C9582F">
            <w:pPr>
              <w:pStyle w:val="a5"/>
            </w:pPr>
            <w:r w:rsidRPr="00D549EE">
              <w:t xml:space="preserve">6 571 920 </w:t>
            </w:r>
          </w:p>
        </w:tc>
        <w:tc>
          <w:tcPr>
            <w:tcW w:w="1950" w:type="dxa"/>
          </w:tcPr>
          <w:p w14:paraId="1D7FCCE3" w14:textId="36508720" w:rsidR="004051B9" w:rsidRPr="00D549EE" w:rsidRDefault="00A67A26" w:rsidP="00C9582F">
            <w:pPr>
              <w:pStyle w:val="a5"/>
            </w:pPr>
            <w:r w:rsidRPr="00D549EE">
              <w:t xml:space="preserve">5 165 428 </w:t>
            </w:r>
          </w:p>
        </w:tc>
      </w:tr>
      <w:tr w:rsidR="004051B9" w:rsidRPr="00D549EE" w14:paraId="5653E46A" w14:textId="77777777" w:rsidTr="005A053C">
        <w:tc>
          <w:tcPr>
            <w:tcW w:w="5637" w:type="dxa"/>
          </w:tcPr>
          <w:p w14:paraId="19523161" w14:textId="77777777" w:rsidR="004051B9" w:rsidRPr="00D549EE" w:rsidRDefault="004051B9" w:rsidP="00C9582F">
            <w:pPr>
              <w:rPr>
                <w:lang w:val="en-US"/>
              </w:rPr>
            </w:pPr>
            <w:r w:rsidRPr="00D549EE">
              <w:rPr>
                <w:color w:val="000000"/>
                <w:shd w:val="clear" w:color="auto" w:fill="FFFFFF"/>
                <w:lang w:val="en-US"/>
              </w:rPr>
              <w:t>Debts of banks and other financial organizations</w:t>
            </w:r>
          </w:p>
        </w:tc>
        <w:tc>
          <w:tcPr>
            <w:tcW w:w="1984" w:type="dxa"/>
          </w:tcPr>
          <w:p w14:paraId="013D1FBF" w14:textId="1DB9F875" w:rsidR="004051B9" w:rsidRPr="00D549EE" w:rsidRDefault="00A67A26" w:rsidP="00C9582F">
            <w:pPr>
              <w:pStyle w:val="a5"/>
            </w:pPr>
            <w:r w:rsidRPr="00D549EE">
              <w:t xml:space="preserve">1 850 334 </w:t>
            </w:r>
          </w:p>
        </w:tc>
        <w:tc>
          <w:tcPr>
            <w:tcW w:w="1950" w:type="dxa"/>
          </w:tcPr>
          <w:p w14:paraId="20F79D22" w14:textId="5C11BF03" w:rsidR="004051B9" w:rsidRPr="00D549EE" w:rsidRDefault="00A67A26" w:rsidP="00C9582F">
            <w:pPr>
              <w:pStyle w:val="a5"/>
            </w:pPr>
            <w:r w:rsidRPr="00D549EE">
              <w:t xml:space="preserve">2 805 502 </w:t>
            </w:r>
          </w:p>
        </w:tc>
      </w:tr>
      <w:tr w:rsidR="004051B9" w:rsidRPr="00D549EE" w14:paraId="1FB43AB5" w14:textId="77777777" w:rsidTr="005A053C">
        <w:tc>
          <w:tcPr>
            <w:tcW w:w="5637" w:type="dxa"/>
          </w:tcPr>
          <w:p w14:paraId="6B6E8B49" w14:textId="77777777" w:rsidR="004051B9" w:rsidRPr="00D549EE" w:rsidRDefault="004051B9" w:rsidP="00C9582F">
            <w:pPr>
              <w:rPr>
                <w:lang w:val="en-US"/>
              </w:rPr>
            </w:pPr>
            <w:r w:rsidRPr="00D549EE">
              <w:rPr>
                <w:lang w:val="en-US"/>
              </w:rPr>
              <w:t xml:space="preserve">Requirements to customers </w:t>
            </w:r>
          </w:p>
        </w:tc>
        <w:tc>
          <w:tcPr>
            <w:tcW w:w="1984" w:type="dxa"/>
          </w:tcPr>
          <w:p w14:paraId="0AE270B3" w14:textId="5836781C" w:rsidR="004051B9" w:rsidRPr="00D549EE" w:rsidRDefault="00A67A26" w:rsidP="00C9582F">
            <w:pPr>
              <w:pStyle w:val="a5"/>
            </w:pPr>
            <w:r w:rsidRPr="00D549EE">
              <w:t xml:space="preserve">19 936 </w:t>
            </w:r>
          </w:p>
        </w:tc>
        <w:tc>
          <w:tcPr>
            <w:tcW w:w="1950" w:type="dxa"/>
          </w:tcPr>
          <w:p w14:paraId="2C0A3C33" w14:textId="16EFC00F" w:rsidR="004051B9" w:rsidRPr="00D549EE" w:rsidRDefault="00A67A26" w:rsidP="00C9582F">
            <w:pPr>
              <w:pStyle w:val="a5"/>
            </w:pPr>
            <w:r w:rsidRPr="00D549EE">
              <w:t>2</w:t>
            </w:r>
            <w:r w:rsidRPr="00D549EE">
              <w:rPr>
                <w:lang w:val="en-US"/>
              </w:rPr>
              <w:t>6</w:t>
            </w:r>
            <w:r w:rsidRPr="00D549EE">
              <w:t xml:space="preserve"> 252 </w:t>
            </w:r>
          </w:p>
        </w:tc>
      </w:tr>
      <w:tr w:rsidR="004051B9" w:rsidRPr="00D549EE" w14:paraId="6DE10351" w14:textId="77777777" w:rsidTr="005A053C">
        <w:tc>
          <w:tcPr>
            <w:tcW w:w="5637" w:type="dxa"/>
          </w:tcPr>
          <w:p w14:paraId="603D04D9" w14:textId="4ACF71CD" w:rsidR="004051B9" w:rsidRPr="00D549EE" w:rsidRDefault="00A67A26" w:rsidP="00C9582F">
            <w:pPr>
              <w:rPr>
                <w:lang w:val="en-US"/>
              </w:rPr>
            </w:pPr>
            <w:r w:rsidRPr="00D549EE">
              <w:rPr>
                <w:lang w:val="en-US"/>
              </w:rPr>
              <w:t>Fixed assets</w:t>
            </w:r>
          </w:p>
        </w:tc>
        <w:tc>
          <w:tcPr>
            <w:tcW w:w="1984" w:type="dxa"/>
          </w:tcPr>
          <w:p w14:paraId="1FEFE388" w14:textId="3A382163" w:rsidR="004051B9" w:rsidRPr="00D549EE" w:rsidRDefault="00A67A26" w:rsidP="00C9582F">
            <w:pPr>
              <w:pStyle w:val="a5"/>
            </w:pPr>
            <w:r w:rsidRPr="00D549EE">
              <w:t xml:space="preserve">49 078 </w:t>
            </w:r>
          </w:p>
        </w:tc>
        <w:tc>
          <w:tcPr>
            <w:tcW w:w="1950" w:type="dxa"/>
          </w:tcPr>
          <w:p w14:paraId="50F8A50F" w14:textId="599A8F05" w:rsidR="004051B9" w:rsidRPr="00D549EE" w:rsidRDefault="00A67A26" w:rsidP="00C9582F">
            <w:pPr>
              <w:pStyle w:val="a5"/>
            </w:pPr>
            <w:r w:rsidRPr="00D549EE">
              <w:t xml:space="preserve">48 616 </w:t>
            </w:r>
          </w:p>
        </w:tc>
      </w:tr>
      <w:tr w:rsidR="004051B9" w:rsidRPr="00D549EE" w14:paraId="444C878F" w14:textId="77777777" w:rsidTr="005A053C">
        <w:tc>
          <w:tcPr>
            <w:tcW w:w="5637" w:type="dxa"/>
          </w:tcPr>
          <w:p w14:paraId="6C493694" w14:textId="7557C9AD" w:rsidR="004051B9" w:rsidRPr="00D549EE" w:rsidRDefault="00A67A26" w:rsidP="00C9582F">
            <w:r w:rsidRPr="00D549EE">
              <w:rPr>
                <w:lang w:val="en-US"/>
              </w:rPr>
              <w:t>Islamic finance receivables</w:t>
            </w:r>
          </w:p>
        </w:tc>
        <w:tc>
          <w:tcPr>
            <w:tcW w:w="1984" w:type="dxa"/>
          </w:tcPr>
          <w:p w14:paraId="4FBFCB38" w14:textId="58F9363E" w:rsidR="004051B9" w:rsidRPr="00D549EE" w:rsidRDefault="00A67A26" w:rsidP="00C9582F">
            <w:pPr>
              <w:pStyle w:val="a5"/>
            </w:pPr>
            <w:r w:rsidRPr="00D549EE">
              <w:t xml:space="preserve">12 633 138 </w:t>
            </w:r>
          </w:p>
        </w:tc>
        <w:tc>
          <w:tcPr>
            <w:tcW w:w="1950" w:type="dxa"/>
          </w:tcPr>
          <w:p w14:paraId="0BE3FC23" w14:textId="6230AFEE" w:rsidR="004051B9" w:rsidRPr="00D549EE" w:rsidRDefault="00A67A26" w:rsidP="00C9582F">
            <w:pPr>
              <w:pStyle w:val="a5"/>
            </w:pPr>
            <w:r w:rsidRPr="00D549EE">
              <w:t xml:space="preserve">10 923 146 </w:t>
            </w:r>
          </w:p>
        </w:tc>
      </w:tr>
      <w:tr w:rsidR="004051B9" w:rsidRPr="00D549EE" w14:paraId="5CB634D3" w14:textId="77777777" w:rsidTr="005A053C">
        <w:tc>
          <w:tcPr>
            <w:tcW w:w="5637" w:type="dxa"/>
          </w:tcPr>
          <w:p w14:paraId="46F93F4F" w14:textId="7024C703" w:rsidR="004051B9" w:rsidRPr="00D549EE" w:rsidRDefault="004051B9" w:rsidP="00C9582F">
            <w:pPr>
              <w:rPr>
                <w:lang w:val="en-US"/>
              </w:rPr>
            </w:pPr>
            <w:r w:rsidRPr="00D549EE">
              <w:rPr>
                <w:color w:val="000000" w:themeColor="text1"/>
                <w:shd w:val="clear" w:color="auto" w:fill="FFFFFF"/>
                <w:lang w:val="en-US"/>
              </w:rPr>
              <w:t>Property, plant and equipment and</w:t>
            </w:r>
            <w:r w:rsidR="00A67A26" w:rsidRPr="00D549EE">
              <w:rPr>
                <w:color w:val="000000" w:themeColor="text1"/>
                <w:shd w:val="clear" w:color="auto" w:fill="FFFFFF"/>
                <w:lang w:val="en-US"/>
              </w:rPr>
              <w:t xml:space="preserve"> intangible </w:t>
            </w:r>
            <w:r w:rsidRPr="00D549EE">
              <w:rPr>
                <w:color w:val="000000" w:themeColor="text1"/>
                <w:shd w:val="clear" w:color="auto" w:fill="FFFFFF"/>
                <w:lang w:val="en-US"/>
              </w:rPr>
              <w:t>assets</w:t>
            </w:r>
          </w:p>
        </w:tc>
        <w:tc>
          <w:tcPr>
            <w:tcW w:w="1984" w:type="dxa"/>
          </w:tcPr>
          <w:p w14:paraId="62FE82AD" w14:textId="10D4CA7A" w:rsidR="004051B9" w:rsidRPr="00D549EE" w:rsidRDefault="00A67A26" w:rsidP="00C9582F">
            <w:pPr>
              <w:pStyle w:val="a5"/>
            </w:pPr>
            <w:r w:rsidRPr="00D549EE">
              <w:t xml:space="preserve">17 962 </w:t>
            </w:r>
          </w:p>
        </w:tc>
        <w:tc>
          <w:tcPr>
            <w:tcW w:w="1950" w:type="dxa"/>
          </w:tcPr>
          <w:p w14:paraId="58E823E7" w14:textId="048EAA38" w:rsidR="004051B9" w:rsidRPr="00D549EE" w:rsidRDefault="00A67A26" w:rsidP="00C9582F">
            <w:pPr>
              <w:pStyle w:val="a5"/>
            </w:pPr>
            <w:r w:rsidRPr="00D549EE">
              <w:t xml:space="preserve">9 134 </w:t>
            </w:r>
          </w:p>
        </w:tc>
      </w:tr>
      <w:tr w:rsidR="008E72AC" w:rsidRPr="00D549EE" w14:paraId="007FA664" w14:textId="77777777" w:rsidTr="005A053C">
        <w:tc>
          <w:tcPr>
            <w:tcW w:w="5637" w:type="dxa"/>
          </w:tcPr>
          <w:p w14:paraId="2F864724" w14:textId="2CEB0E30" w:rsidR="008E72AC" w:rsidRPr="00D549EE" w:rsidRDefault="008E72AC" w:rsidP="00C9582F">
            <w:pPr>
              <w:rPr>
                <w:color w:val="000000" w:themeColor="text1"/>
                <w:shd w:val="clear" w:color="auto" w:fill="FFFFFF"/>
                <w:lang w:val="en-US"/>
              </w:rPr>
            </w:pPr>
            <w:r w:rsidRPr="00D549EE">
              <w:rPr>
                <w:color w:val="000000" w:themeColor="text1"/>
                <w:shd w:val="clear" w:color="auto" w:fill="FFFFFF"/>
                <w:lang w:val="en-US"/>
              </w:rPr>
              <w:t>Reserves</w:t>
            </w:r>
          </w:p>
        </w:tc>
        <w:tc>
          <w:tcPr>
            <w:tcW w:w="1984" w:type="dxa"/>
          </w:tcPr>
          <w:p w14:paraId="4D63EE88" w14:textId="280BEA02" w:rsidR="008E72AC" w:rsidRPr="00D549EE" w:rsidRDefault="008E72AC" w:rsidP="00C9582F">
            <w:pPr>
              <w:pStyle w:val="a5"/>
            </w:pPr>
            <w:r w:rsidRPr="00D549EE">
              <w:t xml:space="preserve">190 565 </w:t>
            </w:r>
          </w:p>
        </w:tc>
        <w:tc>
          <w:tcPr>
            <w:tcW w:w="1950" w:type="dxa"/>
          </w:tcPr>
          <w:p w14:paraId="0DC2AD51" w14:textId="6F72F41D" w:rsidR="008E72AC" w:rsidRPr="00D549EE" w:rsidRDefault="008E72AC" w:rsidP="00C9582F">
            <w:pPr>
              <w:pStyle w:val="a5"/>
            </w:pPr>
            <w:r w:rsidRPr="00D549EE">
              <w:t xml:space="preserve">190 565 </w:t>
            </w:r>
          </w:p>
        </w:tc>
      </w:tr>
      <w:tr w:rsidR="008E72AC" w:rsidRPr="00D549EE" w14:paraId="11573C7C" w14:textId="77777777" w:rsidTr="005A053C">
        <w:tc>
          <w:tcPr>
            <w:tcW w:w="5637" w:type="dxa"/>
          </w:tcPr>
          <w:p w14:paraId="6DDEB10A" w14:textId="0B2A53E5" w:rsidR="008E72AC" w:rsidRPr="00D549EE" w:rsidRDefault="008E72AC" w:rsidP="00C9582F">
            <w:pPr>
              <w:rPr>
                <w:color w:val="000000" w:themeColor="text1"/>
                <w:shd w:val="clear" w:color="auto" w:fill="FFFFFF"/>
                <w:lang w:val="en-US"/>
              </w:rPr>
            </w:pPr>
            <w:r w:rsidRPr="00D549EE">
              <w:rPr>
                <w:color w:val="000000" w:themeColor="text1"/>
                <w:shd w:val="clear" w:color="auto" w:fill="FFFFFF"/>
                <w:lang w:val="en-US"/>
              </w:rPr>
              <w:t>Current corporate income tax assets</w:t>
            </w:r>
          </w:p>
        </w:tc>
        <w:tc>
          <w:tcPr>
            <w:tcW w:w="1984" w:type="dxa"/>
          </w:tcPr>
          <w:p w14:paraId="133AC0B3" w14:textId="03529FF0" w:rsidR="008E72AC" w:rsidRPr="00D549EE" w:rsidRDefault="008E72AC" w:rsidP="00C9582F">
            <w:pPr>
              <w:pStyle w:val="a5"/>
            </w:pPr>
            <w:r w:rsidRPr="00D549EE">
              <w:t xml:space="preserve">15 541 </w:t>
            </w:r>
          </w:p>
        </w:tc>
        <w:tc>
          <w:tcPr>
            <w:tcW w:w="1950" w:type="dxa"/>
          </w:tcPr>
          <w:p w14:paraId="4FFF5470" w14:textId="7F8CDFDC" w:rsidR="008E72AC" w:rsidRPr="00D549EE" w:rsidRDefault="008E72AC" w:rsidP="00C9582F">
            <w:pPr>
              <w:pStyle w:val="a5"/>
            </w:pPr>
            <w:r w:rsidRPr="00D549EE">
              <w:t xml:space="preserve">56 277 </w:t>
            </w:r>
          </w:p>
        </w:tc>
      </w:tr>
      <w:tr w:rsidR="008E72AC" w:rsidRPr="00D549EE" w14:paraId="766AE9F2" w14:textId="77777777" w:rsidTr="005A053C">
        <w:tc>
          <w:tcPr>
            <w:tcW w:w="5637" w:type="dxa"/>
          </w:tcPr>
          <w:p w14:paraId="2B719308" w14:textId="4F3C0C07" w:rsidR="008E72AC" w:rsidRPr="00D549EE" w:rsidRDefault="008E72AC" w:rsidP="00C9582F">
            <w:pPr>
              <w:rPr>
                <w:color w:val="000000" w:themeColor="text1"/>
                <w:shd w:val="clear" w:color="auto" w:fill="FFFFFF"/>
                <w:lang w:val="en-US"/>
              </w:rPr>
            </w:pPr>
            <w:r w:rsidRPr="00D549EE">
              <w:rPr>
                <w:color w:val="000000" w:themeColor="text1"/>
                <w:shd w:val="clear" w:color="auto" w:fill="FFFFFF"/>
                <w:lang w:val="en-US"/>
              </w:rPr>
              <w:t>Deferred corporate income tax assets</w:t>
            </w:r>
          </w:p>
        </w:tc>
        <w:tc>
          <w:tcPr>
            <w:tcW w:w="1984" w:type="dxa"/>
          </w:tcPr>
          <w:p w14:paraId="3F225793" w14:textId="46DC70A6" w:rsidR="008E72AC" w:rsidRPr="00D549EE" w:rsidRDefault="008E72AC" w:rsidP="00C9582F">
            <w:pPr>
              <w:pStyle w:val="a5"/>
            </w:pPr>
            <w:r w:rsidRPr="00D549EE">
              <w:t xml:space="preserve">14 231 </w:t>
            </w:r>
          </w:p>
        </w:tc>
        <w:tc>
          <w:tcPr>
            <w:tcW w:w="1950" w:type="dxa"/>
          </w:tcPr>
          <w:p w14:paraId="238668B0" w14:textId="5E620B38" w:rsidR="008E72AC" w:rsidRPr="00D549EE" w:rsidRDefault="008E72AC" w:rsidP="00C9582F">
            <w:pPr>
              <w:pStyle w:val="a5"/>
            </w:pPr>
            <w:r w:rsidRPr="00D549EE">
              <w:t xml:space="preserve">31 910 </w:t>
            </w:r>
          </w:p>
        </w:tc>
      </w:tr>
      <w:tr w:rsidR="008E72AC" w:rsidRPr="00D549EE" w14:paraId="6A25BD43" w14:textId="77777777" w:rsidTr="005A053C">
        <w:tc>
          <w:tcPr>
            <w:tcW w:w="5637" w:type="dxa"/>
          </w:tcPr>
          <w:p w14:paraId="6D717EB2" w14:textId="71810BE9" w:rsidR="008E72AC" w:rsidRPr="00D549EE" w:rsidRDefault="00210DCF" w:rsidP="00C9582F">
            <w:pPr>
              <w:rPr>
                <w:color w:val="000000" w:themeColor="text1"/>
                <w:shd w:val="clear" w:color="auto" w:fill="FFFFFF"/>
                <w:lang w:val="en-US"/>
              </w:rPr>
            </w:pPr>
            <w:r w:rsidRPr="00D549EE">
              <w:rPr>
                <w:color w:val="000000" w:themeColor="text1"/>
                <w:shd w:val="clear" w:color="auto" w:fill="FFFFFF"/>
                <w:lang w:val="en-US"/>
              </w:rPr>
              <w:t>Right-of-use assets</w:t>
            </w:r>
          </w:p>
        </w:tc>
        <w:tc>
          <w:tcPr>
            <w:tcW w:w="1984" w:type="dxa"/>
          </w:tcPr>
          <w:p w14:paraId="36166920" w14:textId="77D0BB57" w:rsidR="008E72AC" w:rsidRPr="00D549EE" w:rsidRDefault="008E72AC" w:rsidP="00C9582F">
            <w:pPr>
              <w:pStyle w:val="a5"/>
            </w:pPr>
            <w:r w:rsidRPr="00D549EE">
              <w:t xml:space="preserve">195 851 </w:t>
            </w:r>
          </w:p>
        </w:tc>
        <w:tc>
          <w:tcPr>
            <w:tcW w:w="1950" w:type="dxa"/>
          </w:tcPr>
          <w:p w14:paraId="14CBD136" w14:textId="1DAFE7BA" w:rsidR="008E72AC" w:rsidRPr="00D549EE" w:rsidRDefault="008E72AC" w:rsidP="00C9582F">
            <w:pPr>
              <w:pStyle w:val="a5"/>
            </w:pPr>
            <w:r w:rsidRPr="00D549EE">
              <w:t xml:space="preserve">196 314 </w:t>
            </w:r>
          </w:p>
        </w:tc>
      </w:tr>
      <w:tr w:rsidR="004051B9" w:rsidRPr="00D549EE" w14:paraId="2004ADF9" w14:textId="77777777" w:rsidTr="005A053C">
        <w:tc>
          <w:tcPr>
            <w:tcW w:w="5637" w:type="dxa"/>
          </w:tcPr>
          <w:p w14:paraId="55156FAC" w14:textId="77777777" w:rsidR="004051B9" w:rsidRPr="00D549EE" w:rsidRDefault="004051B9" w:rsidP="00C9582F">
            <w:pPr>
              <w:rPr>
                <w:lang w:val="en-US"/>
              </w:rPr>
            </w:pPr>
            <w:r w:rsidRPr="00D549EE">
              <w:rPr>
                <w:lang w:val="en-US"/>
              </w:rPr>
              <w:t>Other assets</w:t>
            </w:r>
          </w:p>
        </w:tc>
        <w:tc>
          <w:tcPr>
            <w:tcW w:w="1984" w:type="dxa"/>
          </w:tcPr>
          <w:p w14:paraId="3269FE57" w14:textId="7A22383C" w:rsidR="004051B9" w:rsidRPr="00D549EE" w:rsidRDefault="00A67A26" w:rsidP="00C9582F">
            <w:pPr>
              <w:pStyle w:val="a5"/>
            </w:pPr>
            <w:r w:rsidRPr="00D549EE">
              <w:t xml:space="preserve">1 510 850 </w:t>
            </w:r>
          </w:p>
        </w:tc>
        <w:tc>
          <w:tcPr>
            <w:tcW w:w="1950" w:type="dxa"/>
          </w:tcPr>
          <w:p w14:paraId="274F15D1" w14:textId="71703BFC" w:rsidR="004051B9" w:rsidRPr="00D549EE" w:rsidRDefault="00A67A26" w:rsidP="00C9582F">
            <w:pPr>
              <w:pStyle w:val="a5"/>
            </w:pPr>
            <w:r w:rsidRPr="00D549EE">
              <w:t xml:space="preserve">581 329 </w:t>
            </w:r>
          </w:p>
        </w:tc>
      </w:tr>
      <w:tr w:rsidR="004051B9" w:rsidRPr="00D549EE" w14:paraId="68EE51CC" w14:textId="77777777" w:rsidTr="005A053C">
        <w:tc>
          <w:tcPr>
            <w:tcW w:w="5637" w:type="dxa"/>
          </w:tcPr>
          <w:p w14:paraId="6E92E206" w14:textId="77777777" w:rsidR="004051B9" w:rsidRPr="00D549EE" w:rsidRDefault="004051B9" w:rsidP="00C9582F">
            <w:pPr>
              <w:rPr>
                <w:lang w:val="en-US"/>
              </w:rPr>
            </w:pPr>
            <w:r w:rsidRPr="00D549EE">
              <w:rPr>
                <w:lang w:val="en-US"/>
              </w:rPr>
              <w:t>Total assets</w:t>
            </w:r>
          </w:p>
        </w:tc>
        <w:tc>
          <w:tcPr>
            <w:tcW w:w="1984" w:type="dxa"/>
          </w:tcPr>
          <w:p w14:paraId="13F605B4" w14:textId="5EF7F1A2" w:rsidR="004051B9" w:rsidRPr="00D549EE" w:rsidRDefault="008E72AC" w:rsidP="00C9582F">
            <w:pPr>
              <w:pStyle w:val="a5"/>
            </w:pPr>
            <w:r w:rsidRPr="00D549EE">
              <w:rPr>
                <w:bCs/>
              </w:rPr>
              <w:t xml:space="preserve">23 069 406 </w:t>
            </w:r>
          </w:p>
        </w:tc>
        <w:tc>
          <w:tcPr>
            <w:tcW w:w="1950" w:type="dxa"/>
          </w:tcPr>
          <w:p w14:paraId="6045983D" w14:textId="351998CF" w:rsidR="004051B9" w:rsidRPr="00D549EE" w:rsidRDefault="008E72AC" w:rsidP="00C9582F">
            <w:pPr>
              <w:pStyle w:val="a5"/>
            </w:pPr>
            <w:bookmarkStart w:id="1" w:name="OLE_LINK1"/>
            <w:r w:rsidRPr="00D549EE">
              <w:rPr>
                <w:bCs/>
              </w:rPr>
              <w:t>20 034</w:t>
            </w:r>
            <w:r w:rsidR="00FD639E" w:rsidRPr="00D549EE">
              <w:rPr>
                <w:bCs/>
              </w:rPr>
              <w:t> </w:t>
            </w:r>
            <w:r w:rsidRPr="00D549EE">
              <w:rPr>
                <w:bCs/>
              </w:rPr>
              <w:t xml:space="preserve">473 </w:t>
            </w:r>
            <w:bookmarkEnd w:id="1"/>
          </w:p>
        </w:tc>
      </w:tr>
      <w:tr w:rsidR="004051B9" w:rsidRPr="00D549EE" w14:paraId="30C66850" w14:textId="77777777" w:rsidTr="005A053C">
        <w:tc>
          <w:tcPr>
            <w:tcW w:w="9571" w:type="dxa"/>
            <w:gridSpan w:val="3"/>
          </w:tcPr>
          <w:p w14:paraId="19C4DFB2" w14:textId="77777777" w:rsidR="004051B9" w:rsidRPr="00D549EE" w:rsidRDefault="004051B9" w:rsidP="00C9582F">
            <w:pPr>
              <w:rPr>
                <w:bCs/>
              </w:rPr>
            </w:pPr>
            <w:r w:rsidRPr="00D549EE">
              <w:rPr>
                <w:bCs/>
                <w:color w:val="000000" w:themeColor="text1"/>
                <w:shd w:val="clear" w:color="auto" w:fill="FFFFFF"/>
              </w:rPr>
              <w:t>Liabilities and equity</w:t>
            </w:r>
          </w:p>
        </w:tc>
      </w:tr>
      <w:tr w:rsidR="004051B9" w:rsidRPr="00D549EE" w14:paraId="6408C79F" w14:textId="77777777" w:rsidTr="005A053C">
        <w:tc>
          <w:tcPr>
            <w:tcW w:w="5637" w:type="dxa"/>
          </w:tcPr>
          <w:p w14:paraId="469C84D4" w14:textId="77777777" w:rsidR="004051B9" w:rsidRPr="00D549EE" w:rsidRDefault="004051B9" w:rsidP="00C9582F">
            <w:pPr>
              <w:rPr>
                <w:lang w:val="en-US"/>
              </w:rPr>
            </w:pPr>
            <w:r w:rsidRPr="00D549EE">
              <w:rPr>
                <w:color w:val="000000"/>
                <w:shd w:val="clear" w:color="auto" w:fill="FFFFFF"/>
                <w:lang w:val="en-US"/>
              </w:rPr>
              <w:t>Debt to banks and other financial organizations</w:t>
            </w:r>
          </w:p>
        </w:tc>
        <w:tc>
          <w:tcPr>
            <w:tcW w:w="1984" w:type="dxa"/>
          </w:tcPr>
          <w:p w14:paraId="7DA08297" w14:textId="48427289" w:rsidR="004051B9" w:rsidRPr="00D549EE" w:rsidRDefault="00D94421" w:rsidP="00C9582F">
            <w:pPr>
              <w:pStyle w:val="a5"/>
            </w:pPr>
            <w:r w:rsidRPr="00D549EE">
              <w:t xml:space="preserve">884 233 </w:t>
            </w:r>
          </w:p>
        </w:tc>
        <w:tc>
          <w:tcPr>
            <w:tcW w:w="1950" w:type="dxa"/>
          </w:tcPr>
          <w:p w14:paraId="11BEE94C" w14:textId="2B3E0C48" w:rsidR="004051B9" w:rsidRPr="00D549EE" w:rsidRDefault="00D94421" w:rsidP="00C9582F">
            <w:pPr>
              <w:pStyle w:val="a5"/>
            </w:pPr>
            <w:r w:rsidRPr="00D549EE">
              <w:t xml:space="preserve">673 545 </w:t>
            </w:r>
          </w:p>
        </w:tc>
      </w:tr>
      <w:tr w:rsidR="004051B9" w:rsidRPr="00D549EE" w14:paraId="69A445A2" w14:textId="77777777" w:rsidTr="005A053C">
        <w:tc>
          <w:tcPr>
            <w:tcW w:w="5637" w:type="dxa"/>
          </w:tcPr>
          <w:p w14:paraId="3FDF15C0" w14:textId="77777777" w:rsidR="004051B9" w:rsidRPr="00D549EE" w:rsidRDefault="004051B9" w:rsidP="00C9582F">
            <w:pPr>
              <w:rPr>
                <w:lang w:val="en-US"/>
              </w:rPr>
            </w:pPr>
            <w:r w:rsidRPr="00D549EE">
              <w:rPr>
                <w:color w:val="000000"/>
                <w:shd w:val="clear" w:color="auto" w:fill="FFFFFF"/>
                <w:lang w:val="en-US"/>
              </w:rPr>
              <w:t>Current accounts and client deposits</w:t>
            </w:r>
          </w:p>
        </w:tc>
        <w:tc>
          <w:tcPr>
            <w:tcW w:w="1984" w:type="dxa"/>
          </w:tcPr>
          <w:p w14:paraId="6C522B4F" w14:textId="163BFBF1" w:rsidR="004051B9" w:rsidRPr="00D549EE" w:rsidRDefault="00D94421" w:rsidP="00C9582F">
            <w:pPr>
              <w:pStyle w:val="a5"/>
            </w:pPr>
            <w:r w:rsidRPr="00D549EE">
              <w:t xml:space="preserve">7 446 427 </w:t>
            </w:r>
          </w:p>
        </w:tc>
        <w:tc>
          <w:tcPr>
            <w:tcW w:w="1950" w:type="dxa"/>
          </w:tcPr>
          <w:p w14:paraId="27545742" w14:textId="6C4857A8" w:rsidR="004051B9" w:rsidRPr="00D549EE" w:rsidRDefault="00D94421" w:rsidP="00C9582F">
            <w:pPr>
              <w:pStyle w:val="a5"/>
            </w:pPr>
            <w:r w:rsidRPr="00D549EE">
              <w:t xml:space="preserve">5 231 114 </w:t>
            </w:r>
          </w:p>
        </w:tc>
      </w:tr>
      <w:tr w:rsidR="004051B9" w:rsidRPr="00D549EE" w14:paraId="790589DC" w14:textId="77777777" w:rsidTr="005A053C">
        <w:tc>
          <w:tcPr>
            <w:tcW w:w="5637" w:type="dxa"/>
          </w:tcPr>
          <w:p w14:paraId="5E103CB4" w14:textId="77777777" w:rsidR="004051B9" w:rsidRPr="00D549EE" w:rsidRDefault="004051B9" w:rsidP="00C9582F">
            <w:r w:rsidRPr="00D549EE">
              <w:rPr>
                <w:lang w:val="en-US"/>
              </w:rPr>
              <w:t>Accounts payable</w:t>
            </w:r>
            <w:r w:rsidRPr="00D549EE">
              <w:t xml:space="preserve"> </w:t>
            </w:r>
          </w:p>
        </w:tc>
        <w:tc>
          <w:tcPr>
            <w:tcW w:w="1984" w:type="dxa"/>
          </w:tcPr>
          <w:p w14:paraId="2FF5B1F7" w14:textId="26D98BF1" w:rsidR="004051B9" w:rsidRPr="00D549EE" w:rsidRDefault="00D94421" w:rsidP="00C9582F">
            <w:pPr>
              <w:pStyle w:val="a5"/>
            </w:pPr>
            <w:r w:rsidRPr="00D549EE">
              <w:t xml:space="preserve">132 545 </w:t>
            </w:r>
          </w:p>
        </w:tc>
        <w:tc>
          <w:tcPr>
            <w:tcW w:w="1950" w:type="dxa"/>
          </w:tcPr>
          <w:p w14:paraId="7FB90BC5" w14:textId="37152704" w:rsidR="004051B9" w:rsidRPr="00D549EE" w:rsidRDefault="00D94421" w:rsidP="00C9582F">
            <w:pPr>
              <w:pStyle w:val="a5"/>
            </w:pPr>
            <w:r w:rsidRPr="00D549EE">
              <w:t xml:space="preserve">580 930 </w:t>
            </w:r>
          </w:p>
        </w:tc>
      </w:tr>
      <w:tr w:rsidR="00D94421" w:rsidRPr="00D549EE" w14:paraId="6DA98994" w14:textId="77777777" w:rsidTr="005A053C">
        <w:tc>
          <w:tcPr>
            <w:tcW w:w="5637" w:type="dxa"/>
          </w:tcPr>
          <w:p w14:paraId="44D4EBD2" w14:textId="5F2DD00E" w:rsidR="00D94421" w:rsidRPr="00D549EE" w:rsidRDefault="00D94421" w:rsidP="00C9582F">
            <w:pPr>
              <w:rPr>
                <w:lang w:val="en-US"/>
              </w:rPr>
            </w:pPr>
            <w:r w:rsidRPr="00D549EE">
              <w:rPr>
                <w:lang w:val="en-US"/>
              </w:rPr>
              <w:t>Provisions for contingent liabilities</w:t>
            </w:r>
          </w:p>
        </w:tc>
        <w:tc>
          <w:tcPr>
            <w:tcW w:w="1984" w:type="dxa"/>
          </w:tcPr>
          <w:p w14:paraId="3767B1F4" w14:textId="73EE4535" w:rsidR="00D94421" w:rsidRPr="00D549EE" w:rsidRDefault="00D94421" w:rsidP="00C9582F">
            <w:pPr>
              <w:pStyle w:val="a5"/>
            </w:pPr>
            <w:r w:rsidRPr="00D549EE">
              <w:t xml:space="preserve">682 123 </w:t>
            </w:r>
          </w:p>
        </w:tc>
        <w:tc>
          <w:tcPr>
            <w:tcW w:w="1950" w:type="dxa"/>
          </w:tcPr>
          <w:p w14:paraId="2022AF3D" w14:textId="26E9293A" w:rsidR="00D94421" w:rsidRPr="00D549EE" w:rsidRDefault="00D94421" w:rsidP="00C9582F">
            <w:pPr>
              <w:pStyle w:val="a5"/>
            </w:pPr>
            <w:r w:rsidRPr="00D549EE">
              <w:t xml:space="preserve">535 678 </w:t>
            </w:r>
          </w:p>
        </w:tc>
      </w:tr>
      <w:tr w:rsidR="00D94421" w:rsidRPr="00D549EE" w14:paraId="450CED70" w14:textId="77777777" w:rsidTr="005A053C">
        <w:tc>
          <w:tcPr>
            <w:tcW w:w="5637" w:type="dxa"/>
          </w:tcPr>
          <w:p w14:paraId="7031B776" w14:textId="0CC548A8" w:rsidR="00D94421" w:rsidRPr="00D549EE" w:rsidRDefault="00D94421" w:rsidP="00C9582F">
            <w:pPr>
              <w:rPr>
                <w:lang w:val="en-US"/>
              </w:rPr>
            </w:pPr>
            <w:r w:rsidRPr="00D549EE">
              <w:rPr>
                <w:lang w:val="en-US"/>
              </w:rPr>
              <w:t>Lease obligations</w:t>
            </w:r>
          </w:p>
        </w:tc>
        <w:tc>
          <w:tcPr>
            <w:tcW w:w="1984" w:type="dxa"/>
          </w:tcPr>
          <w:p w14:paraId="3E582593" w14:textId="07603E39" w:rsidR="00D94421" w:rsidRPr="00D549EE" w:rsidRDefault="00D94421" w:rsidP="00C9582F">
            <w:pPr>
              <w:pStyle w:val="a5"/>
            </w:pPr>
            <w:r w:rsidRPr="00D549EE">
              <w:t xml:space="preserve">200 527 </w:t>
            </w:r>
          </w:p>
        </w:tc>
        <w:tc>
          <w:tcPr>
            <w:tcW w:w="1950" w:type="dxa"/>
          </w:tcPr>
          <w:p w14:paraId="56A64E0B" w14:textId="78D9DCD4" w:rsidR="00D94421" w:rsidRPr="00D549EE" w:rsidRDefault="00D94421" w:rsidP="00C9582F">
            <w:pPr>
              <w:pStyle w:val="a5"/>
            </w:pPr>
            <w:r w:rsidRPr="00D549EE">
              <w:t xml:space="preserve">202 904 </w:t>
            </w:r>
          </w:p>
        </w:tc>
      </w:tr>
      <w:tr w:rsidR="004051B9" w:rsidRPr="00D549EE" w14:paraId="4DACE5B7" w14:textId="77777777" w:rsidTr="005A053C">
        <w:tc>
          <w:tcPr>
            <w:tcW w:w="5637" w:type="dxa"/>
          </w:tcPr>
          <w:p w14:paraId="6486C284" w14:textId="77777777" w:rsidR="004051B9" w:rsidRPr="00D549EE" w:rsidRDefault="004051B9" w:rsidP="00C9582F">
            <w:pPr>
              <w:rPr>
                <w:lang w:val="en-US"/>
              </w:rPr>
            </w:pPr>
            <w:r w:rsidRPr="00D549EE">
              <w:rPr>
                <w:color w:val="000000" w:themeColor="text1"/>
                <w:lang w:val="en-US"/>
              </w:rPr>
              <w:t>Other liabilities</w:t>
            </w:r>
          </w:p>
        </w:tc>
        <w:tc>
          <w:tcPr>
            <w:tcW w:w="1984" w:type="dxa"/>
          </w:tcPr>
          <w:p w14:paraId="20E13D10" w14:textId="014BBCBC" w:rsidR="004051B9" w:rsidRPr="00D549EE" w:rsidRDefault="00D94421" w:rsidP="00C9582F">
            <w:pPr>
              <w:pStyle w:val="a5"/>
            </w:pPr>
            <w:r w:rsidRPr="00D549EE">
              <w:t xml:space="preserve">792 204 </w:t>
            </w:r>
          </w:p>
        </w:tc>
        <w:tc>
          <w:tcPr>
            <w:tcW w:w="1950" w:type="dxa"/>
          </w:tcPr>
          <w:p w14:paraId="7BF052FE" w14:textId="477E7AB2" w:rsidR="004051B9" w:rsidRPr="00D549EE" w:rsidRDefault="00D94421" w:rsidP="00C9582F">
            <w:pPr>
              <w:pStyle w:val="a5"/>
            </w:pPr>
            <w:r w:rsidRPr="00D549EE">
              <w:t xml:space="preserve">154 968 </w:t>
            </w:r>
          </w:p>
        </w:tc>
      </w:tr>
      <w:tr w:rsidR="004051B9" w:rsidRPr="00D549EE" w14:paraId="782443EC" w14:textId="77777777" w:rsidTr="005A053C">
        <w:tc>
          <w:tcPr>
            <w:tcW w:w="5637" w:type="dxa"/>
          </w:tcPr>
          <w:p w14:paraId="7CF578AA" w14:textId="77777777" w:rsidR="004051B9" w:rsidRPr="00D549EE" w:rsidRDefault="004051B9" w:rsidP="00C9582F">
            <w:pPr>
              <w:rPr>
                <w:lang w:val="en-US"/>
              </w:rPr>
            </w:pPr>
            <w:r w:rsidRPr="00D549EE">
              <w:rPr>
                <w:lang w:val="en-US"/>
              </w:rPr>
              <w:t>Total l</w:t>
            </w:r>
            <w:r w:rsidRPr="00D549EE">
              <w:rPr>
                <w:color w:val="000000"/>
                <w:shd w:val="clear" w:color="auto" w:fill="FFFFFF"/>
              </w:rPr>
              <w:t>iabilities</w:t>
            </w:r>
          </w:p>
        </w:tc>
        <w:tc>
          <w:tcPr>
            <w:tcW w:w="1984" w:type="dxa"/>
          </w:tcPr>
          <w:p w14:paraId="70231421" w14:textId="6CABC78E" w:rsidR="004051B9" w:rsidRPr="00D549EE" w:rsidRDefault="00D94421" w:rsidP="00C9582F">
            <w:pPr>
              <w:pStyle w:val="a5"/>
            </w:pPr>
            <w:r w:rsidRPr="00D549EE">
              <w:rPr>
                <w:bCs/>
              </w:rPr>
              <w:t xml:space="preserve">10 138 059 </w:t>
            </w:r>
          </w:p>
        </w:tc>
        <w:tc>
          <w:tcPr>
            <w:tcW w:w="1950" w:type="dxa"/>
          </w:tcPr>
          <w:p w14:paraId="0CC8384B" w14:textId="74301F41" w:rsidR="004051B9" w:rsidRPr="00D549EE" w:rsidRDefault="00D94421" w:rsidP="00C9582F">
            <w:pPr>
              <w:pStyle w:val="a5"/>
            </w:pPr>
            <w:r w:rsidRPr="00D549EE">
              <w:rPr>
                <w:bCs/>
              </w:rPr>
              <w:t>7 379</w:t>
            </w:r>
            <w:r w:rsidR="00FD639E" w:rsidRPr="00D549EE">
              <w:rPr>
                <w:bCs/>
              </w:rPr>
              <w:t> </w:t>
            </w:r>
            <w:r w:rsidRPr="00D549EE">
              <w:rPr>
                <w:bCs/>
              </w:rPr>
              <w:t xml:space="preserve">139 </w:t>
            </w:r>
          </w:p>
        </w:tc>
      </w:tr>
      <w:tr w:rsidR="004051B9" w:rsidRPr="00D549EE" w14:paraId="416EC246" w14:textId="77777777" w:rsidTr="005A053C">
        <w:tc>
          <w:tcPr>
            <w:tcW w:w="9571" w:type="dxa"/>
            <w:gridSpan w:val="3"/>
          </w:tcPr>
          <w:p w14:paraId="224EBB28" w14:textId="77777777" w:rsidR="004051B9" w:rsidRPr="00D549EE" w:rsidRDefault="004051B9" w:rsidP="00C9582F">
            <w:pPr>
              <w:rPr>
                <w:lang w:val="en-US"/>
              </w:rPr>
            </w:pPr>
            <w:r w:rsidRPr="00D549EE">
              <w:rPr>
                <w:lang w:val="en-US"/>
              </w:rPr>
              <w:t>Equity</w:t>
            </w:r>
          </w:p>
        </w:tc>
      </w:tr>
      <w:tr w:rsidR="004051B9" w:rsidRPr="00D549EE" w14:paraId="5EA3172A" w14:textId="77777777" w:rsidTr="005A053C">
        <w:tc>
          <w:tcPr>
            <w:tcW w:w="5637" w:type="dxa"/>
          </w:tcPr>
          <w:p w14:paraId="511FE1FA" w14:textId="7DAFB359" w:rsidR="004051B9" w:rsidRPr="00D549EE" w:rsidRDefault="004051B9" w:rsidP="00C9582F">
            <w:pPr>
              <w:pStyle w:val="3"/>
              <w:spacing w:before="0"/>
              <w:outlineLvl w:val="2"/>
              <w:rPr>
                <w:rFonts w:ascii="Times New Roman" w:hAnsi="Times New Roman" w:cs="Times New Roman"/>
                <w:color w:val="111111"/>
              </w:rPr>
            </w:pPr>
            <w:r w:rsidRPr="00D549EE">
              <w:rPr>
                <w:rStyle w:val="mntl-sc-block-subheadingtext"/>
                <w:rFonts w:ascii="Times New Roman" w:hAnsi="Times New Roman" w:cs="Times New Roman"/>
                <w:color w:val="111111"/>
              </w:rPr>
              <w:t>Shareholders</w:t>
            </w:r>
            <w:r w:rsidR="001A7B0E" w:rsidRPr="00D549EE">
              <w:rPr>
                <w:rStyle w:val="mntl-sc-block-subheadingtext"/>
                <w:rFonts w:ascii="Times New Roman" w:hAnsi="Times New Roman" w:cs="Times New Roman"/>
                <w:color w:val="111111"/>
                <w:lang w:val="en-US"/>
              </w:rPr>
              <w:t>’</w:t>
            </w:r>
            <w:r w:rsidRPr="00D549EE">
              <w:rPr>
                <w:rStyle w:val="mntl-sc-block-subheadingtext"/>
                <w:rFonts w:ascii="Times New Roman" w:hAnsi="Times New Roman" w:cs="Times New Roman"/>
                <w:color w:val="111111"/>
              </w:rPr>
              <w:t xml:space="preserve"> Equity</w:t>
            </w:r>
          </w:p>
        </w:tc>
        <w:tc>
          <w:tcPr>
            <w:tcW w:w="1984" w:type="dxa"/>
          </w:tcPr>
          <w:p w14:paraId="4F2D18E6" w14:textId="34BA153F" w:rsidR="004051B9" w:rsidRPr="00D549EE" w:rsidRDefault="008E72AC" w:rsidP="00C9582F">
            <w:pPr>
              <w:pStyle w:val="a5"/>
            </w:pPr>
            <w:r w:rsidRPr="00D549EE">
              <w:t xml:space="preserve">10 050 000 </w:t>
            </w:r>
          </w:p>
        </w:tc>
        <w:tc>
          <w:tcPr>
            <w:tcW w:w="1950" w:type="dxa"/>
          </w:tcPr>
          <w:p w14:paraId="10210AAC" w14:textId="638A6CC0" w:rsidR="004051B9" w:rsidRPr="00D549EE" w:rsidRDefault="008E72AC" w:rsidP="00C9582F">
            <w:pPr>
              <w:pStyle w:val="a5"/>
            </w:pPr>
            <w:r w:rsidRPr="00D549EE">
              <w:t xml:space="preserve">10 050 000 </w:t>
            </w:r>
          </w:p>
        </w:tc>
      </w:tr>
      <w:tr w:rsidR="004051B9" w:rsidRPr="00D549EE" w14:paraId="654844EB" w14:textId="77777777" w:rsidTr="005A053C">
        <w:tc>
          <w:tcPr>
            <w:tcW w:w="5637" w:type="dxa"/>
          </w:tcPr>
          <w:p w14:paraId="31BC8651" w14:textId="288D9B3E" w:rsidR="004051B9" w:rsidRPr="00D549EE" w:rsidRDefault="008E72AC" w:rsidP="00C9582F">
            <w:pPr>
              <w:rPr>
                <w:lang w:val="en-US"/>
              </w:rPr>
            </w:pPr>
            <w:r w:rsidRPr="00D549EE">
              <w:rPr>
                <w:lang w:val="en-US"/>
              </w:rPr>
              <w:t>Additional paid-in</w:t>
            </w:r>
            <w:r w:rsidR="004051B9" w:rsidRPr="00D549EE">
              <w:rPr>
                <w:lang w:val="en-US"/>
              </w:rPr>
              <w:t xml:space="preserve"> capital</w:t>
            </w:r>
          </w:p>
        </w:tc>
        <w:tc>
          <w:tcPr>
            <w:tcW w:w="1984" w:type="dxa"/>
          </w:tcPr>
          <w:p w14:paraId="2879A606" w14:textId="1D36884B" w:rsidR="004051B9" w:rsidRPr="00D549EE" w:rsidRDefault="008E72AC" w:rsidP="00C9582F">
            <w:pPr>
              <w:pStyle w:val="a5"/>
            </w:pPr>
            <w:r w:rsidRPr="00D549EE">
              <w:t xml:space="preserve">122 037 </w:t>
            </w:r>
          </w:p>
        </w:tc>
        <w:tc>
          <w:tcPr>
            <w:tcW w:w="1950" w:type="dxa"/>
          </w:tcPr>
          <w:p w14:paraId="5DE2EA6D" w14:textId="1DE60ABC" w:rsidR="004051B9" w:rsidRPr="00D549EE" w:rsidRDefault="008E72AC" w:rsidP="00C9582F">
            <w:pPr>
              <w:pStyle w:val="a5"/>
            </w:pPr>
            <w:r w:rsidRPr="00D549EE">
              <w:t xml:space="preserve">122 037 </w:t>
            </w:r>
          </w:p>
        </w:tc>
      </w:tr>
      <w:tr w:rsidR="004051B9" w:rsidRPr="00D549EE" w14:paraId="64FE9314" w14:textId="77777777" w:rsidTr="005A053C">
        <w:tc>
          <w:tcPr>
            <w:tcW w:w="5637" w:type="dxa"/>
          </w:tcPr>
          <w:p w14:paraId="377BED5E" w14:textId="77777777" w:rsidR="004051B9" w:rsidRPr="00D549EE" w:rsidRDefault="004051B9" w:rsidP="00C9582F">
            <w:r w:rsidRPr="00D549EE">
              <w:rPr>
                <w:lang w:val="en-US"/>
              </w:rPr>
              <w:t>R</w:t>
            </w:r>
            <w:r w:rsidRPr="00D549EE">
              <w:t xml:space="preserve">etained earnings </w:t>
            </w:r>
          </w:p>
        </w:tc>
        <w:tc>
          <w:tcPr>
            <w:tcW w:w="1984" w:type="dxa"/>
          </w:tcPr>
          <w:p w14:paraId="284E047E" w14:textId="1954135E" w:rsidR="004051B9" w:rsidRPr="00D549EE" w:rsidRDefault="008E72AC" w:rsidP="00C9582F">
            <w:pPr>
              <w:pStyle w:val="a5"/>
            </w:pPr>
            <w:r w:rsidRPr="00D549EE">
              <w:t xml:space="preserve">2 759 310 </w:t>
            </w:r>
          </w:p>
        </w:tc>
        <w:tc>
          <w:tcPr>
            <w:tcW w:w="1950" w:type="dxa"/>
          </w:tcPr>
          <w:p w14:paraId="540F2B57" w14:textId="5396D5BA" w:rsidR="004051B9" w:rsidRPr="00D549EE" w:rsidRDefault="008E72AC" w:rsidP="00C9582F">
            <w:pPr>
              <w:pStyle w:val="a5"/>
            </w:pPr>
            <w:r w:rsidRPr="00D549EE">
              <w:t xml:space="preserve">2 483 297 </w:t>
            </w:r>
          </w:p>
        </w:tc>
      </w:tr>
      <w:tr w:rsidR="004051B9" w:rsidRPr="00D549EE" w14:paraId="71536FAF" w14:textId="77777777" w:rsidTr="005A053C">
        <w:tc>
          <w:tcPr>
            <w:tcW w:w="5637" w:type="dxa"/>
          </w:tcPr>
          <w:p w14:paraId="155D4461" w14:textId="77777777" w:rsidR="004051B9" w:rsidRPr="00D549EE" w:rsidRDefault="004051B9" w:rsidP="00C9582F">
            <w:pPr>
              <w:rPr>
                <w:lang w:val="en-US"/>
              </w:rPr>
            </w:pPr>
            <w:r w:rsidRPr="00D549EE">
              <w:rPr>
                <w:lang w:val="en-US"/>
              </w:rPr>
              <w:t>Total equiety</w:t>
            </w:r>
          </w:p>
        </w:tc>
        <w:tc>
          <w:tcPr>
            <w:tcW w:w="1984" w:type="dxa"/>
          </w:tcPr>
          <w:p w14:paraId="3614F61C" w14:textId="1B032341" w:rsidR="004051B9" w:rsidRPr="00D549EE" w:rsidRDefault="008E72AC" w:rsidP="00C9582F">
            <w:pPr>
              <w:pStyle w:val="a5"/>
            </w:pPr>
            <w:r w:rsidRPr="00D549EE">
              <w:rPr>
                <w:bCs/>
              </w:rPr>
              <w:t xml:space="preserve">12 931 347 </w:t>
            </w:r>
          </w:p>
        </w:tc>
        <w:tc>
          <w:tcPr>
            <w:tcW w:w="1950" w:type="dxa"/>
          </w:tcPr>
          <w:p w14:paraId="5D3264D7" w14:textId="619B8763" w:rsidR="004051B9" w:rsidRPr="00D549EE" w:rsidRDefault="008E72AC" w:rsidP="00C9582F">
            <w:pPr>
              <w:pStyle w:val="a5"/>
            </w:pPr>
            <w:r w:rsidRPr="00D549EE">
              <w:rPr>
                <w:bCs/>
              </w:rPr>
              <w:t xml:space="preserve">12 655 334 </w:t>
            </w:r>
          </w:p>
        </w:tc>
      </w:tr>
      <w:tr w:rsidR="004051B9" w:rsidRPr="00D549EE" w14:paraId="785C453C" w14:textId="77777777" w:rsidTr="005A053C">
        <w:tc>
          <w:tcPr>
            <w:tcW w:w="5637" w:type="dxa"/>
          </w:tcPr>
          <w:p w14:paraId="28F075C6" w14:textId="77777777" w:rsidR="004051B9" w:rsidRPr="00D549EE" w:rsidRDefault="004051B9" w:rsidP="00C9582F">
            <w:pPr>
              <w:rPr>
                <w:lang w:val="en-US"/>
              </w:rPr>
            </w:pPr>
            <w:r w:rsidRPr="00D549EE">
              <w:rPr>
                <w:lang w:val="en-US"/>
              </w:rPr>
              <w:t xml:space="preserve">Total liabilities and equity </w:t>
            </w:r>
          </w:p>
        </w:tc>
        <w:tc>
          <w:tcPr>
            <w:tcW w:w="1984" w:type="dxa"/>
          </w:tcPr>
          <w:p w14:paraId="2BE307AB" w14:textId="0B905F52" w:rsidR="004051B9" w:rsidRPr="00D549EE" w:rsidRDefault="008E72AC" w:rsidP="00C9582F">
            <w:pPr>
              <w:pStyle w:val="a5"/>
            </w:pPr>
            <w:r w:rsidRPr="00D549EE">
              <w:rPr>
                <w:bCs/>
              </w:rPr>
              <w:t xml:space="preserve">23 069 406 </w:t>
            </w:r>
          </w:p>
        </w:tc>
        <w:tc>
          <w:tcPr>
            <w:tcW w:w="1950" w:type="dxa"/>
          </w:tcPr>
          <w:p w14:paraId="3FAA03B0" w14:textId="151F99B5" w:rsidR="004051B9" w:rsidRPr="00D549EE" w:rsidRDefault="008E72AC" w:rsidP="00C9582F">
            <w:pPr>
              <w:pStyle w:val="a5"/>
            </w:pPr>
            <w:r w:rsidRPr="00D549EE">
              <w:rPr>
                <w:bCs/>
              </w:rPr>
              <w:t>20 034</w:t>
            </w:r>
            <w:r w:rsidR="00FD639E" w:rsidRPr="00D549EE">
              <w:rPr>
                <w:bCs/>
              </w:rPr>
              <w:t> </w:t>
            </w:r>
            <w:r w:rsidRPr="00D549EE">
              <w:rPr>
                <w:bCs/>
              </w:rPr>
              <w:t xml:space="preserve">473 </w:t>
            </w:r>
          </w:p>
        </w:tc>
      </w:tr>
      <w:tr w:rsidR="004051B9" w:rsidRPr="00FC685D" w14:paraId="4F1030F5" w14:textId="77777777" w:rsidTr="005A053C">
        <w:tc>
          <w:tcPr>
            <w:tcW w:w="9571" w:type="dxa"/>
            <w:gridSpan w:val="3"/>
          </w:tcPr>
          <w:p w14:paraId="06D907E3" w14:textId="0B040957" w:rsidR="004051B9" w:rsidRPr="00D549EE" w:rsidRDefault="001A7B0E" w:rsidP="00C9582F">
            <w:pPr>
              <w:rPr>
                <w:bCs/>
                <w:lang w:val="en-US"/>
              </w:rPr>
            </w:pPr>
            <w:r w:rsidRPr="00D549EE">
              <w:rPr>
                <w:bCs/>
                <w:lang w:val="en-US"/>
              </w:rPr>
              <w:t xml:space="preserve">        </w:t>
            </w:r>
            <w:r w:rsidR="00ED1FCF" w:rsidRPr="00D549EE">
              <w:rPr>
                <w:bCs/>
                <w:lang w:val="en-US"/>
              </w:rPr>
              <w:t xml:space="preserve">Note </w:t>
            </w:r>
            <w:r w:rsidR="00ED1FCF" w:rsidRPr="00D549EE">
              <w:rPr>
                <w:sz w:val="28"/>
                <w:szCs w:val="28"/>
                <w:lang w:val="en-US"/>
              </w:rPr>
              <w:t xml:space="preserve">– </w:t>
            </w:r>
            <w:r w:rsidR="004051B9" w:rsidRPr="00D549EE">
              <w:rPr>
                <w:bCs/>
                <w:lang w:val="en-US"/>
              </w:rPr>
              <w:t>Source Financial statement 2020 Islamic Bank Zaman</w:t>
            </w:r>
          </w:p>
        </w:tc>
      </w:tr>
    </w:tbl>
    <w:p w14:paraId="716CC444" w14:textId="77777777" w:rsidR="00062FEE" w:rsidRPr="00D549EE" w:rsidRDefault="00062FEE" w:rsidP="00C9582F">
      <w:pPr>
        <w:snapToGrid w:val="0"/>
        <w:contextualSpacing/>
        <w:jc w:val="both"/>
        <w:rPr>
          <w:bCs/>
          <w:color w:val="000000" w:themeColor="text1"/>
          <w:sz w:val="28"/>
          <w:szCs w:val="28"/>
          <w:lang w:val="en-US"/>
        </w:rPr>
      </w:pPr>
    </w:p>
    <w:p w14:paraId="4A24ED93" w14:textId="40F1E983" w:rsidR="00542F0F" w:rsidRDefault="00062FEE" w:rsidP="00C9582F">
      <w:pPr>
        <w:snapToGrid w:val="0"/>
        <w:contextualSpacing/>
        <w:jc w:val="both"/>
        <w:rPr>
          <w:color w:val="000000"/>
          <w:sz w:val="28"/>
          <w:szCs w:val="28"/>
          <w:lang w:val="en-US"/>
        </w:rPr>
      </w:pPr>
      <w:r w:rsidRPr="00D549EE">
        <w:rPr>
          <w:bCs/>
          <w:color w:val="000000" w:themeColor="text1"/>
          <w:sz w:val="28"/>
          <w:szCs w:val="28"/>
          <w:lang w:val="en-US"/>
        </w:rPr>
        <w:tab/>
      </w:r>
      <w:r w:rsidR="00330FB7" w:rsidRPr="00330FB7">
        <w:rPr>
          <w:color w:val="000000"/>
          <w:sz w:val="28"/>
          <w:szCs w:val="28"/>
          <w:lang w:val="en-US"/>
        </w:rPr>
        <w:t>Table 39 shows the bank's financial report for 2019 and for the 2020 year, where despite the pandemic and financial impact to all banking activity, the bank had an increase in assets and profit last year. The bank's assets have increased about 5 times in tenge term for ten years, it is illustrated in the figure, the increase has been from 4 792 959 thousand tenge in 2010 to 23 069 406 thousand tenge in 2020.</w:t>
      </w:r>
    </w:p>
    <w:p w14:paraId="1B981411" w14:textId="14E6F949" w:rsidR="00B71E0A" w:rsidRPr="00D549EE" w:rsidRDefault="00B71E0A" w:rsidP="00C9582F">
      <w:pPr>
        <w:snapToGrid w:val="0"/>
        <w:contextualSpacing/>
        <w:jc w:val="both"/>
        <w:rPr>
          <w:bCs/>
          <w:color w:val="000000" w:themeColor="text1"/>
          <w:sz w:val="28"/>
          <w:szCs w:val="28"/>
          <w:lang w:val="en-US"/>
        </w:rPr>
      </w:pPr>
      <w:r>
        <w:rPr>
          <w:color w:val="000000" w:themeColor="text1"/>
          <w:sz w:val="28"/>
          <w:szCs w:val="28"/>
          <w:lang w:val="en-US"/>
        </w:rPr>
        <w:tab/>
      </w:r>
      <w:r w:rsidRPr="00330FB7">
        <w:rPr>
          <w:color w:val="000000" w:themeColor="text1"/>
          <w:sz w:val="28"/>
          <w:szCs w:val="28"/>
          <w:lang w:val="en-US"/>
        </w:rPr>
        <w:t>The financial indicators given in table 40 illustrate the decrease of all bank liquidity ratios for one year period. Thus, the current liquidity ratio decreased from 0.98 to 0.88, or by 10%, as it is usually considered in the range of 1 to 2, it is less than standard. The absolute liquidity ratio, which reflects the share of current liabilities covered exclusively by cash, also declined 10%. The other indicators, such as Total-Debt-to-Total-Assets, Total liabilities to equity, and Non-current liabilities to assets, illustrated the 30-40% positive trend. Return on equity (ROE) and return on assets (ROA) for 2020 are 2.13% and 1.20%, respectively.</w:t>
      </w:r>
    </w:p>
    <w:p w14:paraId="6255E856" w14:textId="7BF61C4A" w:rsidR="008C1BC5" w:rsidRDefault="008C1BC5" w:rsidP="00C9582F">
      <w:pPr>
        <w:snapToGrid w:val="0"/>
        <w:contextualSpacing/>
        <w:jc w:val="both"/>
        <w:rPr>
          <w:color w:val="000000" w:themeColor="text1"/>
          <w:sz w:val="28"/>
          <w:szCs w:val="28"/>
          <w:lang w:val="en-US"/>
        </w:rPr>
      </w:pPr>
    </w:p>
    <w:p w14:paraId="2BA83A9F" w14:textId="77777777" w:rsidR="00B71E0A" w:rsidRPr="00D549EE" w:rsidRDefault="00B71E0A" w:rsidP="00C9582F">
      <w:pPr>
        <w:snapToGrid w:val="0"/>
        <w:contextualSpacing/>
        <w:jc w:val="both"/>
        <w:rPr>
          <w:color w:val="000000" w:themeColor="text1"/>
          <w:sz w:val="28"/>
          <w:szCs w:val="28"/>
          <w:lang w:val="en-US"/>
        </w:rPr>
      </w:pPr>
    </w:p>
    <w:p w14:paraId="01189273" w14:textId="3B62A289" w:rsidR="008C1BC5" w:rsidRPr="00D549EE" w:rsidRDefault="008C1BC5" w:rsidP="00C9582F">
      <w:pPr>
        <w:snapToGrid w:val="0"/>
        <w:contextualSpacing/>
        <w:jc w:val="both"/>
        <w:rPr>
          <w:sz w:val="28"/>
          <w:szCs w:val="28"/>
          <w:lang w:val="en-US"/>
        </w:rPr>
      </w:pPr>
      <w:r w:rsidRPr="00D549EE">
        <w:rPr>
          <w:sz w:val="28"/>
          <w:szCs w:val="28"/>
          <w:lang w:val="en-US"/>
        </w:rPr>
        <w:t xml:space="preserve">Table </w:t>
      </w:r>
      <w:r w:rsidR="004E76BC" w:rsidRPr="00D549EE">
        <w:rPr>
          <w:sz w:val="28"/>
          <w:szCs w:val="28"/>
          <w:lang w:val="en-US"/>
        </w:rPr>
        <w:t>40</w:t>
      </w:r>
      <w:r w:rsidRPr="00D549EE">
        <w:rPr>
          <w:sz w:val="28"/>
          <w:szCs w:val="28"/>
          <w:lang w:val="en-US"/>
        </w:rPr>
        <w:t xml:space="preserve"> – Financial indicators of </w:t>
      </w:r>
      <w:r w:rsidR="00643952" w:rsidRPr="00D549EE">
        <w:rPr>
          <w:sz w:val="28"/>
          <w:szCs w:val="28"/>
          <w:lang w:val="en-US"/>
        </w:rPr>
        <w:t>Zaman Bank</w:t>
      </w:r>
      <w:r w:rsidRPr="00D549EE">
        <w:rPr>
          <w:sz w:val="28"/>
          <w:szCs w:val="28"/>
          <w:lang w:val="en-US"/>
        </w:rPr>
        <w:t xml:space="preserve"> JSC for 2019-2020</w:t>
      </w:r>
    </w:p>
    <w:p w14:paraId="1B590CE1" w14:textId="57B6AA3E" w:rsidR="00ED1FCF" w:rsidRPr="00D549EE" w:rsidRDefault="00ED1FCF" w:rsidP="00C9582F">
      <w:pPr>
        <w:snapToGrid w:val="0"/>
        <w:contextualSpacing/>
        <w:jc w:val="both"/>
        <w:rPr>
          <w:b/>
          <w:color w:val="000000" w:themeColor="text1"/>
          <w:sz w:val="28"/>
          <w:szCs w:val="28"/>
          <w:lang w:val="en-US"/>
        </w:rPr>
      </w:pPr>
    </w:p>
    <w:tbl>
      <w:tblPr>
        <w:tblW w:w="0" w:type="auto"/>
        <w:tblInd w:w="-12" w:type="dxa"/>
        <w:tblLook w:val="04A0" w:firstRow="1" w:lastRow="0" w:firstColumn="1" w:lastColumn="0" w:noHBand="0" w:noVBand="1"/>
      </w:tblPr>
      <w:tblGrid>
        <w:gridCol w:w="4543"/>
        <w:gridCol w:w="1560"/>
        <w:gridCol w:w="1275"/>
        <w:gridCol w:w="1400"/>
        <w:gridCol w:w="816"/>
      </w:tblGrid>
      <w:tr w:rsidR="008C1BC5" w:rsidRPr="00D549EE" w14:paraId="69833848" w14:textId="77777777" w:rsidTr="00262A0A">
        <w:trPr>
          <w:trHeight w:val="255"/>
        </w:trPr>
        <w:tc>
          <w:tcPr>
            <w:tcW w:w="45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0D5DC2" w14:textId="77777777" w:rsidR="008C1BC5" w:rsidRPr="00D549EE" w:rsidRDefault="008C1BC5" w:rsidP="00C9582F">
            <w:pPr>
              <w:jc w:val="center"/>
              <w:rPr>
                <w:lang w:val="en-US"/>
              </w:rPr>
            </w:pPr>
            <w:r w:rsidRPr="00D549EE">
              <w:rPr>
                <w:lang w:val="en-US"/>
              </w:rPr>
              <w:t>Indicators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D2AD39" w14:textId="77777777" w:rsidR="008C1BC5" w:rsidRPr="00D549EE" w:rsidRDefault="008C1BC5" w:rsidP="00C9582F">
            <w:pPr>
              <w:jc w:val="center"/>
            </w:pPr>
            <w:r w:rsidRPr="00D549EE">
              <w:t xml:space="preserve"> </w:t>
            </w:r>
            <w:r w:rsidRPr="00D549EE">
              <w:rPr>
                <w:lang w:val="en-US"/>
              </w:rPr>
              <w:t>2019</w:t>
            </w:r>
            <w:r w:rsidRPr="00D549EE">
              <w:t xml:space="preserve"> </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4C4412" w14:textId="77777777" w:rsidR="008C1BC5" w:rsidRPr="00D549EE" w:rsidRDefault="008C1BC5" w:rsidP="00C9582F">
            <w:pPr>
              <w:jc w:val="center"/>
            </w:pPr>
            <w:r w:rsidRPr="00D549EE">
              <w:t xml:space="preserve"> </w:t>
            </w:r>
            <w:r w:rsidRPr="00D549EE">
              <w:rPr>
                <w:lang w:val="en-US"/>
              </w:rPr>
              <w:t>2020</w:t>
            </w:r>
            <w:r w:rsidRPr="00D549EE">
              <w:t xml:space="preserve"> </w:t>
            </w:r>
          </w:p>
        </w:tc>
        <w:tc>
          <w:tcPr>
            <w:tcW w:w="2216" w:type="dxa"/>
            <w:gridSpan w:val="2"/>
            <w:tcBorders>
              <w:top w:val="single" w:sz="4" w:space="0" w:color="auto"/>
              <w:left w:val="nil"/>
              <w:bottom w:val="single" w:sz="4" w:space="0" w:color="auto"/>
              <w:right w:val="single" w:sz="4" w:space="0" w:color="000000"/>
            </w:tcBorders>
            <w:shd w:val="clear" w:color="auto" w:fill="auto"/>
            <w:noWrap/>
            <w:vAlign w:val="bottom"/>
          </w:tcPr>
          <w:p w14:paraId="59DC0A47" w14:textId="77777777" w:rsidR="008C1BC5" w:rsidRPr="00D549EE" w:rsidRDefault="008C1BC5" w:rsidP="00C9582F">
            <w:pPr>
              <w:jc w:val="center"/>
              <w:rPr>
                <w:lang w:val="en-US"/>
              </w:rPr>
            </w:pPr>
            <w:r w:rsidRPr="00D549EE">
              <w:rPr>
                <w:lang w:val="en-US"/>
              </w:rPr>
              <w:t>Changes</w:t>
            </w:r>
          </w:p>
        </w:tc>
      </w:tr>
      <w:tr w:rsidR="008C1BC5" w:rsidRPr="00D549EE" w14:paraId="26701BC7" w14:textId="77777777" w:rsidTr="00262A0A">
        <w:trPr>
          <w:trHeight w:val="255"/>
        </w:trPr>
        <w:tc>
          <w:tcPr>
            <w:tcW w:w="45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1310F9" w14:textId="77777777" w:rsidR="008C1BC5" w:rsidRPr="00D549EE" w:rsidRDefault="008C1BC5" w:rsidP="00C9582F"/>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7F1318" w14:textId="77777777" w:rsidR="008C1BC5" w:rsidRPr="00D549EE" w:rsidRDefault="008C1BC5" w:rsidP="00C9582F"/>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0C7C7A" w14:textId="77777777" w:rsidR="008C1BC5" w:rsidRPr="00D549EE" w:rsidRDefault="008C1BC5" w:rsidP="00C9582F"/>
        </w:tc>
        <w:tc>
          <w:tcPr>
            <w:tcW w:w="1400" w:type="dxa"/>
            <w:tcBorders>
              <w:top w:val="nil"/>
              <w:left w:val="nil"/>
              <w:bottom w:val="single" w:sz="4" w:space="0" w:color="auto"/>
              <w:right w:val="single" w:sz="4" w:space="0" w:color="auto"/>
            </w:tcBorders>
            <w:shd w:val="clear" w:color="auto" w:fill="auto"/>
            <w:noWrap/>
            <w:vAlign w:val="bottom"/>
          </w:tcPr>
          <w:p w14:paraId="0010186F" w14:textId="77777777" w:rsidR="008C1BC5" w:rsidRPr="00D549EE" w:rsidRDefault="008C1BC5" w:rsidP="00C9582F">
            <w:pPr>
              <w:rPr>
                <w:lang w:val="en-US"/>
              </w:rPr>
            </w:pPr>
            <w:r w:rsidRPr="00D549EE">
              <w:rPr>
                <w:lang w:val="en-US"/>
              </w:rPr>
              <w:t>Growth</w:t>
            </w:r>
          </w:p>
        </w:tc>
        <w:tc>
          <w:tcPr>
            <w:tcW w:w="816" w:type="dxa"/>
            <w:tcBorders>
              <w:top w:val="nil"/>
              <w:left w:val="nil"/>
              <w:bottom w:val="single" w:sz="4" w:space="0" w:color="auto"/>
              <w:right w:val="single" w:sz="4" w:space="0" w:color="auto"/>
            </w:tcBorders>
            <w:shd w:val="clear" w:color="auto" w:fill="auto"/>
            <w:noWrap/>
            <w:vAlign w:val="bottom"/>
          </w:tcPr>
          <w:p w14:paraId="04861213" w14:textId="77777777" w:rsidR="008C1BC5" w:rsidRPr="00D549EE" w:rsidRDefault="008C1BC5" w:rsidP="00C9582F">
            <w:r w:rsidRPr="00D549EE">
              <w:rPr>
                <w:lang w:val="en-US"/>
              </w:rPr>
              <w:t>i</w:t>
            </w:r>
            <w:r w:rsidRPr="00D549EE">
              <w:t>n  %</w:t>
            </w:r>
          </w:p>
        </w:tc>
      </w:tr>
      <w:tr w:rsidR="005D7325" w:rsidRPr="00D549EE" w14:paraId="50AFF692" w14:textId="77777777" w:rsidTr="007E7A00">
        <w:trPr>
          <w:trHeight w:val="255"/>
        </w:trPr>
        <w:tc>
          <w:tcPr>
            <w:tcW w:w="9594" w:type="dxa"/>
            <w:gridSpan w:val="5"/>
            <w:tcBorders>
              <w:top w:val="nil"/>
              <w:left w:val="single" w:sz="4" w:space="0" w:color="auto"/>
              <w:bottom w:val="single" w:sz="4" w:space="0" w:color="auto"/>
              <w:right w:val="single" w:sz="4" w:space="0" w:color="auto"/>
            </w:tcBorders>
            <w:shd w:val="clear" w:color="auto" w:fill="auto"/>
            <w:noWrap/>
            <w:vAlign w:val="bottom"/>
          </w:tcPr>
          <w:p w14:paraId="618F4752" w14:textId="65DF13C2" w:rsidR="005D7325" w:rsidRPr="00D549EE" w:rsidRDefault="005D7325" w:rsidP="00C9582F">
            <w:pPr>
              <w:jc w:val="center"/>
              <w:rPr>
                <w:lang w:val="en-US"/>
              </w:rPr>
            </w:pPr>
            <w:r w:rsidRPr="00D549EE">
              <w:rPr>
                <w:lang w:val="en-US"/>
              </w:rPr>
              <w:t>Liquidity indicators</w:t>
            </w:r>
          </w:p>
        </w:tc>
      </w:tr>
      <w:tr w:rsidR="008C1BC5" w:rsidRPr="00D549EE" w14:paraId="1253FEB3" w14:textId="77777777" w:rsidTr="00262A0A">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35E65D41" w14:textId="77777777" w:rsidR="008C1BC5" w:rsidRPr="00D549EE" w:rsidRDefault="008C1BC5" w:rsidP="00C9582F">
            <w:pPr>
              <w:rPr>
                <w:lang w:val="en-US"/>
              </w:rPr>
            </w:pPr>
            <w:r w:rsidRPr="00D549EE">
              <w:rPr>
                <w:color w:val="000000"/>
                <w:shd w:val="clear" w:color="auto" w:fill="FFFFFF"/>
                <w:lang w:val="en-US"/>
              </w:rPr>
              <w:t xml:space="preserve">Coefficient of absolute liquidity </w:t>
            </w:r>
            <w:r w:rsidRPr="00D549EE">
              <w:rPr>
                <w:lang w:val="en-US"/>
              </w:rPr>
              <w:t>(Cash Ratio)</w:t>
            </w:r>
          </w:p>
        </w:tc>
        <w:tc>
          <w:tcPr>
            <w:tcW w:w="1560" w:type="dxa"/>
            <w:tcBorders>
              <w:top w:val="nil"/>
              <w:left w:val="nil"/>
              <w:bottom w:val="single" w:sz="4" w:space="0" w:color="auto"/>
              <w:right w:val="single" w:sz="4" w:space="0" w:color="auto"/>
            </w:tcBorders>
            <w:shd w:val="clear" w:color="auto" w:fill="auto"/>
            <w:noWrap/>
            <w:vAlign w:val="bottom"/>
          </w:tcPr>
          <w:p w14:paraId="61946492" w14:textId="21947E89" w:rsidR="008C1BC5" w:rsidRPr="00D549EE" w:rsidRDefault="002F45C9" w:rsidP="00C9582F">
            <w:pPr>
              <w:jc w:val="right"/>
              <w:rPr>
                <w:lang w:val="en-US"/>
              </w:rPr>
            </w:pPr>
            <w:r w:rsidRPr="00D549EE">
              <w:rPr>
                <w:lang w:val="en-US"/>
              </w:rPr>
              <w:t>0</w:t>
            </w:r>
            <w:r w:rsidR="008C1BC5" w:rsidRPr="00D549EE">
              <w:rPr>
                <w:lang w:val="en-US"/>
              </w:rPr>
              <w:t>.</w:t>
            </w:r>
            <w:r w:rsidRPr="00D549EE">
              <w:rPr>
                <w:lang w:val="en-US"/>
              </w:rPr>
              <w:t>99</w:t>
            </w:r>
          </w:p>
        </w:tc>
        <w:tc>
          <w:tcPr>
            <w:tcW w:w="1275" w:type="dxa"/>
            <w:tcBorders>
              <w:top w:val="nil"/>
              <w:left w:val="nil"/>
              <w:bottom w:val="single" w:sz="4" w:space="0" w:color="auto"/>
              <w:right w:val="single" w:sz="4" w:space="0" w:color="auto"/>
            </w:tcBorders>
            <w:shd w:val="clear" w:color="auto" w:fill="auto"/>
            <w:noWrap/>
            <w:vAlign w:val="bottom"/>
          </w:tcPr>
          <w:p w14:paraId="14E32CB4" w14:textId="255CDF97" w:rsidR="008C1BC5" w:rsidRPr="00D549EE" w:rsidRDefault="002F45C9" w:rsidP="00C9582F">
            <w:pPr>
              <w:jc w:val="right"/>
              <w:rPr>
                <w:lang w:val="en-US"/>
              </w:rPr>
            </w:pPr>
            <w:r w:rsidRPr="00D549EE">
              <w:rPr>
                <w:lang w:val="en-US"/>
              </w:rPr>
              <w:t>0</w:t>
            </w:r>
            <w:r w:rsidR="008C1BC5" w:rsidRPr="00D549EE">
              <w:rPr>
                <w:lang w:val="en-US"/>
              </w:rPr>
              <w:t>.</w:t>
            </w:r>
            <w:r w:rsidRPr="00D549EE">
              <w:rPr>
                <w:lang w:val="en-US"/>
              </w:rPr>
              <w:t>89</w:t>
            </w:r>
          </w:p>
        </w:tc>
        <w:tc>
          <w:tcPr>
            <w:tcW w:w="1400" w:type="dxa"/>
            <w:tcBorders>
              <w:top w:val="nil"/>
              <w:left w:val="nil"/>
              <w:bottom w:val="single" w:sz="4" w:space="0" w:color="auto"/>
              <w:right w:val="single" w:sz="4" w:space="0" w:color="auto"/>
            </w:tcBorders>
            <w:shd w:val="clear" w:color="auto" w:fill="auto"/>
            <w:noWrap/>
            <w:vAlign w:val="bottom"/>
          </w:tcPr>
          <w:p w14:paraId="6A36ABF0" w14:textId="484A0E6C" w:rsidR="008C1BC5" w:rsidRPr="00D549EE" w:rsidRDefault="002F45C9" w:rsidP="00C9582F">
            <w:pPr>
              <w:jc w:val="right"/>
              <w:rPr>
                <w:lang w:val="en-US"/>
              </w:rPr>
            </w:pPr>
            <w:r w:rsidRPr="00D549EE">
              <w:rPr>
                <w:lang w:val="en-US"/>
              </w:rPr>
              <w:t>(</w:t>
            </w:r>
            <w:r w:rsidR="008C1BC5" w:rsidRPr="00D549EE">
              <w:t>0</w:t>
            </w:r>
            <w:r w:rsidR="008C1BC5" w:rsidRPr="00D549EE">
              <w:rPr>
                <w:lang w:val="en-US"/>
              </w:rPr>
              <w:t>.</w:t>
            </w:r>
            <w:r w:rsidRPr="00D549EE">
              <w:rPr>
                <w:lang w:val="en-US"/>
              </w:rPr>
              <w:t>10)</w:t>
            </w:r>
          </w:p>
        </w:tc>
        <w:tc>
          <w:tcPr>
            <w:tcW w:w="816" w:type="dxa"/>
            <w:tcBorders>
              <w:top w:val="nil"/>
              <w:left w:val="nil"/>
              <w:bottom w:val="single" w:sz="4" w:space="0" w:color="auto"/>
              <w:right w:val="single" w:sz="4" w:space="0" w:color="auto"/>
            </w:tcBorders>
            <w:shd w:val="clear" w:color="auto" w:fill="auto"/>
            <w:noWrap/>
            <w:vAlign w:val="bottom"/>
          </w:tcPr>
          <w:p w14:paraId="4E6EF904" w14:textId="4D91BD9B" w:rsidR="008C1BC5" w:rsidRPr="00D549EE" w:rsidRDefault="002F45C9" w:rsidP="00C9582F">
            <w:pPr>
              <w:jc w:val="right"/>
              <w:rPr>
                <w:lang w:val="en-US"/>
              </w:rPr>
            </w:pPr>
            <w:r w:rsidRPr="00D549EE">
              <w:rPr>
                <w:lang w:val="en-US"/>
              </w:rPr>
              <w:t>(</w:t>
            </w:r>
            <w:r w:rsidRPr="00D549EE">
              <w:t>10</w:t>
            </w:r>
            <w:r w:rsidR="008C1BC5" w:rsidRPr="00D549EE">
              <w:t>%</w:t>
            </w:r>
            <w:r w:rsidRPr="00D549EE">
              <w:rPr>
                <w:lang w:val="en-US"/>
              </w:rPr>
              <w:t>)</w:t>
            </w:r>
          </w:p>
        </w:tc>
      </w:tr>
      <w:tr w:rsidR="008C1BC5" w:rsidRPr="00D549EE" w14:paraId="56F515C0" w14:textId="77777777" w:rsidTr="00262A0A">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3B5ED040" w14:textId="77777777" w:rsidR="008C1BC5" w:rsidRPr="00D549EE" w:rsidRDefault="008C1BC5" w:rsidP="00C9582F">
            <w:pPr>
              <w:rPr>
                <w:lang w:val="en-US"/>
              </w:rPr>
            </w:pPr>
            <w:r w:rsidRPr="00D549EE">
              <w:rPr>
                <w:color w:val="000000"/>
                <w:shd w:val="clear" w:color="auto" w:fill="FFFFFF"/>
                <w:lang w:val="en-US"/>
              </w:rPr>
              <w:t xml:space="preserve">Coefficient of urgent liquidity </w:t>
            </w:r>
            <w:r w:rsidRPr="00D549EE">
              <w:rPr>
                <w:lang w:val="en-US"/>
              </w:rPr>
              <w:t>(Quick Ratio)</w:t>
            </w:r>
          </w:p>
        </w:tc>
        <w:tc>
          <w:tcPr>
            <w:tcW w:w="1560" w:type="dxa"/>
            <w:tcBorders>
              <w:top w:val="nil"/>
              <w:left w:val="nil"/>
              <w:bottom w:val="single" w:sz="4" w:space="0" w:color="auto"/>
              <w:right w:val="single" w:sz="4" w:space="0" w:color="auto"/>
            </w:tcBorders>
            <w:shd w:val="clear" w:color="auto" w:fill="auto"/>
            <w:noWrap/>
            <w:vAlign w:val="bottom"/>
          </w:tcPr>
          <w:p w14:paraId="3F67FC12" w14:textId="446AD944" w:rsidR="008C1BC5" w:rsidRPr="00D549EE" w:rsidRDefault="00BF1214" w:rsidP="00C9582F">
            <w:pPr>
              <w:jc w:val="right"/>
              <w:rPr>
                <w:lang w:val="en-US"/>
              </w:rPr>
            </w:pPr>
            <w:r w:rsidRPr="00D549EE">
              <w:rPr>
                <w:lang w:val="en-US"/>
              </w:rPr>
              <w:t>2</w:t>
            </w:r>
            <w:r w:rsidR="008C1BC5" w:rsidRPr="00D549EE">
              <w:rPr>
                <w:lang w:val="en-US"/>
              </w:rPr>
              <w:t>.</w:t>
            </w:r>
            <w:r w:rsidRPr="00D549EE">
              <w:rPr>
                <w:lang w:val="en-US"/>
              </w:rPr>
              <w:t>77</w:t>
            </w:r>
          </w:p>
        </w:tc>
        <w:tc>
          <w:tcPr>
            <w:tcW w:w="1275" w:type="dxa"/>
            <w:tcBorders>
              <w:top w:val="nil"/>
              <w:left w:val="nil"/>
              <w:bottom w:val="single" w:sz="4" w:space="0" w:color="auto"/>
              <w:right w:val="single" w:sz="4" w:space="0" w:color="auto"/>
            </w:tcBorders>
            <w:shd w:val="clear" w:color="auto" w:fill="auto"/>
            <w:noWrap/>
            <w:vAlign w:val="bottom"/>
          </w:tcPr>
          <w:p w14:paraId="133E09B2" w14:textId="20306517" w:rsidR="008C1BC5" w:rsidRPr="00D549EE" w:rsidRDefault="00BF1214" w:rsidP="00C9582F">
            <w:pPr>
              <w:jc w:val="right"/>
              <w:rPr>
                <w:lang w:val="en-US"/>
              </w:rPr>
            </w:pPr>
            <w:r w:rsidRPr="00D549EE">
              <w:rPr>
                <w:lang w:val="en-US"/>
              </w:rPr>
              <w:t>2</w:t>
            </w:r>
            <w:r w:rsidR="008C1BC5" w:rsidRPr="00D549EE">
              <w:rPr>
                <w:lang w:val="en-US"/>
              </w:rPr>
              <w:t>.</w:t>
            </w:r>
            <w:r w:rsidRPr="00D549EE">
              <w:rPr>
                <w:lang w:val="en-US"/>
              </w:rPr>
              <w:t>53</w:t>
            </w:r>
          </w:p>
        </w:tc>
        <w:tc>
          <w:tcPr>
            <w:tcW w:w="1400" w:type="dxa"/>
            <w:tcBorders>
              <w:top w:val="nil"/>
              <w:left w:val="nil"/>
              <w:bottom w:val="single" w:sz="4" w:space="0" w:color="auto"/>
              <w:right w:val="single" w:sz="4" w:space="0" w:color="auto"/>
            </w:tcBorders>
            <w:shd w:val="clear" w:color="auto" w:fill="auto"/>
            <w:noWrap/>
            <w:vAlign w:val="bottom"/>
          </w:tcPr>
          <w:p w14:paraId="4E06AC42" w14:textId="036326C9" w:rsidR="008C1BC5" w:rsidRPr="00D549EE" w:rsidRDefault="00BF1214" w:rsidP="00C9582F">
            <w:pPr>
              <w:jc w:val="right"/>
              <w:rPr>
                <w:lang w:val="en-US"/>
              </w:rPr>
            </w:pPr>
            <w:r w:rsidRPr="00D549EE">
              <w:rPr>
                <w:lang w:val="en-US"/>
              </w:rPr>
              <w:t>(</w:t>
            </w:r>
            <w:r w:rsidR="008C1BC5" w:rsidRPr="00D549EE">
              <w:rPr>
                <w:lang w:val="en-US"/>
              </w:rPr>
              <w:t>0.</w:t>
            </w:r>
            <w:r w:rsidRPr="00D549EE">
              <w:rPr>
                <w:lang w:val="en-US"/>
              </w:rPr>
              <w:t>24)</w:t>
            </w:r>
          </w:p>
        </w:tc>
        <w:tc>
          <w:tcPr>
            <w:tcW w:w="816" w:type="dxa"/>
            <w:tcBorders>
              <w:top w:val="nil"/>
              <w:left w:val="nil"/>
              <w:bottom w:val="single" w:sz="4" w:space="0" w:color="auto"/>
              <w:right w:val="single" w:sz="4" w:space="0" w:color="auto"/>
            </w:tcBorders>
            <w:shd w:val="clear" w:color="auto" w:fill="auto"/>
            <w:noWrap/>
            <w:vAlign w:val="bottom"/>
          </w:tcPr>
          <w:p w14:paraId="710B3B76" w14:textId="1AD624AF" w:rsidR="008C1BC5" w:rsidRPr="00D549EE" w:rsidRDefault="00BF1214" w:rsidP="00C9582F">
            <w:pPr>
              <w:jc w:val="right"/>
              <w:rPr>
                <w:lang w:val="en-US"/>
              </w:rPr>
            </w:pPr>
            <w:r w:rsidRPr="00D549EE">
              <w:rPr>
                <w:lang w:val="en-US"/>
              </w:rPr>
              <w:t>(</w:t>
            </w:r>
            <w:r w:rsidRPr="00D549EE">
              <w:t>9</w:t>
            </w:r>
            <w:r w:rsidR="008C1BC5" w:rsidRPr="00D549EE">
              <w:t>%</w:t>
            </w:r>
            <w:r w:rsidRPr="00D549EE">
              <w:rPr>
                <w:lang w:val="en-US"/>
              </w:rPr>
              <w:t>)</w:t>
            </w:r>
          </w:p>
        </w:tc>
      </w:tr>
      <w:tr w:rsidR="008C1BC5" w:rsidRPr="00D549EE" w14:paraId="6B8C46DB" w14:textId="77777777" w:rsidTr="00262A0A">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13505892" w14:textId="77777777" w:rsidR="008C1BC5" w:rsidRPr="00D549EE" w:rsidRDefault="008C1BC5" w:rsidP="00C9582F">
            <w:pPr>
              <w:rPr>
                <w:lang w:val="en-US"/>
              </w:rPr>
            </w:pPr>
            <w:r w:rsidRPr="00D549EE">
              <w:rPr>
                <w:color w:val="000000"/>
                <w:shd w:val="clear" w:color="auto" w:fill="FFFFFF"/>
                <w:lang w:val="en-US"/>
              </w:rPr>
              <w:t xml:space="preserve">Coefficient of current liquidity </w:t>
            </w:r>
            <w:r w:rsidRPr="00D549EE">
              <w:rPr>
                <w:lang w:val="en-US"/>
              </w:rPr>
              <w:t>(Current Ratio)</w:t>
            </w:r>
          </w:p>
        </w:tc>
        <w:tc>
          <w:tcPr>
            <w:tcW w:w="1560" w:type="dxa"/>
            <w:tcBorders>
              <w:top w:val="nil"/>
              <w:left w:val="nil"/>
              <w:bottom w:val="single" w:sz="4" w:space="0" w:color="auto"/>
              <w:right w:val="single" w:sz="4" w:space="0" w:color="auto"/>
            </w:tcBorders>
            <w:shd w:val="clear" w:color="auto" w:fill="auto"/>
            <w:noWrap/>
            <w:vAlign w:val="bottom"/>
          </w:tcPr>
          <w:p w14:paraId="0C628926" w14:textId="2927C0D3" w:rsidR="008C1BC5" w:rsidRPr="00D549EE" w:rsidRDefault="008C1BC5" w:rsidP="00C9582F">
            <w:pPr>
              <w:jc w:val="right"/>
              <w:rPr>
                <w:lang w:val="en-US"/>
              </w:rPr>
            </w:pPr>
            <w:r w:rsidRPr="00D549EE">
              <w:rPr>
                <w:lang w:val="en-US"/>
              </w:rPr>
              <w:t>0.</w:t>
            </w:r>
            <w:r w:rsidR="00BF1214" w:rsidRPr="00D549EE">
              <w:rPr>
                <w:lang w:val="en-US"/>
              </w:rPr>
              <w:t>98</w:t>
            </w:r>
          </w:p>
        </w:tc>
        <w:tc>
          <w:tcPr>
            <w:tcW w:w="1275" w:type="dxa"/>
            <w:tcBorders>
              <w:top w:val="nil"/>
              <w:left w:val="nil"/>
              <w:bottom w:val="single" w:sz="4" w:space="0" w:color="auto"/>
              <w:right w:val="single" w:sz="4" w:space="0" w:color="auto"/>
            </w:tcBorders>
            <w:shd w:val="clear" w:color="auto" w:fill="auto"/>
            <w:noWrap/>
            <w:vAlign w:val="bottom"/>
          </w:tcPr>
          <w:p w14:paraId="3B341B72" w14:textId="78D9FBCF" w:rsidR="008C1BC5" w:rsidRPr="00D549EE" w:rsidRDefault="008C1BC5" w:rsidP="00C9582F">
            <w:pPr>
              <w:jc w:val="right"/>
              <w:rPr>
                <w:lang w:val="en-US"/>
              </w:rPr>
            </w:pPr>
            <w:r w:rsidRPr="00D549EE">
              <w:rPr>
                <w:lang w:val="en-US"/>
              </w:rPr>
              <w:t>0.</w:t>
            </w:r>
            <w:r w:rsidR="00BF1214" w:rsidRPr="00D549EE">
              <w:rPr>
                <w:lang w:val="en-US"/>
              </w:rPr>
              <w:t>88</w:t>
            </w:r>
          </w:p>
        </w:tc>
        <w:tc>
          <w:tcPr>
            <w:tcW w:w="1400" w:type="dxa"/>
            <w:tcBorders>
              <w:top w:val="nil"/>
              <w:left w:val="nil"/>
              <w:bottom w:val="single" w:sz="4" w:space="0" w:color="auto"/>
              <w:right w:val="single" w:sz="4" w:space="0" w:color="auto"/>
            </w:tcBorders>
            <w:shd w:val="clear" w:color="auto" w:fill="auto"/>
            <w:noWrap/>
            <w:vAlign w:val="bottom"/>
          </w:tcPr>
          <w:p w14:paraId="590DB76F" w14:textId="64BB8DB5" w:rsidR="008C1BC5" w:rsidRPr="00D549EE" w:rsidRDefault="00BF1214" w:rsidP="00C9582F">
            <w:pPr>
              <w:jc w:val="right"/>
              <w:rPr>
                <w:lang w:val="en-US"/>
              </w:rPr>
            </w:pPr>
            <w:r w:rsidRPr="00D549EE">
              <w:rPr>
                <w:lang w:val="en-US"/>
              </w:rPr>
              <w:t>(</w:t>
            </w:r>
            <w:r w:rsidR="008C1BC5" w:rsidRPr="00D549EE">
              <w:t>0</w:t>
            </w:r>
            <w:r w:rsidR="008C1BC5" w:rsidRPr="00D549EE">
              <w:rPr>
                <w:lang w:val="en-US"/>
              </w:rPr>
              <w:t>.</w:t>
            </w:r>
            <w:r w:rsidRPr="00D549EE">
              <w:rPr>
                <w:lang w:val="en-US"/>
              </w:rPr>
              <w:t>10)</w:t>
            </w:r>
          </w:p>
        </w:tc>
        <w:tc>
          <w:tcPr>
            <w:tcW w:w="816" w:type="dxa"/>
            <w:tcBorders>
              <w:top w:val="nil"/>
              <w:left w:val="nil"/>
              <w:bottom w:val="single" w:sz="4" w:space="0" w:color="auto"/>
              <w:right w:val="single" w:sz="4" w:space="0" w:color="auto"/>
            </w:tcBorders>
            <w:shd w:val="clear" w:color="auto" w:fill="auto"/>
            <w:noWrap/>
            <w:vAlign w:val="bottom"/>
          </w:tcPr>
          <w:p w14:paraId="7E43010D" w14:textId="4481C7BE" w:rsidR="008C1BC5" w:rsidRPr="00D549EE" w:rsidRDefault="00BF1214" w:rsidP="00C9582F">
            <w:pPr>
              <w:jc w:val="right"/>
            </w:pPr>
            <w:r w:rsidRPr="00D549EE">
              <w:rPr>
                <w:lang w:val="en-US"/>
              </w:rPr>
              <w:t>(10)</w:t>
            </w:r>
            <w:r w:rsidR="008C1BC5" w:rsidRPr="00D549EE">
              <w:t>%</w:t>
            </w:r>
          </w:p>
        </w:tc>
      </w:tr>
      <w:tr w:rsidR="005D7325" w:rsidRPr="00D549EE" w14:paraId="3D0DD231" w14:textId="77777777" w:rsidTr="007E7A00">
        <w:trPr>
          <w:trHeight w:val="255"/>
        </w:trPr>
        <w:tc>
          <w:tcPr>
            <w:tcW w:w="9594" w:type="dxa"/>
            <w:gridSpan w:val="5"/>
            <w:tcBorders>
              <w:top w:val="nil"/>
              <w:left w:val="single" w:sz="4" w:space="0" w:color="auto"/>
              <w:bottom w:val="single" w:sz="4" w:space="0" w:color="auto"/>
              <w:right w:val="single" w:sz="4" w:space="0" w:color="auto"/>
            </w:tcBorders>
            <w:shd w:val="clear" w:color="auto" w:fill="auto"/>
            <w:noWrap/>
            <w:vAlign w:val="bottom"/>
          </w:tcPr>
          <w:p w14:paraId="51FEF51A" w14:textId="310CBB70" w:rsidR="005D7325" w:rsidRPr="00D549EE" w:rsidRDefault="005D7325" w:rsidP="00C9582F">
            <w:pPr>
              <w:jc w:val="center"/>
              <w:rPr>
                <w:lang w:val="en-US"/>
              </w:rPr>
            </w:pPr>
            <w:r w:rsidRPr="00D549EE">
              <w:rPr>
                <w:lang w:val="en-US"/>
              </w:rPr>
              <w:t>Capital structure indicators</w:t>
            </w:r>
          </w:p>
        </w:tc>
      </w:tr>
      <w:tr w:rsidR="008C1BC5" w:rsidRPr="00D549EE" w14:paraId="5FB353CB" w14:textId="77777777" w:rsidTr="00262A0A">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177A0703" w14:textId="77777777" w:rsidR="008C1BC5" w:rsidRPr="00D549EE" w:rsidRDefault="008C1BC5" w:rsidP="00C9582F">
            <w:pPr>
              <w:rPr>
                <w:lang w:val="en-US"/>
              </w:rPr>
            </w:pPr>
            <w:r w:rsidRPr="00D549EE">
              <w:rPr>
                <w:lang w:val="en-US"/>
              </w:rPr>
              <w:t>Financial independence ratio (EQ/TA)</w:t>
            </w:r>
          </w:p>
        </w:tc>
        <w:tc>
          <w:tcPr>
            <w:tcW w:w="1560" w:type="dxa"/>
            <w:tcBorders>
              <w:top w:val="nil"/>
              <w:left w:val="nil"/>
              <w:bottom w:val="single" w:sz="4" w:space="0" w:color="auto"/>
              <w:right w:val="single" w:sz="4" w:space="0" w:color="auto"/>
            </w:tcBorders>
            <w:shd w:val="clear" w:color="auto" w:fill="auto"/>
            <w:noWrap/>
            <w:vAlign w:val="bottom"/>
          </w:tcPr>
          <w:p w14:paraId="3F6BAEDE" w14:textId="106C8402" w:rsidR="008C1BC5" w:rsidRPr="00D549EE" w:rsidRDefault="008C1BC5" w:rsidP="00C9582F">
            <w:pPr>
              <w:jc w:val="right"/>
              <w:rPr>
                <w:lang w:val="en-US"/>
              </w:rPr>
            </w:pPr>
            <w:r w:rsidRPr="00D549EE">
              <w:rPr>
                <w:lang w:val="en-US"/>
              </w:rPr>
              <w:t>0.</w:t>
            </w:r>
            <w:r w:rsidR="0046267C" w:rsidRPr="00D549EE">
              <w:rPr>
                <w:lang w:val="en-US"/>
              </w:rPr>
              <w:t>63</w:t>
            </w:r>
          </w:p>
        </w:tc>
        <w:tc>
          <w:tcPr>
            <w:tcW w:w="1275" w:type="dxa"/>
            <w:tcBorders>
              <w:top w:val="nil"/>
              <w:left w:val="nil"/>
              <w:bottom w:val="single" w:sz="4" w:space="0" w:color="auto"/>
              <w:right w:val="single" w:sz="4" w:space="0" w:color="auto"/>
            </w:tcBorders>
            <w:shd w:val="clear" w:color="auto" w:fill="auto"/>
            <w:noWrap/>
            <w:vAlign w:val="bottom"/>
          </w:tcPr>
          <w:p w14:paraId="21205E01" w14:textId="4E9502A0" w:rsidR="008C1BC5" w:rsidRPr="00D549EE" w:rsidRDefault="008C1BC5" w:rsidP="00C9582F">
            <w:pPr>
              <w:jc w:val="right"/>
              <w:rPr>
                <w:lang w:val="en-US"/>
              </w:rPr>
            </w:pPr>
            <w:r w:rsidRPr="00D549EE">
              <w:t>0</w:t>
            </w:r>
            <w:r w:rsidRPr="00D549EE">
              <w:rPr>
                <w:lang w:val="en-US"/>
              </w:rPr>
              <w:t>.</w:t>
            </w:r>
            <w:r w:rsidR="0046267C" w:rsidRPr="00D549EE">
              <w:rPr>
                <w:lang w:val="en-US"/>
              </w:rPr>
              <w:t>56</w:t>
            </w:r>
          </w:p>
        </w:tc>
        <w:tc>
          <w:tcPr>
            <w:tcW w:w="1400" w:type="dxa"/>
            <w:tcBorders>
              <w:top w:val="nil"/>
              <w:left w:val="nil"/>
              <w:bottom w:val="single" w:sz="4" w:space="0" w:color="auto"/>
              <w:right w:val="single" w:sz="4" w:space="0" w:color="auto"/>
            </w:tcBorders>
            <w:shd w:val="clear" w:color="auto" w:fill="auto"/>
            <w:noWrap/>
            <w:vAlign w:val="bottom"/>
          </w:tcPr>
          <w:p w14:paraId="71C320A8" w14:textId="4DE7A269" w:rsidR="008C1BC5" w:rsidRPr="00D549EE" w:rsidRDefault="008C1BC5" w:rsidP="00C9582F">
            <w:pPr>
              <w:jc w:val="right"/>
            </w:pPr>
            <w:r w:rsidRPr="00D549EE">
              <w:rPr>
                <w:lang w:val="en-US"/>
              </w:rPr>
              <w:t>(0.</w:t>
            </w:r>
            <w:r w:rsidR="0046267C" w:rsidRPr="00D549EE">
              <w:rPr>
                <w:lang w:val="en-US"/>
              </w:rPr>
              <w:t>07</w:t>
            </w:r>
            <w:r w:rsidRPr="00D549EE">
              <w:rPr>
                <w:lang w:val="en-US"/>
              </w:rPr>
              <w:t>)</w:t>
            </w:r>
          </w:p>
        </w:tc>
        <w:tc>
          <w:tcPr>
            <w:tcW w:w="816" w:type="dxa"/>
            <w:tcBorders>
              <w:top w:val="nil"/>
              <w:left w:val="nil"/>
              <w:bottom w:val="single" w:sz="4" w:space="0" w:color="auto"/>
              <w:right w:val="single" w:sz="4" w:space="0" w:color="auto"/>
            </w:tcBorders>
            <w:shd w:val="clear" w:color="auto" w:fill="auto"/>
            <w:noWrap/>
            <w:vAlign w:val="bottom"/>
          </w:tcPr>
          <w:p w14:paraId="65C8B421" w14:textId="711CFF64" w:rsidR="008C1BC5" w:rsidRPr="00D549EE" w:rsidRDefault="008C1BC5" w:rsidP="00C9582F">
            <w:pPr>
              <w:jc w:val="right"/>
              <w:rPr>
                <w:lang w:val="en-US"/>
              </w:rPr>
            </w:pPr>
            <w:r w:rsidRPr="00D549EE">
              <w:rPr>
                <w:lang w:val="en-US"/>
              </w:rPr>
              <w:t>(</w:t>
            </w:r>
            <w:r w:rsidR="0046267C" w:rsidRPr="00D549EE">
              <w:rPr>
                <w:lang w:val="en-US"/>
              </w:rPr>
              <w:t>11</w:t>
            </w:r>
            <w:r w:rsidRPr="00D549EE">
              <w:t>%</w:t>
            </w:r>
            <w:r w:rsidRPr="00D549EE">
              <w:rPr>
                <w:lang w:val="en-US"/>
              </w:rPr>
              <w:t>)</w:t>
            </w:r>
          </w:p>
        </w:tc>
      </w:tr>
      <w:tr w:rsidR="008C1BC5" w:rsidRPr="00D549EE" w14:paraId="216A9842" w14:textId="77777777" w:rsidTr="00262A0A">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7DA26B9C" w14:textId="77777777" w:rsidR="008C1BC5" w:rsidRPr="00D549EE" w:rsidRDefault="008C1BC5" w:rsidP="00C9582F">
            <w:pPr>
              <w:pStyle w:val="3"/>
              <w:spacing w:before="0"/>
              <w:rPr>
                <w:rFonts w:ascii="Times New Roman" w:hAnsi="Times New Roman" w:cs="Times New Roman"/>
                <w:color w:val="111111"/>
                <w:lang w:val="en-US"/>
              </w:rPr>
            </w:pPr>
            <w:r w:rsidRPr="00D549EE">
              <w:rPr>
                <w:rStyle w:val="mntl-sc-block-subheadingtext"/>
                <w:rFonts w:ascii="Times New Roman" w:hAnsi="Times New Roman" w:cs="Times New Roman"/>
                <w:bCs/>
                <w:color w:val="111111"/>
                <w:lang w:val="en-US"/>
              </w:rPr>
              <w:t>Total-Debt-to-Total-Assets</w:t>
            </w:r>
          </w:p>
          <w:p w14:paraId="5B0729D8" w14:textId="77777777" w:rsidR="008C1BC5" w:rsidRPr="00D549EE" w:rsidRDefault="008C1BC5" w:rsidP="00C9582F">
            <w:pPr>
              <w:rPr>
                <w:lang w:val="en-US"/>
              </w:rPr>
            </w:pPr>
            <w:r w:rsidRPr="00D549EE">
              <w:rPr>
                <w:lang w:val="en-US"/>
              </w:rPr>
              <w:t xml:space="preserve"> (TD/TA)</w:t>
            </w:r>
          </w:p>
        </w:tc>
        <w:tc>
          <w:tcPr>
            <w:tcW w:w="1560" w:type="dxa"/>
            <w:tcBorders>
              <w:top w:val="nil"/>
              <w:left w:val="nil"/>
              <w:bottom w:val="single" w:sz="4" w:space="0" w:color="auto"/>
              <w:right w:val="single" w:sz="4" w:space="0" w:color="auto"/>
            </w:tcBorders>
            <w:shd w:val="clear" w:color="auto" w:fill="auto"/>
            <w:noWrap/>
            <w:vAlign w:val="bottom"/>
          </w:tcPr>
          <w:p w14:paraId="3CDD2C25" w14:textId="28942BAA" w:rsidR="008C1BC5" w:rsidRPr="00D549EE" w:rsidRDefault="008C1BC5" w:rsidP="00C9582F">
            <w:pPr>
              <w:jc w:val="right"/>
              <w:rPr>
                <w:lang w:val="en-US"/>
              </w:rPr>
            </w:pPr>
            <w:r w:rsidRPr="00D549EE">
              <w:t>0</w:t>
            </w:r>
            <w:r w:rsidRPr="00D549EE">
              <w:rPr>
                <w:lang w:val="en-US"/>
              </w:rPr>
              <w:t>.</w:t>
            </w:r>
            <w:r w:rsidR="0046267C" w:rsidRPr="00D549EE">
              <w:rPr>
                <w:lang w:val="en-US"/>
              </w:rPr>
              <w:t>37</w:t>
            </w:r>
          </w:p>
        </w:tc>
        <w:tc>
          <w:tcPr>
            <w:tcW w:w="1275" w:type="dxa"/>
            <w:tcBorders>
              <w:top w:val="nil"/>
              <w:left w:val="nil"/>
              <w:bottom w:val="single" w:sz="4" w:space="0" w:color="auto"/>
              <w:right w:val="single" w:sz="4" w:space="0" w:color="auto"/>
            </w:tcBorders>
            <w:shd w:val="clear" w:color="auto" w:fill="auto"/>
            <w:noWrap/>
            <w:vAlign w:val="bottom"/>
          </w:tcPr>
          <w:p w14:paraId="0BF357C5" w14:textId="77D8E4AD" w:rsidR="008C1BC5" w:rsidRPr="00D549EE" w:rsidRDefault="008C1BC5" w:rsidP="00C9582F">
            <w:pPr>
              <w:jc w:val="right"/>
              <w:rPr>
                <w:lang w:val="en-US"/>
              </w:rPr>
            </w:pPr>
            <w:r w:rsidRPr="00D549EE">
              <w:t>0</w:t>
            </w:r>
            <w:r w:rsidRPr="00D549EE">
              <w:rPr>
                <w:lang w:val="en-US"/>
              </w:rPr>
              <w:t>.</w:t>
            </w:r>
            <w:r w:rsidR="0046267C" w:rsidRPr="00D549EE">
              <w:rPr>
                <w:lang w:val="en-US"/>
              </w:rPr>
              <w:t>44</w:t>
            </w:r>
          </w:p>
        </w:tc>
        <w:tc>
          <w:tcPr>
            <w:tcW w:w="1400" w:type="dxa"/>
            <w:tcBorders>
              <w:top w:val="nil"/>
              <w:left w:val="nil"/>
              <w:bottom w:val="single" w:sz="4" w:space="0" w:color="auto"/>
              <w:right w:val="single" w:sz="4" w:space="0" w:color="auto"/>
            </w:tcBorders>
            <w:shd w:val="clear" w:color="auto" w:fill="auto"/>
            <w:noWrap/>
            <w:vAlign w:val="bottom"/>
          </w:tcPr>
          <w:p w14:paraId="117AC941" w14:textId="35F24EE2" w:rsidR="008C1BC5" w:rsidRPr="00D549EE" w:rsidRDefault="008C1BC5" w:rsidP="00C9582F">
            <w:pPr>
              <w:jc w:val="right"/>
            </w:pPr>
            <w:r w:rsidRPr="00D549EE">
              <w:rPr>
                <w:lang w:val="en-US"/>
              </w:rPr>
              <w:t>0.</w:t>
            </w:r>
            <w:r w:rsidR="0046267C" w:rsidRPr="00D549EE">
              <w:rPr>
                <w:lang w:val="en-US"/>
              </w:rPr>
              <w:t>07</w:t>
            </w:r>
          </w:p>
        </w:tc>
        <w:tc>
          <w:tcPr>
            <w:tcW w:w="816" w:type="dxa"/>
            <w:tcBorders>
              <w:top w:val="nil"/>
              <w:left w:val="nil"/>
              <w:bottom w:val="single" w:sz="4" w:space="0" w:color="auto"/>
              <w:right w:val="single" w:sz="4" w:space="0" w:color="auto"/>
            </w:tcBorders>
            <w:shd w:val="clear" w:color="auto" w:fill="auto"/>
            <w:noWrap/>
            <w:vAlign w:val="bottom"/>
          </w:tcPr>
          <w:p w14:paraId="2E878E4B" w14:textId="24E33364" w:rsidR="008C1BC5" w:rsidRPr="00D549EE" w:rsidRDefault="0046267C" w:rsidP="00C9582F">
            <w:pPr>
              <w:jc w:val="right"/>
            </w:pPr>
            <w:r w:rsidRPr="00D549EE">
              <w:t>34</w:t>
            </w:r>
            <w:r w:rsidR="008C1BC5" w:rsidRPr="00D549EE">
              <w:t>%</w:t>
            </w:r>
          </w:p>
        </w:tc>
      </w:tr>
      <w:tr w:rsidR="008C1BC5" w:rsidRPr="00D549EE" w14:paraId="67C80453" w14:textId="77777777" w:rsidTr="00262A0A">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115FDA9F" w14:textId="77777777" w:rsidR="008C1BC5" w:rsidRPr="00D549EE" w:rsidRDefault="008C1BC5" w:rsidP="00C9582F">
            <w:pPr>
              <w:rPr>
                <w:lang w:val="en-US"/>
              </w:rPr>
            </w:pPr>
            <w:r w:rsidRPr="00D549EE">
              <w:rPr>
                <w:lang w:val="en-US"/>
              </w:rPr>
              <w:t>Total liabilities to equity (TD/EQ)</w:t>
            </w:r>
          </w:p>
        </w:tc>
        <w:tc>
          <w:tcPr>
            <w:tcW w:w="1560" w:type="dxa"/>
            <w:tcBorders>
              <w:top w:val="nil"/>
              <w:left w:val="nil"/>
              <w:bottom w:val="single" w:sz="4" w:space="0" w:color="auto"/>
              <w:right w:val="single" w:sz="4" w:space="0" w:color="auto"/>
            </w:tcBorders>
            <w:shd w:val="clear" w:color="auto" w:fill="auto"/>
            <w:noWrap/>
            <w:vAlign w:val="bottom"/>
          </w:tcPr>
          <w:p w14:paraId="2552B38B" w14:textId="47E76D43" w:rsidR="008C1BC5" w:rsidRPr="00D549EE" w:rsidRDefault="0046267C" w:rsidP="00C9582F">
            <w:pPr>
              <w:jc w:val="right"/>
              <w:rPr>
                <w:lang w:val="en-US"/>
              </w:rPr>
            </w:pPr>
            <w:r w:rsidRPr="00D549EE">
              <w:rPr>
                <w:lang w:val="en-US"/>
              </w:rPr>
              <w:t>0</w:t>
            </w:r>
            <w:r w:rsidR="008C1BC5" w:rsidRPr="00D549EE">
              <w:rPr>
                <w:lang w:val="en-US"/>
              </w:rPr>
              <w:t>.</w:t>
            </w:r>
            <w:r w:rsidRPr="00D549EE">
              <w:rPr>
                <w:lang w:val="en-US"/>
              </w:rPr>
              <w:t>58</w:t>
            </w:r>
          </w:p>
        </w:tc>
        <w:tc>
          <w:tcPr>
            <w:tcW w:w="1275" w:type="dxa"/>
            <w:tcBorders>
              <w:top w:val="nil"/>
              <w:left w:val="nil"/>
              <w:bottom w:val="single" w:sz="4" w:space="0" w:color="auto"/>
              <w:right w:val="single" w:sz="4" w:space="0" w:color="auto"/>
            </w:tcBorders>
            <w:shd w:val="clear" w:color="auto" w:fill="auto"/>
            <w:noWrap/>
            <w:vAlign w:val="bottom"/>
          </w:tcPr>
          <w:p w14:paraId="70BEB4A8" w14:textId="15668A5E" w:rsidR="008C1BC5" w:rsidRPr="00D549EE" w:rsidRDefault="0046267C" w:rsidP="00C9582F">
            <w:pPr>
              <w:jc w:val="right"/>
              <w:rPr>
                <w:lang w:val="en-US"/>
              </w:rPr>
            </w:pPr>
            <w:r w:rsidRPr="00D549EE">
              <w:rPr>
                <w:lang w:val="en-US"/>
              </w:rPr>
              <w:t>0</w:t>
            </w:r>
            <w:r w:rsidR="008C1BC5" w:rsidRPr="00D549EE">
              <w:rPr>
                <w:lang w:val="en-US"/>
              </w:rPr>
              <w:t>.</w:t>
            </w:r>
            <w:r w:rsidRPr="00D549EE">
              <w:rPr>
                <w:lang w:val="en-US"/>
              </w:rPr>
              <w:t>78</w:t>
            </w:r>
          </w:p>
        </w:tc>
        <w:tc>
          <w:tcPr>
            <w:tcW w:w="1400" w:type="dxa"/>
            <w:tcBorders>
              <w:top w:val="nil"/>
              <w:left w:val="nil"/>
              <w:bottom w:val="single" w:sz="4" w:space="0" w:color="auto"/>
              <w:right w:val="single" w:sz="4" w:space="0" w:color="auto"/>
            </w:tcBorders>
            <w:shd w:val="clear" w:color="auto" w:fill="auto"/>
            <w:noWrap/>
            <w:vAlign w:val="bottom"/>
          </w:tcPr>
          <w:p w14:paraId="5F259714" w14:textId="630554C1" w:rsidR="008C1BC5" w:rsidRPr="00D549EE" w:rsidRDefault="0046267C" w:rsidP="00C9582F">
            <w:pPr>
              <w:jc w:val="right"/>
              <w:rPr>
                <w:lang w:val="en-US"/>
              </w:rPr>
            </w:pPr>
            <w:r w:rsidRPr="00D549EE">
              <w:rPr>
                <w:lang w:val="en-US"/>
              </w:rPr>
              <w:t>0</w:t>
            </w:r>
            <w:r w:rsidR="008C1BC5" w:rsidRPr="00D549EE">
              <w:rPr>
                <w:lang w:val="en-US"/>
              </w:rPr>
              <w:t>.</w:t>
            </w:r>
            <w:r w:rsidRPr="00D549EE">
              <w:rPr>
                <w:lang w:val="en-US"/>
              </w:rPr>
              <w:t>20</w:t>
            </w:r>
          </w:p>
        </w:tc>
        <w:tc>
          <w:tcPr>
            <w:tcW w:w="816" w:type="dxa"/>
            <w:tcBorders>
              <w:top w:val="nil"/>
              <w:left w:val="nil"/>
              <w:bottom w:val="single" w:sz="4" w:space="0" w:color="auto"/>
              <w:right w:val="single" w:sz="4" w:space="0" w:color="auto"/>
            </w:tcBorders>
            <w:shd w:val="clear" w:color="auto" w:fill="auto"/>
            <w:noWrap/>
            <w:vAlign w:val="bottom"/>
          </w:tcPr>
          <w:p w14:paraId="4021B275" w14:textId="66637933" w:rsidR="008C1BC5" w:rsidRPr="00D549EE" w:rsidRDefault="0046267C" w:rsidP="00C9582F">
            <w:pPr>
              <w:jc w:val="right"/>
            </w:pPr>
            <w:r w:rsidRPr="00D549EE">
              <w:t>34</w:t>
            </w:r>
            <w:r w:rsidR="008C1BC5" w:rsidRPr="00D549EE">
              <w:t>%</w:t>
            </w:r>
          </w:p>
        </w:tc>
      </w:tr>
      <w:tr w:rsidR="008C1BC5" w:rsidRPr="00D549EE" w14:paraId="77080CB7" w14:textId="77777777" w:rsidTr="00262A0A">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7F5ACB7A" w14:textId="77777777" w:rsidR="008C1BC5" w:rsidRPr="00D549EE" w:rsidRDefault="008C1BC5" w:rsidP="00C9582F">
            <w:pPr>
              <w:rPr>
                <w:lang w:val="en-US"/>
              </w:rPr>
            </w:pPr>
            <w:r w:rsidRPr="00D549EE">
              <w:rPr>
                <w:lang w:val="en-US"/>
              </w:rPr>
              <w:t>Non-current liabilities to assets (LTD/TA)</w:t>
            </w:r>
          </w:p>
        </w:tc>
        <w:tc>
          <w:tcPr>
            <w:tcW w:w="1560" w:type="dxa"/>
            <w:tcBorders>
              <w:top w:val="nil"/>
              <w:left w:val="nil"/>
              <w:bottom w:val="single" w:sz="4" w:space="0" w:color="auto"/>
              <w:right w:val="single" w:sz="4" w:space="0" w:color="auto"/>
            </w:tcBorders>
            <w:shd w:val="clear" w:color="auto" w:fill="auto"/>
            <w:noWrap/>
            <w:vAlign w:val="bottom"/>
          </w:tcPr>
          <w:p w14:paraId="593CF3AA" w14:textId="0BB565D8" w:rsidR="008C1BC5" w:rsidRPr="00D549EE" w:rsidRDefault="008C1BC5" w:rsidP="00C9582F">
            <w:pPr>
              <w:jc w:val="right"/>
              <w:rPr>
                <w:lang w:val="en-US"/>
              </w:rPr>
            </w:pPr>
            <w:r w:rsidRPr="00D549EE">
              <w:t>0</w:t>
            </w:r>
            <w:r w:rsidRPr="00D549EE">
              <w:rPr>
                <w:lang w:val="en-US"/>
              </w:rPr>
              <w:t>.0</w:t>
            </w:r>
            <w:r w:rsidR="00643952" w:rsidRPr="00D549EE">
              <w:rPr>
                <w:lang w:val="en-US"/>
              </w:rPr>
              <w:t>8</w:t>
            </w:r>
          </w:p>
        </w:tc>
        <w:tc>
          <w:tcPr>
            <w:tcW w:w="1275" w:type="dxa"/>
            <w:tcBorders>
              <w:top w:val="nil"/>
              <w:left w:val="nil"/>
              <w:bottom w:val="single" w:sz="4" w:space="0" w:color="auto"/>
              <w:right w:val="single" w:sz="4" w:space="0" w:color="auto"/>
            </w:tcBorders>
            <w:shd w:val="clear" w:color="auto" w:fill="auto"/>
            <w:noWrap/>
            <w:vAlign w:val="bottom"/>
          </w:tcPr>
          <w:p w14:paraId="125CB3C7" w14:textId="41B4A0C7" w:rsidR="008C1BC5" w:rsidRPr="00D549EE" w:rsidRDefault="008C1BC5" w:rsidP="00C9582F">
            <w:pPr>
              <w:jc w:val="right"/>
              <w:rPr>
                <w:lang w:val="en-US"/>
              </w:rPr>
            </w:pPr>
            <w:r w:rsidRPr="00D549EE">
              <w:t>0</w:t>
            </w:r>
            <w:r w:rsidRPr="00D549EE">
              <w:rPr>
                <w:lang w:val="en-US"/>
              </w:rPr>
              <w:t>.</w:t>
            </w:r>
            <w:r w:rsidR="00643952" w:rsidRPr="00D549EE">
              <w:rPr>
                <w:lang w:val="en-US"/>
              </w:rPr>
              <w:t>11</w:t>
            </w:r>
          </w:p>
        </w:tc>
        <w:tc>
          <w:tcPr>
            <w:tcW w:w="1400" w:type="dxa"/>
            <w:tcBorders>
              <w:top w:val="nil"/>
              <w:left w:val="nil"/>
              <w:bottom w:val="single" w:sz="4" w:space="0" w:color="auto"/>
              <w:right w:val="single" w:sz="4" w:space="0" w:color="auto"/>
            </w:tcBorders>
            <w:shd w:val="clear" w:color="auto" w:fill="auto"/>
            <w:noWrap/>
            <w:vAlign w:val="bottom"/>
          </w:tcPr>
          <w:p w14:paraId="096985CE" w14:textId="2A25E0AB" w:rsidR="008C1BC5" w:rsidRPr="00D549EE" w:rsidRDefault="008C1BC5" w:rsidP="00C9582F">
            <w:pPr>
              <w:jc w:val="right"/>
              <w:rPr>
                <w:lang w:val="en-US"/>
              </w:rPr>
            </w:pPr>
            <w:r w:rsidRPr="00D549EE">
              <w:rPr>
                <w:lang w:val="en-US"/>
              </w:rPr>
              <w:t>0.</w:t>
            </w:r>
            <w:r w:rsidR="0046267C" w:rsidRPr="00D549EE">
              <w:rPr>
                <w:lang w:val="en-US"/>
              </w:rPr>
              <w:t>03</w:t>
            </w:r>
          </w:p>
        </w:tc>
        <w:tc>
          <w:tcPr>
            <w:tcW w:w="816" w:type="dxa"/>
            <w:tcBorders>
              <w:top w:val="nil"/>
              <w:left w:val="nil"/>
              <w:bottom w:val="single" w:sz="4" w:space="0" w:color="auto"/>
              <w:right w:val="single" w:sz="4" w:space="0" w:color="auto"/>
            </w:tcBorders>
            <w:shd w:val="clear" w:color="auto" w:fill="auto"/>
            <w:noWrap/>
            <w:vAlign w:val="bottom"/>
          </w:tcPr>
          <w:p w14:paraId="303EDF44" w14:textId="26BF731F" w:rsidR="008C1BC5" w:rsidRPr="00D549EE" w:rsidRDefault="0046267C" w:rsidP="00C9582F">
            <w:pPr>
              <w:jc w:val="right"/>
            </w:pPr>
            <w:r w:rsidRPr="00D549EE">
              <w:t>42</w:t>
            </w:r>
            <w:r w:rsidR="008C1BC5" w:rsidRPr="00D549EE">
              <w:t>%</w:t>
            </w:r>
          </w:p>
        </w:tc>
      </w:tr>
      <w:tr w:rsidR="005D7325" w:rsidRPr="00D549EE" w14:paraId="4C38823E" w14:textId="77777777" w:rsidTr="007E7A00">
        <w:trPr>
          <w:trHeight w:val="255"/>
        </w:trPr>
        <w:tc>
          <w:tcPr>
            <w:tcW w:w="9594" w:type="dxa"/>
            <w:gridSpan w:val="5"/>
            <w:tcBorders>
              <w:top w:val="nil"/>
              <w:left w:val="single" w:sz="4" w:space="0" w:color="auto"/>
              <w:bottom w:val="single" w:sz="4" w:space="0" w:color="auto"/>
              <w:right w:val="single" w:sz="4" w:space="0" w:color="auto"/>
            </w:tcBorders>
            <w:shd w:val="clear" w:color="auto" w:fill="auto"/>
            <w:noWrap/>
            <w:vAlign w:val="bottom"/>
          </w:tcPr>
          <w:p w14:paraId="005B5E2D" w14:textId="0CA1FB3D" w:rsidR="005D7325" w:rsidRPr="00D549EE" w:rsidRDefault="005D7325" w:rsidP="00C9582F">
            <w:pPr>
              <w:jc w:val="center"/>
              <w:rPr>
                <w:lang w:val="en-US"/>
              </w:rPr>
            </w:pPr>
            <w:r w:rsidRPr="00D549EE">
              <w:t>Profitability</w:t>
            </w:r>
            <w:r w:rsidRPr="00D549EE">
              <w:rPr>
                <w:lang w:val="en-US"/>
              </w:rPr>
              <w:t xml:space="preserve"> indicators</w:t>
            </w:r>
          </w:p>
        </w:tc>
      </w:tr>
      <w:tr w:rsidR="008C1BC5" w:rsidRPr="00D549EE" w14:paraId="6093C05C" w14:textId="77777777" w:rsidTr="008C1BC5">
        <w:trPr>
          <w:trHeight w:val="255"/>
        </w:trPr>
        <w:tc>
          <w:tcPr>
            <w:tcW w:w="4543" w:type="dxa"/>
            <w:tcBorders>
              <w:top w:val="nil"/>
              <w:left w:val="single" w:sz="4" w:space="0" w:color="auto"/>
              <w:bottom w:val="single" w:sz="4" w:space="0" w:color="auto"/>
              <w:right w:val="single" w:sz="4" w:space="0" w:color="auto"/>
            </w:tcBorders>
            <w:shd w:val="clear" w:color="auto" w:fill="auto"/>
            <w:noWrap/>
            <w:vAlign w:val="bottom"/>
          </w:tcPr>
          <w:p w14:paraId="0ADCC098" w14:textId="77777777" w:rsidR="008C1BC5" w:rsidRPr="00D549EE" w:rsidRDefault="008C1BC5" w:rsidP="00C9582F">
            <w:pPr>
              <w:rPr>
                <w:lang w:val="en-US"/>
              </w:rPr>
            </w:pPr>
            <w:r w:rsidRPr="00D549EE">
              <w:t>Return on equity (ROE)</w:t>
            </w:r>
            <w:r w:rsidRPr="00D549EE">
              <w:rPr>
                <w:lang w:val="en-US"/>
              </w:rPr>
              <w:t>, %</w:t>
            </w:r>
          </w:p>
        </w:tc>
        <w:tc>
          <w:tcPr>
            <w:tcW w:w="1560" w:type="dxa"/>
            <w:tcBorders>
              <w:top w:val="nil"/>
              <w:left w:val="nil"/>
              <w:bottom w:val="single" w:sz="4" w:space="0" w:color="auto"/>
              <w:right w:val="single" w:sz="4" w:space="0" w:color="auto"/>
            </w:tcBorders>
            <w:shd w:val="clear" w:color="auto" w:fill="auto"/>
            <w:noWrap/>
            <w:vAlign w:val="bottom"/>
          </w:tcPr>
          <w:p w14:paraId="51D5414A" w14:textId="6550250C" w:rsidR="008C1BC5" w:rsidRPr="00D549EE" w:rsidRDefault="00643952" w:rsidP="00C9582F">
            <w:pPr>
              <w:jc w:val="right"/>
              <w:rPr>
                <w:lang w:val="en-US"/>
              </w:rPr>
            </w:pPr>
            <w:r w:rsidRPr="00D549EE">
              <w:rPr>
                <w:lang w:val="en-US"/>
              </w:rPr>
              <w:t>1.32</w:t>
            </w:r>
          </w:p>
        </w:tc>
        <w:tc>
          <w:tcPr>
            <w:tcW w:w="1275" w:type="dxa"/>
            <w:tcBorders>
              <w:top w:val="nil"/>
              <w:left w:val="nil"/>
              <w:bottom w:val="single" w:sz="4" w:space="0" w:color="auto"/>
              <w:right w:val="single" w:sz="4" w:space="0" w:color="auto"/>
            </w:tcBorders>
            <w:shd w:val="clear" w:color="auto" w:fill="auto"/>
            <w:noWrap/>
            <w:vAlign w:val="bottom"/>
          </w:tcPr>
          <w:p w14:paraId="7D3684F4" w14:textId="2AC8A579" w:rsidR="008C1BC5" w:rsidRPr="00D549EE" w:rsidRDefault="00643952" w:rsidP="00C9582F">
            <w:pPr>
              <w:jc w:val="right"/>
              <w:rPr>
                <w:lang w:val="en-US"/>
              </w:rPr>
            </w:pPr>
            <w:r w:rsidRPr="00D549EE">
              <w:rPr>
                <w:lang w:val="en-US"/>
              </w:rPr>
              <w:t>2.13</w:t>
            </w:r>
          </w:p>
        </w:tc>
        <w:tc>
          <w:tcPr>
            <w:tcW w:w="1400" w:type="dxa"/>
            <w:tcBorders>
              <w:top w:val="nil"/>
              <w:left w:val="nil"/>
              <w:bottom w:val="single" w:sz="4" w:space="0" w:color="auto"/>
              <w:right w:val="single" w:sz="4" w:space="0" w:color="auto"/>
            </w:tcBorders>
            <w:shd w:val="clear" w:color="auto" w:fill="auto"/>
            <w:noWrap/>
            <w:vAlign w:val="bottom"/>
          </w:tcPr>
          <w:p w14:paraId="2F977303" w14:textId="54D5F99D" w:rsidR="008C1BC5" w:rsidRPr="00D549EE" w:rsidRDefault="008C1BC5" w:rsidP="00C9582F">
            <w:pPr>
              <w:jc w:val="right"/>
              <w:rPr>
                <w:lang w:val="en-US"/>
              </w:rPr>
            </w:pPr>
            <w:r w:rsidRPr="00D549EE">
              <w:t>0</w:t>
            </w:r>
            <w:r w:rsidRPr="00D549EE">
              <w:rPr>
                <w:lang w:val="en-US"/>
              </w:rPr>
              <w:t>.0</w:t>
            </w:r>
            <w:r w:rsidR="00643952" w:rsidRPr="00D549EE">
              <w:rPr>
                <w:lang w:val="en-US"/>
              </w:rPr>
              <w:t>1</w:t>
            </w:r>
          </w:p>
        </w:tc>
        <w:tc>
          <w:tcPr>
            <w:tcW w:w="816" w:type="dxa"/>
            <w:tcBorders>
              <w:top w:val="nil"/>
              <w:left w:val="nil"/>
              <w:bottom w:val="single" w:sz="4" w:space="0" w:color="auto"/>
              <w:right w:val="single" w:sz="4" w:space="0" w:color="auto"/>
            </w:tcBorders>
            <w:shd w:val="clear" w:color="auto" w:fill="auto"/>
            <w:noWrap/>
            <w:vAlign w:val="bottom"/>
          </w:tcPr>
          <w:p w14:paraId="602402FE" w14:textId="3ADC861E" w:rsidR="008C1BC5" w:rsidRPr="00D549EE" w:rsidRDefault="00643952" w:rsidP="00C9582F">
            <w:pPr>
              <w:jc w:val="right"/>
              <w:rPr>
                <w:lang w:val="en-US"/>
              </w:rPr>
            </w:pPr>
            <w:r w:rsidRPr="00D549EE">
              <w:rPr>
                <w:lang w:val="en-US"/>
              </w:rPr>
              <w:t>98</w:t>
            </w:r>
            <w:r w:rsidR="008C1BC5" w:rsidRPr="00D549EE">
              <w:t>%</w:t>
            </w:r>
          </w:p>
        </w:tc>
      </w:tr>
      <w:tr w:rsidR="008C1BC5" w:rsidRPr="00D549EE" w14:paraId="30359962" w14:textId="77777777" w:rsidTr="008C1BC5">
        <w:trPr>
          <w:trHeight w:val="255"/>
        </w:trPr>
        <w:tc>
          <w:tcPr>
            <w:tcW w:w="4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76D74" w14:textId="77777777" w:rsidR="008C1BC5" w:rsidRPr="00D549EE" w:rsidRDefault="008C1BC5" w:rsidP="00C9582F">
            <w:pPr>
              <w:rPr>
                <w:lang w:val="en-US"/>
              </w:rPr>
            </w:pPr>
            <w:r w:rsidRPr="00D549EE">
              <w:rPr>
                <w:lang w:val="en-US"/>
              </w:rPr>
              <w:t>Return on assets</w:t>
            </w:r>
            <w:r w:rsidRPr="00D549EE">
              <w:t xml:space="preserve"> (R</w:t>
            </w:r>
            <w:r w:rsidRPr="00D549EE">
              <w:rPr>
                <w:lang w:val="en-US"/>
              </w:rPr>
              <w:t>O</w:t>
            </w:r>
            <w:r w:rsidRPr="00D549EE">
              <w:t>A), %</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123EC16D" w14:textId="49891C15" w:rsidR="008C1BC5" w:rsidRPr="00D549EE" w:rsidRDefault="00643952" w:rsidP="00C9582F">
            <w:pPr>
              <w:jc w:val="right"/>
              <w:rPr>
                <w:lang w:val="en-US"/>
              </w:rPr>
            </w:pPr>
            <w:r w:rsidRPr="00D549EE">
              <w:rPr>
                <w:lang w:val="en-US"/>
              </w:rPr>
              <w:t>0</w:t>
            </w:r>
            <w:r w:rsidR="008C1BC5" w:rsidRPr="00D549EE">
              <w:rPr>
                <w:lang w:val="en-US"/>
              </w:rPr>
              <w:t>.</w:t>
            </w:r>
            <w:r w:rsidRPr="00D549EE">
              <w:rPr>
                <w:lang w:val="en-US"/>
              </w:rPr>
              <w:t>83</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0C8F349D" w14:textId="0CA74725" w:rsidR="008C1BC5" w:rsidRPr="00D549EE" w:rsidRDefault="00643952" w:rsidP="00C9582F">
            <w:pPr>
              <w:jc w:val="right"/>
            </w:pPr>
            <w:r w:rsidRPr="00D549EE">
              <w:rPr>
                <w:lang w:val="en-US"/>
              </w:rPr>
              <w:t>1</w:t>
            </w:r>
            <w:r w:rsidR="008C1BC5" w:rsidRPr="00D549EE">
              <w:rPr>
                <w:lang w:val="en-US"/>
              </w:rPr>
              <w:t>.</w:t>
            </w:r>
            <w:r w:rsidRPr="00D549EE">
              <w:rPr>
                <w:lang w:val="en-US"/>
              </w:rPr>
              <w:t>20</w:t>
            </w:r>
          </w:p>
        </w:tc>
        <w:tc>
          <w:tcPr>
            <w:tcW w:w="1400" w:type="dxa"/>
            <w:tcBorders>
              <w:top w:val="single" w:sz="4" w:space="0" w:color="auto"/>
              <w:left w:val="nil"/>
              <w:bottom w:val="single" w:sz="4" w:space="0" w:color="auto"/>
              <w:right w:val="single" w:sz="4" w:space="0" w:color="auto"/>
            </w:tcBorders>
            <w:shd w:val="clear" w:color="auto" w:fill="auto"/>
            <w:noWrap/>
            <w:vAlign w:val="bottom"/>
          </w:tcPr>
          <w:p w14:paraId="6CE21F7C" w14:textId="39C8608E" w:rsidR="008C1BC5" w:rsidRPr="00D549EE" w:rsidRDefault="008C1BC5" w:rsidP="00C9582F">
            <w:pPr>
              <w:jc w:val="right"/>
              <w:rPr>
                <w:lang w:val="en-US"/>
              </w:rPr>
            </w:pPr>
            <w:r w:rsidRPr="00D549EE">
              <w:t>0</w:t>
            </w:r>
            <w:r w:rsidRPr="00D549EE">
              <w:rPr>
                <w:lang w:val="en-US"/>
              </w:rPr>
              <w:t>.0</w:t>
            </w:r>
            <w:r w:rsidR="00643952" w:rsidRPr="00D549EE">
              <w:rPr>
                <w:lang w:val="en-US"/>
              </w:rPr>
              <w:t>03</w:t>
            </w:r>
          </w:p>
        </w:tc>
        <w:tc>
          <w:tcPr>
            <w:tcW w:w="816" w:type="dxa"/>
            <w:tcBorders>
              <w:top w:val="single" w:sz="4" w:space="0" w:color="auto"/>
              <w:left w:val="nil"/>
              <w:bottom w:val="single" w:sz="4" w:space="0" w:color="auto"/>
              <w:right w:val="single" w:sz="4" w:space="0" w:color="auto"/>
            </w:tcBorders>
            <w:shd w:val="clear" w:color="auto" w:fill="auto"/>
            <w:noWrap/>
            <w:vAlign w:val="bottom"/>
          </w:tcPr>
          <w:p w14:paraId="39DEB795" w14:textId="156E7CB2" w:rsidR="008C1BC5" w:rsidRPr="00D549EE" w:rsidRDefault="00643952" w:rsidP="00C9582F">
            <w:pPr>
              <w:jc w:val="right"/>
              <w:rPr>
                <w:lang w:val="en-US"/>
              </w:rPr>
            </w:pPr>
            <w:r w:rsidRPr="00D549EE">
              <w:t>37</w:t>
            </w:r>
            <w:r w:rsidR="008C1BC5" w:rsidRPr="00D549EE">
              <w:t>%</w:t>
            </w:r>
          </w:p>
        </w:tc>
      </w:tr>
      <w:tr w:rsidR="008C1BC5" w:rsidRPr="00FC685D" w14:paraId="4B15AA4B" w14:textId="77777777" w:rsidTr="00262A0A">
        <w:trPr>
          <w:trHeight w:val="255"/>
        </w:trPr>
        <w:tc>
          <w:tcPr>
            <w:tcW w:w="959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4437614" w14:textId="76CFF092" w:rsidR="008C1BC5" w:rsidRPr="00D549EE" w:rsidRDefault="001A7B0E" w:rsidP="00C9582F">
            <w:pPr>
              <w:rPr>
                <w:lang w:val="en-US"/>
              </w:rPr>
            </w:pPr>
            <w:r w:rsidRPr="00D549EE">
              <w:rPr>
                <w:color w:val="000000" w:themeColor="text1"/>
                <w:lang w:val="en-US"/>
              </w:rPr>
              <w:t xml:space="preserve">       </w:t>
            </w:r>
            <w:r w:rsidR="008C1BC5" w:rsidRPr="00D549EE">
              <w:rPr>
                <w:color w:val="000000" w:themeColor="text1"/>
                <w:lang w:val="en-US"/>
              </w:rPr>
              <w:t xml:space="preserve">Note </w:t>
            </w:r>
            <w:r w:rsidR="008C1BC5" w:rsidRPr="00D549EE">
              <w:rPr>
                <w:lang w:val="en-US"/>
              </w:rPr>
              <w:t xml:space="preserve">– </w:t>
            </w:r>
            <w:r w:rsidR="008C1BC5" w:rsidRPr="00D549EE">
              <w:rPr>
                <w:color w:val="000000" w:themeColor="text1"/>
                <w:lang w:val="en-US"/>
              </w:rPr>
              <w:t xml:space="preserve">Compiled </w:t>
            </w:r>
            <w:r w:rsidR="005D7325" w:rsidRPr="00D549EE">
              <w:rPr>
                <w:color w:val="000000" w:themeColor="text1"/>
                <w:lang w:val="en-US"/>
              </w:rPr>
              <w:t xml:space="preserve">and estimated </w:t>
            </w:r>
            <w:r w:rsidR="008C1BC5" w:rsidRPr="00D549EE">
              <w:rPr>
                <w:color w:val="000000" w:themeColor="text1"/>
                <w:lang w:val="en-US"/>
              </w:rPr>
              <w:t>by the author</w:t>
            </w:r>
          </w:p>
        </w:tc>
      </w:tr>
    </w:tbl>
    <w:p w14:paraId="0FFDA02A" w14:textId="77777777" w:rsidR="00330FB7" w:rsidRDefault="00330FB7" w:rsidP="00C9582F">
      <w:pPr>
        <w:snapToGrid w:val="0"/>
        <w:contextualSpacing/>
        <w:jc w:val="both"/>
        <w:rPr>
          <w:sz w:val="28"/>
          <w:szCs w:val="28"/>
          <w:lang w:val="en-US"/>
        </w:rPr>
      </w:pPr>
    </w:p>
    <w:p w14:paraId="22261B16" w14:textId="2448980B" w:rsidR="00714A02" w:rsidRPr="00D549EE" w:rsidRDefault="00714A02" w:rsidP="00C9582F">
      <w:pPr>
        <w:snapToGrid w:val="0"/>
        <w:contextualSpacing/>
        <w:jc w:val="both"/>
        <w:rPr>
          <w:sz w:val="28"/>
          <w:szCs w:val="28"/>
          <w:lang w:val="en-US"/>
        </w:rPr>
      </w:pPr>
      <w:r w:rsidRPr="00D549EE">
        <w:rPr>
          <w:sz w:val="28"/>
          <w:szCs w:val="28"/>
          <w:lang w:val="en-US"/>
        </w:rPr>
        <w:t xml:space="preserve">Table </w:t>
      </w:r>
      <w:r w:rsidR="001A7B0E" w:rsidRPr="00D549EE">
        <w:rPr>
          <w:sz w:val="28"/>
          <w:szCs w:val="28"/>
          <w:lang w:val="en-US"/>
        </w:rPr>
        <w:t>4</w:t>
      </w:r>
      <w:r w:rsidR="004E76BC" w:rsidRPr="00D549EE">
        <w:rPr>
          <w:sz w:val="28"/>
          <w:szCs w:val="28"/>
          <w:lang w:val="en-US"/>
        </w:rPr>
        <w:t>1</w:t>
      </w:r>
      <w:r w:rsidRPr="00D549EE">
        <w:rPr>
          <w:sz w:val="28"/>
          <w:szCs w:val="28"/>
          <w:lang w:val="en-US"/>
        </w:rPr>
        <w:t xml:space="preserve"> – Business orientation and bank efficiency indicators of Zaman Bank JSC for 2020</w:t>
      </w:r>
    </w:p>
    <w:p w14:paraId="2AE9E493" w14:textId="77777777" w:rsidR="00714A02" w:rsidRPr="00D549EE" w:rsidRDefault="00714A02" w:rsidP="00C9582F">
      <w:pPr>
        <w:snapToGrid w:val="0"/>
        <w:contextualSpacing/>
        <w:jc w:val="both"/>
        <w:rPr>
          <w:sz w:val="28"/>
          <w:szCs w:val="28"/>
          <w:lang w:val="en-US"/>
        </w:rPr>
      </w:pPr>
    </w:p>
    <w:tbl>
      <w:tblPr>
        <w:tblStyle w:val="a9"/>
        <w:tblW w:w="0" w:type="auto"/>
        <w:tblLook w:val="04A0" w:firstRow="1" w:lastRow="0" w:firstColumn="1" w:lastColumn="0" w:noHBand="0" w:noVBand="1"/>
      </w:tblPr>
      <w:tblGrid>
        <w:gridCol w:w="1307"/>
        <w:gridCol w:w="2140"/>
        <w:gridCol w:w="1992"/>
        <w:gridCol w:w="1395"/>
        <w:gridCol w:w="1243"/>
        <w:gridCol w:w="836"/>
        <w:gridCol w:w="710"/>
      </w:tblGrid>
      <w:tr w:rsidR="00714A02" w:rsidRPr="00D549EE" w14:paraId="1B8246D7" w14:textId="77777777" w:rsidTr="007E7A00">
        <w:tc>
          <w:tcPr>
            <w:tcW w:w="0" w:type="auto"/>
            <w:gridSpan w:val="7"/>
          </w:tcPr>
          <w:p w14:paraId="69F29D1D" w14:textId="77777777" w:rsidR="00714A02" w:rsidRPr="00D549EE" w:rsidRDefault="00714A02" w:rsidP="00C9582F">
            <w:pPr>
              <w:snapToGrid w:val="0"/>
              <w:contextualSpacing/>
              <w:jc w:val="center"/>
              <w:rPr>
                <w:lang w:val="en-US"/>
              </w:rPr>
            </w:pPr>
            <w:r w:rsidRPr="00D549EE">
              <w:rPr>
                <w:lang w:val="en-US"/>
              </w:rPr>
              <w:t>Indicator</w:t>
            </w:r>
          </w:p>
        </w:tc>
      </w:tr>
      <w:tr w:rsidR="00714A02" w:rsidRPr="00D549EE" w14:paraId="0DB0DF46" w14:textId="77777777" w:rsidTr="007E7A00">
        <w:tc>
          <w:tcPr>
            <w:tcW w:w="0" w:type="auto"/>
            <w:gridSpan w:val="3"/>
          </w:tcPr>
          <w:p w14:paraId="6FE46FC2" w14:textId="77777777" w:rsidR="00714A02" w:rsidRPr="00D549EE" w:rsidRDefault="00714A02" w:rsidP="00C9582F">
            <w:pPr>
              <w:snapToGrid w:val="0"/>
              <w:contextualSpacing/>
              <w:rPr>
                <w:lang w:val="en-US"/>
              </w:rPr>
            </w:pPr>
            <w:r w:rsidRPr="00D549EE">
              <w:rPr>
                <w:lang w:val="en-US"/>
              </w:rPr>
              <w:t>Business model</w:t>
            </w:r>
          </w:p>
        </w:tc>
        <w:tc>
          <w:tcPr>
            <w:tcW w:w="0" w:type="auto"/>
            <w:gridSpan w:val="2"/>
          </w:tcPr>
          <w:p w14:paraId="29A05486" w14:textId="77777777" w:rsidR="00714A02" w:rsidRPr="00D549EE" w:rsidRDefault="00714A02" w:rsidP="00C9582F">
            <w:pPr>
              <w:snapToGrid w:val="0"/>
              <w:contextualSpacing/>
              <w:rPr>
                <w:lang w:val="en-US"/>
              </w:rPr>
            </w:pPr>
            <w:r w:rsidRPr="00D549EE">
              <w:rPr>
                <w:lang w:val="en-US"/>
              </w:rPr>
              <w:t>Efficiency</w:t>
            </w:r>
          </w:p>
        </w:tc>
        <w:tc>
          <w:tcPr>
            <w:tcW w:w="0" w:type="auto"/>
            <w:gridSpan w:val="2"/>
          </w:tcPr>
          <w:p w14:paraId="06D753A7" w14:textId="77777777" w:rsidR="00714A02" w:rsidRPr="00D549EE" w:rsidRDefault="00714A02" w:rsidP="00C9582F">
            <w:pPr>
              <w:snapToGrid w:val="0"/>
              <w:contextualSpacing/>
              <w:rPr>
                <w:lang w:val="en-US"/>
              </w:rPr>
            </w:pPr>
            <w:r w:rsidRPr="00D549EE">
              <w:rPr>
                <w:lang w:val="en-US"/>
              </w:rPr>
              <w:t xml:space="preserve">Stability </w:t>
            </w:r>
          </w:p>
        </w:tc>
      </w:tr>
      <w:tr w:rsidR="00CD4A7D" w:rsidRPr="00D549EE" w14:paraId="2B7C9C0C" w14:textId="77777777" w:rsidTr="007E7A00">
        <w:tc>
          <w:tcPr>
            <w:tcW w:w="0" w:type="auto"/>
          </w:tcPr>
          <w:p w14:paraId="55723D58" w14:textId="77777777" w:rsidR="00714A02" w:rsidRPr="00D549EE" w:rsidRDefault="00714A02" w:rsidP="00C9582F">
            <w:pPr>
              <w:snapToGrid w:val="0"/>
              <w:contextualSpacing/>
              <w:rPr>
                <w:lang w:val="en-US"/>
              </w:rPr>
            </w:pPr>
            <w:r w:rsidRPr="00D549EE">
              <w:rPr>
                <w:lang w:val="en-US"/>
              </w:rPr>
              <w:t>Fee income</w:t>
            </w:r>
          </w:p>
        </w:tc>
        <w:tc>
          <w:tcPr>
            <w:tcW w:w="0" w:type="auto"/>
          </w:tcPr>
          <w:p w14:paraId="1AA84CA9" w14:textId="77777777" w:rsidR="00714A02" w:rsidRPr="00D549EE" w:rsidRDefault="00714A02" w:rsidP="00C9582F">
            <w:pPr>
              <w:snapToGrid w:val="0"/>
              <w:contextualSpacing/>
              <w:rPr>
                <w:lang w:val="en-US"/>
              </w:rPr>
            </w:pPr>
            <w:r w:rsidRPr="00D549EE">
              <w:rPr>
                <w:lang w:val="en-US"/>
              </w:rPr>
              <w:t>Non-deposit funding</w:t>
            </w:r>
          </w:p>
        </w:tc>
        <w:tc>
          <w:tcPr>
            <w:tcW w:w="0" w:type="auto"/>
          </w:tcPr>
          <w:p w14:paraId="4591B441" w14:textId="77777777" w:rsidR="00714A02" w:rsidRPr="00D549EE" w:rsidRDefault="00714A02" w:rsidP="00C9582F">
            <w:pPr>
              <w:snapToGrid w:val="0"/>
              <w:contextualSpacing/>
              <w:rPr>
                <w:lang w:val="en-US"/>
              </w:rPr>
            </w:pPr>
            <w:r w:rsidRPr="00D549EE">
              <w:rPr>
                <w:lang w:val="en-US"/>
              </w:rPr>
              <w:t>Loans deposit ratio</w:t>
            </w:r>
          </w:p>
        </w:tc>
        <w:tc>
          <w:tcPr>
            <w:tcW w:w="0" w:type="auto"/>
          </w:tcPr>
          <w:p w14:paraId="01BCF8AF" w14:textId="77777777" w:rsidR="00714A02" w:rsidRPr="00D549EE" w:rsidRDefault="00714A02" w:rsidP="00C9582F">
            <w:pPr>
              <w:snapToGrid w:val="0"/>
              <w:contextualSpacing/>
              <w:rPr>
                <w:lang w:val="en-US"/>
              </w:rPr>
            </w:pPr>
            <w:r w:rsidRPr="00D549EE">
              <w:rPr>
                <w:lang w:val="en-US"/>
              </w:rPr>
              <w:t>Cost income</w:t>
            </w:r>
          </w:p>
        </w:tc>
        <w:tc>
          <w:tcPr>
            <w:tcW w:w="0" w:type="auto"/>
          </w:tcPr>
          <w:p w14:paraId="499D0799" w14:textId="77777777" w:rsidR="00714A02" w:rsidRPr="00D549EE" w:rsidRDefault="00714A02" w:rsidP="00C9582F">
            <w:pPr>
              <w:snapToGrid w:val="0"/>
              <w:contextualSpacing/>
              <w:rPr>
                <w:lang w:val="en-US"/>
              </w:rPr>
            </w:pPr>
            <w:r w:rsidRPr="00D549EE">
              <w:rPr>
                <w:lang w:val="en-US"/>
              </w:rPr>
              <w:t>Overheads</w:t>
            </w:r>
          </w:p>
        </w:tc>
        <w:tc>
          <w:tcPr>
            <w:tcW w:w="0" w:type="auto"/>
          </w:tcPr>
          <w:p w14:paraId="28395100" w14:textId="77777777" w:rsidR="00714A02" w:rsidRPr="00D549EE" w:rsidRDefault="00714A02" w:rsidP="00C9582F">
            <w:pPr>
              <w:snapToGrid w:val="0"/>
              <w:contextualSpacing/>
            </w:pPr>
            <w:r w:rsidRPr="00D549EE">
              <w:rPr>
                <w:lang w:val="en-US"/>
              </w:rPr>
              <w:t>RO</w:t>
            </w:r>
            <w:r w:rsidRPr="00D549EE">
              <w:t>А</w:t>
            </w:r>
          </w:p>
        </w:tc>
        <w:tc>
          <w:tcPr>
            <w:tcW w:w="0" w:type="auto"/>
          </w:tcPr>
          <w:p w14:paraId="39E5445E" w14:textId="77777777" w:rsidR="00714A02" w:rsidRPr="00D549EE" w:rsidRDefault="00714A02" w:rsidP="00C9582F">
            <w:pPr>
              <w:snapToGrid w:val="0"/>
              <w:contextualSpacing/>
              <w:rPr>
                <w:lang w:val="en-US"/>
              </w:rPr>
            </w:pPr>
            <w:r w:rsidRPr="00D549EE">
              <w:rPr>
                <w:lang w:val="en-US"/>
              </w:rPr>
              <w:t>CAR</w:t>
            </w:r>
          </w:p>
        </w:tc>
      </w:tr>
      <w:tr w:rsidR="00CD4A7D" w:rsidRPr="00D549EE" w14:paraId="014937F9" w14:textId="77777777" w:rsidTr="007E7A00">
        <w:tc>
          <w:tcPr>
            <w:tcW w:w="0" w:type="auto"/>
          </w:tcPr>
          <w:p w14:paraId="667B404A" w14:textId="409304EB" w:rsidR="00714A02" w:rsidRPr="00D549EE" w:rsidRDefault="00DD1597" w:rsidP="00C9582F">
            <w:pPr>
              <w:snapToGrid w:val="0"/>
              <w:contextualSpacing/>
              <w:rPr>
                <w:lang w:val="en-US"/>
              </w:rPr>
            </w:pPr>
            <w:r w:rsidRPr="00D549EE">
              <w:rPr>
                <w:lang w:val="en-US"/>
              </w:rPr>
              <w:t>68</w:t>
            </w:r>
            <w:r w:rsidR="00714A02" w:rsidRPr="00D549EE">
              <w:rPr>
                <w:lang w:val="en-US"/>
              </w:rPr>
              <w:t>%</w:t>
            </w:r>
          </w:p>
        </w:tc>
        <w:tc>
          <w:tcPr>
            <w:tcW w:w="0" w:type="auto"/>
          </w:tcPr>
          <w:p w14:paraId="215E3F1C" w14:textId="2FB554C6" w:rsidR="00714A02" w:rsidRPr="00D549EE" w:rsidRDefault="00785138" w:rsidP="00C9582F">
            <w:pPr>
              <w:snapToGrid w:val="0"/>
              <w:contextualSpacing/>
              <w:rPr>
                <w:lang w:val="en-US"/>
              </w:rPr>
            </w:pPr>
            <w:r w:rsidRPr="00D549EE">
              <w:rPr>
                <w:lang w:val="en-US"/>
              </w:rPr>
              <w:t>26</w:t>
            </w:r>
            <w:r w:rsidR="00714A02" w:rsidRPr="00D549EE">
              <w:rPr>
                <w:lang w:val="en-US"/>
              </w:rPr>
              <w:t>.</w:t>
            </w:r>
            <w:r w:rsidRPr="00D549EE">
              <w:rPr>
                <w:lang w:val="en-US"/>
              </w:rPr>
              <w:t>5</w:t>
            </w:r>
            <w:r w:rsidR="00714A02" w:rsidRPr="00D549EE">
              <w:rPr>
                <w:lang w:val="en-US"/>
              </w:rPr>
              <w:t>%</w:t>
            </w:r>
          </w:p>
        </w:tc>
        <w:tc>
          <w:tcPr>
            <w:tcW w:w="0" w:type="auto"/>
          </w:tcPr>
          <w:p w14:paraId="37A7E20D" w14:textId="203F2931" w:rsidR="00714A02" w:rsidRPr="00D549EE" w:rsidRDefault="00785138" w:rsidP="00C9582F">
            <w:pPr>
              <w:snapToGrid w:val="0"/>
              <w:contextualSpacing/>
              <w:rPr>
                <w:lang w:val="en-US"/>
              </w:rPr>
            </w:pPr>
            <w:r w:rsidRPr="00D549EE">
              <w:rPr>
                <w:lang w:val="en-US"/>
              </w:rPr>
              <w:t>22</w:t>
            </w:r>
            <w:r w:rsidR="00DD1597" w:rsidRPr="00D549EE">
              <w:rPr>
                <w:lang w:val="en-US"/>
              </w:rPr>
              <w:t>.</w:t>
            </w:r>
            <w:r w:rsidRPr="00D549EE">
              <w:rPr>
                <w:lang w:val="en-US"/>
              </w:rPr>
              <w:t>5</w:t>
            </w:r>
            <w:r w:rsidR="00714A02" w:rsidRPr="00D549EE">
              <w:rPr>
                <w:lang w:val="en-US"/>
              </w:rPr>
              <w:t>%</w:t>
            </w:r>
          </w:p>
        </w:tc>
        <w:tc>
          <w:tcPr>
            <w:tcW w:w="0" w:type="auto"/>
          </w:tcPr>
          <w:p w14:paraId="3E97CE23" w14:textId="00E984C1" w:rsidR="00714A02" w:rsidRPr="00D549EE" w:rsidRDefault="00714A02" w:rsidP="00C9582F">
            <w:pPr>
              <w:snapToGrid w:val="0"/>
              <w:contextualSpacing/>
              <w:rPr>
                <w:lang w:val="en-US"/>
              </w:rPr>
            </w:pPr>
            <w:r w:rsidRPr="00D549EE">
              <w:rPr>
                <w:lang w:val="en-US"/>
              </w:rPr>
              <w:t>1</w:t>
            </w:r>
            <w:r w:rsidR="00785138" w:rsidRPr="00D549EE">
              <w:rPr>
                <w:lang w:val="en-US"/>
              </w:rPr>
              <w:t>96</w:t>
            </w:r>
            <w:r w:rsidRPr="00D549EE">
              <w:rPr>
                <w:lang w:val="en-US"/>
              </w:rPr>
              <w:t>%</w:t>
            </w:r>
          </w:p>
        </w:tc>
        <w:tc>
          <w:tcPr>
            <w:tcW w:w="0" w:type="auto"/>
          </w:tcPr>
          <w:p w14:paraId="60CBDE25" w14:textId="0E70E8F3" w:rsidR="00714A02" w:rsidRPr="00D549EE" w:rsidRDefault="00CD4A7D" w:rsidP="00C9582F">
            <w:pPr>
              <w:snapToGrid w:val="0"/>
              <w:contextualSpacing/>
              <w:rPr>
                <w:lang w:val="en-US"/>
              </w:rPr>
            </w:pPr>
            <w:r w:rsidRPr="00D549EE">
              <w:rPr>
                <w:lang w:val="en-US"/>
              </w:rPr>
              <w:t>6</w:t>
            </w:r>
            <w:r w:rsidR="00714A02" w:rsidRPr="00D549EE">
              <w:rPr>
                <w:lang w:val="en-US"/>
              </w:rPr>
              <w:t>.</w:t>
            </w:r>
            <w:r w:rsidRPr="00D549EE">
              <w:rPr>
                <w:lang w:val="en-US"/>
              </w:rPr>
              <w:t>24</w:t>
            </w:r>
            <w:r w:rsidR="00714A02" w:rsidRPr="00D549EE">
              <w:rPr>
                <w:lang w:val="en-US"/>
              </w:rPr>
              <w:t>%</w:t>
            </w:r>
          </w:p>
        </w:tc>
        <w:tc>
          <w:tcPr>
            <w:tcW w:w="0" w:type="auto"/>
          </w:tcPr>
          <w:p w14:paraId="08160B95" w14:textId="27D58C19" w:rsidR="00714A02" w:rsidRPr="00D549EE" w:rsidRDefault="00CD4A7D" w:rsidP="00C9582F">
            <w:pPr>
              <w:snapToGrid w:val="0"/>
              <w:contextualSpacing/>
              <w:rPr>
                <w:lang w:val="en-US"/>
              </w:rPr>
            </w:pPr>
            <w:r w:rsidRPr="00D549EE">
              <w:rPr>
                <w:lang w:val="en-US"/>
              </w:rPr>
              <w:t>1</w:t>
            </w:r>
            <w:r w:rsidR="00714A02" w:rsidRPr="00D549EE">
              <w:rPr>
                <w:lang w:val="en-US"/>
              </w:rPr>
              <w:t>.</w:t>
            </w:r>
            <w:r w:rsidRPr="00D549EE">
              <w:rPr>
                <w:lang w:val="en-US"/>
              </w:rPr>
              <w:t>20</w:t>
            </w:r>
            <w:r w:rsidR="00714A02" w:rsidRPr="00D549EE">
              <w:rPr>
                <w:lang w:val="en-US"/>
              </w:rPr>
              <w:t>%</w:t>
            </w:r>
          </w:p>
        </w:tc>
        <w:tc>
          <w:tcPr>
            <w:tcW w:w="0" w:type="auto"/>
          </w:tcPr>
          <w:p w14:paraId="50C71A4F" w14:textId="33C69B71" w:rsidR="00714A02" w:rsidRPr="00D549EE" w:rsidRDefault="00CD4A7D" w:rsidP="00C9582F">
            <w:pPr>
              <w:snapToGrid w:val="0"/>
              <w:contextualSpacing/>
              <w:rPr>
                <w:lang w:val="en-US"/>
              </w:rPr>
            </w:pPr>
            <w:r w:rsidRPr="00D549EE">
              <w:rPr>
                <w:lang w:val="en-US"/>
              </w:rPr>
              <w:t>56</w:t>
            </w:r>
            <w:r w:rsidR="00714A02" w:rsidRPr="00D549EE">
              <w:rPr>
                <w:lang w:val="en-US"/>
              </w:rPr>
              <w:t>%</w:t>
            </w:r>
          </w:p>
        </w:tc>
      </w:tr>
      <w:tr w:rsidR="00714A02" w:rsidRPr="00FC685D" w14:paraId="0060D9F6" w14:textId="77777777" w:rsidTr="007E7A00">
        <w:tc>
          <w:tcPr>
            <w:tcW w:w="0" w:type="auto"/>
            <w:gridSpan w:val="7"/>
          </w:tcPr>
          <w:p w14:paraId="70F4F4D1" w14:textId="1605E514" w:rsidR="00714A02" w:rsidRPr="00D549EE" w:rsidRDefault="001A7B0E" w:rsidP="00C9582F">
            <w:pPr>
              <w:snapToGrid w:val="0"/>
              <w:contextualSpacing/>
              <w:rPr>
                <w:lang w:val="en-US"/>
              </w:rPr>
            </w:pPr>
            <w:r w:rsidRPr="00D549EE">
              <w:rPr>
                <w:color w:val="000000" w:themeColor="text1"/>
                <w:lang w:val="en-US"/>
              </w:rPr>
              <w:t xml:space="preserve">      </w:t>
            </w:r>
            <w:r w:rsidR="00714A02" w:rsidRPr="00D549EE">
              <w:rPr>
                <w:color w:val="000000" w:themeColor="text1"/>
                <w:lang w:val="en-US"/>
              </w:rPr>
              <w:t xml:space="preserve">Note </w:t>
            </w:r>
            <w:r w:rsidR="00714A02" w:rsidRPr="00D549EE">
              <w:rPr>
                <w:lang w:val="en-US"/>
              </w:rPr>
              <w:t xml:space="preserve">– </w:t>
            </w:r>
            <w:r w:rsidR="00714A02" w:rsidRPr="00D549EE">
              <w:rPr>
                <w:color w:val="000000" w:themeColor="text1"/>
                <w:lang w:val="en-US"/>
              </w:rPr>
              <w:t>Compiled and estimated by the author</w:t>
            </w:r>
          </w:p>
        </w:tc>
      </w:tr>
    </w:tbl>
    <w:p w14:paraId="082C2F7A" w14:textId="180DA09B" w:rsidR="00714A02" w:rsidRPr="00D549EE" w:rsidRDefault="00714A02" w:rsidP="00C9582F">
      <w:pPr>
        <w:snapToGrid w:val="0"/>
        <w:contextualSpacing/>
        <w:jc w:val="both"/>
        <w:rPr>
          <w:b/>
          <w:color w:val="000000" w:themeColor="text1"/>
          <w:sz w:val="28"/>
          <w:szCs w:val="28"/>
          <w:lang w:val="en-US"/>
        </w:rPr>
      </w:pPr>
    </w:p>
    <w:p w14:paraId="385CA633" w14:textId="77777777" w:rsidR="00615A07" w:rsidRPr="00615A07" w:rsidRDefault="00CD4A7D" w:rsidP="00615A07">
      <w:pPr>
        <w:snapToGrid w:val="0"/>
        <w:contextualSpacing/>
        <w:jc w:val="both"/>
        <w:rPr>
          <w:color w:val="000000" w:themeColor="text1"/>
          <w:sz w:val="28"/>
          <w:szCs w:val="28"/>
          <w:lang w:val="en-US"/>
        </w:rPr>
      </w:pPr>
      <w:r w:rsidRPr="00D549EE">
        <w:rPr>
          <w:color w:val="000000" w:themeColor="text1"/>
          <w:sz w:val="28"/>
          <w:szCs w:val="28"/>
          <w:lang w:val="en-US"/>
        </w:rPr>
        <w:tab/>
      </w:r>
      <w:r w:rsidR="00615A07" w:rsidRPr="00615A07">
        <w:rPr>
          <w:color w:val="000000" w:themeColor="text1"/>
          <w:sz w:val="28"/>
          <w:szCs w:val="28"/>
          <w:lang w:val="en-US"/>
        </w:rPr>
        <w:t xml:space="preserve">The indicators described the business orientation, bank efficiency, and quality show the same situation as in the case of Al-Hilal bank. The fee income indicator is more than in the previous case but still in the frame of indicator value, close to the high rate (from 5.7% to 68.2%). The loan to deposit ratio and the non-deposit funding ratio is out of average indicator value – 22.5% (17.8%-110%) and 26.5% (0-13.9%), respectively. All three business model indicators for the bank are higher than conventional ones, which is the specificity of the Islamic banks. However, the efficiency indicators are less than in conventional and in the frame of average, for cost-income – 196% (1%-714%), and overheads, which is the main indicator of bank efficiency – 6.24% (1%-5%).  </w:t>
      </w:r>
    </w:p>
    <w:p w14:paraId="5560C193" w14:textId="77777777" w:rsidR="00615A07" w:rsidRPr="00615A07" w:rsidRDefault="00615A07" w:rsidP="00615A07">
      <w:pPr>
        <w:snapToGrid w:val="0"/>
        <w:contextualSpacing/>
        <w:jc w:val="both"/>
        <w:rPr>
          <w:color w:val="000000" w:themeColor="text1"/>
          <w:sz w:val="28"/>
          <w:szCs w:val="28"/>
          <w:lang w:val="en-US"/>
        </w:rPr>
      </w:pPr>
      <w:r w:rsidRPr="00615A07">
        <w:rPr>
          <w:color w:val="000000" w:themeColor="text1"/>
          <w:sz w:val="28"/>
          <w:szCs w:val="28"/>
          <w:lang w:val="en-US"/>
        </w:rPr>
        <w:tab/>
        <w:t xml:space="preserve">If to turn to the social activity of the bank, the information is not available in any sources, as the bank does not have the right to use the information of social projects and assistance to the needy for marketing purposes, and this information is confidential. </w:t>
      </w:r>
    </w:p>
    <w:p w14:paraId="7BEF1671" w14:textId="4849E8C9" w:rsidR="00615A07" w:rsidRPr="00615A07" w:rsidRDefault="00615A07" w:rsidP="00615A07">
      <w:pPr>
        <w:snapToGrid w:val="0"/>
        <w:contextualSpacing/>
        <w:jc w:val="both"/>
        <w:rPr>
          <w:color w:val="000000" w:themeColor="text1"/>
          <w:sz w:val="28"/>
          <w:szCs w:val="28"/>
          <w:lang w:val="en-US"/>
        </w:rPr>
      </w:pPr>
      <w:r w:rsidRPr="00615A07">
        <w:rPr>
          <w:color w:val="000000" w:themeColor="text1"/>
          <w:sz w:val="28"/>
          <w:szCs w:val="28"/>
          <w:lang w:val="en-US"/>
        </w:rPr>
        <w:tab/>
        <w:t xml:space="preserve">First of all, the bank does not finance activities with prohibited industries, such as tobacco, alcohol companies, adult entertainment establishments, weapons production, </w:t>
      </w:r>
      <w:r w:rsidR="003F139C">
        <w:rPr>
          <w:color w:val="000000" w:themeColor="text1"/>
          <w:sz w:val="28"/>
          <w:szCs w:val="28"/>
          <w:lang w:val="en-US"/>
        </w:rPr>
        <w:t>a</w:t>
      </w:r>
      <w:r w:rsidRPr="00615A07">
        <w:rPr>
          <w:color w:val="000000" w:themeColor="text1"/>
          <w:sz w:val="28"/>
          <w:szCs w:val="28"/>
          <w:lang w:val="en-US"/>
        </w:rPr>
        <w:t xml:space="preserve">nd businesses that are forbidden from the Shariah point. Secondly, in choosing projects for funding or cooperation, the bank considers the social responsibility of the outcome of the project, along with financial profit. As Zaman Bank is an Islamic financial institution, the clients of the bank are considered a partner, and responsibility and risks are shared by both sides. The bank strives not to shift all risks to its customers. In addition, the bank charges penalties and fines from the clients only in a situation in the case of actual violations by customers in the form of delinquency. The bank often tries to meet them in the event of crises, as happened during the quarantine period, when borrowers were deprived of income. the proceeds from fines and penalties are generated on an account aimed at social activities and assistance to those in need. The prohibited bank income from the activity is also generated in this account. </w:t>
      </w:r>
    </w:p>
    <w:p w14:paraId="1E3CD86D" w14:textId="77777777" w:rsidR="00615A07" w:rsidRPr="00615A07" w:rsidRDefault="00615A07" w:rsidP="00615A07">
      <w:pPr>
        <w:snapToGrid w:val="0"/>
        <w:contextualSpacing/>
        <w:jc w:val="both"/>
        <w:rPr>
          <w:color w:val="000000" w:themeColor="text1"/>
          <w:sz w:val="28"/>
          <w:szCs w:val="28"/>
          <w:lang w:val="en-US"/>
        </w:rPr>
      </w:pPr>
      <w:r w:rsidRPr="00615A07">
        <w:rPr>
          <w:color w:val="000000" w:themeColor="text1"/>
          <w:sz w:val="28"/>
          <w:szCs w:val="28"/>
          <w:lang w:val="en-US"/>
        </w:rPr>
        <w:tab/>
        <w:t xml:space="preserve">There are projects also financed by the bank and the spending from special charity accounts. During the pandemic and mass morbidity of the population, the bank has spent about 10 million tenge on the artificial lung ventilation purchase and donations to the medical institution in 2020 since there was a significant shortage of these devices in Kazakhstan. </w:t>
      </w:r>
    </w:p>
    <w:p w14:paraId="1F478C51" w14:textId="77777777" w:rsidR="00615A07" w:rsidRPr="00615A07" w:rsidRDefault="00615A07" w:rsidP="00615A07">
      <w:pPr>
        <w:snapToGrid w:val="0"/>
        <w:contextualSpacing/>
        <w:jc w:val="both"/>
        <w:rPr>
          <w:color w:val="000000" w:themeColor="text1"/>
          <w:sz w:val="28"/>
          <w:szCs w:val="28"/>
          <w:lang w:val="en-US"/>
        </w:rPr>
      </w:pPr>
      <w:r w:rsidRPr="00615A07">
        <w:rPr>
          <w:color w:val="000000" w:themeColor="text1"/>
          <w:sz w:val="28"/>
          <w:szCs w:val="28"/>
          <w:lang w:val="en-US"/>
        </w:rPr>
        <w:tab/>
        <w:t xml:space="preserve">For 19 years, the bank has funded projects for social needs. The primary recipient of the bank is the children's center Alem for children with cerebral palsy located in Ekibastuz, the bank has sent about 500 thousand tenge monthly for the last 20 years. Part of the money was directed to the educational fund and part of the money to the children's center for the rehabilitation of children with cerebral palsy. The social effects of the projects are estimated by hundreds of children who have received treatment in the children's center Alem every month for the last 20 years. As the bank has long time cooperation with this center, the results checking process and transparency of the charity transactions are stable. </w:t>
      </w:r>
    </w:p>
    <w:p w14:paraId="16DEB42E" w14:textId="77777777" w:rsidR="00615A07" w:rsidRPr="00615A07" w:rsidRDefault="00615A07" w:rsidP="00615A07">
      <w:pPr>
        <w:snapToGrid w:val="0"/>
        <w:contextualSpacing/>
        <w:jc w:val="both"/>
        <w:rPr>
          <w:color w:val="000000" w:themeColor="text1"/>
          <w:sz w:val="28"/>
          <w:szCs w:val="28"/>
          <w:lang w:val="en-US"/>
        </w:rPr>
      </w:pPr>
      <w:r w:rsidRPr="00615A07">
        <w:rPr>
          <w:color w:val="000000" w:themeColor="text1"/>
          <w:sz w:val="28"/>
          <w:szCs w:val="28"/>
          <w:lang w:val="en-US"/>
        </w:rPr>
        <w:tab/>
        <w:t xml:space="preserve">One more direction of the social activity of the bank is assistance to the educational fund Taiburyl, which has 4 program types for supporting education in the form of educational grants, monthly charity assistance to the students, supporting schools, universities, and grants for schoolchildren. The second program is directed to the financial support of the research in the country. The third direction is supporting talented and gifted children and young scientists. Finally, the assistance is not in financial form, that is, sharing knowledge and guest lectures of professionals in different areas to the students and schoolchildren. </w:t>
      </w:r>
    </w:p>
    <w:p w14:paraId="78B2F763" w14:textId="77777777" w:rsidR="00615A07" w:rsidRPr="00615A07" w:rsidRDefault="00615A07" w:rsidP="00615A07">
      <w:pPr>
        <w:snapToGrid w:val="0"/>
        <w:contextualSpacing/>
        <w:jc w:val="both"/>
        <w:rPr>
          <w:color w:val="000000" w:themeColor="text1"/>
          <w:sz w:val="28"/>
          <w:szCs w:val="28"/>
          <w:lang w:val="en-US"/>
        </w:rPr>
      </w:pPr>
      <w:r w:rsidRPr="00615A07">
        <w:rPr>
          <w:color w:val="000000" w:themeColor="text1"/>
          <w:sz w:val="28"/>
          <w:szCs w:val="28"/>
          <w:lang w:val="en-US"/>
        </w:rPr>
        <w:t xml:space="preserve">      The organization does not have a database or lists of provided social assistance and applications for social assistance and help for the needy, as there is no special department or employees responsible for these activities. </w:t>
      </w:r>
    </w:p>
    <w:p w14:paraId="47D6FC99" w14:textId="6FDDA36D" w:rsidR="005D0C6A" w:rsidRDefault="00615A07" w:rsidP="00615A07">
      <w:pPr>
        <w:snapToGrid w:val="0"/>
        <w:contextualSpacing/>
        <w:jc w:val="both"/>
        <w:rPr>
          <w:color w:val="000000" w:themeColor="text1"/>
          <w:sz w:val="28"/>
          <w:szCs w:val="28"/>
          <w:lang w:val="en-US"/>
        </w:rPr>
      </w:pPr>
      <w:r w:rsidRPr="00615A07">
        <w:rPr>
          <w:color w:val="000000" w:themeColor="text1"/>
          <w:sz w:val="28"/>
          <w:szCs w:val="28"/>
          <w:lang w:val="en-US"/>
        </w:rPr>
        <w:tab/>
        <w:t xml:space="preserve">In contrast with Islamic Bank Al-Hilal, Islamic Bank Zaman informs the shareholders about the payment of zakat after receiving the dividends, and shareholders pay zakat themselves. The following table shows the zakat amount paid by shareholders from 2017, from the converting year from conventional to the Islamic bank.   </w:t>
      </w:r>
    </w:p>
    <w:p w14:paraId="24D3793F" w14:textId="5FDF280C" w:rsidR="00B71E0A" w:rsidRDefault="00B71E0A" w:rsidP="00615A07">
      <w:pPr>
        <w:snapToGrid w:val="0"/>
        <w:contextualSpacing/>
        <w:jc w:val="both"/>
        <w:rPr>
          <w:color w:val="000000" w:themeColor="text1"/>
          <w:sz w:val="28"/>
          <w:szCs w:val="28"/>
          <w:lang w:val="en-US"/>
        </w:rPr>
      </w:pPr>
    </w:p>
    <w:p w14:paraId="0F103D1D" w14:textId="7D053276" w:rsidR="00B71E0A" w:rsidRDefault="00B71E0A" w:rsidP="00615A07">
      <w:pPr>
        <w:snapToGrid w:val="0"/>
        <w:contextualSpacing/>
        <w:jc w:val="both"/>
        <w:rPr>
          <w:color w:val="000000" w:themeColor="text1"/>
          <w:sz w:val="28"/>
          <w:szCs w:val="28"/>
          <w:lang w:val="en-US"/>
        </w:rPr>
      </w:pPr>
    </w:p>
    <w:p w14:paraId="4B6DCA29" w14:textId="77777777" w:rsidR="00B71E0A" w:rsidRDefault="00B71E0A" w:rsidP="00615A07">
      <w:pPr>
        <w:snapToGrid w:val="0"/>
        <w:contextualSpacing/>
        <w:jc w:val="both"/>
        <w:rPr>
          <w:color w:val="000000" w:themeColor="text1"/>
          <w:sz w:val="28"/>
          <w:szCs w:val="28"/>
          <w:lang w:val="en-US"/>
        </w:rPr>
      </w:pPr>
    </w:p>
    <w:p w14:paraId="1612ECF9" w14:textId="77777777" w:rsidR="00615A07" w:rsidRPr="00615A07" w:rsidRDefault="00615A07" w:rsidP="00615A07">
      <w:pPr>
        <w:snapToGrid w:val="0"/>
        <w:contextualSpacing/>
        <w:jc w:val="both"/>
        <w:rPr>
          <w:b/>
          <w:color w:val="000000" w:themeColor="text1"/>
          <w:sz w:val="28"/>
          <w:szCs w:val="28"/>
          <w:lang w:val="en-US"/>
        </w:rPr>
      </w:pPr>
    </w:p>
    <w:p w14:paraId="01E95E53" w14:textId="32114983" w:rsidR="00D96B62" w:rsidRPr="00D549EE" w:rsidRDefault="00D96B62" w:rsidP="00C9582F">
      <w:pPr>
        <w:snapToGrid w:val="0"/>
        <w:contextualSpacing/>
        <w:jc w:val="both"/>
        <w:rPr>
          <w:color w:val="000000" w:themeColor="text1"/>
          <w:sz w:val="28"/>
          <w:szCs w:val="28"/>
          <w:lang w:val="en-US"/>
        </w:rPr>
      </w:pPr>
      <w:r w:rsidRPr="00D549EE">
        <w:rPr>
          <w:color w:val="000000" w:themeColor="text1"/>
          <w:sz w:val="28"/>
          <w:szCs w:val="28"/>
          <w:lang w:val="en-US"/>
        </w:rPr>
        <w:t xml:space="preserve">Table </w:t>
      </w:r>
      <w:r w:rsidR="001A7B0E" w:rsidRPr="00D549EE">
        <w:rPr>
          <w:color w:val="000000" w:themeColor="text1"/>
          <w:sz w:val="28"/>
          <w:szCs w:val="28"/>
          <w:lang w:val="en-US"/>
        </w:rPr>
        <w:t>4</w:t>
      </w:r>
      <w:r w:rsidR="004E76BC" w:rsidRPr="00D549EE">
        <w:rPr>
          <w:color w:val="000000" w:themeColor="text1"/>
          <w:sz w:val="28"/>
          <w:szCs w:val="28"/>
          <w:lang w:val="en-US"/>
        </w:rPr>
        <w:t>2</w:t>
      </w:r>
      <w:r w:rsidR="00ED1FCF" w:rsidRPr="00D549EE">
        <w:rPr>
          <w:b/>
          <w:color w:val="000000" w:themeColor="text1"/>
          <w:sz w:val="28"/>
          <w:szCs w:val="28"/>
          <w:lang w:val="en-US"/>
        </w:rPr>
        <w:t xml:space="preserve"> </w:t>
      </w:r>
      <w:r w:rsidR="00ED1FCF" w:rsidRPr="00D549EE">
        <w:rPr>
          <w:sz w:val="28"/>
          <w:szCs w:val="28"/>
          <w:lang w:val="en-US"/>
        </w:rPr>
        <w:t>–</w:t>
      </w:r>
      <w:r w:rsidRPr="00D549EE">
        <w:rPr>
          <w:color w:val="000000" w:themeColor="text1"/>
          <w:sz w:val="28"/>
          <w:szCs w:val="28"/>
          <w:lang w:val="en-US"/>
        </w:rPr>
        <w:t xml:space="preserve"> Zakat estimation of Islamic Zaman Bank</w:t>
      </w:r>
      <w:r w:rsidR="00D135AE" w:rsidRPr="00D549EE">
        <w:rPr>
          <w:color w:val="000000" w:themeColor="text1"/>
          <w:sz w:val="28"/>
          <w:szCs w:val="28"/>
          <w:lang w:val="en-US"/>
        </w:rPr>
        <w:t xml:space="preserve"> for 2017-2020 </w:t>
      </w:r>
      <w:r w:rsidRPr="00D549EE">
        <w:rPr>
          <w:color w:val="000000" w:themeColor="text1"/>
          <w:sz w:val="28"/>
          <w:szCs w:val="28"/>
          <w:lang w:val="en-US"/>
        </w:rPr>
        <w:t xml:space="preserve"> </w:t>
      </w:r>
    </w:p>
    <w:p w14:paraId="70D437B8" w14:textId="77777777" w:rsidR="00D96B62" w:rsidRPr="00D549EE" w:rsidRDefault="00D96B62" w:rsidP="00C9582F">
      <w:pPr>
        <w:snapToGrid w:val="0"/>
        <w:contextualSpacing/>
        <w:jc w:val="both"/>
        <w:rPr>
          <w:color w:val="000000" w:themeColor="text1"/>
          <w:sz w:val="28"/>
          <w:szCs w:val="28"/>
          <w:lang w:val="en-US"/>
        </w:rPr>
      </w:pPr>
    </w:p>
    <w:tbl>
      <w:tblPr>
        <w:tblStyle w:val="a9"/>
        <w:tblW w:w="0" w:type="auto"/>
        <w:tblLook w:val="04A0" w:firstRow="1" w:lastRow="0" w:firstColumn="1" w:lastColumn="0" w:noHBand="0" w:noVBand="1"/>
      </w:tblPr>
      <w:tblGrid>
        <w:gridCol w:w="2609"/>
        <w:gridCol w:w="1329"/>
        <w:gridCol w:w="1219"/>
        <w:gridCol w:w="1764"/>
        <w:gridCol w:w="1764"/>
      </w:tblGrid>
      <w:tr w:rsidR="00D96B62" w:rsidRPr="00D549EE" w14:paraId="6952B4A3" w14:textId="77777777" w:rsidTr="00D135AE">
        <w:tc>
          <w:tcPr>
            <w:tcW w:w="0" w:type="auto"/>
          </w:tcPr>
          <w:p w14:paraId="186A7613" w14:textId="77777777" w:rsidR="00D96B62" w:rsidRPr="00D549EE" w:rsidRDefault="00D96B62" w:rsidP="00C9582F">
            <w:pPr>
              <w:snapToGrid w:val="0"/>
              <w:contextualSpacing/>
              <w:rPr>
                <w:color w:val="000000" w:themeColor="text1"/>
                <w:lang w:val="en-US"/>
              </w:rPr>
            </w:pPr>
            <w:r w:rsidRPr="00D549EE">
              <w:rPr>
                <w:color w:val="000000" w:themeColor="text1"/>
                <w:lang w:val="en-US"/>
              </w:rPr>
              <w:t>Year</w:t>
            </w:r>
          </w:p>
        </w:tc>
        <w:tc>
          <w:tcPr>
            <w:tcW w:w="1282" w:type="dxa"/>
          </w:tcPr>
          <w:p w14:paraId="017012AB" w14:textId="77777777" w:rsidR="00D96B62" w:rsidRPr="00D549EE" w:rsidRDefault="00D96B62" w:rsidP="00C9582F">
            <w:pPr>
              <w:snapToGrid w:val="0"/>
              <w:contextualSpacing/>
              <w:rPr>
                <w:color w:val="000000" w:themeColor="text1"/>
                <w:lang w:val="en-US"/>
              </w:rPr>
            </w:pPr>
            <w:r w:rsidRPr="00D549EE">
              <w:rPr>
                <w:color w:val="000000" w:themeColor="text1"/>
                <w:lang w:val="en-US"/>
              </w:rPr>
              <w:t>2017</w:t>
            </w:r>
          </w:p>
        </w:tc>
        <w:tc>
          <w:tcPr>
            <w:tcW w:w="1176" w:type="dxa"/>
          </w:tcPr>
          <w:p w14:paraId="4388EA56" w14:textId="671A11FA" w:rsidR="00D96B62" w:rsidRPr="00D549EE" w:rsidRDefault="00D96B62" w:rsidP="00C9582F">
            <w:pPr>
              <w:snapToGrid w:val="0"/>
              <w:contextualSpacing/>
              <w:rPr>
                <w:color w:val="000000" w:themeColor="text1"/>
                <w:lang w:val="en-US"/>
              </w:rPr>
            </w:pPr>
            <w:r w:rsidRPr="00D549EE">
              <w:rPr>
                <w:color w:val="000000" w:themeColor="text1"/>
                <w:lang w:val="en-US"/>
              </w:rPr>
              <w:t>2018</w:t>
            </w:r>
          </w:p>
        </w:tc>
        <w:tc>
          <w:tcPr>
            <w:tcW w:w="1701" w:type="dxa"/>
          </w:tcPr>
          <w:p w14:paraId="7692B244" w14:textId="5B33CA4C" w:rsidR="00D96B62" w:rsidRPr="00D549EE" w:rsidRDefault="00D96B62" w:rsidP="00C9582F">
            <w:pPr>
              <w:snapToGrid w:val="0"/>
              <w:contextualSpacing/>
              <w:rPr>
                <w:color w:val="000000" w:themeColor="text1"/>
                <w:lang w:val="en-US"/>
              </w:rPr>
            </w:pPr>
            <w:r w:rsidRPr="00D549EE">
              <w:rPr>
                <w:color w:val="000000" w:themeColor="text1"/>
                <w:lang w:val="en-US"/>
              </w:rPr>
              <w:t>2019</w:t>
            </w:r>
          </w:p>
        </w:tc>
        <w:tc>
          <w:tcPr>
            <w:tcW w:w="1701" w:type="dxa"/>
          </w:tcPr>
          <w:p w14:paraId="74CDDBE0" w14:textId="193D710C" w:rsidR="00D96B62" w:rsidRPr="00D549EE" w:rsidRDefault="00D96B62" w:rsidP="00C9582F">
            <w:pPr>
              <w:snapToGrid w:val="0"/>
              <w:contextualSpacing/>
              <w:rPr>
                <w:color w:val="000000" w:themeColor="text1"/>
                <w:lang w:val="en-US"/>
              </w:rPr>
            </w:pPr>
            <w:r w:rsidRPr="00D549EE">
              <w:rPr>
                <w:color w:val="000000" w:themeColor="text1"/>
                <w:lang w:val="en-US"/>
              </w:rPr>
              <w:t>2020</w:t>
            </w:r>
          </w:p>
        </w:tc>
      </w:tr>
      <w:tr w:rsidR="00D96B62" w:rsidRPr="00D549EE" w14:paraId="433F8AC9" w14:textId="77777777" w:rsidTr="00D135AE">
        <w:tc>
          <w:tcPr>
            <w:tcW w:w="0" w:type="auto"/>
          </w:tcPr>
          <w:p w14:paraId="7E2B6F61" w14:textId="77777777" w:rsidR="00D96B62" w:rsidRPr="00D549EE" w:rsidRDefault="00D96B62" w:rsidP="00C9582F">
            <w:pPr>
              <w:snapToGrid w:val="0"/>
              <w:contextualSpacing/>
              <w:rPr>
                <w:color w:val="000000" w:themeColor="text1"/>
                <w:lang w:val="en-US"/>
              </w:rPr>
            </w:pPr>
            <w:r w:rsidRPr="00D549EE">
              <w:rPr>
                <w:color w:val="000000" w:themeColor="text1"/>
                <w:lang w:val="en-US"/>
              </w:rPr>
              <w:t>Profit in thousand tenge</w:t>
            </w:r>
          </w:p>
          <w:p w14:paraId="24E8B7F2" w14:textId="1C1F772B" w:rsidR="00D96B62" w:rsidRPr="00D549EE" w:rsidRDefault="00D96B62" w:rsidP="00C9582F">
            <w:pPr>
              <w:snapToGrid w:val="0"/>
              <w:contextualSpacing/>
              <w:rPr>
                <w:color w:val="000000" w:themeColor="text1"/>
                <w:lang w:val="en-US"/>
              </w:rPr>
            </w:pPr>
          </w:p>
        </w:tc>
        <w:tc>
          <w:tcPr>
            <w:tcW w:w="1282" w:type="dxa"/>
          </w:tcPr>
          <w:p w14:paraId="0BEB4A99" w14:textId="09EF2FD8" w:rsidR="00D96B62" w:rsidRPr="00D549EE" w:rsidRDefault="00D96B62" w:rsidP="00C9582F">
            <w:pPr>
              <w:snapToGrid w:val="0"/>
              <w:contextualSpacing/>
              <w:rPr>
                <w:color w:val="000000" w:themeColor="text1"/>
                <w:lang w:val="en-US"/>
              </w:rPr>
            </w:pPr>
            <w:r w:rsidRPr="00D549EE">
              <w:rPr>
                <w:color w:val="000000"/>
              </w:rPr>
              <w:t>694</w:t>
            </w:r>
            <w:r w:rsidRPr="00D549EE">
              <w:rPr>
                <w:color w:val="000000"/>
                <w:lang w:val="en-US"/>
              </w:rPr>
              <w:t xml:space="preserve"> </w:t>
            </w:r>
            <w:r w:rsidRPr="00D549EE">
              <w:rPr>
                <w:color w:val="000000"/>
              </w:rPr>
              <w:t>473</w:t>
            </w:r>
          </w:p>
        </w:tc>
        <w:tc>
          <w:tcPr>
            <w:tcW w:w="1176" w:type="dxa"/>
          </w:tcPr>
          <w:p w14:paraId="5C998CDF" w14:textId="3D769998" w:rsidR="00D96B62" w:rsidRPr="00D549EE" w:rsidRDefault="00D96B62" w:rsidP="00C9582F">
            <w:pPr>
              <w:snapToGrid w:val="0"/>
              <w:contextualSpacing/>
              <w:rPr>
                <w:color w:val="000000" w:themeColor="text1"/>
                <w:lang w:val="en-US"/>
              </w:rPr>
            </w:pPr>
            <w:r w:rsidRPr="00D549EE">
              <w:rPr>
                <w:color w:val="000000"/>
              </w:rPr>
              <w:t>521</w:t>
            </w:r>
            <w:r w:rsidRPr="00D549EE">
              <w:rPr>
                <w:color w:val="000000"/>
                <w:lang w:val="en-US"/>
              </w:rPr>
              <w:t xml:space="preserve"> </w:t>
            </w:r>
            <w:r w:rsidRPr="00D549EE">
              <w:rPr>
                <w:color w:val="000000"/>
              </w:rPr>
              <w:t>667</w:t>
            </w:r>
          </w:p>
        </w:tc>
        <w:tc>
          <w:tcPr>
            <w:tcW w:w="1701" w:type="dxa"/>
          </w:tcPr>
          <w:p w14:paraId="09BE372F" w14:textId="67A198FA" w:rsidR="00D96B62" w:rsidRPr="00D549EE" w:rsidRDefault="00D96B62" w:rsidP="00C9582F">
            <w:pPr>
              <w:snapToGrid w:val="0"/>
              <w:contextualSpacing/>
              <w:rPr>
                <w:color w:val="000000" w:themeColor="text1"/>
                <w:lang w:val="en-US"/>
              </w:rPr>
            </w:pPr>
            <w:r w:rsidRPr="00D549EE">
              <w:rPr>
                <w:color w:val="000000"/>
              </w:rPr>
              <w:t>211</w:t>
            </w:r>
            <w:r w:rsidRPr="00D549EE">
              <w:rPr>
                <w:color w:val="000000"/>
                <w:lang w:val="en-US"/>
              </w:rPr>
              <w:t xml:space="preserve"> </w:t>
            </w:r>
            <w:r w:rsidRPr="00D549EE">
              <w:rPr>
                <w:color w:val="000000"/>
              </w:rPr>
              <w:t>501</w:t>
            </w:r>
          </w:p>
        </w:tc>
        <w:tc>
          <w:tcPr>
            <w:tcW w:w="1701" w:type="dxa"/>
          </w:tcPr>
          <w:p w14:paraId="29D5A14C" w14:textId="375CAFF2" w:rsidR="00D96B62" w:rsidRPr="00D549EE" w:rsidRDefault="00D96B62" w:rsidP="00C9582F">
            <w:pPr>
              <w:rPr>
                <w:bCs/>
                <w:color w:val="000000"/>
              </w:rPr>
            </w:pPr>
            <w:r w:rsidRPr="00D549EE">
              <w:rPr>
                <w:bCs/>
                <w:color w:val="000000"/>
              </w:rPr>
              <w:t>386 847</w:t>
            </w:r>
          </w:p>
          <w:p w14:paraId="6157B654" w14:textId="42231FA1" w:rsidR="00D96B62" w:rsidRPr="00D549EE" w:rsidRDefault="00D96B62" w:rsidP="00C9582F">
            <w:pPr>
              <w:snapToGrid w:val="0"/>
              <w:contextualSpacing/>
              <w:rPr>
                <w:color w:val="000000" w:themeColor="text1"/>
                <w:lang w:val="en-US"/>
              </w:rPr>
            </w:pPr>
          </w:p>
        </w:tc>
      </w:tr>
      <w:tr w:rsidR="00D96B62" w:rsidRPr="00D549EE" w14:paraId="6474F3B0" w14:textId="77777777" w:rsidTr="00D135AE">
        <w:tc>
          <w:tcPr>
            <w:tcW w:w="0" w:type="auto"/>
          </w:tcPr>
          <w:p w14:paraId="7B98D758" w14:textId="30B67C4A" w:rsidR="00D96B62" w:rsidRPr="00D549EE" w:rsidRDefault="00D96B62" w:rsidP="00C9582F">
            <w:pPr>
              <w:snapToGrid w:val="0"/>
              <w:contextualSpacing/>
              <w:rPr>
                <w:color w:val="000000" w:themeColor="text1"/>
                <w:lang w:val="en-US"/>
              </w:rPr>
            </w:pPr>
            <w:r w:rsidRPr="00D549EE">
              <w:rPr>
                <w:color w:val="000000" w:themeColor="text1"/>
                <w:lang w:val="en-US"/>
              </w:rPr>
              <w:t>Zakat in thousand tenge</w:t>
            </w:r>
          </w:p>
          <w:p w14:paraId="77BC18AF" w14:textId="635CD65F" w:rsidR="00D96B62" w:rsidRPr="00D549EE" w:rsidRDefault="00D96B62" w:rsidP="00C9582F">
            <w:pPr>
              <w:snapToGrid w:val="0"/>
              <w:contextualSpacing/>
              <w:rPr>
                <w:color w:val="000000" w:themeColor="text1"/>
                <w:lang w:val="en-US"/>
              </w:rPr>
            </w:pPr>
          </w:p>
        </w:tc>
        <w:tc>
          <w:tcPr>
            <w:tcW w:w="1282" w:type="dxa"/>
          </w:tcPr>
          <w:p w14:paraId="2742C480" w14:textId="11A396E7" w:rsidR="00D96B62" w:rsidRPr="00D549EE" w:rsidRDefault="00D96B62" w:rsidP="00C9582F">
            <w:pPr>
              <w:snapToGrid w:val="0"/>
              <w:contextualSpacing/>
              <w:rPr>
                <w:color w:val="000000" w:themeColor="text1"/>
                <w:lang w:val="en-US"/>
              </w:rPr>
            </w:pPr>
            <w:r w:rsidRPr="00D549EE">
              <w:rPr>
                <w:color w:val="000000" w:themeColor="text1"/>
                <w:lang w:val="en-US"/>
              </w:rPr>
              <w:t>17 361.83</w:t>
            </w:r>
          </w:p>
        </w:tc>
        <w:tc>
          <w:tcPr>
            <w:tcW w:w="1176" w:type="dxa"/>
          </w:tcPr>
          <w:p w14:paraId="47791E98" w14:textId="3C446642" w:rsidR="00D96B62" w:rsidRPr="00D549EE" w:rsidRDefault="00D96B62" w:rsidP="00C9582F">
            <w:pPr>
              <w:snapToGrid w:val="0"/>
              <w:contextualSpacing/>
              <w:rPr>
                <w:color w:val="000000" w:themeColor="text1"/>
                <w:lang w:val="en-US"/>
              </w:rPr>
            </w:pPr>
            <w:r w:rsidRPr="00D549EE">
              <w:rPr>
                <w:color w:val="000000" w:themeColor="text1"/>
                <w:lang w:val="en-US"/>
              </w:rPr>
              <w:t>13</w:t>
            </w:r>
            <w:r w:rsidR="00D135AE" w:rsidRPr="00D549EE">
              <w:rPr>
                <w:color w:val="000000" w:themeColor="text1"/>
                <w:lang w:val="en-US"/>
              </w:rPr>
              <w:t> </w:t>
            </w:r>
            <w:r w:rsidRPr="00D549EE">
              <w:rPr>
                <w:color w:val="000000" w:themeColor="text1"/>
                <w:lang w:val="en-US"/>
              </w:rPr>
              <w:t>041</w:t>
            </w:r>
            <w:r w:rsidR="00D135AE" w:rsidRPr="00D549EE">
              <w:rPr>
                <w:color w:val="000000" w:themeColor="text1"/>
                <w:lang w:val="en-US"/>
              </w:rPr>
              <w:t>.68</w:t>
            </w:r>
          </w:p>
        </w:tc>
        <w:tc>
          <w:tcPr>
            <w:tcW w:w="1701" w:type="dxa"/>
          </w:tcPr>
          <w:p w14:paraId="0C977AA0" w14:textId="7FE19C47" w:rsidR="00D96B62" w:rsidRPr="00D549EE" w:rsidRDefault="00D135AE" w:rsidP="00C9582F">
            <w:pPr>
              <w:snapToGrid w:val="0"/>
              <w:contextualSpacing/>
              <w:rPr>
                <w:color w:val="000000" w:themeColor="text1"/>
                <w:lang w:val="en-US"/>
              </w:rPr>
            </w:pPr>
            <w:r w:rsidRPr="00D549EE">
              <w:rPr>
                <w:color w:val="000000" w:themeColor="text1"/>
                <w:lang w:val="en-US"/>
              </w:rPr>
              <w:t>5 287.53</w:t>
            </w:r>
          </w:p>
        </w:tc>
        <w:tc>
          <w:tcPr>
            <w:tcW w:w="1701" w:type="dxa"/>
          </w:tcPr>
          <w:p w14:paraId="2A47F197" w14:textId="3BC4287F" w:rsidR="00D96B62" w:rsidRPr="00D549EE" w:rsidRDefault="00D135AE" w:rsidP="00C9582F">
            <w:pPr>
              <w:snapToGrid w:val="0"/>
              <w:contextualSpacing/>
              <w:rPr>
                <w:color w:val="000000" w:themeColor="text1"/>
                <w:lang w:val="en-US"/>
              </w:rPr>
            </w:pPr>
            <w:r w:rsidRPr="00D549EE">
              <w:rPr>
                <w:color w:val="000000" w:themeColor="text1"/>
                <w:lang w:val="en-US"/>
              </w:rPr>
              <w:t>9 671.18</w:t>
            </w:r>
          </w:p>
        </w:tc>
      </w:tr>
      <w:tr w:rsidR="00D135AE" w:rsidRPr="00FC685D" w14:paraId="229D7D7E" w14:textId="77777777" w:rsidTr="00572EBD">
        <w:tc>
          <w:tcPr>
            <w:tcW w:w="8684" w:type="dxa"/>
            <w:gridSpan w:val="5"/>
          </w:tcPr>
          <w:p w14:paraId="5691635B" w14:textId="71FDCD36" w:rsidR="00D135AE" w:rsidRPr="00D549EE" w:rsidRDefault="004E605E" w:rsidP="00C9582F">
            <w:pPr>
              <w:snapToGrid w:val="0"/>
              <w:contextualSpacing/>
              <w:rPr>
                <w:color w:val="000000" w:themeColor="text1"/>
                <w:lang w:val="en-US"/>
              </w:rPr>
            </w:pPr>
            <w:r w:rsidRPr="00D549EE">
              <w:rPr>
                <w:color w:val="000000" w:themeColor="text1"/>
                <w:lang w:val="en-US"/>
              </w:rPr>
              <w:t xml:space="preserve">      </w:t>
            </w:r>
            <w:r w:rsidR="00ED1FCF" w:rsidRPr="00D549EE">
              <w:rPr>
                <w:color w:val="000000" w:themeColor="text1"/>
                <w:lang w:val="en-US"/>
              </w:rPr>
              <w:t xml:space="preserve">Note </w:t>
            </w:r>
            <w:r w:rsidR="00ED1FCF" w:rsidRPr="00D549EE">
              <w:rPr>
                <w:lang w:val="en-US"/>
              </w:rPr>
              <w:t>–</w:t>
            </w:r>
            <w:r w:rsidR="00ED1FCF" w:rsidRPr="00D549EE">
              <w:rPr>
                <w:sz w:val="28"/>
                <w:szCs w:val="28"/>
                <w:lang w:val="en-US"/>
              </w:rPr>
              <w:t xml:space="preserve"> </w:t>
            </w:r>
            <w:r w:rsidR="00A83D1A" w:rsidRPr="00D549EE">
              <w:rPr>
                <w:color w:val="000000" w:themeColor="text1"/>
                <w:lang w:val="en-US"/>
              </w:rPr>
              <w:t>Compiled and estimated by the author</w:t>
            </w:r>
          </w:p>
        </w:tc>
      </w:tr>
    </w:tbl>
    <w:p w14:paraId="45379F5C" w14:textId="52EEF9B2" w:rsidR="00D96B62" w:rsidRPr="00D549EE" w:rsidRDefault="00D96B62" w:rsidP="00C9582F">
      <w:pPr>
        <w:snapToGrid w:val="0"/>
        <w:contextualSpacing/>
        <w:jc w:val="both"/>
        <w:rPr>
          <w:b/>
          <w:color w:val="000000" w:themeColor="text1"/>
          <w:sz w:val="28"/>
          <w:szCs w:val="28"/>
          <w:lang w:val="en-US"/>
        </w:rPr>
      </w:pPr>
    </w:p>
    <w:p w14:paraId="0BF5A143" w14:textId="77777777" w:rsidR="0037170F" w:rsidRPr="0037170F" w:rsidRDefault="00D3297A" w:rsidP="0037170F">
      <w:pPr>
        <w:snapToGrid w:val="0"/>
        <w:contextualSpacing/>
        <w:jc w:val="both"/>
        <w:rPr>
          <w:color w:val="000000" w:themeColor="text1"/>
          <w:sz w:val="28"/>
          <w:szCs w:val="28"/>
          <w:lang w:val="en-US"/>
        </w:rPr>
      </w:pPr>
      <w:r w:rsidRPr="00D549EE">
        <w:rPr>
          <w:b/>
          <w:color w:val="000000" w:themeColor="text1"/>
          <w:sz w:val="28"/>
          <w:szCs w:val="28"/>
          <w:lang w:val="en-US"/>
        </w:rPr>
        <w:tab/>
      </w:r>
      <w:r w:rsidR="0037170F" w:rsidRPr="0037170F">
        <w:rPr>
          <w:color w:val="000000" w:themeColor="text1"/>
          <w:sz w:val="28"/>
          <w:szCs w:val="28"/>
          <w:lang w:val="en-US"/>
        </w:rPr>
        <w:t>From the analysis of the social activity of Islamic Bank Zaman, it can be concluded that along with the main financial activity of the institution, several activities are not connected with commercial profit. However, these social activities affect society in the form of prohibition financing of a haram business, improving the bank's social responsibility and its clients, direct social assistance to the needy and ill children, and supporting educational projects. Payment of zakat is one more tool for redistributing wealth in the country. It should be noted that described additional functions of the Islamic financial institutions are not regulated by civil law but are regulated by Shariah law, and institutions adhere to and control them independently.</w:t>
      </w:r>
    </w:p>
    <w:p w14:paraId="69384B5F" w14:textId="77777777" w:rsidR="0037170F" w:rsidRPr="0037170F" w:rsidRDefault="0037170F" w:rsidP="0037170F">
      <w:pPr>
        <w:snapToGrid w:val="0"/>
        <w:contextualSpacing/>
        <w:jc w:val="both"/>
        <w:rPr>
          <w:color w:val="000000" w:themeColor="text1"/>
          <w:sz w:val="28"/>
          <w:szCs w:val="28"/>
          <w:lang w:val="en-US"/>
        </w:rPr>
      </w:pPr>
      <w:r w:rsidRPr="0037170F">
        <w:rPr>
          <w:color w:val="000000" w:themeColor="text1"/>
          <w:sz w:val="28"/>
          <w:szCs w:val="28"/>
          <w:lang w:val="en-US"/>
        </w:rPr>
        <w:tab/>
        <w:t>Kazakhstan Ijara Company JSC. There are two Islamic leasing companies in the Islamic financial market these days. The first ijara company was established in 2013 with the Islamic Private Sector Development Corporation (ICD) cooperation and a group of international and local investors. The company offers two Islamic financial instruments, Ijara and Murabaha, for 50 000 US dollars and carries out activities according to the Shariah law and the legislation of Kazakhstan. There is a range specter of the segments of the company's financing: manufacturing sector, transport sector, health services sector, construction, road building, commercial property, mining sector, railway sector, agriculture, and renewable energy sources. The targeted clients of the company are corporations, legal entities, peasant farming, and private entrepreneurs. The company does not provide leasing services to the companies that receive income from the sale, transportation, and storage of alcohol and tobacco products, are active in the gambling business, and others. Kazakhstan Ijara Company is a participant in the Damu fund's program.</w:t>
      </w:r>
    </w:p>
    <w:p w14:paraId="6594516E" w14:textId="4DF152F2" w:rsidR="00E229B8" w:rsidRDefault="0037170F" w:rsidP="0037170F">
      <w:pPr>
        <w:snapToGrid w:val="0"/>
        <w:contextualSpacing/>
        <w:jc w:val="both"/>
        <w:rPr>
          <w:color w:val="000000" w:themeColor="text1"/>
          <w:sz w:val="28"/>
          <w:szCs w:val="28"/>
          <w:lang w:val="en-US"/>
        </w:rPr>
      </w:pPr>
      <w:r w:rsidRPr="0037170F">
        <w:rPr>
          <w:color w:val="000000" w:themeColor="text1"/>
          <w:sz w:val="28"/>
          <w:szCs w:val="28"/>
          <w:lang w:val="en-US"/>
        </w:rPr>
        <w:tab/>
        <w:t xml:space="preserve">For 7 years of successful activity of Ijara company, there has been a general growth of assets of 181%. However, there has been a decrease to 12.5% in 2017 and 10.8% in 2019. </w:t>
      </w:r>
      <w:r w:rsidRPr="0037170F">
        <w:rPr>
          <w:color w:val="000000" w:themeColor="text1"/>
          <w:sz w:val="28"/>
          <w:szCs w:val="28"/>
          <w:lang w:val="en-US"/>
        </w:rPr>
        <w:tab/>
        <w:t>Like every Islamic financial institution, the company manifests social responsibility and uses special penalties and fines for different social projects. According to the company's policy, as profit and finance are received in Kazakhstan, they also must be distributed in the country.</w:t>
      </w:r>
    </w:p>
    <w:p w14:paraId="3E07F5C4" w14:textId="526C309A" w:rsidR="00B71E0A" w:rsidRDefault="00B71E0A" w:rsidP="0037170F">
      <w:pPr>
        <w:snapToGrid w:val="0"/>
        <w:contextualSpacing/>
        <w:jc w:val="both"/>
        <w:rPr>
          <w:color w:val="000000" w:themeColor="text1"/>
          <w:sz w:val="28"/>
          <w:szCs w:val="28"/>
          <w:lang w:val="en-US"/>
        </w:rPr>
      </w:pPr>
    </w:p>
    <w:p w14:paraId="1B9159F7" w14:textId="3235204A" w:rsidR="00B71E0A" w:rsidRDefault="00B71E0A" w:rsidP="0037170F">
      <w:pPr>
        <w:snapToGrid w:val="0"/>
        <w:contextualSpacing/>
        <w:jc w:val="both"/>
        <w:rPr>
          <w:color w:val="000000" w:themeColor="text1"/>
          <w:sz w:val="28"/>
          <w:szCs w:val="28"/>
          <w:lang w:val="en-US"/>
        </w:rPr>
      </w:pPr>
    </w:p>
    <w:p w14:paraId="3B247C44" w14:textId="01C01E30" w:rsidR="00B71E0A" w:rsidRDefault="00B71E0A" w:rsidP="0037170F">
      <w:pPr>
        <w:snapToGrid w:val="0"/>
        <w:contextualSpacing/>
        <w:jc w:val="both"/>
        <w:rPr>
          <w:color w:val="000000" w:themeColor="text1"/>
          <w:sz w:val="28"/>
          <w:szCs w:val="28"/>
          <w:lang w:val="en-US"/>
        </w:rPr>
      </w:pPr>
    </w:p>
    <w:p w14:paraId="4252D6FA" w14:textId="7F0E0FDB" w:rsidR="00B71E0A" w:rsidRDefault="00B71E0A" w:rsidP="0037170F">
      <w:pPr>
        <w:snapToGrid w:val="0"/>
        <w:contextualSpacing/>
        <w:jc w:val="both"/>
        <w:rPr>
          <w:color w:val="000000" w:themeColor="text1"/>
          <w:sz w:val="28"/>
          <w:szCs w:val="28"/>
          <w:lang w:val="en-US"/>
        </w:rPr>
      </w:pPr>
    </w:p>
    <w:p w14:paraId="59835000" w14:textId="1DA0EB31" w:rsidR="00B71E0A" w:rsidRDefault="00B71E0A" w:rsidP="0037170F">
      <w:pPr>
        <w:snapToGrid w:val="0"/>
        <w:contextualSpacing/>
        <w:jc w:val="both"/>
        <w:rPr>
          <w:color w:val="000000" w:themeColor="text1"/>
          <w:sz w:val="28"/>
          <w:szCs w:val="28"/>
          <w:lang w:val="en-US"/>
        </w:rPr>
      </w:pPr>
    </w:p>
    <w:p w14:paraId="416B6C73" w14:textId="77777777" w:rsidR="00B71E0A" w:rsidRDefault="00B71E0A" w:rsidP="0037170F">
      <w:pPr>
        <w:snapToGrid w:val="0"/>
        <w:contextualSpacing/>
        <w:jc w:val="both"/>
        <w:rPr>
          <w:color w:val="000000" w:themeColor="text1"/>
          <w:sz w:val="28"/>
          <w:szCs w:val="28"/>
          <w:lang w:val="en-US"/>
        </w:rPr>
      </w:pPr>
    </w:p>
    <w:p w14:paraId="55E37B42" w14:textId="77777777" w:rsidR="0037170F" w:rsidRPr="00D549EE" w:rsidRDefault="0037170F" w:rsidP="0037170F">
      <w:pPr>
        <w:snapToGrid w:val="0"/>
        <w:contextualSpacing/>
        <w:jc w:val="both"/>
        <w:rPr>
          <w:color w:val="000000" w:themeColor="text1"/>
          <w:sz w:val="28"/>
          <w:szCs w:val="28"/>
          <w:lang w:val="en-US"/>
        </w:rPr>
      </w:pPr>
    </w:p>
    <w:p w14:paraId="61D1AF9C" w14:textId="50084020" w:rsidR="00184622" w:rsidRPr="00D549EE" w:rsidRDefault="00184622" w:rsidP="00C9582F">
      <w:pPr>
        <w:snapToGrid w:val="0"/>
        <w:contextualSpacing/>
        <w:jc w:val="both"/>
        <w:rPr>
          <w:color w:val="000000" w:themeColor="text1"/>
          <w:sz w:val="28"/>
          <w:szCs w:val="28"/>
          <w:lang w:val="en-US"/>
        </w:rPr>
      </w:pPr>
      <w:r w:rsidRPr="00D549EE">
        <w:rPr>
          <w:color w:val="000000" w:themeColor="text1"/>
          <w:sz w:val="28"/>
          <w:szCs w:val="28"/>
          <w:lang w:val="en-US"/>
        </w:rPr>
        <w:t xml:space="preserve">Table </w:t>
      </w:r>
      <w:r w:rsidR="002F48BF" w:rsidRPr="00D549EE">
        <w:rPr>
          <w:color w:val="000000" w:themeColor="text1"/>
          <w:sz w:val="28"/>
          <w:szCs w:val="28"/>
          <w:lang w:val="en-US"/>
        </w:rPr>
        <w:t>4</w:t>
      </w:r>
      <w:r w:rsidR="004E76BC" w:rsidRPr="00D549EE">
        <w:rPr>
          <w:color w:val="000000" w:themeColor="text1"/>
          <w:sz w:val="28"/>
          <w:szCs w:val="28"/>
          <w:lang w:val="en-US"/>
        </w:rPr>
        <w:t>3</w:t>
      </w:r>
      <w:r w:rsidR="00ED1FCF" w:rsidRPr="00D549EE">
        <w:rPr>
          <w:b/>
          <w:color w:val="000000" w:themeColor="text1"/>
          <w:sz w:val="28"/>
          <w:szCs w:val="28"/>
          <w:lang w:val="en-US"/>
        </w:rPr>
        <w:t xml:space="preserve"> </w:t>
      </w:r>
      <w:r w:rsidR="00ED1FCF" w:rsidRPr="00D549EE">
        <w:rPr>
          <w:sz w:val="28"/>
          <w:szCs w:val="28"/>
          <w:lang w:val="en-US"/>
        </w:rPr>
        <w:t>–</w:t>
      </w:r>
      <w:r w:rsidRPr="00D549EE">
        <w:rPr>
          <w:color w:val="000000" w:themeColor="text1"/>
          <w:sz w:val="28"/>
          <w:szCs w:val="28"/>
          <w:lang w:val="en-US"/>
        </w:rPr>
        <w:t xml:space="preserve"> Zakat estimation of Kazakhstan Ijara Company JSC for 201</w:t>
      </w:r>
      <w:r w:rsidR="0029355C" w:rsidRPr="00D549EE">
        <w:rPr>
          <w:color w:val="000000" w:themeColor="text1"/>
          <w:sz w:val="28"/>
          <w:szCs w:val="28"/>
          <w:lang w:val="en-US"/>
        </w:rPr>
        <w:t>3</w:t>
      </w:r>
      <w:r w:rsidRPr="00D549EE">
        <w:rPr>
          <w:color w:val="000000" w:themeColor="text1"/>
          <w:sz w:val="28"/>
          <w:szCs w:val="28"/>
          <w:lang w:val="en-US"/>
        </w:rPr>
        <w:t>-20</w:t>
      </w:r>
      <w:r w:rsidR="0029355C" w:rsidRPr="00D549EE">
        <w:rPr>
          <w:color w:val="000000" w:themeColor="text1"/>
          <w:sz w:val="28"/>
          <w:szCs w:val="28"/>
          <w:lang w:val="en-US"/>
        </w:rPr>
        <w:t>19</w:t>
      </w:r>
      <w:r w:rsidRPr="00D549EE">
        <w:rPr>
          <w:color w:val="000000" w:themeColor="text1"/>
          <w:sz w:val="28"/>
          <w:szCs w:val="28"/>
          <w:lang w:val="en-US"/>
        </w:rPr>
        <w:t xml:space="preserve">  </w:t>
      </w:r>
    </w:p>
    <w:p w14:paraId="444ADE39" w14:textId="77777777" w:rsidR="00184622" w:rsidRPr="00D549EE" w:rsidRDefault="00184622" w:rsidP="00C9582F">
      <w:pPr>
        <w:snapToGrid w:val="0"/>
        <w:contextualSpacing/>
        <w:jc w:val="both"/>
        <w:rPr>
          <w:color w:val="000000" w:themeColor="text1"/>
          <w:sz w:val="28"/>
          <w:szCs w:val="28"/>
          <w:lang w:val="en-US"/>
        </w:rPr>
      </w:pPr>
    </w:p>
    <w:tbl>
      <w:tblPr>
        <w:tblStyle w:val="a9"/>
        <w:tblW w:w="0" w:type="auto"/>
        <w:tblLook w:val="04A0" w:firstRow="1" w:lastRow="0" w:firstColumn="1" w:lastColumn="0" w:noHBand="0" w:noVBand="1"/>
      </w:tblPr>
      <w:tblGrid>
        <w:gridCol w:w="2231"/>
        <w:gridCol w:w="876"/>
        <w:gridCol w:w="1056"/>
        <w:gridCol w:w="1176"/>
        <w:gridCol w:w="876"/>
        <w:gridCol w:w="1056"/>
        <w:gridCol w:w="1176"/>
        <w:gridCol w:w="1176"/>
      </w:tblGrid>
      <w:tr w:rsidR="0029355C" w:rsidRPr="00D549EE" w14:paraId="50E028C2" w14:textId="77777777" w:rsidTr="0029355C">
        <w:tc>
          <w:tcPr>
            <w:tcW w:w="0" w:type="auto"/>
          </w:tcPr>
          <w:p w14:paraId="073C066E" w14:textId="77777777" w:rsidR="0029355C" w:rsidRPr="00D549EE" w:rsidRDefault="0029355C" w:rsidP="00C9582F">
            <w:pPr>
              <w:snapToGrid w:val="0"/>
              <w:contextualSpacing/>
              <w:rPr>
                <w:color w:val="000000" w:themeColor="text1"/>
                <w:lang w:val="en-US"/>
              </w:rPr>
            </w:pPr>
            <w:r w:rsidRPr="00D549EE">
              <w:rPr>
                <w:color w:val="000000" w:themeColor="text1"/>
                <w:lang w:val="en-US"/>
              </w:rPr>
              <w:t>Year</w:t>
            </w:r>
          </w:p>
        </w:tc>
        <w:tc>
          <w:tcPr>
            <w:tcW w:w="0" w:type="auto"/>
          </w:tcPr>
          <w:p w14:paraId="1D3805A6" w14:textId="6A2D6423" w:rsidR="0029355C" w:rsidRPr="00D549EE" w:rsidRDefault="0029355C" w:rsidP="00C9582F">
            <w:pPr>
              <w:snapToGrid w:val="0"/>
              <w:contextualSpacing/>
              <w:rPr>
                <w:color w:val="000000" w:themeColor="text1"/>
                <w:lang w:val="en-US"/>
              </w:rPr>
            </w:pPr>
            <w:r w:rsidRPr="00D549EE">
              <w:rPr>
                <w:color w:val="000000" w:themeColor="text1"/>
                <w:lang w:val="en-US"/>
              </w:rPr>
              <w:t>2013</w:t>
            </w:r>
          </w:p>
        </w:tc>
        <w:tc>
          <w:tcPr>
            <w:tcW w:w="0" w:type="auto"/>
          </w:tcPr>
          <w:p w14:paraId="0721DDE7" w14:textId="53451B60" w:rsidR="0029355C" w:rsidRPr="00D549EE" w:rsidRDefault="0029355C" w:rsidP="00C9582F">
            <w:pPr>
              <w:snapToGrid w:val="0"/>
              <w:contextualSpacing/>
              <w:rPr>
                <w:color w:val="000000" w:themeColor="text1"/>
                <w:lang w:val="en-US"/>
              </w:rPr>
            </w:pPr>
            <w:r w:rsidRPr="00D549EE">
              <w:rPr>
                <w:color w:val="000000" w:themeColor="text1"/>
                <w:lang w:val="en-US"/>
              </w:rPr>
              <w:t>2014</w:t>
            </w:r>
          </w:p>
        </w:tc>
        <w:tc>
          <w:tcPr>
            <w:tcW w:w="0" w:type="auto"/>
          </w:tcPr>
          <w:p w14:paraId="31C594D0" w14:textId="0A0A2876" w:rsidR="0029355C" w:rsidRPr="00D549EE" w:rsidRDefault="0029355C" w:rsidP="00C9582F">
            <w:pPr>
              <w:snapToGrid w:val="0"/>
              <w:contextualSpacing/>
              <w:rPr>
                <w:color w:val="000000" w:themeColor="text1"/>
                <w:lang w:val="en-US"/>
              </w:rPr>
            </w:pPr>
            <w:r w:rsidRPr="00D549EE">
              <w:rPr>
                <w:color w:val="000000" w:themeColor="text1"/>
                <w:lang w:val="en-US"/>
              </w:rPr>
              <w:t>2015</w:t>
            </w:r>
          </w:p>
        </w:tc>
        <w:tc>
          <w:tcPr>
            <w:tcW w:w="0" w:type="auto"/>
          </w:tcPr>
          <w:p w14:paraId="24CF55A5" w14:textId="2D625E3A" w:rsidR="0029355C" w:rsidRPr="00D549EE" w:rsidRDefault="0029355C" w:rsidP="00C9582F">
            <w:pPr>
              <w:snapToGrid w:val="0"/>
              <w:contextualSpacing/>
              <w:rPr>
                <w:color w:val="000000" w:themeColor="text1"/>
                <w:lang w:val="en-US"/>
              </w:rPr>
            </w:pPr>
            <w:r w:rsidRPr="00D549EE">
              <w:rPr>
                <w:color w:val="000000" w:themeColor="text1"/>
                <w:lang w:val="en-US"/>
              </w:rPr>
              <w:t>2016</w:t>
            </w:r>
          </w:p>
        </w:tc>
        <w:tc>
          <w:tcPr>
            <w:tcW w:w="0" w:type="auto"/>
          </w:tcPr>
          <w:p w14:paraId="411570CF" w14:textId="38CCB18A" w:rsidR="0029355C" w:rsidRPr="00D549EE" w:rsidRDefault="0029355C" w:rsidP="00C9582F">
            <w:pPr>
              <w:snapToGrid w:val="0"/>
              <w:contextualSpacing/>
              <w:rPr>
                <w:color w:val="000000" w:themeColor="text1"/>
                <w:lang w:val="en-US"/>
              </w:rPr>
            </w:pPr>
            <w:r w:rsidRPr="00D549EE">
              <w:rPr>
                <w:color w:val="000000" w:themeColor="text1"/>
                <w:lang w:val="en-US"/>
              </w:rPr>
              <w:t>2017</w:t>
            </w:r>
          </w:p>
        </w:tc>
        <w:tc>
          <w:tcPr>
            <w:tcW w:w="0" w:type="auto"/>
          </w:tcPr>
          <w:p w14:paraId="6E95952E" w14:textId="29045F48" w:rsidR="0029355C" w:rsidRPr="00D549EE" w:rsidRDefault="0029355C" w:rsidP="00C9582F">
            <w:pPr>
              <w:snapToGrid w:val="0"/>
              <w:contextualSpacing/>
              <w:rPr>
                <w:color w:val="000000" w:themeColor="text1"/>
                <w:lang w:val="en-US"/>
              </w:rPr>
            </w:pPr>
            <w:r w:rsidRPr="00D549EE">
              <w:rPr>
                <w:color w:val="000000" w:themeColor="text1"/>
                <w:lang w:val="en-US"/>
              </w:rPr>
              <w:t>2018</w:t>
            </w:r>
          </w:p>
        </w:tc>
        <w:tc>
          <w:tcPr>
            <w:tcW w:w="0" w:type="auto"/>
          </w:tcPr>
          <w:p w14:paraId="7B88F9B2" w14:textId="45DDB05C" w:rsidR="0029355C" w:rsidRPr="00D549EE" w:rsidRDefault="0029355C" w:rsidP="00C9582F">
            <w:pPr>
              <w:snapToGrid w:val="0"/>
              <w:contextualSpacing/>
              <w:rPr>
                <w:color w:val="000000" w:themeColor="text1"/>
                <w:lang w:val="en-US"/>
              </w:rPr>
            </w:pPr>
            <w:r w:rsidRPr="00D549EE">
              <w:rPr>
                <w:color w:val="000000" w:themeColor="text1"/>
                <w:lang w:val="en-US"/>
              </w:rPr>
              <w:t>2019</w:t>
            </w:r>
          </w:p>
        </w:tc>
      </w:tr>
      <w:tr w:rsidR="0029355C" w:rsidRPr="00D549EE" w14:paraId="1C33A35E" w14:textId="77777777" w:rsidTr="0029355C">
        <w:tc>
          <w:tcPr>
            <w:tcW w:w="0" w:type="auto"/>
          </w:tcPr>
          <w:p w14:paraId="4288877F" w14:textId="77777777" w:rsidR="0029355C" w:rsidRPr="00D549EE" w:rsidRDefault="0029355C" w:rsidP="00C9582F">
            <w:pPr>
              <w:snapToGrid w:val="0"/>
              <w:contextualSpacing/>
              <w:rPr>
                <w:color w:val="000000" w:themeColor="text1"/>
                <w:lang w:val="en-US"/>
              </w:rPr>
            </w:pPr>
            <w:r w:rsidRPr="00D549EE">
              <w:rPr>
                <w:color w:val="000000" w:themeColor="text1"/>
                <w:lang w:val="en-US"/>
              </w:rPr>
              <w:t>Profit in thousand tenge</w:t>
            </w:r>
          </w:p>
          <w:p w14:paraId="0AC2F7FE" w14:textId="77777777" w:rsidR="0029355C" w:rsidRPr="00D549EE" w:rsidRDefault="0029355C" w:rsidP="00C9582F">
            <w:pPr>
              <w:snapToGrid w:val="0"/>
              <w:contextualSpacing/>
              <w:rPr>
                <w:color w:val="000000" w:themeColor="text1"/>
                <w:lang w:val="en-US"/>
              </w:rPr>
            </w:pPr>
          </w:p>
        </w:tc>
        <w:tc>
          <w:tcPr>
            <w:tcW w:w="0" w:type="auto"/>
          </w:tcPr>
          <w:p w14:paraId="13BD596B" w14:textId="70619E95" w:rsidR="0029355C" w:rsidRPr="00D549EE" w:rsidRDefault="0029355C" w:rsidP="00C9582F">
            <w:pPr>
              <w:tabs>
                <w:tab w:val="left" w:pos="484"/>
              </w:tabs>
              <w:snapToGrid w:val="0"/>
              <w:contextualSpacing/>
              <w:rPr>
                <w:color w:val="000000"/>
                <w:lang w:val="en-US"/>
              </w:rPr>
            </w:pPr>
            <w:r w:rsidRPr="00D549EE">
              <w:rPr>
                <w:color w:val="000000"/>
                <w:lang w:val="en-US"/>
              </w:rPr>
              <w:t>36 725</w:t>
            </w:r>
          </w:p>
        </w:tc>
        <w:tc>
          <w:tcPr>
            <w:tcW w:w="0" w:type="auto"/>
          </w:tcPr>
          <w:p w14:paraId="7C379BB3" w14:textId="093D67A2" w:rsidR="0029355C" w:rsidRPr="00D549EE" w:rsidRDefault="0029355C" w:rsidP="00C9582F">
            <w:pPr>
              <w:tabs>
                <w:tab w:val="left" w:pos="484"/>
              </w:tabs>
              <w:snapToGrid w:val="0"/>
              <w:contextualSpacing/>
              <w:rPr>
                <w:color w:val="000000"/>
                <w:lang w:val="en-US"/>
              </w:rPr>
            </w:pPr>
            <w:r w:rsidRPr="00D549EE">
              <w:rPr>
                <w:color w:val="000000"/>
                <w:lang w:val="en-US"/>
              </w:rPr>
              <w:t>351 553</w:t>
            </w:r>
          </w:p>
        </w:tc>
        <w:tc>
          <w:tcPr>
            <w:tcW w:w="0" w:type="auto"/>
          </w:tcPr>
          <w:p w14:paraId="5F5A5BD1" w14:textId="438952BC" w:rsidR="0029355C" w:rsidRPr="00D549EE" w:rsidRDefault="0029355C" w:rsidP="00C9582F">
            <w:pPr>
              <w:snapToGrid w:val="0"/>
              <w:contextualSpacing/>
              <w:rPr>
                <w:color w:val="000000"/>
                <w:lang w:val="en-US"/>
              </w:rPr>
            </w:pPr>
            <w:r w:rsidRPr="00D549EE">
              <w:rPr>
                <w:color w:val="000000"/>
                <w:lang w:val="en-US"/>
              </w:rPr>
              <w:t>993 564</w:t>
            </w:r>
          </w:p>
        </w:tc>
        <w:tc>
          <w:tcPr>
            <w:tcW w:w="0" w:type="auto"/>
          </w:tcPr>
          <w:p w14:paraId="74B0917A" w14:textId="03EABCD1" w:rsidR="0029355C" w:rsidRPr="00D549EE" w:rsidRDefault="0029355C" w:rsidP="00C9582F">
            <w:pPr>
              <w:snapToGrid w:val="0"/>
              <w:contextualSpacing/>
              <w:rPr>
                <w:color w:val="000000" w:themeColor="text1"/>
                <w:lang w:val="en-US"/>
              </w:rPr>
            </w:pPr>
            <w:r w:rsidRPr="00D549EE">
              <w:rPr>
                <w:color w:val="000000"/>
              </w:rPr>
              <w:t>6</w:t>
            </w:r>
            <w:r w:rsidRPr="00D549EE">
              <w:rPr>
                <w:color w:val="000000"/>
                <w:lang w:val="en-US"/>
              </w:rPr>
              <w:t xml:space="preserve"> 956</w:t>
            </w:r>
          </w:p>
        </w:tc>
        <w:tc>
          <w:tcPr>
            <w:tcW w:w="0" w:type="auto"/>
          </w:tcPr>
          <w:p w14:paraId="34C9FD17" w14:textId="594D46AF" w:rsidR="0029355C" w:rsidRPr="00D549EE" w:rsidRDefault="0029355C" w:rsidP="00C9582F">
            <w:pPr>
              <w:snapToGrid w:val="0"/>
              <w:contextualSpacing/>
              <w:rPr>
                <w:color w:val="000000" w:themeColor="text1"/>
                <w:lang w:val="en-US"/>
              </w:rPr>
            </w:pPr>
            <w:r w:rsidRPr="00D549EE">
              <w:rPr>
                <w:color w:val="000000" w:themeColor="text1"/>
                <w:lang w:val="en-US"/>
              </w:rPr>
              <w:t>235 551</w:t>
            </w:r>
          </w:p>
        </w:tc>
        <w:tc>
          <w:tcPr>
            <w:tcW w:w="0" w:type="auto"/>
          </w:tcPr>
          <w:p w14:paraId="43FF3A4A" w14:textId="571C231D" w:rsidR="0029355C" w:rsidRPr="00D549EE" w:rsidRDefault="0029355C" w:rsidP="00C9582F">
            <w:pPr>
              <w:snapToGrid w:val="0"/>
              <w:contextualSpacing/>
              <w:rPr>
                <w:color w:val="000000" w:themeColor="text1"/>
                <w:lang w:val="en-US"/>
              </w:rPr>
            </w:pPr>
            <w:r w:rsidRPr="00D549EE">
              <w:rPr>
                <w:color w:val="000000" w:themeColor="text1"/>
                <w:lang w:val="en-US"/>
              </w:rPr>
              <w:t>710 459</w:t>
            </w:r>
          </w:p>
        </w:tc>
        <w:tc>
          <w:tcPr>
            <w:tcW w:w="0" w:type="auto"/>
          </w:tcPr>
          <w:p w14:paraId="187D5BB3" w14:textId="6EE81923" w:rsidR="0029355C" w:rsidRPr="00D549EE" w:rsidRDefault="0029355C" w:rsidP="00C9582F">
            <w:pPr>
              <w:rPr>
                <w:color w:val="000000" w:themeColor="text1"/>
                <w:lang w:val="en-US"/>
              </w:rPr>
            </w:pPr>
            <w:r w:rsidRPr="00D549EE">
              <w:rPr>
                <w:color w:val="000000" w:themeColor="text1"/>
                <w:lang w:val="en-US"/>
              </w:rPr>
              <w:t>600 290</w:t>
            </w:r>
          </w:p>
        </w:tc>
      </w:tr>
      <w:tr w:rsidR="0029355C" w:rsidRPr="00D549EE" w14:paraId="3D2236C3" w14:textId="77777777" w:rsidTr="0029355C">
        <w:tc>
          <w:tcPr>
            <w:tcW w:w="0" w:type="auto"/>
          </w:tcPr>
          <w:p w14:paraId="040F0F9D" w14:textId="63CAFD78" w:rsidR="0029355C" w:rsidRPr="00D549EE" w:rsidRDefault="0029355C" w:rsidP="00C9582F">
            <w:pPr>
              <w:snapToGrid w:val="0"/>
              <w:contextualSpacing/>
              <w:rPr>
                <w:color w:val="000000" w:themeColor="text1"/>
                <w:lang w:val="en-US"/>
              </w:rPr>
            </w:pPr>
            <w:r w:rsidRPr="00D549EE">
              <w:rPr>
                <w:color w:val="000000" w:themeColor="text1"/>
                <w:lang w:val="en-US"/>
              </w:rPr>
              <w:t>Zakat in thousand tenge</w:t>
            </w:r>
          </w:p>
          <w:p w14:paraId="50D6B1EE" w14:textId="77777777" w:rsidR="0029355C" w:rsidRPr="00D549EE" w:rsidRDefault="0029355C" w:rsidP="00C9582F">
            <w:pPr>
              <w:snapToGrid w:val="0"/>
              <w:contextualSpacing/>
              <w:rPr>
                <w:color w:val="000000" w:themeColor="text1"/>
                <w:lang w:val="en-US"/>
              </w:rPr>
            </w:pPr>
          </w:p>
        </w:tc>
        <w:tc>
          <w:tcPr>
            <w:tcW w:w="0" w:type="auto"/>
          </w:tcPr>
          <w:p w14:paraId="69485B36" w14:textId="432CFCFE" w:rsidR="0029355C" w:rsidRPr="00D549EE" w:rsidRDefault="0029355C" w:rsidP="00C9582F">
            <w:pPr>
              <w:snapToGrid w:val="0"/>
              <w:contextualSpacing/>
              <w:rPr>
                <w:color w:val="000000" w:themeColor="text1"/>
                <w:lang w:val="en-US"/>
              </w:rPr>
            </w:pPr>
            <w:r w:rsidRPr="00D549EE">
              <w:rPr>
                <w:color w:val="000000" w:themeColor="text1"/>
                <w:lang w:val="en-US"/>
              </w:rPr>
              <w:t>918.13</w:t>
            </w:r>
          </w:p>
        </w:tc>
        <w:tc>
          <w:tcPr>
            <w:tcW w:w="0" w:type="auto"/>
          </w:tcPr>
          <w:p w14:paraId="1A50761E" w14:textId="47A404E5" w:rsidR="0029355C" w:rsidRPr="00D549EE" w:rsidRDefault="0029355C" w:rsidP="00C9582F">
            <w:pPr>
              <w:snapToGrid w:val="0"/>
              <w:contextualSpacing/>
              <w:rPr>
                <w:color w:val="000000" w:themeColor="text1"/>
                <w:lang w:val="en-US"/>
              </w:rPr>
            </w:pPr>
            <w:r w:rsidRPr="00D549EE">
              <w:rPr>
                <w:color w:val="000000" w:themeColor="text1"/>
                <w:lang w:val="en-US"/>
              </w:rPr>
              <w:t>8 788.83</w:t>
            </w:r>
          </w:p>
        </w:tc>
        <w:tc>
          <w:tcPr>
            <w:tcW w:w="0" w:type="auto"/>
          </w:tcPr>
          <w:p w14:paraId="00EC008D" w14:textId="29F4D50A" w:rsidR="0029355C" w:rsidRPr="00D549EE" w:rsidRDefault="0029355C" w:rsidP="00C9582F">
            <w:pPr>
              <w:snapToGrid w:val="0"/>
              <w:contextualSpacing/>
              <w:rPr>
                <w:color w:val="000000" w:themeColor="text1"/>
                <w:lang w:val="en-US"/>
              </w:rPr>
            </w:pPr>
            <w:r w:rsidRPr="00D549EE">
              <w:rPr>
                <w:color w:val="000000" w:themeColor="text1"/>
                <w:lang w:val="en-US"/>
              </w:rPr>
              <w:t>24 839.10</w:t>
            </w:r>
          </w:p>
        </w:tc>
        <w:tc>
          <w:tcPr>
            <w:tcW w:w="0" w:type="auto"/>
          </w:tcPr>
          <w:p w14:paraId="5774E4A1" w14:textId="1993EA5E" w:rsidR="0029355C" w:rsidRPr="00D549EE" w:rsidRDefault="0029355C" w:rsidP="00C9582F">
            <w:pPr>
              <w:snapToGrid w:val="0"/>
              <w:contextualSpacing/>
              <w:rPr>
                <w:color w:val="000000" w:themeColor="text1"/>
                <w:lang w:val="en-US"/>
              </w:rPr>
            </w:pPr>
            <w:r w:rsidRPr="00D549EE">
              <w:rPr>
                <w:color w:val="000000" w:themeColor="text1"/>
                <w:lang w:val="en-US"/>
              </w:rPr>
              <w:t>173.90</w:t>
            </w:r>
          </w:p>
        </w:tc>
        <w:tc>
          <w:tcPr>
            <w:tcW w:w="0" w:type="auto"/>
          </w:tcPr>
          <w:p w14:paraId="3A73E747" w14:textId="7F4574B6" w:rsidR="0029355C" w:rsidRPr="00D549EE" w:rsidRDefault="0029355C" w:rsidP="00C9582F">
            <w:pPr>
              <w:snapToGrid w:val="0"/>
              <w:contextualSpacing/>
              <w:rPr>
                <w:color w:val="000000" w:themeColor="text1"/>
                <w:lang w:val="en-US"/>
              </w:rPr>
            </w:pPr>
            <w:r w:rsidRPr="00D549EE">
              <w:rPr>
                <w:color w:val="000000" w:themeColor="text1"/>
                <w:lang w:val="en-US"/>
              </w:rPr>
              <w:t>5 888.78</w:t>
            </w:r>
          </w:p>
        </w:tc>
        <w:tc>
          <w:tcPr>
            <w:tcW w:w="0" w:type="auto"/>
          </w:tcPr>
          <w:p w14:paraId="0B7C7320" w14:textId="6F955A3A" w:rsidR="0029355C" w:rsidRPr="00D549EE" w:rsidRDefault="0029355C" w:rsidP="00C9582F">
            <w:pPr>
              <w:snapToGrid w:val="0"/>
              <w:contextualSpacing/>
              <w:rPr>
                <w:color w:val="000000" w:themeColor="text1"/>
                <w:lang w:val="en-US"/>
              </w:rPr>
            </w:pPr>
            <w:r w:rsidRPr="00D549EE">
              <w:rPr>
                <w:color w:val="000000" w:themeColor="text1"/>
                <w:lang w:val="en-US"/>
              </w:rPr>
              <w:t>17 761.48</w:t>
            </w:r>
          </w:p>
        </w:tc>
        <w:tc>
          <w:tcPr>
            <w:tcW w:w="0" w:type="auto"/>
          </w:tcPr>
          <w:p w14:paraId="40594E6B" w14:textId="373AC3AE" w:rsidR="0029355C" w:rsidRPr="00D549EE" w:rsidRDefault="0029355C" w:rsidP="00C9582F">
            <w:pPr>
              <w:snapToGrid w:val="0"/>
              <w:contextualSpacing/>
              <w:rPr>
                <w:color w:val="000000" w:themeColor="text1"/>
                <w:lang w:val="en-US"/>
              </w:rPr>
            </w:pPr>
            <w:r w:rsidRPr="00D549EE">
              <w:rPr>
                <w:color w:val="000000" w:themeColor="text1"/>
                <w:lang w:val="en-US"/>
              </w:rPr>
              <w:t>15 007.25</w:t>
            </w:r>
          </w:p>
        </w:tc>
      </w:tr>
      <w:tr w:rsidR="0029355C" w:rsidRPr="00FC685D" w14:paraId="4434B09D" w14:textId="77777777" w:rsidTr="000B7F64">
        <w:tc>
          <w:tcPr>
            <w:tcW w:w="0" w:type="auto"/>
            <w:gridSpan w:val="8"/>
          </w:tcPr>
          <w:p w14:paraId="649BB326" w14:textId="6E792C95" w:rsidR="0029355C" w:rsidRPr="00D549EE" w:rsidRDefault="002F48BF" w:rsidP="00C9582F">
            <w:pPr>
              <w:snapToGrid w:val="0"/>
              <w:contextualSpacing/>
              <w:rPr>
                <w:color w:val="000000" w:themeColor="text1"/>
                <w:lang w:val="en-US"/>
              </w:rPr>
            </w:pPr>
            <w:r w:rsidRPr="00D549EE">
              <w:rPr>
                <w:color w:val="000000" w:themeColor="text1"/>
                <w:lang w:val="en-US"/>
              </w:rPr>
              <w:t xml:space="preserve">       </w:t>
            </w:r>
            <w:r w:rsidR="00ED1FCF" w:rsidRPr="00D549EE">
              <w:rPr>
                <w:color w:val="000000" w:themeColor="text1"/>
                <w:lang w:val="en-US"/>
              </w:rPr>
              <w:t xml:space="preserve">Note </w:t>
            </w:r>
            <w:r w:rsidR="00ED1FCF" w:rsidRPr="00D549EE">
              <w:rPr>
                <w:lang w:val="en-US"/>
              </w:rPr>
              <w:t>–</w:t>
            </w:r>
            <w:r w:rsidR="00ED1FCF" w:rsidRPr="00D549EE">
              <w:rPr>
                <w:color w:val="000000" w:themeColor="text1"/>
                <w:lang w:val="en-US"/>
              </w:rPr>
              <w:t xml:space="preserve"> </w:t>
            </w:r>
            <w:r w:rsidR="00A83D1A" w:rsidRPr="00D549EE">
              <w:rPr>
                <w:color w:val="000000" w:themeColor="text1"/>
                <w:lang w:val="en-US"/>
              </w:rPr>
              <w:t>Compiled and estimated by the author</w:t>
            </w:r>
          </w:p>
        </w:tc>
      </w:tr>
    </w:tbl>
    <w:p w14:paraId="0CD8C3D3" w14:textId="77777777" w:rsidR="00E229B8" w:rsidRPr="00D549EE" w:rsidRDefault="00E229B8" w:rsidP="00C9582F">
      <w:pPr>
        <w:snapToGrid w:val="0"/>
        <w:contextualSpacing/>
        <w:jc w:val="both"/>
        <w:rPr>
          <w:i/>
          <w:color w:val="000000" w:themeColor="text1"/>
          <w:sz w:val="28"/>
          <w:szCs w:val="28"/>
          <w:lang w:val="en-US"/>
        </w:rPr>
      </w:pPr>
    </w:p>
    <w:p w14:paraId="2103E81F" w14:textId="77777777" w:rsidR="0037170F" w:rsidRPr="0037170F" w:rsidRDefault="00576B15" w:rsidP="0037170F">
      <w:pPr>
        <w:snapToGrid w:val="0"/>
        <w:contextualSpacing/>
        <w:jc w:val="both"/>
        <w:rPr>
          <w:color w:val="000000" w:themeColor="text1"/>
          <w:sz w:val="28"/>
          <w:szCs w:val="28"/>
          <w:lang w:val="en-US"/>
        </w:rPr>
      </w:pPr>
      <w:r w:rsidRPr="0037170F">
        <w:rPr>
          <w:b/>
          <w:color w:val="000000" w:themeColor="text1"/>
          <w:sz w:val="28"/>
          <w:szCs w:val="28"/>
          <w:lang w:val="en-US"/>
        </w:rPr>
        <w:tab/>
      </w:r>
      <w:r w:rsidR="0037170F" w:rsidRPr="0037170F">
        <w:rPr>
          <w:i/>
          <w:color w:val="000000" w:themeColor="text1"/>
          <w:sz w:val="28"/>
          <w:szCs w:val="28"/>
          <w:lang w:val="en-US"/>
        </w:rPr>
        <w:t>Al-Saqr Finance JSC.</w:t>
      </w:r>
      <w:r w:rsidR="0037170F" w:rsidRPr="0037170F">
        <w:rPr>
          <w:color w:val="000000" w:themeColor="text1"/>
          <w:sz w:val="28"/>
          <w:szCs w:val="28"/>
          <w:lang w:val="en-US"/>
        </w:rPr>
        <w:t xml:space="preserve"> Islamic leasing company Al-Saqr Finance is one of the two Ijara companies in Kazakhstan with more than 20 years of experience in leasing activity. It was decided to convert from a traditional lasing company to an Islamic in 2016, and in 2017 company transferred its activity to providing Islamic financial instruments and services to the corporate and retail sectors. The company's main financial tools are Murabaha and Ijara for corporate customers. The company was the first in the country's market, which provides the Islamic (total Shariah compline) debit card, and recently has started the program for Islamic housing within the Ijara model. Furthermore, the company is one of the initiators of the development of the state Program of the Damu Foundation for the financing of small and medium-sized businesses based on the principles of Islamic finance and is a member of the Damu program. </w:t>
      </w:r>
    </w:p>
    <w:p w14:paraId="2DECBA37" w14:textId="77777777" w:rsidR="0037170F" w:rsidRPr="0037170F" w:rsidRDefault="0037170F" w:rsidP="0037170F">
      <w:pPr>
        <w:snapToGrid w:val="0"/>
        <w:contextualSpacing/>
        <w:jc w:val="both"/>
        <w:rPr>
          <w:color w:val="000000" w:themeColor="text1"/>
          <w:sz w:val="28"/>
          <w:szCs w:val="28"/>
          <w:lang w:val="en-US"/>
        </w:rPr>
      </w:pPr>
      <w:r w:rsidRPr="0037170F">
        <w:rPr>
          <w:color w:val="000000" w:themeColor="text1"/>
          <w:sz w:val="28"/>
          <w:szCs w:val="28"/>
          <w:lang w:val="en-US"/>
        </w:rPr>
        <w:tab/>
        <w:t>It must be mentioned that Al-Saqr Finance JSC is the first financial organization that offered the first Islamic debit cards in Kazakhstan, which complies with the principles and norms of Shariah. The features of the card are based on the absence of remuneration. The card balances are not used for generation bank's income, the prohibition of payments in shops distributed haram goods and services, the high amount of cash-back. There is the social specificity of the card, that generated cash-back can be used to the charity.</w:t>
      </w:r>
    </w:p>
    <w:p w14:paraId="6DB0985C" w14:textId="77777777" w:rsidR="0037170F" w:rsidRPr="0037170F" w:rsidRDefault="0037170F" w:rsidP="0037170F">
      <w:pPr>
        <w:snapToGrid w:val="0"/>
        <w:contextualSpacing/>
        <w:jc w:val="both"/>
        <w:rPr>
          <w:color w:val="000000" w:themeColor="text1"/>
          <w:sz w:val="28"/>
          <w:szCs w:val="28"/>
          <w:lang w:val="en-US"/>
        </w:rPr>
      </w:pPr>
      <w:r w:rsidRPr="0037170F">
        <w:rPr>
          <w:color w:val="000000" w:themeColor="text1"/>
          <w:sz w:val="28"/>
          <w:szCs w:val="28"/>
          <w:lang w:val="en-US"/>
        </w:rPr>
        <w:tab/>
        <w:t xml:space="preserve">The information on the company's social activity and support projects has been collected from the interview. There are two directions of social activity of the company. The first one is a special account for penalties and fines were accumulated finance from late payment or violation of the terms and payment schedule by customers, which must be directed to the charity. A certain amount of money is added to this account every year, and the company distributes it for charitable purposes. The total sum of accumulated finance from 2017 is about 10 million tenge. According to the company's policy, finance is directed to the approved by Shariah board charity funds, such as Niet and Waqyp. The further using of the transfers company does not track, and the company does not provide targeted social assistance to individuals. </w:t>
      </w:r>
    </w:p>
    <w:p w14:paraId="2AD1ED18" w14:textId="77777777" w:rsidR="0037170F" w:rsidRPr="0037170F" w:rsidRDefault="0037170F" w:rsidP="0037170F">
      <w:pPr>
        <w:snapToGrid w:val="0"/>
        <w:contextualSpacing/>
        <w:jc w:val="both"/>
        <w:rPr>
          <w:color w:val="000000" w:themeColor="text1"/>
          <w:sz w:val="28"/>
          <w:szCs w:val="28"/>
          <w:lang w:val="en-US"/>
        </w:rPr>
      </w:pPr>
      <w:r w:rsidRPr="0037170F">
        <w:rPr>
          <w:color w:val="000000" w:themeColor="text1"/>
          <w:sz w:val="28"/>
          <w:szCs w:val="28"/>
          <w:lang w:val="en-US"/>
        </w:rPr>
        <w:tab/>
        <w:t>The second direction of the social activity is promotion, popularization, and increasing public awareness of Islamic finance and its instruments in the country, through media, internet space, television, and social networks. The company publishes articles about Islamic finance and financial instruments in different famous journals to increase the population's financial literacy. There has been a financed course for parentless students, students from large families interested in Islamic finance, organized at Al-Farabi Kazakh National University.</w:t>
      </w:r>
    </w:p>
    <w:p w14:paraId="52818C4E" w14:textId="77777777" w:rsidR="0037170F" w:rsidRPr="0037170F" w:rsidRDefault="0037170F" w:rsidP="0037170F">
      <w:pPr>
        <w:snapToGrid w:val="0"/>
        <w:contextualSpacing/>
        <w:jc w:val="both"/>
        <w:rPr>
          <w:color w:val="000000" w:themeColor="text1"/>
          <w:sz w:val="28"/>
          <w:szCs w:val="28"/>
          <w:lang w:val="en-US"/>
        </w:rPr>
      </w:pPr>
      <w:r w:rsidRPr="0037170F">
        <w:rPr>
          <w:color w:val="000000" w:themeColor="text1"/>
          <w:sz w:val="28"/>
          <w:szCs w:val="28"/>
          <w:lang w:val="en-US"/>
        </w:rPr>
        <w:tab/>
        <w:t>In addition, Al-Saqr finance actively contributes to recognizing and penetrating Islamic finance at the state programs level. The company was one of the leading developers of the Small and Medium Enterprises financing program within Islamic financial solutions of Damu fund. The company has been developing the program project for 3 years.</w:t>
      </w:r>
    </w:p>
    <w:p w14:paraId="4EF07D54" w14:textId="77777777" w:rsidR="0037170F" w:rsidRPr="0037170F" w:rsidRDefault="0037170F" w:rsidP="0037170F">
      <w:pPr>
        <w:snapToGrid w:val="0"/>
        <w:contextualSpacing/>
        <w:jc w:val="both"/>
        <w:rPr>
          <w:color w:val="000000" w:themeColor="text1"/>
          <w:sz w:val="28"/>
          <w:szCs w:val="28"/>
          <w:lang w:val="en-US"/>
        </w:rPr>
      </w:pPr>
      <w:r w:rsidRPr="0037170F">
        <w:rPr>
          <w:color w:val="000000" w:themeColor="text1"/>
          <w:sz w:val="28"/>
          <w:szCs w:val="28"/>
          <w:lang w:val="en-US"/>
        </w:rPr>
        <w:tab/>
        <w:t xml:space="preserve">There has been the project of online broadcasting Friday sermons of Hazrat Sultan mosque – the central mosque of Nur-Sultan in three languages, Kazakh, Russian, and English. In cooperation with SAMK, this project has been financed from a special account for penalties and fines for two years. The sermons were broadcasted on the website of al-Saqr finance. There is a recorded archive of all broadcasted sermons in three languages available on the company's website. </w:t>
      </w:r>
    </w:p>
    <w:p w14:paraId="306482FB" w14:textId="7B04D60E" w:rsidR="00AF20FA" w:rsidRPr="0037170F" w:rsidRDefault="0037170F" w:rsidP="0037170F">
      <w:pPr>
        <w:snapToGrid w:val="0"/>
        <w:contextualSpacing/>
        <w:jc w:val="both"/>
        <w:rPr>
          <w:color w:val="000000" w:themeColor="text1"/>
          <w:sz w:val="28"/>
          <w:szCs w:val="28"/>
          <w:lang w:val="en-US"/>
        </w:rPr>
      </w:pPr>
      <w:r w:rsidRPr="0037170F">
        <w:rPr>
          <w:color w:val="000000" w:themeColor="text1"/>
          <w:sz w:val="28"/>
          <w:szCs w:val="28"/>
          <w:lang w:val="en-US"/>
        </w:rPr>
        <w:tab/>
        <w:t>There is an indirect effect on the company, these initiatives do not have an economic effect in the form of profit, but the brand awareness increases - the company's awareness increases in the market and outside Kazakhstan, and the brand is associated with Islamic finance by clients, partners and the population. There is another effect of the company's social activity, in the form of potential demand from businesses and individuals for Islamic financial services, which will lead to the rise of supply and growth in the number of participants in the market.</w:t>
      </w:r>
    </w:p>
    <w:p w14:paraId="1E16811C" w14:textId="77777777" w:rsidR="00AF20FA" w:rsidRPr="00D549EE" w:rsidRDefault="00A808AB" w:rsidP="00C9582F">
      <w:pPr>
        <w:snapToGrid w:val="0"/>
        <w:contextualSpacing/>
        <w:jc w:val="both"/>
        <w:rPr>
          <w:b/>
          <w:color w:val="000000" w:themeColor="text1"/>
          <w:sz w:val="28"/>
          <w:szCs w:val="28"/>
          <w:lang w:val="en-US"/>
        </w:rPr>
      </w:pPr>
      <w:r w:rsidRPr="00D549EE">
        <w:rPr>
          <w:b/>
          <w:color w:val="000000" w:themeColor="text1"/>
          <w:sz w:val="28"/>
          <w:szCs w:val="28"/>
          <w:lang w:val="en-US"/>
        </w:rPr>
        <w:tab/>
      </w:r>
    </w:p>
    <w:p w14:paraId="55B1F393" w14:textId="3EC260C1" w:rsidR="00A808AB" w:rsidRPr="00D549EE" w:rsidRDefault="00A808AB" w:rsidP="00C9582F">
      <w:pPr>
        <w:snapToGrid w:val="0"/>
        <w:contextualSpacing/>
        <w:jc w:val="both"/>
        <w:rPr>
          <w:color w:val="000000" w:themeColor="text1"/>
          <w:sz w:val="28"/>
          <w:szCs w:val="28"/>
          <w:lang w:val="en-US"/>
        </w:rPr>
      </w:pPr>
      <w:r w:rsidRPr="00D549EE">
        <w:rPr>
          <w:color w:val="000000" w:themeColor="text1"/>
          <w:sz w:val="28"/>
          <w:szCs w:val="28"/>
          <w:lang w:val="en-US"/>
        </w:rPr>
        <w:t xml:space="preserve">Table </w:t>
      </w:r>
      <w:r w:rsidR="00E926BB" w:rsidRPr="00D549EE">
        <w:rPr>
          <w:color w:val="000000" w:themeColor="text1"/>
          <w:sz w:val="28"/>
          <w:szCs w:val="28"/>
          <w:lang w:val="en-US"/>
        </w:rPr>
        <w:t>4</w:t>
      </w:r>
      <w:r w:rsidR="004E76BC" w:rsidRPr="00D549EE">
        <w:rPr>
          <w:color w:val="000000" w:themeColor="text1"/>
          <w:sz w:val="28"/>
          <w:szCs w:val="28"/>
          <w:lang w:val="en-US"/>
        </w:rPr>
        <w:t>4</w:t>
      </w:r>
      <w:r w:rsidR="00ED1FCF" w:rsidRPr="00D549EE">
        <w:rPr>
          <w:b/>
          <w:color w:val="000000" w:themeColor="text1"/>
          <w:sz w:val="28"/>
          <w:szCs w:val="28"/>
          <w:lang w:val="en-US"/>
        </w:rPr>
        <w:t xml:space="preserve"> </w:t>
      </w:r>
      <w:r w:rsidR="00ED1FCF" w:rsidRPr="00D549EE">
        <w:rPr>
          <w:sz w:val="28"/>
          <w:szCs w:val="28"/>
          <w:lang w:val="en-US"/>
        </w:rPr>
        <w:t>–</w:t>
      </w:r>
      <w:r w:rsidRPr="00D549EE">
        <w:rPr>
          <w:color w:val="000000" w:themeColor="text1"/>
          <w:sz w:val="28"/>
          <w:szCs w:val="28"/>
          <w:lang w:val="en-US"/>
        </w:rPr>
        <w:t xml:space="preserve"> Zakat estimation of Al-Saqr Finance JSC for 2017-201</w:t>
      </w:r>
      <w:r w:rsidR="002B0D27" w:rsidRPr="00D549EE">
        <w:rPr>
          <w:color w:val="000000" w:themeColor="text1"/>
          <w:sz w:val="28"/>
          <w:szCs w:val="28"/>
          <w:lang w:val="en-US"/>
        </w:rPr>
        <w:t>9</w:t>
      </w:r>
      <w:r w:rsidRPr="00D549EE">
        <w:rPr>
          <w:color w:val="000000" w:themeColor="text1"/>
          <w:sz w:val="28"/>
          <w:szCs w:val="28"/>
          <w:lang w:val="en-US"/>
        </w:rPr>
        <w:t xml:space="preserve"> </w:t>
      </w:r>
    </w:p>
    <w:p w14:paraId="26DA4278" w14:textId="77777777" w:rsidR="00A808AB" w:rsidRPr="00D549EE" w:rsidRDefault="00A808AB" w:rsidP="00C9582F">
      <w:pPr>
        <w:snapToGrid w:val="0"/>
        <w:contextualSpacing/>
        <w:jc w:val="both"/>
        <w:rPr>
          <w:color w:val="000000" w:themeColor="text1"/>
          <w:sz w:val="28"/>
          <w:szCs w:val="28"/>
          <w:lang w:val="en-US"/>
        </w:rPr>
      </w:pPr>
    </w:p>
    <w:tbl>
      <w:tblPr>
        <w:tblStyle w:val="a9"/>
        <w:tblW w:w="0" w:type="auto"/>
        <w:tblInd w:w="747" w:type="dxa"/>
        <w:tblLook w:val="04A0" w:firstRow="1" w:lastRow="0" w:firstColumn="1" w:lastColumn="0" w:noHBand="0" w:noVBand="1"/>
      </w:tblPr>
      <w:tblGrid>
        <w:gridCol w:w="2633"/>
        <w:gridCol w:w="1341"/>
        <w:gridCol w:w="1230"/>
        <w:gridCol w:w="1779"/>
      </w:tblGrid>
      <w:tr w:rsidR="003F3EFA" w:rsidRPr="00D549EE" w14:paraId="4E680C5C" w14:textId="77777777" w:rsidTr="003F3EFA">
        <w:tc>
          <w:tcPr>
            <w:tcW w:w="0" w:type="auto"/>
          </w:tcPr>
          <w:p w14:paraId="1E34B6EF" w14:textId="77777777" w:rsidR="003F3EFA" w:rsidRPr="00D549EE" w:rsidRDefault="003F3EFA" w:rsidP="00C9582F">
            <w:pPr>
              <w:snapToGrid w:val="0"/>
              <w:contextualSpacing/>
              <w:rPr>
                <w:color w:val="000000" w:themeColor="text1"/>
                <w:lang w:val="en-US"/>
              </w:rPr>
            </w:pPr>
            <w:r w:rsidRPr="00D549EE">
              <w:rPr>
                <w:color w:val="000000" w:themeColor="text1"/>
                <w:lang w:val="en-US"/>
              </w:rPr>
              <w:t>Year</w:t>
            </w:r>
          </w:p>
        </w:tc>
        <w:tc>
          <w:tcPr>
            <w:tcW w:w="1282" w:type="dxa"/>
          </w:tcPr>
          <w:p w14:paraId="675AB149" w14:textId="77777777" w:rsidR="003F3EFA" w:rsidRPr="00D549EE" w:rsidRDefault="003F3EFA" w:rsidP="00C9582F">
            <w:pPr>
              <w:snapToGrid w:val="0"/>
              <w:contextualSpacing/>
              <w:rPr>
                <w:color w:val="000000" w:themeColor="text1"/>
                <w:lang w:val="en-US"/>
              </w:rPr>
            </w:pPr>
            <w:r w:rsidRPr="00D549EE">
              <w:rPr>
                <w:color w:val="000000" w:themeColor="text1"/>
                <w:lang w:val="en-US"/>
              </w:rPr>
              <w:t>2017</w:t>
            </w:r>
          </w:p>
        </w:tc>
        <w:tc>
          <w:tcPr>
            <w:tcW w:w="1176" w:type="dxa"/>
          </w:tcPr>
          <w:p w14:paraId="1D501BC8" w14:textId="77777777" w:rsidR="003F3EFA" w:rsidRPr="00D549EE" w:rsidRDefault="003F3EFA" w:rsidP="00C9582F">
            <w:pPr>
              <w:snapToGrid w:val="0"/>
              <w:contextualSpacing/>
              <w:rPr>
                <w:color w:val="000000" w:themeColor="text1"/>
                <w:lang w:val="en-US"/>
              </w:rPr>
            </w:pPr>
            <w:r w:rsidRPr="00D549EE">
              <w:rPr>
                <w:color w:val="000000" w:themeColor="text1"/>
                <w:lang w:val="en-US"/>
              </w:rPr>
              <w:t>2018</w:t>
            </w:r>
          </w:p>
        </w:tc>
        <w:tc>
          <w:tcPr>
            <w:tcW w:w="1701" w:type="dxa"/>
          </w:tcPr>
          <w:p w14:paraId="25468E77" w14:textId="77777777" w:rsidR="003F3EFA" w:rsidRPr="00D549EE" w:rsidRDefault="003F3EFA" w:rsidP="00C9582F">
            <w:pPr>
              <w:snapToGrid w:val="0"/>
              <w:contextualSpacing/>
              <w:rPr>
                <w:color w:val="000000" w:themeColor="text1"/>
                <w:lang w:val="en-US"/>
              </w:rPr>
            </w:pPr>
            <w:r w:rsidRPr="00D549EE">
              <w:rPr>
                <w:color w:val="000000" w:themeColor="text1"/>
                <w:lang w:val="en-US"/>
              </w:rPr>
              <w:t>2019</w:t>
            </w:r>
          </w:p>
        </w:tc>
      </w:tr>
      <w:tr w:rsidR="003F3EFA" w:rsidRPr="00D549EE" w14:paraId="7CA91591" w14:textId="77777777" w:rsidTr="003F3EFA">
        <w:tc>
          <w:tcPr>
            <w:tcW w:w="0" w:type="auto"/>
          </w:tcPr>
          <w:p w14:paraId="08AF0795" w14:textId="77777777" w:rsidR="003F3EFA" w:rsidRPr="00D549EE" w:rsidRDefault="003F3EFA" w:rsidP="00C9582F">
            <w:pPr>
              <w:snapToGrid w:val="0"/>
              <w:contextualSpacing/>
              <w:rPr>
                <w:color w:val="000000" w:themeColor="text1"/>
                <w:lang w:val="en-US"/>
              </w:rPr>
            </w:pPr>
            <w:r w:rsidRPr="00D549EE">
              <w:rPr>
                <w:color w:val="000000" w:themeColor="text1"/>
                <w:lang w:val="en-US"/>
              </w:rPr>
              <w:t>Profit in thousand tenge</w:t>
            </w:r>
          </w:p>
          <w:p w14:paraId="3DC290A8" w14:textId="77777777" w:rsidR="003F3EFA" w:rsidRPr="00D549EE" w:rsidRDefault="003F3EFA" w:rsidP="00C9582F">
            <w:pPr>
              <w:snapToGrid w:val="0"/>
              <w:contextualSpacing/>
              <w:rPr>
                <w:color w:val="000000" w:themeColor="text1"/>
                <w:lang w:val="en-US"/>
              </w:rPr>
            </w:pPr>
          </w:p>
        </w:tc>
        <w:tc>
          <w:tcPr>
            <w:tcW w:w="1282" w:type="dxa"/>
          </w:tcPr>
          <w:p w14:paraId="6C345957" w14:textId="3F876064" w:rsidR="003F3EFA" w:rsidRPr="00D549EE" w:rsidRDefault="003F3EFA" w:rsidP="00C9582F">
            <w:pPr>
              <w:snapToGrid w:val="0"/>
              <w:contextualSpacing/>
              <w:rPr>
                <w:color w:val="000000" w:themeColor="text1"/>
                <w:lang w:val="en-US"/>
              </w:rPr>
            </w:pPr>
            <w:r w:rsidRPr="00D549EE">
              <w:rPr>
                <w:color w:val="000000"/>
                <w:lang w:val="en-US"/>
              </w:rPr>
              <w:t>731 655</w:t>
            </w:r>
          </w:p>
        </w:tc>
        <w:tc>
          <w:tcPr>
            <w:tcW w:w="1176" w:type="dxa"/>
          </w:tcPr>
          <w:p w14:paraId="2F54566B" w14:textId="699F442A" w:rsidR="003F3EFA" w:rsidRPr="00D549EE" w:rsidRDefault="003F3EFA" w:rsidP="00C9582F">
            <w:pPr>
              <w:snapToGrid w:val="0"/>
              <w:contextualSpacing/>
              <w:rPr>
                <w:color w:val="000000" w:themeColor="text1"/>
                <w:lang w:val="en-US"/>
              </w:rPr>
            </w:pPr>
            <w:r w:rsidRPr="00D549EE">
              <w:rPr>
                <w:color w:val="000000"/>
                <w:lang w:val="en-US"/>
              </w:rPr>
              <w:t>848 862</w:t>
            </w:r>
          </w:p>
        </w:tc>
        <w:tc>
          <w:tcPr>
            <w:tcW w:w="1701" w:type="dxa"/>
          </w:tcPr>
          <w:p w14:paraId="51840B6E" w14:textId="597C1B19" w:rsidR="003F3EFA" w:rsidRPr="00D549EE" w:rsidRDefault="008361EC" w:rsidP="00C9582F">
            <w:pPr>
              <w:snapToGrid w:val="0"/>
              <w:contextualSpacing/>
              <w:rPr>
                <w:color w:val="000000" w:themeColor="text1"/>
                <w:lang w:val="en-US"/>
              </w:rPr>
            </w:pPr>
            <w:r w:rsidRPr="00D549EE">
              <w:rPr>
                <w:color w:val="000000" w:themeColor="text1"/>
                <w:lang w:val="en-US"/>
              </w:rPr>
              <w:t>141 248</w:t>
            </w:r>
          </w:p>
        </w:tc>
      </w:tr>
      <w:tr w:rsidR="003F3EFA" w:rsidRPr="00D549EE" w14:paraId="0AD0877C" w14:textId="77777777" w:rsidTr="003F3EFA">
        <w:tc>
          <w:tcPr>
            <w:tcW w:w="0" w:type="auto"/>
          </w:tcPr>
          <w:p w14:paraId="7DAD507D" w14:textId="7D6AD595" w:rsidR="003F3EFA" w:rsidRPr="00D549EE" w:rsidRDefault="003F3EFA" w:rsidP="00C9582F">
            <w:pPr>
              <w:snapToGrid w:val="0"/>
              <w:contextualSpacing/>
              <w:rPr>
                <w:color w:val="000000" w:themeColor="text1"/>
                <w:lang w:val="en-US"/>
              </w:rPr>
            </w:pPr>
            <w:r w:rsidRPr="00D549EE">
              <w:rPr>
                <w:color w:val="000000" w:themeColor="text1"/>
                <w:lang w:val="en-US"/>
              </w:rPr>
              <w:t>Zakat in thousand tenge</w:t>
            </w:r>
          </w:p>
          <w:p w14:paraId="7CF5C311" w14:textId="77777777" w:rsidR="003F3EFA" w:rsidRPr="00D549EE" w:rsidRDefault="003F3EFA" w:rsidP="00C9582F">
            <w:pPr>
              <w:snapToGrid w:val="0"/>
              <w:contextualSpacing/>
              <w:rPr>
                <w:color w:val="000000" w:themeColor="text1"/>
                <w:lang w:val="en-US"/>
              </w:rPr>
            </w:pPr>
          </w:p>
        </w:tc>
        <w:tc>
          <w:tcPr>
            <w:tcW w:w="1282" w:type="dxa"/>
          </w:tcPr>
          <w:p w14:paraId="7B496686" w14:textId="7BD0CA72" w:rsidR="003F3EFA" w:rsidRPr="00D549EE" w:rsidRDefault="003F3EFA" w:rsidP="00C9582F">
            <w:pPr>
              <w:snapToGrid w:val="0"/>
              <w:contextualSpacing/>
              <w:rPr>
                <w:color w:val="000000" w:themeColor="text1"/>
                <w:lang w:val="en-US"/>
              </w:rPr>
            </w:pPr>
            <w:r w:rsidRPr="00D549EE">
              <w:rPr>
                <w:color w:val="000000" w:themeColor="text1"/>
                <w:lang w:val="en-US"/>
              </w:rPr>
              <w:t>18 291.4</w:t>
            </w:r>
          </w:p>
        </w:tc>
        <w:tc>
          <w:tcPr>
            <w:tcW w:w="1176" w:type="dxa"/>
          </w:tcPr>
          <w:p w14:paraId="49EF0C8E" w14:textId="43358519" w:rsidR="003F3EFA" w:rsidRPr="00D549EE" w:rsidRDefault="003F3EFA" w:rsidP="00C9582F">
            <w:pPr>
              <w:snapToGrid w:val="0"/>
              <w:contextualSpacing/>
              <w:rPr>
                <w:color w:val="000000" w:themeColor="text1"/>
                <w:lang w:val="en-US"/>
              </w:rPr>
            </w:pPr>
            <w:r w:rsidRPr="00D549EE">
              <w:rPr>
                <w:color w:val="000000" w:themeColor="text1"/>
                <w:lang w:val="en-US"/>
              </w:rPr>
              <w:t>21 221.6</w:t>
            </w:r>
          </w:p>
        </w:tc>
        <w:tc>
          <w:tcPr>
            <w:tcW w:w="1701" w:type="dxa"/>
          </w:tcPr>
          <w:p w14:paraId="72C17062" w14:textId="05F929DB" w:rsidR="003F3EFA" w:rsidRPr="00D549EE" w:rsidRDefault="008361EC" w:rsidP="00C9582F">
            <w:pPr>
              <w:snapToGrid w:val="0"/>
              <w:contextualSpacing/>
              <w:rPr>
                <w:color w:val="000000" w:themeColor="text1"/>
                <w:lang w:val="en-US"/>
              </w:rPr>
            </w:pPr>
            <w:r w:rsidRPr="00D549EE">
              <w:rPr>
                <w:color w:val="000000" w:themeColor="text1"/>
                <w:lang w:val="en-US"/>
              </w:rPr>
              <w:t>3 531.2</w:t>
            </w:r>
          </w:p>
        </w:tc>
      </w:tr>
      <w:tr w:rsidR="003F3EFA" w:rsidRPr="00FC685D" w14:paraId="3F8E23F9" w14:textId="77777777" w:rsidTr="00661D34">
        <w:tc>
          <w:tcPr>
            <w:tcW w:w="6983" w:type="dxa"/>
            <w:gridSpan w:val="4"/>
          </w:tcPr>
          <w:p w14:paraId="0A9CE1C6" w14:textId="2597DBDF" w:rsidR="003F3EFA" w:rsidRPr="00D549EE" w:rsidRDefault="00E926BB" w:rsidP="00C9582F">
            <w:pPr>
              <w:snapToGrid w:val="0"/>
              <w:contextualSpacing/>
              <w:rPr>
                <w:color w:val="000000" w:themeColor="text1"/>
                <w:lang w:val="en-US"/>
              </w:rPr>
            </w:pPr>
            <w:r w:rsidRPr="00D549EE">
              <w:rPr>
                <w:color w:val="000000" w:themeColor="text1"/>
                <w:lang w:val="en-US"/>
              </w:rPr>
              <w:t xml:space="preserve">      </w:t>
            </w:r>
            <w:r w:rsidR="00ED1FCF" w:rsidRPr="00D549EE">
              <w:rPr>
                <w:color w:val="000000" w:themeColor="text1"/>
                <w:lang w:val="en-US"/>
              </w:rPr>
              <w:t xml:space="preserve">Note </w:t>
            </w:r>
            <w:r w:rsidR="00ED1FCF" w:rsidRPr="00D549EE">
              <w:rPr>
                <w:lang w:val="en-US"/>
              </w:rPr>
              <w:t>–</w:t>
            </w:r>
            <w:r w:rsidR="00ED1FCF" w:rsidRPr="00D549EE">
              <w:rPr>
                <w:sz w:val="28"/>
                <w:szCs w:val="28"/>
                <w:lang w:val="en-US"/>
              </w:rPr>
              <w:t xml:space="preserve"> </w:t>
            </w:r>
            <w:r w:rsidR="00A83D1A" w:rsidRPr="00D549EE">
              <w:rPr>
                <w:color w:val="000000" w:themeColor="text1"/>
                <w:lang w:val="en-US"/>
              </w:rPr>
              <w:t>Compiled and estimated by the author</w:t>
            </w:r>
          </w:p>
        </w:tc>
      </w:tr>
    </w:tbl>
    <w:p w14:paraId="45A7E967" w14:textId="77777777" w:rsidR="00A808AB" w:rsidRPr="00D549EE" w:rsidRDefault="00A808AB" w:rsidP="00C9582F">
      <w:pPr>
        <w:snapToGrid w:val="0"/>
        <w:contextualSpacing/>
        <w:jc w:val="both"/>
        <w:rPr>
          <w:color w:val="000000" w:themeColor="text1"/>
          <w:sz w:val="28"/>
          <w:szCs w:val="28"/>
          <w:lang w:val="en-US"/>
        </w:rPr>
      </w:pPr>
    </w:p>
    <w:p w14:paraId="51825BBD" w14:textId="339BA40A" w:rsidR="00576B15" w:rsidRPr="00D549EE" w:rsidRDefault="0037229B" w:rsidP="00C9582F">
      <w:pPr>
        <w:snapToGrid w:val="0"/>
        <w:contextualSpacing/>
        <w:jc w:val="both"/>
        <w:rPr>
          <w:color w:val="000000" w:themeColor="text1"/>
          <w:sz w:val="28"/>
          <w:szCs w:val="28"/>
          <w:lang w:val="en-US"/>
        </w:rPr>
      </w:pPr>
      <w:r w:rsidRPr="00D549EE">
        <w:rPr>
          <w:b/>
          <w:color w:val="000000" w:themeColor="text1"/>
          <w:sz w:val="28"/>
          <w:szCs w:val="28"/>
          <w:lang w:val="en-US"/>
        </w:rPr>
        <w:tab/>
      </w:r>
      <w:r w:rsidR="00020972" w:rsidRPr="00020972">
        <w:rPr>
          <w:color w:val="000000" w:themeColor="text1"/>
          <w:sz w:val="28"/>
          <w:szCs w:val="28"/>
          <w:lang w:val="en-US"/>
        </w:rPr>
        <w:t>Zakat amount of al-Saqr Finance is more than of Islamic Bank Zaman for 2017 and 2018, but if we compare their assets, the assets of Zaman Bank are four times more than Al-Saqr's financial assets. It means that the medium-sized Islamic financial institution can bring financing to the social area of the country.</w:t>
      </w:r>
    </w:p>
    <w:p w14:paraId="5CA50E0E" w14:textId="77777777" w:rsidR="003F139C" w:rsidRPr="003F139C" w:rsidRDefault="00E926BB" w:rsidP="003F139C">
      <w:pPr>
        <w:snapToGrid w:val="0"/>
        <w:contextualSpacing/>
        <w:jc w:val="both"/>
        <w:rPr>
          <w:iCs/>
          <w:color w:val="000000" w:themeColor="text1"/>
          <w:sz w:val="28"/>
          <w:szCs w:val="28"/>
          <w:lang w:val="en-US"/>
        </w:rPr>
      </w:pPr>
      <w:r w:rsidRPr="00D549EE">
        <w:rPr>
          <w:color w:val="000000" w:themeColor="text1"/>
          <w:sz w:val="28"/>
          <w:szCs w:val="28"/>
          <w:lang w:val="en-US"/>
        </w:rPr>
        <w:tab/>
      </w:r>
      <w:r w:rsidR="003F139C" w:rsidRPr="003F139C">
        <w:rPr>
          <w:i/>
          <w:color w:val="000000" w:themeColor="text1"/>
          <w:sz w:val="28"/>
          <w:szCs w:val="28"/>
          <w:lang w:val="en-US"/>
        </w:rPr>
        <w:t xml:space="preserve">Astana International Financial Centre. </w:t>
      </w:r>
      <w:r w:rsidR="003F139C" w:rsidRPr="003F139C">
        <w:rPr>
          <w:iCs/>
          <w:color w:val="000000" w:themeColor="text1"/>
          <w:sz w:val="28"/>
          <w:szCs w:val="28"/>
          <w:lang w:val="en-US"/>
        </w:rPr>
        <w:t xml:space="preserve">Astana International Financial Centre (AIFC) was established in 2018 by the first President of Kazakhstan as the unique hub of the financial world for providing the best practices and opportunities offered by financial institutions and organizations across the globe. In the Global Financial Centres Index 2019 (GFCI 25) for Eastern Europe and Central Asia, the capital of Kazakhstan is in 51st place of 102. From the year of establishing the AIFC, this index climbed by 37 positions. The top 5 include London, New York, Hong Kong, Singapore, and Tokyo. </w:t>
      </w:r>
    </w:p>
    <w:p w14:paraId="43190853" w14:textId="77777777" w:rsidR="003F139C" w:rsidRPr="003F139C" w:rsidRDefault="003F139C" w:rsidP="003F139C">
      <w:pPr>
        <w:snapToGrid w:val="0"/>
        <w:contextualSpacing/>
        <w:jc w:val="both"/>
        <w:rPr>
          <w:iCs/>
          <w:color w:val="000000" w:themeColor="text1"/>
          <w:sz w:val="28"/>
          <w:szCs w:val="28"/>
          <w:lang w:val="en-US"/>
        </w:rPr>
      </w:pPr>
      <w:r w:rsidRPr="003F139C">
        <w:rPr>
          <w:iCs/>
          <w:color w:val="000000" w:themeColor="text1"/>
          <w:sz w:val="28"/>
          <w:szCs w:val="28"/>
          <w:lang w:val="en-US"/>
        </w:rPr>
        <w:tab/>
        <w:t xml:space="preserve">There are six pillars of the AIFC: Capital markets, Wealth Management, Asset Management, Islamic finance, Green finance, and Financial technology. The primary purpose of Islamic Finance is to be the hub in the Central Asian region and provide all capacities and conditions for the concentration of international Islamic financial services providers in the country. Kazakhstan is an attractive platform for developing Islamic Finance in the region. AIFC, in close cooperation with the Islamic Development Bank (IsDB) and the Asian Development Bank ADB), is working to create a favorable legal and regulatory framework. For achieving the purpose, the AIFC is working on the Development Master Plan of Islamic Finance by involving the consulting companies from Malaysia with reach experience and background. The Advisory Council of Islamic Finance and the Central Shariah Advisory Board were established to promote the AIFC as a regional hub of Islamic Finance, the members of which are international experts in Islamic Finance. The AIFC has formed a fully-fledged market for Islamic Finance, as the conditions for Islamic securities issue on the Astana International Exchange. The requirements for operating and activity of Islamic financial institutions in the AIFC are more beneficial than in the country in general. </w:t>
      </w:r>
    </w:p>
    <w:p w14:paraId="32613ECE" w14:textId="77777777" w:rsidR="003F139C" w:rsidRPr="003F139C" w:rsidRDefault="003F139C" w:rsidP="003F139C">
      <w:pPr>
        <w:snapToGrid w:val="0"/>
        <w:contextualSpacing/>
        <w:jc w:val="both"/>
        <w:rPr>
          <w:iCs/>
          <w:color w:val="000000" w:themeColor="text1"/>
          <w:sz w:val="28"/>
          <w:szCs w:val="28"/>
          <w:lang w:val="en-US"/>
        </w:rPr>
      </w:pPr>
      <w:r w:rsidRPr="003F139C">
        <w:rPr>
          <w:iCs/>
          <w:color w:val="000000" w:themeColor="text1"/>
          <w:sz w:val="28"/>
          <w:szCs w:val="28"/>
          <w:lang w:val="en-US"/>
        </w:rPr>
        <w:tab/>
        <w:t xml:space="preserve">For Islamic banking services and, insurance and reinsurance companies, investment management services, there is a tax exemption from Corporate Income Tax for 50 years, 20% of the profit of the Islamic financial institutions' activity. </w:t>
      </w:r>
    </w:p>
    <w:p w14:paraId="57B338D4" w14:textId="77777777" w:rsidR="003F139C" w:rsidRPr="003F139C" w:rsidRDefault="003F139C" w:rsidP="003F139C">
      <w:pPr>
        <w:snapToGrid w:val="0"/>
        <w:contextualSpacing/>
        <w:jc w:val="both"/>
        <w:rPr>
          <w:iCs/>
          <w:color w:val="000000" w:themeColor="text1"/>
          <w:sz w:val="28"/>
          <w:szCs w:val="28"/>
          <w:lang w:val="en-US"/>
        </w:rPr>
      </w:pPr>
      <w:r w:rsidRPr="003F139C">
        <w:rPr>
          <w:iCs/>
          <w:color w:val="000000" w:themeColor="text1"/>
          <w:sz w:val="28"/>
          <w:szCs w:val="28"/>
          <w:lang w:val="en-US"/>
        </w:rPr>
        <w:tab/>
        <w:t xml:space="preserve">Institutions provided the financial and the ancillary services registered in the AIFC are exempted from property and land taxes on facilities in the AIFC territory. Furthermore, the foreign employees of the AIFC participants are exempted from individual income tax under an employment contract. </w:t>
      </w:r>
    </w:p>
    <w:p w14:paraId="11980E9C" w14:textId="77777777" w:rsidR="003F139C" w:rsidRPr="003F139C" w:rsidRDefault="003F139C" w:rsidP="003F139C">
      <w:pPr>
        <w:snapToGrid w:val="0"/>
        <w:contextualSpacing/>
        <w:jc w:val="both"/>
        <w:rPr>
          <w:iCs/>
          <w:color w:val="000000" w:themeColor="text1"/>
          <w:sz w:val="28"/>
          <w:szCs w:val="28"/>
          <w:lang w:val="en-US"/>
        </w:rPr>
      </w:pPr>
      <w:r w:rsidRPr="003F139C">
        <w:rPr>
          <w:iCs/>
          <w:color w:val="000000" w:themeColor="text1"/>
          <w:sz w:val="28"/>
          <w:szCs w:val="28"/>
          <w:lang w:val="en-US"/>
        </w:rPr>
        <w:tab/>
        <w:t xml:space="preserve">For the Islamic banking organizations, the AIFC develops special rules, Islamic Finance rules, and Islamic Banking Business Prudential rules, based on the standards issued by Islamic Financial Services Board (IFSB) – the international standard-setting organization, the Basel accords, and the Basel core principles for effective Banking Supervision issued by the Basel Committee. The capital requirements for the Islamic Banks at the AIFC is 10 million US dollars, which was reduced to 5 million US dollars from 2020 to 1 November 2023. The capital requirement for banks in the country, including Islamic banks, is more than 30 million US dollars. </w:t>
      </w:r>
    </w:p>
    <w:p w14:paraId="1175383D" w14:textId="77777777" w:rsidR="003F139C" w:rsidRPr="003F139C" w:rsidRDefault="003F139C" w:rsidP="003F139C">
      <w:pPr>
        <w:snapToGrid w:val="0"/>
        <w:contextualSpacing/>
        <w:jc w:val="both"/>
        <w:rPr>
          <w:iCs/>
          <w:color w:val="000000" w:themeColor="text1"/>
          <w:sz w:val="28"/>
          <w:szCs w:val="28"/>
          <w:lang w:val="en-US"/>
        </w:rPr>
      </w:pPr>
      <w:r w:rsidRPr="003F139C">
        <w:rPr>
          <w:iCs/>
          <w:color w:val="000000" w:themeColor="text1"/>
          <w:sz w:val="28"/>
          <w:szCs w:val="28"/>
          <w:lang w:val="en-US"/>
        </w:rPr>
        <w:tab/>
        <w:t>During the research, the interview with the manager of the AIFC Islamic finance and business Hub – Interviewer 4, to analyze the role and activity of the AIFC in Islamic social finance. The AIFC is the state organization, and the goal carries the social component, that is, Islamic Finance Development in the country. The functions of the Islamic finance hub are directed to the creation of the conditions for attracting participants of Islamic financial industries, the financial, consulting, and ancillary companies, to the development and improvement of the legislative framework in the AIFC and the country, to consultation future participants and issuers, to assistance for registration in the AIFC.</w:t>
      </w:r>
    </w:p>
    <w:p w14:paraId="58FB2D29" w14:textId="77777777" w:rsidR="003F139C" w:rsidRPr="003F139C" w:rsidRDefault="003F139C" w:rsidP="003F139C">
      <w:pPr>
        <w:snapToGrid w:val="0"/>
        <w:contextualSpacing/>
        <w:jc w:val="both"/>
        <w:rPr>
          <w:iCs/>
          <w:color w:val="000000" w:themeColor="text1"/>
          <w:sz w:val="28"/>
          <w:szCs w:val="28"/>
          <w:lang w:val="en-US"/>
        </w:rPr>
      </w:pPr>
      <w:r w:rsidRPr="003F139C">
        <w:rPr>
          <w:iCs/>
          <w:color w:val="000000" w:themeColor="text1"/>
          <w:sz w:val="28"/>
          <w:szCs w:val="28"/>
          <w:lang w:val="en-US"/>
        </w:rPr>
        <w:tab/>
        <w:t xml:space="preserve">There are 35 registered participants in the AIFC as Islamic organizations, including the financial and non-financial companies. Among non-financial registered organizations consulting companies, law firms, IT companies and non-profit organizations, and educational organizations work in Islamic Finance. There are non-profit organizations such as Waqyp fund, licensed as invest company for attracting Islamic funding, Islamic social company, and Hadj investment. These companies carry out their activities in social finance. </w:t>
      </w:r>
    </w:p>
    <w:p w14:paraId="78788F79" w14:textId="27C1A477" w:rsidR="008927A9" w:rsidRPr="003F139C" w:rsidRDefault="003F139C" w:rsidP="003F139C">
      <w:pPr>
        <w:snapToGrid w:val="0"/>
        <w:contextualSpacing/>
        <w:jc w:val="both"/>
        <w:rPr>
          <w:iCs/>
          <w:color w:val="000000" w:themeColor="text1"/>
          <w:sz w:val="28"/>
          <w:szCs w:val="28"/>
          <w:lang w:val="en-US"/>
        </w:rPr>
      </w:pPr>
      <w:r w:rsidRPr="003F139C">
        <w:rPr>
          <w:iCs/>
          <w:color w:val="000000" w:themeColor="text1"/>
          <w:sz w:val="28"/>
          <w:szCs w:val="28"/>
          <w:lang w:val="en-US"/>
        </w:rPr>
        <w:t xml:space="preserve"> </w:t>
      </w:r>
      <w:r w:rsidRPr="003F139C">
        <w:rPr>
          <w:iCs/>
          <w:color w:val="000000" w:themeColor="text1"/>
          <w:sz w:val="28"/>
          <w:szCs w:val="28"/>
          <w:lang w:val="en-US"/>
        </w:rPr>
        <w:tab/>
        <w:t xml:space="preserve">One more direction of the AIFC social activity is increasing the population's financial literacy and growth of public awareness of Islamic Finance. There are projects within the technical grants of the Asian Development Bank for capacity-building training and educational programs. Unfortunately, the educational programs provided in cooperation with Malaysian, British, and other international universities and institutions were organized in English, and the number of participants was narrowed due to the language barrier. The role of the Bureau for Continuing Professional Development (BCPD) of the AIFC in Islamic finance education is valuable, as Bureau has the Islamic Finance Qualification program of the Chartered Institute for Securities and Investment. This program allows to take an international qualification certificate in Islamic Finance, and there are about 50 attendees of the program for two years. In addition, the Bureau cooperates with the Universities of Kazakhstan and other countries to provide the best education in Islamic Finance.  </w:t>
      </w:r>
    </w:p>
    <w:p w14:paraId="4ACF2B18" w14:textId="77777777" w:rsidR="003F139C" w:rsidRPr="00D549EE" w:rsidRDefault="003F139C" w:rsidP="003F139C">
      <w:pPr>
        <w:snapToGrid w:val="0"/>
        <w:contextualSpacing/>
        <w:jc w:val="both"/>
        <w:rPr>
          <w:sz w:val="28"/>
          <w:szCs w:val="28"/>
          <w:lang w:val="en-US"/>
        </w:rPr>
      </w:pPr>
    </w:p>
    <w:p w14:paraId="47C8EE19" w14:textId="2D9169AE" w:rsidR="008927A9" w:rsidRPr="00D549EE" w:rsidRDefault="008927A9" w:rsidP="00C9582F">
      <w:pPr>
        <w:snapToGrid w:val="0"/>
        <w:contextualSpacing/>
        <w:jc w:val="both"/>
        <w:rPr>
          <w:color w:val="000000" w:themeColor="text1"/>
          <w:sz w:val="28"/>
          <w:szCs w:val="28"/>
          <w:lang w:val="en-US"/>
        </w:rPr>
      </w:pPr>
      <w:r w:rsidRPr="00D549EE">
        <w:rPr>
          <w:color w:val="000000" w:themeColor="text1"/>
          <w:sz w:val="28"/>
          <w:szCs w:val="28"/>
          <w:lang w:val="en-US"/>
        </w:rPr>
        <w:t xml:space="preserve">Table </w:t>
      </w:r>
      <w:r w:rsidR="00E65FF6" w:rsidRPr="00D549EE">
        <w:rPr>
          <w:color w:val="000000" w:themeColor="text1"/>
          <w:sz w:val="28"/>
          <w:szCs w:val="28"/>
          <w:lang w:val="en-US"/>
        </w:rPr>
        <w:t>4</w:t>
      </w:r>
      <w:r w:rsidR="00E926BB" w:rsidRPr="00D549EE">
        <w:rPr>
          <w:color w:val="000000" w:themeColor="text1"/>
          <w:sz w:val="28"/>
          <w:szCs w:val="28"/>
          <w:lang w:val="en-US"/>
        </w:rPr>
        <w:t>5</w:t>
      </w:r>
      <w:r w:rsidRPr="00D549EE">
        <w:rPr>
          <w:b/>
          <w:color w:val="000000" w:themeColor="text1"/>
          <w:sz w:val="28"/>
          <w:szCs w:val="28"/>
          <w:lang w:val="en-US"/>
        </w:rPr>
        <w:t xml:space="preserve"> </w:t>
      </w:r>
      <w:r w:rsidRPr="00D549EE">
        <w:rPr>
          <w:sz w:val="28"/>
          <w:szCs w:val="28"/>
          <w:lang w:val="en-US"/>
        </w:rPr>
        <w:t>–</w:t>
      </w:r>
      <w:r w:rsidRPr="00D549EE">
        <w:rPr>
          <w:color w:val="000000" w:themeColor="text1"/>
          <w:sz w:val="28"/>
          <w:szCs w:val="28"/>
          <w:lang w:val="en-US"/>
        </w:rPr>
        <w:t xml:space="preserve"> Potential total Islamic assets and potential zakat collection from Islamic financial institutions</w:t>
      </w:r>
    </w:p>
    <w:p w14:paraId="2C5D3E03" w14:textId="77777777" w:rsidR="008927A9" w:rsidRPr="00D549EE" w:rsidRDefault="008927A9" w:rsidP="00C9582F">
      <w:pPr>
        <w:snapToGrid w:val="0"/>
        <w:contextualSpacing/>
        <w:jc w:val="both"/>
        <w:rPr>
          <w:b/>
          <w:color w:val="000000" w:themeColor="text1"/>
          <w:sz w:val="28"/>
          <w:szCs w:val="28"/>
          <w:lang w:val="en-US"/>
        </w:rPr>
      </w:pPr>
    </w:p>
    <w:tbl>
      <w:tblPr>
        <w:tblStyle w:val="a9"/>
        <w:tblW w:w="0" w:type="auto"/>
        <w:tblLook w:val="04A0" w:firstRow="1" w:lastRow="0" w:firstColumn="1" w:lastColumn="0" w:noHBand="0" w:noVBand="1"/>
      </w:tblPr>
      <w:tblGrid>
        <w:gridCol w:w="4106"/>
        <w:gridCol w:w="1701"/>
        <w:gridCol w:w="1701"/>
        <w:gridCol w:w="1985"/>
      </w:tblGrid>
      <w:tr w:rsidR="008927A9" w:rsidRPr="00D549EE" w14:paraId="07B97791" w14:textId="77777777" w:rsidTr="00945CC0">
        <w:tc>
          <w:tcPr>
            <w:tcW w:w="4106" w:type="dxa"/>
          </w:tcPr>
          <w:p w14:paraId="784741C6" w14:textId="22E75E96" w:rsidR="008927A9" w:rsidRPr="00D549EE" w:rsidRDefault="008927A9" w:rsidP="00C9582F">
            <w:pPr>
              <w:snapToGrid w:val="0"/>
              <w:contextualSpacing/>
              <w:rPr>
                <w:color w:val="000000" w:themeColor="text1"/>
                <w:lang w:val="en-US"/>
              </w:rPr>
            </w:pPr>
            <w:r w:rsidRPr="00D549EE">
              <w:rPr>
                <w:color w:val="000000" w:themeColor="text1"/>
                <w:lang w:val="en-US"/>
              </w:rPr>
              <w:t>Year</w:t>
            </w:r>
          </w:p>
        </w:tc>
        <w:tc>
          <w:tcPr>
            <w:tcW w:w="1701" w:type="dxa"/>
          </w:tcPr>
          <w:p w14:paraId="60B34A54" w14:textId="60E5C99E" w:rsidR="008927A9" w:rsidRPr="00D549EE" w:rsidRDefault="008927A9" w:rsidP="00C9582F">
            <w:pPr>
              <w:snapToGrid w:val="0"/>
              <w:contextualSpacing/>
              <w:rPr>
                <w:color w:val="000000" w:themeColor="text1"/>
                <w:lang w:val="en-US"/>
              </w:rPr>
            </w:pPr>
            <w:r w:rsidRPr="00D549EE">
              <w:rPr>
                <w:color w:val="000000" w:themeColor="text1"/>
                <w:lang w:val="en-US"/>
              </w:rPr>
              <w:t>2018</w:t>
            </w:r>
          </w:p>
        </w:tc>
        <w:tc>
          <w:tcPr>
            <w:tcW w:w="1701" w:type="dxa"/>
          </w:tcPr>
          <w:p w14:paraId="59376D07" w14:textId="789118C0" w:rsidR="008927A9" w:rsidRPr="00D549EE" w:rsidRDefault="008927A9" w:rsidP="00C9582F">
            <w:pPr>
              <w:snapToGrid w:val="0"/>
              <w:contextualSpacing/>
              <w:rPr>
                <w:color w:val="000000" w:themeColor="text1"/>
                <w:lang w:val="en-US"/>
              </w:rPr>
            </w:pPr>
            <w:r w:rsidRPr="00D549EE">
              <w:rPr>
                <w:color w:val="000000" w:themeColor="text1"/>
                <w:lang w:val="en-US"/>
              </w:rPr>
              <w:t>2019</w:t>
            </w:r>
          </w:p>
        </w:tc>
        <w:tc>
          <w:tcPr>
            <w:tcW w:w="1985" w:type="dxa"/>
          </w:tcPr>
          <w:p w14:paraId="3E5E90B1" w14:textId="79561E32" w:rsidR="008927A9" w:rsidRPr="00D549EE" w:rsidRDefault="008927A9" w:rsidP="00C9582F">
            <w:pPr>
              <w:snapToGrid w:val="0"/>
              <w:contextualSpacing/>
              <w:rPr>
                <w:color w:val="000000" w:themeColor="text1"/>
                <w:lang w:val="en-US"/>
              </w:rPr>
            </w:pPr>
            <w:r w:rsidRPr="00D549EE">
              <w:rPr>
                <w:color w:val="000000" w:themeColor="text1"/>
                <w:lang w:val="en-US"/>
              </w:rPr>
              <w:t>Forecast</w:t>
            </w:r>
          </w:p>
        </w:tc>
      </w:tr>
      <w:tr w:rsidR="008927A9" w:rsidRPr="00D549EE" w14:paraId="0C718CC4" w14:textId="77777777" w:rsidTr="00945CC0">
        <w:tc>
          <w:tcPr>
            <w:tcW w:w="4106" w:type="dxa"/>
          </w:tcPr>
          <w:p w14:paraId="712CA75A" w14:textId="1C08B96C" w:rsidR="008927A9" w:rsidRPr="00D549EE" w:rsidRDefault="008927A9" w:rsidP="00C9582F">
            <w:pPr>
              <w:snapToGrid w:val="0"/>
              <w:contextualSpacing/>
              <w:rPr>
                <w:color w:val="000000" w:themeColor="text1"/>
                <w:lang w:val="en-US"/>
              </w:rPr>
            </w:pPr>
            <w:r w:rsidRPr="00D549EE">
              <w:rPr>
                <w:color w:val="000000" w:themeColor="text1"/>
                <w:lang w:val="en-US"/>
              </w:rPr>
              <w:t>Islamic assets, total in thousand tenge</w:t>
            </w:r>
          </w:p>
        </w:tc>
        <w:tc>
          <w:tcPr>
            <w:tcW w:w="1701" w:type="dxa"/>
          </w:tcPr>
          <w:p w14:paraId="591D11F1" w14:textId="4F3287A4" w:rsidR="008927A9" w:rsidRPr="00D549EE" w:rsidRDefault="00945CC0" w:rsidP="00C9582F">
            <w:pPr>
              <w:rPr>
                <w:color w:val="000000"/>
                <w:lang w:val="en-US"/>
              </w:rPr>
            </w:pPr>
            <w:r w:rsidRPr="00D549EE">
              <w:rPr>
                <w:color w:val="000000"/>
              </w:rPr>
              <w:t>62</w:t>
            </w:r>
            <w:r w:rsidRPr="00D549EE">
              <w:rPr>
                <w:color w:val="000000"/>
                <w:lang w:val="en-US"/>
              </w:rPr>
              <w:t xml:space="preserve"> </w:t>
            </w:r>
            <w:r w:rsidRPr="00D549EE">
              <w:rPr>
                <w:color w:val="000000"/>
              </w:rPr>
              <w:t>446</w:t>
            </w:r>
            <w:r w:rsidRPr="00D549EE">
              <w:rPr>
                <w:color w:val="000000"/>
                <w:lang w:val="en-US"/>
              </w:rPr>
              <w:t> </w:t>
            </w:r>
            <w:r w:rsidRPr="00D549EE">
              <w:rPr>
                <w:color w:val="000000"/>
              </w:rPr>
              <w:t>669</w:t>
            </w:r>
            <w:r w:rsidRPr="00D549EE">
              <w:rPr>
                <w:color w:val="000000"/>
                <w:lang w:val="en-US"/>
              </w:rPr>
              <w:t>.00</w:t>
            </w:r>
          </w:p>
        </w:tc>
        <w:tc>
          <w:tcPr>
            <w:tcW w:w="1701" w:type="dxa"/>
          </w:tcPr>
          <w:p w14:paraId="4B463A45" w14:textId="2A3A344D" w:rsidR="008927A9" w:rsidRPr="00D549EE" w:rsidRDefault="00945CC0" w:rsidP="00C9582F">
            <w:pPr>
              <w:rPr>
                <w:color w:val="000000"/>
              </w:rPr>
            </w:pPr>
            <w:r w:rsidRPr="00D549EE">
              <w:rPr>
                <w:color w:val="000000"/>
              </w:rPr>
              <w:t>70</w:t>
            </w:r>
            <w:r w:rsidRPr="00D549EE">
              <w:rPr>
                <w:color w:val="000000"/>
                <w:lang w:val="en-US"/>
              </w:rPr>
              <w:t xml:space="preserve"> </w:t>
            </w:r>
            <w:r w:rsidRPr="00D549EE">
              <w:rPr>
                <w:color w:val="000000"/>
              </w:rPr>
              <w:t>304</w:t>
            </w:r>
            <w:r w:rsidRPr="00D549EE">
              <w:rPr>
                <w:color w:val="000000"/>
                <w:lang w:val="en-US"/>
              </w:rPr>
              <w:t xml:space="preserve"> </w:t>
            </w:r>
            <w:r w:rsidRPr="00D549EE">
              <w:rPr>
                <w:color w:val="000000"/>
              </w:rPr>
              <w:t>980</w:t>
            </w:r>
            <w:r w:rsidRPr="00D549EE">
              <w:rPr>
                <w:color w:val="000000"/>
                <w:lang w:val="en-US"/>
              </w:rPr>
              <w:t>.</w:t>
            </w:r>
            <w:r w:rsidRPr="00D549EE">
              <w:rPr>
                <w:color w:val="000000"/>
              </w:rPr>
              <w:t>00</w:t>
            </w:r>
          </w:p>
        </w:tc>
        <w:tc>
          <w:tcPr>
            <w:tcW w:w="1985" w:type="dxa"/>
          </w:tcPr>
          <w:p w14:paraId="60363C3C" w14:textId="72133643" w:rsidR="008927A9" w:rsidRPr="00D549EE" w:rsidRDefault="00945CC0" w:rsidP="00C9582F">
            <w:pPr>
              <w:rPr>
                <w:color w:val="000000"/>
                <w:lang w:val="en-US"/>
              </w:rPr>
            </w:pPr>
            <w:r w:rsidRPr="00D549EE">
              <w:rPr>
                <w:color w:val="000000"/>
              </w:rPr>
              <w:t>264</w:t>
            </w:r>
            <w:r w:rsidRPr="00D549EE">
              <w:rPr>
                <w:color w:val="000000"/>
                <w:lang w:val="en-US"/>
              </w:rPr>
              <w:t xml:space="preserve"> </w:t>
            </w:r>
            <w:r w:rsidRPr="00D549EE">
              <w:rPr>
                <w:color w:val="000000"/>
              </w:rPr>
              <w:t>675</w:t>
            </w:r>
            <w:r w:rsidRPr="00D549EE">
              <w:rPr>
                <w:color w:val="000000"/>
                <w:lang w:val="en-US"/>
              </w:rPr>
              <w:t xml:space="preserve"> </w:t>
            </w:r>
            <w:r w:rsidRPr="00D549EE">
              <w:rPr>
                <w:color w:val="000000"/>
              </w:rPr>
              <w:t>320</w:t>
            </w:r>
            <w:r w:rsidRPr="00D549EE">
              <w:rPr>
                <w:color w:val="000000"/>
                <w:lang w:val="en-US"/>
              </w:rPr>
              <w:t>.00</w:t>
            </w:r>
            <w:r w:rsidR="00687227" w:rsidRPr="00D549EE">
              <w:rPr>
                <w:color w:val="000000"/>
                <w:lang w:val="en-US"/>
              </w:rPr>
              <w:t>*</w:t>
            </w:r>
          </w:p>
        </w:tc>
      </w:tr>
      <w:tr w:rsidR="008927A9" w:rsidRPr="00D549EE" w14:paraId="2199148C" w14:textId="77777777" w:rsidTr="00945CC0">
        <w:tc>
          <w:tcPr>
            <w:tcW w:w="4106" w:type="dxa"/>
          </w:tcPr>
          <w:p w14:paraId="7B31E815" w14:textId="66CCC7A2" w:rsidR="008927A9" w:rsidRPr="00D549EE" w:rsidRDefault="008927A9" w:rsidP="00C9582F">
            <w:pPr>
              <w:snapToGrid w:val="0"/>
              <w:contextualSpacing/>
              <w:rPr>
                <w:color w:val="000000" w:themeColor="text1"/>
                <w:lang w:val="en-US"/>
              </w:rPr>
            </w:pPr>
            <w:r w:rsidRPr="00D549EE">
              <w:rPr>
                <w:color w:val="000000" w:themeColor="text1"/>
                <w:lang w:val="en-US"/>
              </w:rPr>
              <w:t>Profit of Islamic FI, in thousand tenge</w:t>
            </w:r>
          </w:p>
        </w:tc>
        <w:tc>
          <w:tcPr>
            <w:tcW w:w="1701" w:type="dxa"/>
          </w:tcPr>
          <w:p w14:paraId="44A16643" w14:textId="202DD7AE" w:rsidR="008927A9" w:rsidRPr="00D549EE" w:rsidRDefault="00945CC0" w:rsidP="00C9582F">
            <w:pPr>
              <w:rPr>
                <w:color w:val="000000"/>
                <w:lang w:val="en-US"/>
              </w:rPr>
            </w:pPr>
            <w:r w:rsidRPr="00D549EE">
              <w:rPr>
                <w:color w:val="000000"/>
              </w:rPr>
              <w:t>2</w:t>
            </w:r>
            <w:r w:rsidRPr="00D549EE">
              <w:rPr>
                <w:color w:val="000000"/>
                <w:lang w:val="en-US"/>
              </w:rPr>
              <w:t xml:space="preserve"> </w:t>
            </w:r>
            <w:r w:rsidRPr="00D549EE">
              <w:rPr>
                <w:color w:val="000000"/>
              </w:rPr>
              <w:t>644</w:t>
            </w:r>
            <w:r w:rsidRPr="00D549EE">
              <w:rPr>
                <w:color w:val="000000"/>
                <w:lang w:val="en-US"/>
              </w:rPr>
              <w:t> </w:t>
            </w:r>
            <w:r w:rsidRPr="00D549EE">
              <w:rPr>
                <w:color w:val="000000"/>
              </w:rPr>
              <w:t>257</w:t>
            </w:r>
            <w:r w:rsidRPr="00D549EE">
              <w:rPr>
                <w:color w:val="000000"/>
                <w:lang w:val="en-US"/>
              </w:rPr>
              <w:t>.00</w:t>
            </w:r>
          </w:p>
        </w:tc>
        <w:tc>
          <w:tcPr>
            <w:tcW w:w="1701" w:type="dxa"/>
          </w:tcPr>
          <w:p w14:paraId="7EDD0342" w14:textId="759E6504" w:rsidR="008927A9" w:rsidRPr="00D549EE" w:rsidRDefault="00945CC0" w:rsidP="00C9582F">
            <w:pPr>
              <w:rPr>
                <w:color w:val="000000"/>
                <w:lang w:val="en-US"/>
              </w:rPr>
            </w:pPr>
            <w:r w:rsidRPr="00D549EE">
              <w:rPr>
                <w:color w:val="000000"/>
              </w:rPr>
              <w:t>2</w:t>
            </w:r>
            <w:r w:rsidRPr="00D549EE">
              <w:rPr>
                <w:color w:val="000000"/>
                <w:lang w:val="en-US"/>
              </w:rPr>
              <w:t xml:space="preserve"> </w:t>
            </w:r>
            <w:r w:rsidRPr="00D549EE">
              <w:rPr>
                <w:color w:val="000000"/>
              </w:rPr>
              <w:t>354</w:t>
            </w:r>
            <w:r w:rsidRPr="00D549EE">
              <w:rPr>
                <w:color w:val="000000"/>
                <w:lang w:val="en-US"/>
              </w:rPr>
              <w:t xml:space="preserve"> </w:t>
            </w:r>
            <w:r w:rsidRPr="00D549EE">
              <w:rPr>
                <w:color w:val="000000"/>
              </w:rPr>
              <w:t>976</w:t>
            </w:r>
            <w:r w:rsidRPr="00D549EE">
              <w:rPr>
                <w:color w:val="000000"/>
                <w:lang w:val="en-US"/>
              </w:rPr>
              <w:t>.00</w:t>
            </w:r>
          </w:p>
        </w:tc>
        <w:tc>
          <w:tcPr>
            <w:tcW w:w="1985" w:type="dxa"/>
          </w:tcPr>
          <w:p w14:paraId="7FD302E5" w14:textId="62AB775D" w:rsidR="008927A9" w:rsidRPr="00D549EE" w:rsidRDefault="00945CC0" w:rsidP="00C9582F">
            <w:pPr>
              <w:rPr>
                <w:color w:val="000000"/>
                <w:lang w:val="en-US"/>
              </w:rPr>
            </w:pPr>
            <w:r w:rsidRPr="00D549EE">
              <w:rPr>
                <w:color w:val="000000"/>
              </w:rPr>
              <w:t>10</w:t>
            </w:r>
            <w:r w:rsidRPr="00D549EE">
              <w:rPr>
                <w:color w:val="000000"/>
                <w:lang w:val="en-US"/>
              </w:rPr>
              <w:t xml:space="preserve"> </w:t>
            </w:r>
            <w:r w:rsidRPr="00D549EE">
              <w:rPr>
                <w:color w:val="000000"/>
              </w:rPr>
              <w:t>031</w:t>
            </w:r>
            <w:r w:rsidRPr="00D549EE">
              <w:rPr>
                <w:color w:val="000000"/>
                <w:lang w:val="en-US"/>
              </w:rPr>
              <w:t xml:space="preserve"> </w:t>
            </w:r>
            <w:r w:rsidRPr="00D549EE">
              <w:rPr>
                <w:color w:val="000000"/>
              </w:rPr>
              <w:t>194</w:t>
            </w:r>
            <w:r w:rsidRPr="00D549EE">
              <w:rPr>
                <w:color w:val="000000"/>
                <w:lang w:val="en-US"/>
              </w:rPr>
              <w:t>.</w:t>
            </w:r>
            <w:r w:rsidRPr="00D549EE">
              <w:rPr>
                <w:color w:val="000000"/>
              </w:rPr>
              <w:t>6</w:t>
            </w:r>
            <w:r w:rsidRPr="00D549EE">
              <w:rPr>
                <w:color w:val="000000"/>
                <w:lang w:val="en-US"/>
              </w:rPr>
              <w:t>0</w:t>
            </w:r>
          </w:p>
        </w:tc>
      </w:tr>
      <w:tr w:rsidR="008927A9" w:rsidRPr="00D549EE" w14:paraId="193C1B89" w14:textId="77777777" w:rsidTr="00945CC0">
        <w:tc>
          <w:tcPr>
            <w:tcW w:w="4106" w:type="dxa"/>
          </w:tcPr>
          <w:p w14:paraId="08B60C0A" w14:textId="1259E5CA" w:rsidR="008927A9" w:rsidRPr="00D549EE" w:rsidRDefault="00945CC0" w:rsidP="00C9582F">
            <w:pPr>
              <w:snapToGrid w:val="0"/>
              <w:contextualSpacing/>
              <w:rPr>
                <w:color w:val="000000" w:themeColor="text1"/>
                <w:lang w:val="en-US"/>
              </w:rPr>
            </w:pPr>
            <w:r w:rsidRPr="00D549EE">
              <w:rPr>
                <w:color w:val="000000" w:themeColor="text1"/>
                <w:lang w:val="en-US"/>
              </w:rPr>
              <w:t>Profit</w:t>
            </w:r>
            <w:r w:rsidR="008927A9" w:rsidRPr="00D549EE">
              <w:rPr>
                <w:color w:val="000000" w:themeColor="text1"/>
                <w:lang w:val="en-US"/>
              </w:rPr>
              <w:t xml:space="preserve"> in Islamic assets</w:t>
            </w:r>
            <w:r w:rsidRPr="00D549EE">
              <w:rPr>
                <w:color w:val="000000" w:themeColor="text1"/>
                <w:lang w:val="en-US"/>
              </w:rPr>
              <w:t>, %</w:t>
            </w:r>
          </w:p>
        </w:tc>
        <w:tc>
          <w:tcPr>
            <w:tcW w:w="1701" w:type="dxa"/>
          </w:tcPr>
          <w:p w14:paraId="4AF8928E" w14:textId="48C81B35" w:rsidR="008927A9" w:rsidRPr="00D549EE" w:rsidRDefault="00945CC0" w:rsidP="00C9582F">
            <w:pPr>
              <w:snapToGrid w:val="0"/>
              <w:contextualSpacing/>
              <w:rPr>
                <w:color w:val="000000" w:themeColor="text1"/>
                <w:lang w:val="en-US"/>
              </w:rPr>
            </w:pPr>
            <w:r w:rsidRPr="00D549EE">
              <w:rPr>
                <w:color w:val="000000" w:themeColor="text1"/>
                <w:lang w:val="en-US"/>
              </w:rPr>
              <w:t>4.23</w:t>
            </w:r>
          </w:p>
        </w:tc>
        <w:tc>
          <w:tcPr>
            <w:tcW w:w="1701" w:type="dxa"/>
          </w:tcPr>
          <w:p w14:paraId="3D1B30E5" w14:textId="272918DB" w:rsidR="008927A9" w:rsidRPr="00D549EE" w:rsidRDefault="00945CC0" w:rsidP="00C9582F">
            <w:pPr>
              <w:snapToGrid w:val="0"/>
              <w:contextualSpacing/>
              <w:rPr>
                <w:color w:val="000000" w:themeColor="text1"/>
                <w:lang w:val="en-US"/>
              </w:rPr>
            </w:pPr>
            <w:r w:rsidRPr="00D549EE">
              <w:rPr>
                <w:color w:val="000000" w:themeColor="text1"/>
                <w:lang w:val="en-US"/>
              </w:rPr>
              <w:t>3.35</w:t>
            </w:r>
          </w:p>
        </w:tc>
        <w:tc>
          <w:tcPr>
            <w:tcW w:w="1985" w:type="dxa"/>
          </w:tcPr>
          <w:p w14:paraId="572F9CD4" w14:textId="239F4694" w:rsidR="008927A9" w:rsidRPr="00D549EE" w:rsidRDefault="00945CC0" w:rsidP="00C9582F">
            <w:pPr>
              <w:snapToGrid w:val="0"/>
              <w:contextualSpacing/>
              <w:rPr>
                <w:color w:val="000000" w:themeColor="text1"/>
                <w:lang w:val="en-US"/>
              </w:rPr>
            </w:pPr>
            <w:r w:rsidRPr="00D549EE">
              <w:rPr>
                <w:color w:val="000000" w:themeColor="text1"/>
                <w:lang w:val="en-US"/>
              </w:rPr>
              <w:t>3.79</w:t>
            </w:r>
          </w:p>
        </w:tc>
      </w:tr>
      <w:tr w:rsidR="008927A9" w:rsidRPr="00D549EE" w14:paraId="7B43973C" w14:textId="77777777" w:rsidTr="00945CC0">
        <w:tc>
          <w:tcPr>
            <w:tcW w:w="4106" w:type="dxa"/>
          </w:tcPr>
          <w:p w14:paraId="411DB81E" w14:textId="3333D7AE" w:rsidR="008927A9" w:rsidRPr="00D549EE" w:rsidRDefault="00945CC0" w:rsidP="00C9582F">
            <w:pPr>
              <w:snapToGrid w:val="0"/>
              <w:contextualSpacing/>
              <w:rPr>
                <w:color w:val="000000" w:themeColor="text1"/>
                <w:lang w:val="en-US"/>
              </w:rPr>
            </w:pPr>
            <w:r w:rsidRPr="00D549EE">
              <w:rPr>
                <w:color w:val="000000" w:themeColor="text1"/>
                <w:lang w:val="en-US"/>
              </w:rPr>
              <w:t>Zakat, in thousand tenge</w:t>
            </w:r>
          </w:p>
        </w:tc>
        <w:tc>
          <w:tcPr>
            <w:tcW w:w="1701" w:type="dxa"/>
          </w:tcPr>
          <w:p w14:paraId="2C2D1EFB" w14:textId="34D3F8D3" w:rsidR="008927A9" w:rsidRPr="00D549EE" w:rsidRDefault="00945CC0" w:rsidP="00C9582F">
            <w:pPr>
              <w:rPr>
                <w:color w:val="000000"/>
                <w:lang w:val="en-US"/>
              </w:rPr>
            </w:pPr>
            <w:r w:rsidRPr="00D549EE">
              <w:rPr>
                <w:color w:val="000000"/>
              </w:rPr>
              <w:t>66</w:t>
            </w:r>
            <w:r w:rsidRPr="00D549EE">
              <w:rPr>
                <w:color w:val="000000"/>
                <w:lang w:val="en-US"/>
              </w:rPr>
              <w:t xml:space="preserve"> </w:t>
            </w:r>
            <w:r w:rsidRPr="00D549EE">
              <w:rPr>
                <w:color w:val="000000"/>
              </w:rPr>
              <w:t>106</w:t>
            </w:r>
            <w:r w:rsidRPr="00D549EE">
              <w:rPr>
                <w:color w:val="000000"/>
                <w:lang w:val="en-US"/>
              </w:rPr>
              <w:t>.</w:t>
            </w:r>
            <w:r w:rsidRPr="00D549EE">
              <w:rPr>
                <w:color w:val="000000"/>
              </w:rPr>
              <w:t>4</w:t>
            </w:r>
            <w:r w:rsidRPr="00D549EE">
              <w:rPr>
                <w:color w:val="000000"/>
                <w:lang w:val="en-US"/>
              </w:rPr>
              <w:t>3</w:t>
            </w:r>
          </w:p>
        </w:tc>
        <w:tc>
          <w:tcPr>
            <w:tcW w:w="1701" w:type="dxa"/>
          </w:tcPr>
          <w:p w14:paraId="5A0A52FB" w14:textId="44146BB1" w:rsidR="008927A9" w:rsidRPr="00D549EE" w:rsidRDefault="00945CC0" w:rsidP="00C9582F">
            <w:pPr>
              <w:rPr>
                <w:color w:val="000000"/>
                <w:lang w:val="en-US"/>
              </w:rPr>
            </w:pPr>
            <w:r w:rsidRPr="00D549EE">
              <w:rPr>
                <w:color w:val="000000"/>
              </w:rPr>
              <w:t>58</w:t>
            </w:r>
            <w:r w:rsidRPr="00D549EE">
              <w:rPr>
                <w:color w:val="000000"/>
                <w:lang w:val="en-US"/>
              </w:rPr>
              <w:t xml:space="preserve"> </w:t>
            </w:r>
            <w:r w:rsidRPr="00D549EE">
              <w:rPr>
                <w:color w:val="000000"/>
              </w:rPr>
              <w:t>874</w:t>
            </w:r>
            <w:r w:rsidRPr="00D549EE">
              <w:rPr>
                <w:color w:val="000000"/>
                <w:lang w:val="en-US"/>
              </w:rPr>
              <w:t>.</w:t>
            </w:r>
            <w:r w:rsidRPr="00D549EE">
              <w:rPr>
                <w:color w:val="000000"/>
              </w:rPr>
              <w:t>4</w:t>
            </w:r>
            <w:r w:rsidRPr="00D549EE">
              <w:rPr>
                <w:color w:val="000000"/>
                <w:lang w:val="en-US"/>
              </w:rPr>
              <w:t>0</w:t>
            </w:r>
          </w:p>
        </w:tc>
        <w:tc>
          <w:tcPr>
            <w:tcW w:w="1985" w:type="dxa"/>
          </w:tcPr>
          <w:p w14:paraId="591E522E" w14:textId="36C4C5B5" w:rsidR="008927A9" w:rsidRPr="00D549EE" w:rsidRDefault="00945CC0" w:rsidP="00C9582F">
            <w:pPr>
              <w:rPr>
                <w:color w:val="000000"/>
                <w:lang w:val="en-US"/>
              </w:rPr>
            </w:pPr>
            <w:r w:rsidRPr="00D549EE">
              <w:rPr>
                <w:color w:val="000000"/>
              </w:rPr>
              <w:t>250</w:t>
            </w:r>
            <w:r w:rsidRPr="00D549EE">
              <w:rPr>
                <w:color w:val="000000"/>
                <w:lang w:val="en-US"/>
              </w:rPr>
              <w:t xml:space="preserve"> </w:t>
            </w:r>
            <w:r w:rsidRPr="00D549EE">
              <w:rPr>
                <w:color w:val="000000"/>
              </w:rPr>
              <w:t>779</w:t>
            </w:r>
            <w:r w:rsidRPr="00D549EE">
              <w:rPr>
                <w:color w:val="000000"/>
                <w:lang w:val="en-US"/>
              </w:rPr>
              <w:t>.</w:t>
            </w:r>
            <w:r w:rsidRPr="00D549EE">
              <w:rPr>
                <w:color w:val="000000"/>
              </w:rPr>
              <w:t>8</w:t>
            </w:r>
            <w:r w:rsidRPr="00D549EE">
              <w:rPr>
                <w:color w:val="000000"/>
                <w:lang w:val="en-US"/>
              </w:rPr>
              <w:t>7</w:t>
            </w:r>
          </w:p>
        </w:tc>
      </w:tr>
      <w:tr w:rsidR="00687227" w:rsidRPr="00FC685D" w14:paraId="74DE2521" w14:textId="77777777" w:rsidTr="00B00E68">
        <w:tc>
          <w:tcPr>
            <w:tcW w:w="9493" w:type="dxa"/>
            <w:gridSpan w:val="4"/>
          </w:tcPr>
          <w:p w14:paraId="3E243DE0" w14:textId="77777777" w:rsidR="006644D6" w:rsidRPr="00D549EE" w:rsidRDefault="00ED0AEA" w:rsidP="00C9582F">
            <w:pPr>
              <w:rPr>
                <w:color w:val="000000"/>
                <w:lang w:val="en-US"/>
              </w:rPr>
            </w:pPr>
            <w:r w:rsidRPr="00D549EE">
              <w:rPr>
                <w:color w:val="000000"/>
                <w:lang w:val="en-US"/>
              </w:rPr>
              <w:t xml:space="preserve">     </w:t>
            </w:r>
            <w:r w:rsidR="00687227" w:rsidRPr="00D549EE">
              <w:rPr>
                <w:color w:val="000000"/>
                <w:lang w:val="en-US"/>
              </w:rPr>
              <w:t>Note</w:t>
            </w:r>
            <w:r w:rsidR="006644D6" w:rsidRPr="00D549EE">
              <w:rPr>
                <w:color w:val="000000"/>
                <w:lang w:val="en-US"/>
              </w:rPr>
              <w:t xml:space="preserve">: </w:t>
            </w:r>
          </w:p>
          <w:p w14:paraId="1F81629E" w14:textId="77777777" w:rsidR="006644D6" w:rsidRPr="00D549EE" w:rsidRDefault="006644D6" w:rsidP="00C9582F">
            <w:pPr>
              <w:rPr>
                <w:color w:val="000000"/>
                <w:lang w:val="en-US"/>
              </w:rPr>
            </w:pPr>
            <w:r w:rsidRPr="00D549EE">
              <w:rPr>
                <w:color w:val="000000"/>
                <w:lang w:val="en-US"/>
              </w:rPr>
              <w:t xml:space="preserve">     1 </w:t>
            </w:r>
            <w:r w:rsidR="00687227" w:rsidRPr="00D549EE">
              <w:rPr>
                <w:color w:val="000000"/>
                <w:lang w:val="en-US"/>
              </w:rPr>
              <w:t xml:space="preserve">Compiled by the author </w:t>
            </w:r>
          </w:p>
          <w:p w14:paraId="6095FB7F" w14:textId="623BFDFC" w:rsidR="00687227" w:rsidRPr="00D549EE" w:rsidRDefault="006644D6" w:rsidP="00C9582F">
            <w:pPr>
              <w:rPr>
                <w:color w:val="000000"/>
                <w:lang w:val="en-US"/>
              </w:rPr>
            </w:pPr>
            <w:r w:rsidRPr="00D549EE">
              <w:rPr>
                <w:color w:val="000000"/>
                <w:lang w:val="en-US"/>
              </w:rPr>
              <w:t xml:space="preserve">     2 </w:t>
            </w:r>
            <w:r w:rsidR="00687227" w:rsidRPr="00D549EE">
              <w:rPr>
                <w:color w:val="000000"/>
                <w:lang w:val="en-US"/>
              </w:rPr>
              <w:t xml:space="preserve">According to estimation in Table </w:t>
            </w:r>
            <w:r w:rsidR="0072768C" w:rsidRPr="00D549EE">
              <w:rPr>
                <w:color w:val="000000"/>
                <w:lang w:val="en-US"/>
              </w:rPr>
              <w:t>2</w:t>
            </w:r>
            <w:r w:rsidR="009D5D19" w:rsidRPr="00D549EE">
              <w:rPr>
                <w:color w:val="000000"/>
                <w:lang w:val="en-US"/>
              </w:rPr>
              <w:t>2</w:t>
            </w:r>
          </w:p>
        </w:tc>
      </w:tr>
    </w:tbl>
    <w:p w14:paraId="37A24C65" w14:textId="35E178E9" w:rsidR="008927A9" w:rsidRPr="00D549EE" w:rsidRDefault="00487308" w:rsidP="00C9582F">
      <w:pPr>
        <w:snapToGrid w:val="0"/>
        <w:contextualSpacing/>
        <w:jc w:val="both"/>
        <w:rPr>
          <w:b/>
          <w:color w:val="000000" w:themeColor="text1"/>
          <w:sz w:val="28"/>
          <w:szCs w:val="28"/>
          <w:lang w:val="en-US"/>
        </w:rPr>
      </w:pPr>
      <w:r w:rsidRPr="00D549EE">
        <w:rPr>
          <w:b/>
          <w:color w:val="000000" w:themeColor="text1"/>
          <w:sz w:val="28"/>
          <w:szCs w:val="28"/>
          <w:lang w:val="en-US"/>
        </w:rPr>
        <w:tab/>
      </w:r>
    </w:p>
    <w:p w14:paraId="5C73D2CD" w14:textId="77777777" w:rsidR="003F139C" w:rsidRPr="003F139C" w:rsidRDefault="00945CC0" w:rsidP="003F139C">
      <w:pPr>
        <w:snapToGrid w:val="0"/>
        <w:contextualSpacing/>
        <w:jc w:val="both"/>
        <w:rPr>
          <w:color w:val="000000" w:themeColor="text1"/>
          <w:sz w:val="28"/>
          <w:szCs w:val="28"/>
          <w:lang w:val="en-US"/>
        </w:rPr>
      </w:pPr>
      <w:r w:rsidRPr="00D549EE">
        <w:rPr>
          <w:b/>
          <w:color w:val="000000" w:themeColor="text1"/>
          <w:sz w:val="28"/>
          <w:szCs w:val="28"/>
          <w:lang w:val="en-US"/>
        </w:rPr>
        <w:tab/>
      </w:r>
      <w:r w:rsidR="003F139C" w:rsidRPr="003F139C">
        <w:rPr>
          <w:color w:val="000000" w:themeColor="text1"/>
          <w:sz w:val="28"/>
          <w:szCs w:val="28"/>
          <w:lang w:val="en-US"/>
        </w:rPr>
        <w:t xml:space="preserve">According to our estimation in Chapter II, 2.1 section (Table 22), the potential total Islamic financial assets can be 264 billion tenge in the case of achieving 1% of total banking assets. Considering the average profit amount of Islamic financial institutions in total Islamic financial assets is 3.79%, it can be assessed that potential zakat collection from Islamic financial institutions will be 250 million tenge. Nowadays, this amount is about 59 million tenge. </w:t>
      </w:r>
    </w:p>
    <w:p w14:paraId="626AFB7B" w14:textId="77777777" w:rsidR="003F139C" w:rsidRPr="003F139C" w:rsidRDefault="003F139C" w:rsidP="003F139C">
      <w:pPr>
        <w:snapToGrid w:val="0"/>
        <w:contextualSpacing/>
        <w:jc w:val="both"/>
        <w:rPr>
          <w:color w:val="000000" w:themeColor="text1"/>
          <w:sz w:val="28"/>
          <w:szCs w:val="28"/>
          <w:lang w:val="en-US"/>
        </w:rPr>
      </w:pPr>
      <w:r w:rsidRPr="003F139C">
        <w:rPr>
          <w:color w:val="000000" w:themeColor="text1"/>
          <w:sz w:val="28"/>
          <w:szCs w:val="28"/>
          <w:lang w:val="en-US"/>
        </w:rPr>
        <w:tab/>
        <w:t xml:space="preserve">There is interdependence between financial institutions' assets and special accounts accumulated penalties and fines used for charity and social projects in Islamic financial institutions. According to Shariah, the penalties and fines of the clients for late payments generated in a special account of Islamic institutions must be used only for charity. During in-depth interviews, it was identified that penalties and fines account is about 0.20% of financial assets. According to the prediction of the research, the country's estimated potential Islamic financial assets will be more than 529 million tenge. As a result, the growth of financial assets leads to an increase in the amount of financing for social projects, and effects, in the form of educated poor or parentless children number, or recovered or rehabilitated children number, provided by social assistance to large and low-income families' number. Thus, potential Islamic social financial generated finance can be 779 million from Islamic financial institutions. </w:t>
      </w:r>
    </w:p>
    <w:p w14:paraId="3D3E84EF" w14:textId="77777777" w:rsidR="003F139C" w:rsidRPr="003F139C" w:rsidRDefault="003F139C" w:rsidP="003F139C">
      <w:pPr>
        <w:snapToGrid w:val="0"/>
        <w:contextualSpacing/>
        <w:jc w:val="both"/>
        <w:rPr>
          <w:color w:val="000000" w:themeColor="text1"/>
          <w:sz w:val="28"/>
          <w:szCs w:val="28"/>
          <w:lang w:val="en-US"/>
        </w:rPr>
      </w:pPr>
      <w:r w:rsidRPr="003F139C">
        <w:rPr>
          <w:color w:val="000000" w:themeColor="text1"/>
          <w:sz w:val="28"/>
          <w:szCs w:val="28"/>
          <w:lang w:val="en-US"/>
        </w:rPr>
        <w:tab/>
        <w:t xml:space="preserve">The results of interviewing the top manager of the JSC Subsidiary Bank "Kazakhstan Ziraat International Bank," which is the second-tier conventional bank of the country with assets of 132 635 million tenge for 2021, show an absence of the charity activities mechanism permanently in the bank, and social assistants in COVID-19 period has done by order of needy. </w:t>
      </w:r>
    </w:p>
    <w:p w14:paraId="227EAA34" w14:textId="77777777" w:rsidR="003F139C" w:rsidRPr="003F139C" w:rsidRDefault="003F139C" w:rsidP="003F139C">
      <w:pPr>
        <w:snapToGrid w:val="0"/>
        <w:contextualSpacing/>
        <w:jc w:val="both"/>
        <w:rPr>
          <w:color w:val="000000" w:themeColor="text1"/>
          <w:sz w:val="28"/>
          <w:szCs w:val="28"/>
          <w:lang w:val="en-US"/>
        </w:rPr>
      </w:pPr>
      <w:r w:rsidRPr="003F139C">
        <w:rPr>
          <w:color w:val="000000" w:themeColor="text1"/>
          <w:sz w:val="28"/>
          <w:szCs w:val="28"/>
          <w:lang w:val="en-US"/>
        </w:rPr>
        <w:tab/>
        <w:t xml:space="preserve">The second interviewed manager from the conventional bank of JSC "Bank CenterCredit" with assets of 2 066 966 million tenge for 2021, disclosed information of social projects of the bank in the form of assisting children with disabilities and patients with autoimmune diseases. Furthermore, the bank has an educational program for increasing financial literacy and a particular Mortgage program for military personnel. The charity amount in the pandemic period was 37.5 million tenge.  </w:t>
      </w:r>
    </w:p>
    <w:p w14:paraId="70545D83" w14:textId="77777777" w:rsidR="003F139C" w:rsidRPr="003F139C" w:rsidRDefault="003F139C" w:rsidP="003F139C">
      <w:pPr>
        <w:snapToGrid w:val="0"/>
        <w:contextualSpacing/>
        <w:jc w:val="both"/>
        <w:rPr>
          <w:color w:val="000000" w:themeColor="text1"/>
          <w:sz w:val="28"/>
          <w:szCs w:val="28"/>
          <w:lang w:val="en-US"/>
        </w:rPr>
      </w:pPr>
      <w:r w:rsidRPr="003F139C">
        <w:rPr>
          <w:color w:val="000000" w:themeColor="text1"/>
          <w:sz w:val="28"/>
          <w:szCs w:val="28"/>
          <w:lang w:val="en-US"/>
        </w:rPr>
        <w:tab/>
        <w:t xml:space="preserve">The in-depth interviews of the representatives of Islamic financial institutions and AIFC allow conclusion following findings. First of all, the potential of Islamic finance and perspectives of further development are significant and tangible for the country. There is a lot of activity from the state and international Islamic financial organizations to improve the area and increase the number of industry participants. Secondly, despite the crisis period and economic decline, there is a rise in financial institutions' financial assets and profit, a 48% increase in Islamic banking assets for 2019-2020. As can be seen from the study, the Islamic banks' business model, efficiency, and quality indicators illustrated growth over the last year. Finally, the growth of the profit of Islamic financial organizations leads to the rise of the paid zakat amount in the country by financial institutions themselves or by shareholders, depending on the policy. </w:t>
      </w:r>
    </w:p>
    <w:p w14:paraId="519E1D10" w14:textId="6F945583" w:rsidR="001078DA" w:rsidRPr="00D549EE" w:rsidRDefault="003F139C" w:rsidP="003F139C">
      <w:pPr>
        <w:snapToGrid w:val="0"/>
        <w:contextualSpacing/>
        <w:jc w:val="both"/>
        <w:rPr>
          <w:bCs/>
          <w:color w:val="000000" w:themeColor="text1"/>
          <w:sz w:val="28"/>
          <w:szCs w:val="28"/>
          <w:lang w:val="en-US"/>
        </w:rPr>
      </w:pPr>
      <w:r w:rsidRPr="003F139C">
        <w:rPr>
          <w:color w:val="000000" w:themeColor="text1"/>
          <w:sz w:val="28"/>
          <w:szCs w:val="28"/>
          <w:lang w:val="en-US"/>
        </w:rPr>
        <w:tab/>
        <w:t>Some challenges need to be overcome - the not complete adaptation of the legislative framework slows down the increase of participants' number and instruments spectrum. There is still a misunderstanding of the issues to adaptation instruments, which are considered pure Islamic – mudaraba, and musharaka. As a result, there is a lack of supply in the market. The main realized instruments are ijara and murabaha because analog instruments are adopted in conventional finance. There is a lack of awareness of Islamic finance's social tools and the absence of a definition of terms as an endowment (which can be an alternative to waqf) and zakat. In our opinion, there is insufficient attention and regulation of the activity of charity funds and mistrust of the population toward intermediaries (funds) in charity issues. Nevertheless, during this research, it was estimated that potential zakat collection is enough to cover resource shortfall in the country. This, in turn, can reduce the burden of state spending on targeted social assistance and reduce the level of poverty.</w:t>
      </w:r>
      <w:r w:rsidR="007E0E14" w:rsidRPr="00D549EE">
        <w:rPr>
          <w:bCs/>
          <w:color w:val="000000" w:themeColor="text1"/>
          <w:sz w:val="28"/>
          <w:szCs w:val="28"/>
          <w:lang w:val="en-US"/>
        </w:rPr>
        <w:t xml:space="preserve"> </w:t>
      </w:r>
    </w:p>
    <w:p w14:paraId="588A90BB" w14:textId="28A16439" w:rsidR="00335BED" w:rsidRDefault="00335BED" w:rsidP="00C9582F">
      <w:pPr>
        <w:snapToGrid w:val="0"/>
        <w:contextualSpacing/>
        <w:jc w:val="both"/>
        <w:rPr>
          <w:bCs/>
          <w:color w:val="000000" w:themeColor="text1"/>
          <w:sz w:val="28"/>
          <w:szCs w:val="28"/>
          <w:lang w:val="en-US"/>
        </w:rPr>
      </w:pPr>
    </w:p>
    <w:p w14:paraId="528EAC42" w14:textId="512C53B7" w:rsidR="003F139C" w:rsidRDefault="003F139C" w:rsidP="00C9582F">
      <w:pPr>
        <w:snapToGrid w:val="0"/>
        <w:contextualSpacing/>
        <w:jc w:val="both"/>
        <w:rPr>
          <w:bCs/>
          <w:color w:val="000000" w:themeColor="text1"/>
          <w:sz w:val="28"/>
          <w:szCs w:val="28"/>
          <w:lang w:val="en-US"/>
        </w:rPr>
      </w:pPr>
    </w:p>
    <w:p w14:paraId="2C946873" w14:textId="5477DCDE" w:rsidR="00B71E0A" w:rsidRDefault="00B71E0A" w:rsidP="00C9582F">
      <w:pPr>
        <w:snapToGrid w:val="0"/>
        <w:contextualSpacing/>
        <w:jc w:val="both"/>
        <w:rPr>
          <w:bCs/>
          <w:color w:val="000000" w:themeColor="text1"/>
          <w:sz w:val="28"/>
          <w:szCs w:val="28"/>
          <w:lang w:val="en-US"/>
        </w:rPr>
      </w:pPr>
    </w:p>
    <w:p w14:paraId="1561095E" w14:textId="46B11106" w:rsidR="00B71E0A" w:rsidRDefault="00B71E0A" w:rsidP="00C9582F">
      <w:pPr>
        <w:snapToGrid w:val="0"/>
        <w:contextualSpacing/>
        <w:jc w:val="both"/>
        <w:rPr>
          <w:bCs/>
          <w:color w:val="000000" w:themeColor="text1"/>
          <w:sz w:val="28"/>
          <w:szCs w:val="28"/>
          <w:lang w:val="en-US"/>
        </w:rPr>
      </w:pPr>
    </w:p>
    <w:p w14:paraId="11E6DDA9" w14:textId="60D26500" w:rsidR="00B71E0A" w:rsidRDefault="00B71E0A" w:rsidP="00C9582F">
      <w:pPr>
        <w:snapToGrid w:val="0"/>
        <w:contextualSpacing/>
        <w:jc w:val="both"/>
        <w:rPr>
          <w:bCs/>
          <w:color w:val="000000" w:themeColor="text1"/>
          <w:sz w:val="28"/>
          <w:szCs w:val="28"/>
          <w:lang w:val="en-US"/>
        </w:rPr>
      </w:pPr>
    </w:p>
    <w:p w14:paraId="02798B38" w14:textId="0BDE8B22" w:rsidR="00B71E0A" w:rsidRDefault="00B71E0A" w:rsidP="00C9582F">
      <w:pPr>
        <w:snapToGrid w:val="0"/>
        <w:contextualSpacing/>
        <w:jc w:val="both"/>
        <w:rPr>
          <w:bCs/>
          <w:color w:val="000000" w:themeColor="text1"/>
          <w:sz w:val="28"/>
          <w:szCs w:val="28"/>
          <w:lang w:val="en-US"/>
        </w:rPr>
      </w:pPr>
    </w:p>
    <w:p w14:paraId="738C5C23" w14:textId="6AB791CE" w:rsidR="00B71E0A" w:rsidRDefault="00B71E0A" w:rsidP="00C9582F">
      <w:pPr>
        <w:snapToGrid w:val="0"/>
        <w:contextualSpacing/>
        <w:jc w:val="both"/>
        <w:rPr>
          <w:bCs/>
          <w:color w:val="000000" w:themeColor="text1"/>
          <w:sz w:val="28"/>
          <w:szCs w:val="28"/>
          <w:lang w:val="en-US"/>
        </w:rPr>
      </w:pPr>
    </w:p>
    <w:p w14:paraId="776BA4D8" w14:textId="779FDEBD" w:rsidR="00B71E0A" w:rsidRDefault="00B71E0A" w:rsidP="00C9582F">
      <w:pPr>
        <w:snapToGrid w:val="0"/>
        <w:contextualSpacing/>
        <w:jc w:val="both"/>
        <w:rPr>
          <w:bCs/>
          <w:color w:val="000000" w:themeColor="text1"/>
          <w:sz w:val="28"/>
          <w:szCs w:val="28"/>
          <w:lang w:val="en-US"/>
        </w:rPr>
      </w:pPr>
    </w:p>
    <w:p w14:paraId="4B30E4A2" w14:textId="77777777" w:rsidR="00B71E0A" w:rsidRPr="00D549EE" w:rsidRDefault="00B71E0A" w:rsidP="00C9582F">
      <w:pPr>
        <w:snapToGrid w:val="0"/>
        <w:contextualSpacing/>
        <w:jc w:val="both"/>
        <w:rPr>
          <w:bCs/>
          <w:color w:val="000000" w:themeColor="text1"/>
          <w:sz w:val="28"/>
          <w:szCs w:val="28"/>
          <w:lang w:val="en-US"/>
        </w:rPr>
      </w:pPr>
    </w:p>
    <w:p w14:paraId="3A978DC1" w14:textId="6325FE47" w:rsidR="00872B10" w:rsidRPr="00D549EE" w:rsidRDefault="00872B10" w:rsidP="00C9582F">
      <w:pPr>
        <w:snapToGrid w:val="0"/>
        <w:contextualSpacing/>
        <w:jc w:val="both"/>
        <w:rPr>
          <w:bCs/>
          <w:color w:val="000000" w:themeColor="text1"/>
          <w:sz w:val="28"/>
          <w:szCs w:val="28"/>
          <w:lang w:val="en-US"/>
        </w:rPr>
      </w:pPr>
    </w:p>
    <w:p w14:paraId="49A7832B" w14:textId="6E976355" w:rsidR="007A503D" w:rsidRPr="00D549EE" w:rsidRDefault="00D6097F" w:rsidP="00D6097F">
      <w:pPr>
        <w:snapToGrid w:val="0"/>
        <w:contextualSpacing/>
        <w:jc w:val="both"/>
        <w:rPr>
          <w:b/>
          <w:bCs/>
          <w:color w:val="000000"/>
          <w:sz w:val="28"/>
          <w:szCs w:val="28"/>
          <w:lang w:val="en-US"/>
        </w:rPr>
      </w:pPr>
      <w:r>
        <w:rPr>
          <w:b/>
          <w:color w:val="000000" w:themeColor="text1"/>
          <w:sz w:val="28"/>
          <w:szCs w:val="28"/>
          <w:lang w:val="en-US"/>
        </w:rPr>
        <w:tab/>
      </w:r>
      <w:r w:rsidR="00ED1FCF" w:rsidRPr="00D549EE">
        <w:rPr>
          <w:b/>
          <w:color w:val="000000" w:themeColor="text1"/>
          <w:sz w:val="28"/>
          <w:szCs w:val="28"/>
          <w:lang w:val="en-US"/>
        </w:rPr>
        <w:t xml:space="preserve">3 </w:t>
      </w:r>
      <w:r w:rsidR="00533345" w:rsidRPr="00D549EE">
        <w:rPr>
          <w:b/>
          <w:bCs/>
          <w:color w:val="000000" w:themeColor="text1"/>
          <w:sz w:val="28"/>
          <w:szCs w:val="28"/>
          <w:lang w:val="en-US"/>
        </w:rPr>
        <w:t>PROVISION</w:t>
      </w:r>
      <w:r w:rsidR="00533345" w:rsidRPr="00D549EE">
        <w:rPr>
          <w:b/>
          <w:bCs/>
          <w:color w:val="000000"/>
          <w:sz w:val="28"/>
          <w:szCs w:val="28"/>
          <w:lang w:val="en-US"/>
        </w:rPr>
        <w:t xml:space="preserve"> THE SOCIAL </w:t>
      </w:r>
      <w:r w:rsidR="00533345" w:rsidRPr="00D549EE">
        <w:rPr>
          <w:b/>
          <w:color w:val="000000" w:themeColor="text1"/>
          <w:sz w:val="28"/>
          <w:szCs w:val="28"/>
          <w:lang w:val="en-US"/>
        </w:rPr>
        <w:t>EFFECTIVENESS</w:t>
      </w:r>
      <w:r w:rsidR="00533345" w:rsidRPr="00D549EE">
        <w:rPr>
          <w:b/>
          <w:bCs/>
          <w:color w:val="000000"/>
          <w:sz w:val="28"/>
          <w:szCs w:val="28"/>
          <w:lang w:val="en-US"/>
        </w:rPr>
        <w:t xml:space="preserve"> OF ISLAMIC FINANCE IN THE REPUBLIC OF KAZAKHSTAN: OPPORTUNITIES AND PROSPECTS</w:t>
      </w:r>
    </w:p>
    <w:p w14:paraId="60DFC569" w14:textId="77777777" w:rsidR="00533345" w:rsidRPr="00D549EE" w:rsidRDefault="00533345" w:rsidP="00C9582F">
      <w:pPr>
        <w:snapToGrid w:val="0"/>
        <w:contextualSpacing/>
        <w:rPr>
          <w:bCs/>
          <w:color w:val="000000" w:themeColor="text1"/>
          <w:sz w:val="28"/>
          <w:szCs w:val="28"/>
          <w:lang w:val="en-US"/>
        </w:rPr>
      </w:pPr>
      <w:r w:rsidRPr="00D549EE">
        <w:rPr>
          <w:bCs/>
          <w:color w:val="000000" w:themeColor="text1"/>
          <w:sz w:val="28"/>
          <w:szCs w:val="28"/>
          <w:lang w:val="en-US"/>
        </w:rPr>
        <w:tab/>
      </w:r>
    </w:p>
    <w:p w14:paraId="1E1B94ED" w14:textId="03A52A6F" w:rsidR="007A503D" w:rsidRPr="00D549EE" w:rsidRDefault="00533345" w:rsidP="00C9582F">
      <w:pPr>
        <w:snapToGrid w:val="0"/>
        <w:contextualSpacing/>
        <w:rPr>
          <w:b/>
          <w:color w:val="000000" w:themeColor="text1"/>
          <w:sz w:val="28"/>
          <w:szCs w:val="28"/>
          <w:lang w:val="en-US"/>
        </w:rPr>
      </w:pPr>
      <w:r w:rsidRPr="00D549EE">
        <w:rPr>
          <w:b/>
          <w:bCs/>
          <w:color w:val="000000" w:themeColor="text1"/>
          <w:sz w:val="28"/>
          <w:szCs w:val="28"/>
          <w:lang w:val="en-US"/>
        </w:rPr>
        <w:tab/>
      </w:r>
      <w:r w:rsidR="007A503D" w:rsidRPr="00D549EE">
        <w:rPr>
          <w:b/>
          <w:bCs/>
          <w:color w:val="000000" w:themeColor="text1"/>
          <w:sz w:val="28"/>
          <w:szCs w:val="28"/>
          <w:lang w:val="en-US"/>
        </w:rPr>
        <w:t xml:space="preserve">3.1 </w:t>
      </w:r>
      <w:r w:rsidRPr="00D549EE">
        <w:rPr>
          <w:b/>
          <w:color w:val="000000" w:themeColor="text1"/>
          <w:sz w:val="28"/>
          <w:szCs w:val="28"/>
          <w:shd w:val="clear" w:color="auto" w:fill="FFFFFF"/>
          <w:lang w:val="en-US"/>
        </w:rPr>
        <w:t>Financial technology as a tool for expanding the social function of Islamic finance</w:t>
      </w:r>
    </w:p>
    <w:p w14:paraId="055F74D6" w14:textId="77777777" w:rsidR="00AF3A45" w:rsidRPr="00AF3A45" w:rsidRDefault="005C70FB" w:rsidP="00AF3A45">
      <w:pPr>
        <w:snapToGrid w:val="0"/>
        <w:contextualSpacing/>
        <w:jc w:val="both"/>
        <w:rPr>
          <w:color w:val="000000" w:themeColor="text1"/>
          <w:sz w:val="28"/>
          <w:szCs w:val="28"/>
          <w:lang w:val="en-US"/>
        </w:rPr>
      </w:pPr>
      <w:r w:rsidRPr="00D549EE">
        <w:rPr>
          <w:b/>
          <w:color w:val="000000" w:themeColor="text1"/>
          <w:sz w:val="28"/>
          <w:szCs w:val="28"/>
          <w:lang w:val="en-US"/>
        </w:rPr>
        <w:tab/>
      </w:r>
      <w:r w:rsidR="00AF3A45" w:rsidRPr="00AF3A45">
        <w:rPr>
          <w:color w:val="000000" w:themeColor="text1"/>
          <w:sz w:val="28"/>
          <w:szCs w:val="28"/>
          <w:lang w:val="en-US"/>
        </w:rPr>
        <w:t>The role of financial technology cannot be undervalued in the financial industry development process. It is one of the essential innovations growing with swift speed, partly operated by information technology and favorable regulation. There is restructuring in the financial industry by cutting costs, improving the quality of financial services, and advancing the stable financial system. There is investment growth in fintech globally, from 9 billion US dollars in 2010 to 105.3 billion US dollars in 2020 [135]. There are five elements of the fintech ecosystem. The first one is fintech startups in the form of new companies which develop payment systems, wealth management tools, lending instruments, crowdfunding platforms, and capital market firms. The second element of the system is governed by providing a favorable regulatory framework. Traditional financial institutions are the other central and driver element of the fintech system, as these institutions develop technological platforms for customers.</w:t>
      </w:r>
    </w:p>
    <w:p w14:paraId="4B9B83C7" w14:textId="3A11EE2A" w:rsidR="00872B10" w:rsidRPr="00D549EE" w:rsidRDefault="00AF3A45" w:rsidP="00AF3A45">
      <w:pPr>
        <w:snapToGrid w:val="0"/>
        <w:ind w:firstLine="708"/>
        <w:contextualSpacing/>
        <w:jc w:val="both"/>
        <w:rPr>
          <w:b/>
          <w:color w:val="000000" w:themeColor="text1"/>
          <w:sz w:val="28"/>
          <w:szCs w:val="28"/>
          <w:lang w:val="en-US"/>
        </w:rPr>
      </w:pPr>
      <w:r w:rsidRPr="00AF3A45">
        <w:rPr>
          <w:color w:val="000000" w:themeColor="text1"/>
          <w:sz w:val="28"/>
          <w:szCs w:val="28"/>
          <w:lang w:val="en-US"/>
        </w:rPr>
        <w:t>Moreover, financial customers, individuals, and organizations create the fintech system's next element. It is impossible to describe a fintech system without technology developers, who provide the system with the necessary technological solution, big data analytics, cryptocurrency, and social media developers [136]. The role of the government and banks, that is, financial institutions, is important in fintech development and poverty reduction. According to PK Ozil, the framework of these players of the economies can be illustrated as follows</w:t>
      </w:r>
      <w:r w:rsidR="008B4A1B" w:rsidRPr="00D549EE">
        <w:rPr>
          <w:color w:val="000000" w:themeColor="text1"/>
          <w:sz w:val="28"/>
          <w:szCs w:val="28"/>
          <w:lang w:val="en-US"/>
        </w:rPr>
        <w:t xml:space="preserve">. </w:t>
      </w:r>
    </w:p>
    <w:p w14:paraId="456CA12E" w14:textId="3D71A389" w:rsidR="004105C3" w:rsidRPr="00D549EE" w:rsidRDefault="00091E94" w:rsidP="00C9582F">
      <w:pPr>
        <w:pStyle w:val="a5"/>
        <w:jc w:val="both"/>
        <w:rPr>
          <w:color w:val="000000" w:themeColor="text1"/>
          <w:sz w:val="28"/>
          <w:szCs w:val="28"/>
          <w:lang w:val="en-US"/>
        </w:rPr>
      </w:pPr>
      <w:r w:rsidRPr="00D549EE">
        <w:rPr>
          <w:noProof/>
          <w:color w:val="000000" w:themeColor="text1"/>
          <w:sz w:val="28"/>
          <w:szCs w:val="28"/>
        </w:rPr>
        <mc:AlternateContent>
          <mc:Choice Requires="wps">
            <w:drawing>
              <wp:anchor distT="0" distB="0" distL="114300" distR="114300" simplePos="0" relativeHeight="251666432" behindDoc="0" locked="0" layoutInCell="1" allowOverlap="1" wp14:anchorId="6097AB09" wp14:editId="2CAAA247">
                <wp:simplePos x="0" y="0"/>
                <wp:positionH relativeFrom="column">
                  <wp:posOffset>2021205</wp:posOffset>
                </wp:positionH>
                <wp:positionV relativeFrom="paragraph">
                  <wp:posOffset>285733</wp:posOffset>
                </wp:positionV>
                <wp:extent cx="1298575" cy="520700"/>
                <wp:effectExtent l="0" t="0" r="9525" b="12700"/>
                <wp:wrapNone/>
                <wp:docPr id="9" name="Прямоугольник 9"/>
                <wp:cNvGraphicFramePr/>
                <a:graphic xmlns:a="http://schemas.openxmlformats.org/drawingml/2006/main">
                  <a:graphicData uri="http://schemas.microsoft.com/office/word/2010/wordprocessingShape">
                    <wps:wsp>
                      <wps:cNvSpPr/>
                      <wps:spPr>
                        <a:xfrm>
                          <a:off x="0" y="0"/>
                          <a:ext cx="1298575" cy="520700"/>
                        </a:xfrm>
                        <a:prstGeom prst="rect">
                          <a:avLst/>
                        </a:prstGeom>
                        <a:ln/>
                      </wps:spPr>
                      <wps:style>
                        <a:lnRef idx="2">
                          <a:schemeClr val="dk1"/>
                        </a:lnRef>
                        <a:fillRef idx="1">
                          <a:schemeClr val="lt1"/>
                        </a:fillRef>
                        <a:effectRef idx="0">
                          <a:schemeClr val="dk1"/>
                        </a:effectRef>
                        <a:fontRef idx="minor">
                          <a:schemeClr val="dk1"/>
                        </a:fontRef>
                      </wps:style>
                      <wps:txbx>
                        <w:txbxContent>
                          <w:p w14:paraId="666F7C75" w14:textId="15BA5CB3" w:rsidR="00AC0BEF" w:rsidRPr="00F071F5" w:rsidRDefault="00AC0BEF" w:rsidP="00F071F5">
                            <w:pPr>
                              <w:jc w:val="center"/>
                              <w:rPr>
                                <w:color w:val="000000" w:themeColor="text1"/>
                                <w:sz w:val="20"/>
                                <w:szCs w:val="20"/>
                                <w:lang w:val="en-US"/>
                              </w:rPr>
                            </w:pPr>
                            <w:r w:rsidRPr="00F071F5">
                              <w:rPr>
                                <w:color w:val="000000" w:themeColor="text1"/>
                                <w:sz w:val="20"/>
                                <w:szCs w:val="20"/>
                                <w:lang w:val="en-US"/>
                              </w:rPr>
                              <w:t>Poverty (problem)</w:t>
                            </w:r>
                          </w:p>
                          <w:p w14:paraId="298306CF" w14:textId="58C8E960" w:rsidR="00AC0BEF" w:rsidRPr="00F071F5" w:rsidRDefault="00AC0BEF" w:rsidP="00F071F5">
                            <w:pPr>
                              <w:jc w:val="center"/>
                              <w:rPr>
                                <w:color w:val="000000" w:themeColor="text1"/>
                                <w:sz w:val="20"/>
                                <w:szCs w:val="20"/>
                                <w:lang w:val="en-US"/>
                              </w:rPr>
                            </w:pPr>
                            <w:r w:rsidRPr="00F071F5">
                              <w:rPr>
                                <w:color w:val="000000" w:themeColor="text1"/>
                                <w:sz w:val="20"/>
                                <w:szCs w:val="20"/>
                                <w:lang w:val="en-US"/>
                              </w:rPr>
                              <w:t>5% (12%) for Kazakhstan</w:t>
                            </w:r>
                          </w:p>
                          <w:p w14:paraId="54AF7106" w14:textId="77777777" w:rsidR="00AC0BEF" w:rsidRPr="00F071F5" w:rsidRDefault="00AC0BE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97AB09" id="Прямоугольник 9" o:spid="_x0000_s1040" style="position:absolute;left:0;text-align:left;margin-left:159.15pt;margin-top:22.5pt;width:102.25pt;height:4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" fillcolor="white [3201]" strokecolor="black [3200]" strokeweight="1pt">
                <v:textbox>
                  <w:txbxContent>
                    <w:p w14:paraId="666F7C75" w14:textId="15BA5CB3" w:rsidR="00AC0BEF" w:rsidRPr="00F071F5" w:rsidRDefault="00AC0BEF" w:rsidP="00F071F5">
                      <w:pPr>
                        <w:jc w:val="center"/>
                        <w:rPr>
                          <w:color w:val="000000" w:themeColor="text1"/>
                          <w:sz w:val="20"/>
                          <w:szCs w:val="20"/>
                          <w:lang w:val="en-US"/>
                        </w:rPr>
                      </w:pPr>
                      <w:r w:rsidRPr="00F071F5">
                        <w:rPr>
                          <w:color w:val="000000" w:themeColor="text1"/>
                          <w:sz w:val="20"/>
                          <w:szCs w:val="20"/>
                          <w:lang w:val="en-US"/>
                        </w:rPr>
                        <w:t>Poverty (problem)</w:t>
                      </w:r>
                    </w:p>
                    <w:p w14:paraId="298306CF" w14:textId="58C8E960" w:rsidR="00AC0BEF" w:rsidRPr="00F071F5" w:rsidRDefault="00AC0BEF" w:rsidP="00F071F5">
                      <w:pPr>
                        <w:jc w:val="center"/>
                        <w:rPr>
                          <w:color w:val="000000" w:themeColor="text1"/>
                          <w:sz w:val="20"/>
                          <w:szCs w:val="20"/>
                          <w:lang w:val="en-US"/>
                        </w:rPr>
                      </w:pPr>
                      <w:r w:rsidRPr="00F071F5">
                        <w:rPr>
                          <w:color w:val="000000" w:themeColor="text1"/>
                          <w:sz w:val="20"/>
                          <w:szCs w:val="20"/>
                          <w:lang w:val="en-US"/>
                        </w:rPr>
                        <w:t>5% (12%) for Kazakhstan</w:t>
                      </w:r>
                    </w:p>
                    <w:p w14:paraId="54AF7106" w14:textId="77777777" w:rsidR="00AC0BEF" w:rsidRPr="00F071F5" w:rsidRDefault="00AC0BEF">
                      <w:pPr>
                        <w:rPr>
                          <w:color w:val="000000" w:themeColor="text1"/>
                        </w:rPr>
                      </w:pPr>
                    </w:p>
                  </w:txbxContent>
                </v:textbox>
              </v:rect>
            </w:pict>
          </mc:Fallback>
        </mc:AlternateContent>
      </w:r>
      <w:r w:rsidR="00C82493" w:rsidRPr="00D549EE">
        <w:rPr>
          <w:noProof/>
          <w:color w:val="000000" w:themeColor="text1"/>
          <w:sz w:val="28"/>
          <w:szCs w:val="28"/>
        </w:rPr>
        <mc:AlternateContent>
          <mc:Choice Requires="wps">
            <w:drawing>
              <wp:anchor distT="0" distB="0" distL="114300" distR="114300" simplePos="0" relativeHeight="251682816" behindDoc="0" locked="0" layoutInCell="1" allowOverlap="1" wp14:anchorId="13C51EE4" wp14:editId="405C6CED">
                <wp:simplePos x="0" y="0"/>
                <wp:positionH relativeFrom="column">
                  <wp:posOffset>3322729</wp:posOffset>
                </wp:positionH>
                <wp:positionV relativeFrom="paragraph">
                  <wp:posOffset>288177</wp:posOffset>
                </wp:positionV>
                <wp:extent cx="1428738" cy="239282"/>
                <wp:effectExtent l="0" t="0" r="19685" b="27940"/>
                <wp:wrapNone/>
                <wp:docPr id="54" name="Стрелка углом вверх 54"/>
                <wp:cNvGraphicFramePr/>
                <a:graphic xmlns:a="http://schemas.openxmlformats.org/drawingml/2006/main">
                  <a:graphicData uri="http://schemas.microsoft.com/office/word/2010/wordprocessingShape">
                    <wps:wsp>
                      <wps:cNvSpPr/>
                      <wps:spPr>
                        <a:xfrm flipV="1">
                          <a:off x="0" y="0"/>
                          <a:ext cx="1428738" cy="239282"/>
                        </a:xfrm>
                        <a:prstGeom prst="bentUpArrow">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E0C7F8" id="Стрелка углом вверх 54" o:spid="_x0000_s1026" style="position:absolute;margin-left:261.65pt;margin-top:22.7pt;width:112.5pt;height:18.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38,23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" path="m,179462r1339007,l1339007,59821r-29910,l1368918,r59820,59821l1398828,59821r,179461l,239282,,179462xe" fillcolor="white [3201]" strokecolor="black [3213]" strokeweight="1pt">
                <v:stroke joinstyle="miter"/>
                <v:path arrowok="t" o:connecttype="custom" o:connectlocs="0,179462;1339007,179462;1339007,59821;1309097,59821;1368918,0;1428738,59821;1398828,59821;1398828,239282;0,239282;0,179462" o:connectangles="0,0,0,0,0,0,0,0,0,0"/>
              </v:shape>
            </w:pict>
          </mc:Fallback>
        </mc:AlternateContent>
      </w:r>
    </w:p>
    <w:p w14:paraId="3CF17DD2" w14:textId="3703B233" w:rsidR="008B4A1B" w:rsidRPr="00D549EE" w:rsidRDefault="007A1F83" w:rsidP="00C9582F">
      <w:pPr>
        <w:pStyle w:val="a5"/>
        <w:jc w:val="both"/>
        <w:rPr>
          <w:color w:val="000000" w:themeColor="text1"/>
          <w:sz w:val="28"/>
          <w:szCs w:val="28"/>
          <w:lang w:val="en-US"/>
        </w:rPr>
      </w:pPr>
      <w:r w:rsidRPr="00D549EE">
        <w:rPr>
          <w:noProof/>
          <w:color w:val="000000" w:themeColor="text1"/>
          <w:sz w:val="28"/>
          <w:szCs w:val="28"/>
        </w:rPr>
        <mc:AlternateContent>
          <mc:Choice Requires="wps">
            <w:drawing>
              <wp:anchor distT="0" distB="0" distL="114300" distR="114300" simplePos="0" relativeHeight="251674624" behindDoc="0" locked="0" layoutInCell="1" allowOverlap="1" wp14:anchorId="1FCCCBCE" wp14:editId="645E1A52">
                <wp:simplePos x="0" y="0"/>
                <wp:positionH relativeFrom="column">
                  <wp:posOffset>3764280</wp:posOffset>
                </wp:positionH>
                <wp:positionV relativeFrom="paragraph">
                  <wp:posOffset>146364</wp:posOffset>
                </wp:positionV>
                <wp:extent cx="1785620" cy="520700"/>
                <wp:effectExtent l="0" t="0" r="17780" b="12700"/>
                <wp:wrapNone/>
                <wp:docPr id="36" name="Прямоугольник 36"/>
                <wp:cNvGraphicFramePr/>
                <a:graphic xmlns:a="http://schemas.openxmlformats.org/drawingml/2006/main">
                  <a:graphicData uri="http://schemas.microsoft.com/office/word/2010/wordprocessingShape">
                    <wps:wsp>
                      <wps:cNvSpPr/>
                      <wps:spPr>
                        <a:xfrm>
                          <a:off x="0" y="0"/>
                          <a:ext cx="1785620" cy="52070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CA7FED5" w14:textId="6B023304" w:rsidR="00AC0BEF" w:rsidRPr="00CA48A2" w:rsidRDefault="00AC0BEF" w:rsidP="001C3CA7">
                            <w:pPr>
                              <w:jc w:val="center"/>
                              <w:rPr>
                                <w:sz w:val="20"/>
                                <w:szCs w:val="20"/>
                                <w:lang w:val="en-US"/>
                              </w:rPr>
                            </w:pPr>
                            <w:r w:rsidRPr="001C3CA7">
                              <w:rPr>
                                <w:sz w:val="20"/>
                                <w:szCs w:val="20"/>
                                <w:lang w:val="en-US"/>
                              </w:rPr>
                              <w:t>Mobile phone or device available</w:t>
                            </w:r>
                            <w:r>
                              <w:rPr>
                                <w:sz w:val="20"/>
                                <w:szCs w:val="20"/>
                                <w:lang w:val="en-US"/>
                              </w:rPr>
                              <w:t xml:space="preserve">, </w:t>
                            </w:r>
                            <w:r w:rsidRPr="00CA48A2">
                              <w:rPr>
                                <w:sz w:val="20"/>
                                <w:szCs w:val="20"/>
                                <w:lang w:val="en-US"/>
                              </w:rPr>
                              <w:t>78</w:t>
                            </w:r>
                            <w:r>
                              <w:rPr>
                                <w:sz w:val="20"/>
                                <w:szCs w:val="20"/>
                                <w:lang w:val="en-US"/>
                              </w:rPr>
                              <w:t>.6%, 84.2% has internet accsess in Kazakhstan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CCBCE" id="Прямоугольник 36" o:spid="_x0000_s1041" style="position:absolute;left:0;text-align:left;margin-left:296.4pt;margin-top:11.5pt;width:140.6pt;height: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" fillcolor="white [3201]" strokecolor="black [3213]" strokeweight="1pt">
                <v:textbox>
                  <w:txbxContent>
                    <w:p w14:paraId="3CA7FED5" w14:textId="6B023304" w:rsidR="00AC0BEF" w:rsidRPr="00CA48A2" w:rsidRDefault="00AC0BEF" w:rsidP="001C3CA7">
                      <w:pPr>
                        <w:jc w:val="center"/>
                        <w:rPr>
                          <w:sz w:val="20"/>
                          <w:szCs w:val="20"/>
                          <w:lang w:val="en-US"/>
                        </w:rPr>
                      </w:pPr>
                      <w:r w:rsidRPr="001C3CA7">
                        <w:rPr>
                          <w:sz w:val="20"/>
                          <w:szCs w:val="20"/>
                          <w:lang w:val="en-US"/>
                        </w:rPr>
                        <w:t>Mobile phone or device available</w:t>
                      </w:r>
                      <w:r>
                        <w:rPr>
                          <w:sz w:val="20"/>
                          <w:szCs w:val="20"/>
                          <w:lang w:val="en-US"/>
                        </w:rPr>
                        <w:t xml:space="preserve">, </w:t>
                      </w:r>
                      <w:r w:rsidRPr="00CA48A2">
                        <w:rPr>
                          <w:sz w:val="20"/>
                          <w:szCs w:val="20"/>
                          <w:lang w:val="en-US"/>
                        </w:rPr>
                        <w:t>78</w:t>
                      </w:r>
                      <w:r>
                        <w:rPr>
                          <w:sz w:val="20"/>
                          <w:szCs w:val="20"/>
                          <w:lang w:val="en-US"/>
                        </w:rPr>
                        <w:t>.6%, 84.2% has internet accsess in Kazakhstan</w:t>
                      </w:r>
                    </w:p>
                  </w:txbxContent>
                </v:textbox>
              </v:rect>
            </w:pict>
          </mc:Fallback>
        </mc:AlternateContent>
      </w:r>
      <w:r w:rsidRPr="00D549EE">
        <w:rPr>
          <w:noProof/>
          <w:color w:val="000000" w:themeColor="text1"/>
          <w:sz w:val="28"/>
          <w:szCs w:val="28"/>
        </w:rPr>
        <mc:AlternateContent>
          <mc:Choice Requires="wps">
            <w:drawing>
              <wp:anchor distT="0" distB="0" distL="114300" distR="114300" simplePos="0" relativeHeight="251673600" behindDoc="0" locked="0" layoutInCell="1" allowOverlap="1" wp14:anchorId="3CF7DE9B" wp14:editId="0E27BE3F">
                <wp:simplePos x="0" y="0"/>
                <wp:positionH relativeFrom="column">
                  <wp:posOffset>3371985</wp:posOffset>
                </wp:positionH>
                <wp:positionV relativeFrom="paragraph">
                  <wp:posOffset>249395</wp:posOffset>
                </wp:positionV>
                <wp:extent cx="299341" cy="1880075"/>
                <wp:effectExtent l="25400" t="0" r="18415" b="12700"/>
                <wp:wrapNone/>
                <wp:docPr id="35" name="Открывающая фигурная скобка 35"/>
                <wp:cNvGraphicFramePr/>
                <a:graphic xmlns:a="http://schemas.openxmlformats.org/drawingml/2006/main">
                  <a:graphicData uri="http://schemas.microsoft.com/office/word/2010/wordprocessingShape">
                    <wps:wsp>
                      <wps:cNvSpPr/>
                      <wps:spPr>
                        <a:xfrm>
                          <a:off x="0" y="0"/>
                          <a:ext cx="299341" cy="1880075"/>
                        </a:xfrm>
                        <a:prstGeom prst="leftBrace">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5AF048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Открывающая фигурная скобка 35" o:spid="_x0000_s1026" type="#_x0000_t87" style="position:absolute;margin-left:265.5pt;margin-top:19.65pt;width:23.55pt;height:14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" adj="287" strokecolor="black [3213]" strokeweight=".5pt">
                <v:stroke joinstyle="miter"/>
              </v:shape>
            </w:pict>
          </mc:Fallback>
        </mc:AlternateContent>
      </w:r>
      <w:r w:rsidR="00F071F5" w:rsidRPr="00D549EE">
        <w:rPr>
          <w:noProof/>
          <w:color w:val="000000" w:themeColor="text1"/>
          <w:sz w:val="28"/>
          <w:szCs w:val="28"/>
        </w:rPr>
        <mc:AlternateContent>
          <mc:Choice Requires="wps">
            <w:drawing>
              <wp:anchor distT="0" distB="0" distL="114300" distR="114300" simplePos="0" relativeHeight="251669504" behindDoc="0" locked="0" layoutInCell="1" allowOverlap="1" wp14:anchorId="27825AE8" wp14:editId="520DDB2E">
                <wp:simplePos x="0" y="0"/>
                <wp:positionH relativeFrom="column">
                  <wp:posOffset>757211</wp:posOffset>
                </wp:positionH>
                <wp:positionV relativeFrom="paragraph">
                  <wp:posOffset>146845</wp:posOffset>
                </wp:positionV>
                <wp:extent cx="1213503" cy="692210"/>
                <wp:effectExtent l="25400" t="0" r="18415" b="31750"/>
                <wp:wrapNone/>
                <wp:docPr id="30" name="Прямая со стрелкой 30"/>
                <wp:cNvGraphicFramePr/>
                <a:graphic xmlns:a="http://schemas.openxmlformats.org/drawingml/2006/main">
                  <a:graphicData uri="http://schemas.microsoft.com/office/word/2010/wordprocessingShape">
                    <wps:wsp>
                      <wps:cNvCnPr/>
                      <wps:spPr>
                        <a:xfrm flipH="1">
                          <a:off x="0" y="0"/>
                          <a:ext cx="1213503" cy="692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2449F417" id="_x0000_t32" coordsize="21600,21600" o:spt="32" o:oned="t" path="m,l21600,21600e" filled="f">
                <v:path arrowok="t" fillok="f" o:connecttype="none"/>
                <o:lock v:ext="edit" shapetype="t"/>
              </v:shapetype>
              <v:shape id="Прямая со стрелкой 30" o:spid="_x0000_s1026" type="#_x0000_t32" style="position:absolute;margin-left:59.6pt;margin-top:11.55pt;width:95.55pt;height:54.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" strokecolor="black [3200]" strokeweight=".5pt">
                <v:stroke endarrow="block" joinstyle="miter"/>
              </v:shape>
            </w:pict>
          </mc:Fallback>
        </mc:AlternateContent>
      </w:r>
    </w:p>
    <w:p w14:paraId="4C9A6A34" w14:textId="549EF0F5" w:rsidR="00F071F5" w:rsidRPr="00D549EE" w:rsidRDefault="007A1F83" w:rsidP="00C9582F">
      <w:pPr>
        <w:pStyle w:val="a5"/>
        <w:jc w:val="both"/>
        <w:rPr>
          <w:color w:val="000000" w:themeColor="text1"/>
          <w:sz w:val="28"/>
          <w:szCs w:val="28"/>
          <w:lang w:val="en-US"/>
        </w:rPr>
      </w:pPr>
      <w:r w:rsidRPr="00D549EE">
        <w:rPr>
          <w:noProof/>
          <w:color w:val="000000" w:themeColor="text1"/>
          <w:sz w:val="28"/>
          <w:szCs w:val="28"/>
        </w:rPr>
        <mc:AlternateContent>
          <mc:Choice Requires="wps">
            <w:drawing>
              <wp:anchor distT="0" distB="0" distL="114300" distR="114300" simplePos="0" relativeHeight="251678720" behindDoc="0" locked="0" layoutInCell="1" allowOverlap="1" wp14:anchorId="60D5D337" wp14:editId="631774C2">
                <wp:simplePos x="0" y="0"/>
                <wp:positionH relativeFrom="column">
                  <wp:posOffset>4606972</wp:posOffset>
                </wp:positionH>
                <wp:positionV relativeFrom="paragraph">
                  <wp:posOffset>285275</wp:posOffset>
                </wp:positionV>
                <wp:extent cx="91968" cy="171539"/>
                <wp:effectExtent l="12700" t="0" r="22860" b="31750"/>
                <wp:wrapNone/>
                <wp:docPr id="43" name="Стрелка вниз 43"/>
                <wp:cNvGraphicFramePr/>
                <a:graphic xmlns:a="http://schemas.openxmlformats.org/drawingml/2006/main">
                  <a:graphicData uri="http://schemas.microsoft.com/office/word/2010/wordprocessingShape">
                    <wps:wsp>
                      <wps:cNvSpPr/>
                      <wps:spPr>
                        <a:xfrm flipH="1">
                          <a:off x="0" y="0"/>
                          <a:ext cx="91968" cy="171539"/>
                        </a:xfrm>
                        <a:prstGeom prst="downArrow">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DF3CA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3" o:spid="_x0000_s1026" type="#_x0000_t67" style="position:absolute;margin-left:362.75pt;margin-top:22.45pt;width:7.25pt;height:1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" adj="15810" fillcolor="white [3201]" strokecolor="black [3213]" strokeweight="1pt"/>
            </w:pict>
          </mc:Fallback>
        </mc:AlternateContent>
      </w:r>
      <w:r w:rsidR="00F071F5" w:rsidRPr="00D549EE">
        <w:rPr>
          <w:noProof/>
          <w:color w:val="000000" w:themeColor="text1"/>
          <w:sz w:val="28"/>
          <w:szCs w:val="28"/>
        </w:rPr>
        <mc:AlternateContent>
          <mc:Choice Requires="wps">
            <w:drawing>
              <wp:anchor distT="0" distB="0" distL="114300" distR="114300" simplePos="0" relativeHeight="251671552" behindDoc="0" locked="0" layoutInCell="1" allowOverlap="1" wp14:anchorId="67CC60B4" wp14:editId="243133BE">
                <wp:simplePos x="0" y="0"/>
                <wp:positionH relativeFrom="column">
                  <wp:posOffset>2603102</wp:posOffset>
                </wp:positionH>
                <wp:positionV relativeFrom="paragraph">
                  <wp:posOffset>20356</wp:posOffset>
                </wp:positionV>
                <wp:extent cx="0" cy="479158"/>
                <wp:effectExtent l="63500" t="0" r="76200" b="29210"/>
                <wp:wrapNone/>
                <wp:docPr id="33" name="Прямая со стрелкой 33"/>
                <wp:cNvGraphicFramePr/>
                <a:graphic xmlns:a="http://schemas.openxmlformats.org/drawingml/2006/main">
                  <a:graphicData uri="http://schemas.microsoft.com/office/word/2010/wordprocessingShape">
                    <wps:wsp>
                      <wps:cNvCnPr/>
                      <wps:spPr>
                        <a:xfrm>
                          <a:off x="0" y="0"/>
                          <a:ext cx="0" cy="4791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9FA56B8" id="Прямая со стрелкой 33" o:spid="_x0000_s1026" type="#_x0000_t32" style="position:absolute;margin-left:204.95pt;margin-top:1.6pt;width:0;height:37.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" strokecolor="black [3200]" strokeweight=".5pt">
                <v:stroke endarrow="block" joinstyle="miter"/>
              </v:shape>
            </w:pict>
          </mc:Fallback>
        </mc:AlternateContent>
      </w:r>
    </w:p>
    <w:p w14:paraId="726CE77B" w14:textId="714F3B59" w:rsidR="008B4A1B" w:rsidRPr="00D549EE" w:rsidRDefault="007A1F83" w:rsidP="00C9582F">
      <w:pPr>
        <w:pStyle w:val="a5"/>
        <w:jc w:val="both"/>
        <w:rPr>
          <w:color w:val="000000" w:themeColor="text1"/>
          <w:sz w:val="28"/>
          <w:szCs w:val="28"/>
          <w:lang w:val="en-US"/>
        </w:rPr>
      </w:pPr>
      <w:r w:rsidRPr="00D549EE">
        <w:rPr>
          <w:noProof/>
          <w:color w:val="000000" w:themeColor="text1"/>
          <w:sz w:val="28"/>
          <w:szCs w:val="28"/>
        </w:rPr>
        <mc:AlternateContent>
          <mc:Choice Requires="wps">
            <w:drawing>
              <wp:anchor distT="0" distB="0" distL="114300" distR="114300" simplePos="0" relativeHeight="251675648" behindDoc="0" locked="0" layoutInCell="1" allowOverlap="1" wp14:anchorId="63E31FE5" wp14:editId="09FD8BFA">
                <wp:simplePos x="0" y="0"/>
                <wp:positionH relativeFrom="column">
                  <wp:posOffset>3764915</wp:posOffset>
                </wp:positionH>
                <wp:positionV relativeFrom="paragraph">
                  <wp:posOffset>73596</wp:posOffset>
                </wp:positionV>
                <wp:extent cx="1784985" cy="435835"/>
                <wp:effectExtent l="0" t="0" r="18415" b="8890"/>
                <wp:wrapNone/>
                <wp:docPr id="37" name="Прямоугольник 37"/>
                <wp:cNvGraphicFramePr/>
                <a:graphic xmlns:a="http://schemas.openxmlformats.org/drawingml/2006/main">
                  <a:graphicData uri="http://schemas.microsoft.com/office/word/2010/wordprocessingShape">
                    <wps:wsp>
                      <wps:cNvSpPr/>
                      <wps:spPr>
                        <a:xfrm>
                          <a:off x="0" y="0"/>
                          <a:ext cx="1784985" cy="43583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5ED03BD" w14:textId="25F2B0BC" w:rsidR="00AC0BEF" w:rsidRPr="004F6B5B" w:rsidRDefault="00AC0BEF" w:rsidP="00CA48A2">
                            <w:pPr>
                              <w:jc w:val="center"/>
                              <w:rPr>
                                <w:sz w:val="20"/>
                                <w:szCs w:val="20"/>
                                <w:lang w:val="en-US"/>
                              </w:rPr>
                            </w:pPr>
                            <w:r w:rsidRPr="00CA48A2">
                              <w:rPr>
                                <w:sz w:val="20"/>
                                <w:szCs w:val="20"/>
                                <w:lang w:val="en-US"/>
                              </w:rPr>
                              <w:t>Financial Data inclusion</w:t>
                            </w:r>
                          </w:p>
                          <w:p w14:paraId="6A72EFB1" w14:textId="03B063C0" w:rsidR="00AC0BEF" w:rsidRPr="007A1F83" w:rsidRDefault="00AC0BEF" w:rsidP="00CA48A2">
                            <w:pPr>
                              <w:jc w:val="center"/>
                              <w:rPr>
                                <w:sz w:val="20"/>
                                <w:szCs w:val="20"/>
                                <w:lang w:val="en-US"/>
                              </w:rPr>
                            </w:pPr>
                            <w:r w:rsidRPr="004F6B5B">
                              <w:rPr>
                                <w:sz w:val="20"/>
                                <w:szCs w:val="20"/>
                                <w:lang w:val="en-US"/>
                              </w:rPr>
                              <w:t>(80</w:t>
                            </w:r>
                            <w:r>
                              <w:rPr>
                                <w:sz w:val="20"/>
                                <w:szCs w:val="20"/>
                                <w:lang w:val="en-US"/>
                              </w:rPr>
                              <w:t>% for Kazakhstan)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31FE5" id="Прямоугольник 37" o:spid="_x0000_s1042" style="position:absolute;left:0;text-align:left;margin-left:296.45pt;margin-top:5.8pt;width:140.55pt;height:3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" fillcolor="white [3201]" strokecolor="black [3213]" strokeweight="1pt">
                <v:textbox>
                  <w:txbxContent>
                    <w:p w14:paraId="65ED03BD" w14:textId="25F2B0BC" w:rsidR="00AC0BEF" w:rsidRPr="004F6B5B" w:rsidRDefault="00AC0BEF" w:rsidP="00CA48A2">
                      <w:pPr>
                        <w:jc w:val="center"/>
                        <w:rPr>
                          <w:sz w:val="20"/>
                          <w:szCs w:val="20"/>
                          <w:lang w:val="en-US"/>
                        </w:rPr>
                      </w:pPr>
                      <w:r w:rsidRPr="00CA48A2">
                        <w:rPr>
                          <w:sz w:val="20"/>
                          <w:szCs w:val="20"/>
                          <w:lang w:val="en-US"/>
                        </w:rPr>
                        <w:t>Financial Data inclusion</w:t>
                      </w:r>
                    </w:p>
                    <w:p w14:paraId="6A72EFB1" w14:textId="03B063C0" w:rsidR="00AC0BEF" w:rsidRPr="007A1F83" w:rsidRDefault="00AC0BEF" w:rsidP="00CA48A2">
                      <w:pPr>
                        <w:jc w:val="center"/>
                        <w:rPr>
                          <w:sz w:val="20"/>
                          <w:szCs w:val="20"/>
                          <w:lang w:val="en-US"/>
                        </w:rPr>
                      </w:pPr>
                      <w:r w:rsidRPr="004F6B5B">
                        <w:rPr>
                          <w:sz w:val="20"/>
                          <w:szCs w:val="20"/>
                          <w:lang w:val="en-US"/>
                        </w:rPr>
                        <w:t>(80</w:t>
                      </w:r>
                      <w:r>
                        <w:rPr>
                          <w:sz w:val="20"/>
                          <w:szCs w:val="20"/>
                          <w:lang w:val="en-US"/>
                        </w:rPr>
                        <w:t>% for Kazakhstan)</w:t>
                      </w:r>
                    </w:p>
                  </w:txbxContent>
                </v:textbox>
              </v:rect>
            </w:pict>
          </mc:Fallback>
        </mc:AlternateContent>
      </w:r>
      <w:r w:rsidR="00F071F5" w:rsidRPr="00D549EE">
        <w:rPr>
          <w:noProof/>
          <w:color w:val="000000" w:themeColor="text1"/>
          <w:sz w:val="28"/>
          <w:szCs w:val="28"/>
        </w:rPr>
        <mc:AlternateContent>
          <mc:Choice Requires="wps">
            <w:drawing>
              <wp:anchor distT="0" distB="0" distL="114300" distR="114300" simplePos="0" relativeHeight="251665408" behindDoc="0" locked="0" layoutInCell="1" allowOverlap="1" wp14:anchorId="642F3661" wp14:editId="1F702E58">
                <wp:simplePos x="0" y="0"/>
                <wp:positionH relativeFrom="column">
                  <wp:posOffset>116276</wp:posOffset>
                </wp:positionH>
                <wp:positionV relativeFrom="paragraph">
                  <wp:posOffset>117880</wp:posOffset>
                </wp:positionV>
                <wp:extent cx="1281430" cy="529322"/>
                <wp:effectExtent l="0" t="0" r="13970" b="17145"/>
                <wp:wrapNone/>
                <wp:docPr id="7" name="Прямоугольник 7"/>
                <wp:cNvGraphicFramePr/>
                <a:graphic xmlns:a="http://schemas.openxmlformats.org/drawingml/2006/main">
                  <a:graphicData uri="http://schemas.microsoft.com/office/word/2010/wordprocessingShape">
                    <wps:wsp>
                      <wps:cNvSpPr/>
                      <wps:spPr>
                        <a:xfrm>
                          <a:off x="0" y="0"/>
                          <a:ext cx="1281430" cy="529322"/>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71055B9" w14:textId="5E8E903D" w:rsidR="00AC0BEF" w:rsidRPr="008B4A1B" w:rsidRDefault="00AC0BEF" w:rsidP="008B4A1B">
                            <w:pPr>
                              <w:jc w:val="center"/>
                              <w:rPr>
                                <w:sz w:val="20"/>
                                <w:szCs w:val="20"/>
                                <w:lang w:val="en-US"/>
                              </w:rPr>
                            </w:pPr>
                            <w:r w:rsidRPr="008B4A1B">
                              <w:rPr>
                                <w:sz w:val="20"/>
                                <w:szCs w:val="20"/>
                                <w:lang w:val="en-US"/>
                              </w:rPr>
                              <w:t>Direct Government interv</w:t>
                            </w:r>
                            <w:r>
                              <w:rPr>
                                <w:sz w:val="20"/>
                                <w:szCs w:val="20"/>
                                <w:lang w:val="en-US"/>
                              </w:rPr>
                              <w: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2F3661" id="Прямоугольник 7" o:spid="_x0000_s1043" style="position:absolute;left:0;text-align:left;margin-left:9.15pt;margin-top:9.3pt;width:100.9pt;height:4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" fillcolor="white [3201]" strokecolor="black [3213]" strokeweight="1pt">
                <v:textbox>
                  <w:txbxContent>
                    <w:p w14:paraId="571055B9" w14:textId="5E8E903D" w:rsidR="00AC0BEF" w:rsidRPr="008B4A1B" w:rsidRDefault="00AC0BEF" w:rsidP="008B4A1B">
                      <w:pPr>
                        <w:jc w:val="center"/>
                        <w:rPr>
                          <w:sz w:val="20"/>
                          <w:szCs w:val="20"/>
                          <w:lang w:val="en-US"/>
                        </w:rPr>
                      </w:pPr>
                      <w:r w:rsidRPr="008B4A1B">
                        <w:rPr>
                          <w:sz w:val="20"/>
                          <w:szCs w:val="20"/>
                          <w:lang w:val="en-US"/>
                        </w:rPr>
                        <w:t>Direct Government interv</w:t>
                      </w:r>
                      <w:r>
                        <w:rPr>
                          <w:sz w:val="20"/>
                          <w:szCs w:val="20"/>
                          <w:lang w:val="en-US"/>
                        </w:rPr>
                        <w:t>ention</w:t>
                      </w:r>
                    </w:p>
                  </w:txbxContent>
                </v:textbox>
              </v:rect>
            </w:pict>
          </mc:Fallback>
        </mc:AlternateContent>
      </w:r>
      <w:r w:rsidR="00F071F5" w:rsidRPr="00D549EE">
        <w:rPr>
          <w:noProof/>
          <w:color w:val="000000" w:themeColor="text1"/>
          <w:sz w:val="28"/>
          <w:szCs w:val="28"/>
        </w:rPr>
        <mc:AlternateContent>
          <mc:Choice Requires="wps">
            <w:drawing>
              <wp:anchor distT="0" distB="0" distL="114300" distR="114300" simplePos="0" relativeHeight="251667456" behindDoc="0" locked="0" layoutInCell="1" allowOverlap="1" wp14:anchorId="3D1B90A6" wp14:editId="1A9D98BF">
                <wp:simplePos x="0" y="0"/>
                <wp:positionH relativeFrom="column">
                  <wp:posOffset>1970405</wp:posOffset>
                </wp:positionH>
                <wp:positionV relativeFrom="paragraph">
                  <wp:posOffset>117012</wp:posOffset>
                </wp:positionV>
                <wp:extent cx="1298575" cy="512748"/>
                <wp:effectExtent l="0" t="0" r="9525" b="8255"/>
                <wp:wrapNone/>
                <wp:docPr id="27" name="Прямоугольник 27"/>
                <wp:cNvGraphicFramePr/>
                <a:graphic xmlns:a="http://schemas.openxmlformats.org/drawingml/2006/main">
                  <a:graphicData uri="http://schemas.microsoft.com/office/word/2010/wordprocessingShape">
                    <wps:wsp>
                      <wps:cNvSpPr/>
                      <wps:spPr>
                        <a:xfrm>
                          <a:off x="0" y="0"/>
                          <a:ext cx="1298575" cy="512748"/>
                        </a:xfrm>
                        <a:prstGeom prst="rect">
                          <a:avLst/>
                        </a:prstGeom>
                        <a:ln/>
                      </wps:spPr>
                      <wps:style>
                        <a:lnRef idx="2">
                          <a:schemeClr val="dk1"/>
                        </a:lnRef>
                        <a:fillRef idx="1">
                          <a:schemeClr val="lt1"/>
                        </a:fillRef>
                        <a:effectRef idx="0">
                          <a:schemeClr val="dk1"/>
                        </a:effectRef>
                        <a:fontRef idx="minor">
                          <a:schemeClr val="dk1"/>
                        </a:fontRef>
                      </wps:style>
                      <wps:txbx>
                        <w:txbxContent>
                          <w:p w14:paraId="46D49EAC" w14:textId="38131932" w:rsidR="00AC0BEF" w:rsidRPr="00F071F5" w:rsidRDefault="00AC0BEF" w:rsidP="00F071F5">
                            <w:pPr>
                              <w:jc w:val="center"/>
                              <w:rPr>
                                <w:sz w:val="20"/>
                                <w:szCs w:val="20"/>
                                <w:lang w:val="en-US"/>
                              </w:rPr>
                            </w:pPr>
                            <w:r w:rsidRPr="00F071F5">
                              <w:rPr>
                                <w:sz w:val="20"/>
                                <w:szCs w:val="20"/>
                                <w:lang w:val="en-US"/>
                              </w:rPr>
                              <w:t>Private sector solution</w:t>
                            </w:r>
                            <w:r>
                              <w:rPr>
                                <w:sz w:val="20"/>
                                <w:szCs w:val="20"/>
                                <w:lang w:val="en-US"/>
                              </w:rPr>
                              <w:t xml:space="preserve"> (Fintech, Banks)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B90A6" id="Прямоугольник 27" o:spid="_x0000_s1044" style="position:absolute;left:0;text-align:left;margin-left:155.15pt;margin-top:9.2pt;width:102.25pt;height:40.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" fillcolor="white [3201]" strokecolor="black [3200]" strokeweight="1pt">
                <v:textbox>
                  <w:txbxContent>
                    <w:p w14:paraId="46D49EAC" w14:textId="38131932" w:rsidR="00AC0BEF" w:rsidRPr="00F071F5" w:rsidRDefault="00AC0BEF" w:rsidP="00F071F5">
                      <w:pPr>
                        <w:jc w:val="center"/>
                        <w:rPr>
                          <w:sz w:val="20"/>
                          <w:szCs w:val="20"/>
                          <w:lang w:val="en-US"/>
                        </w:rPr>
                      </w:pPr>
                      <w:r w:rsidRPr="00F071F5">
                        <w:rPr>
                          <w:sz w:val="20"/>
                          <w:szCs w:val="20"/>
                          <w:lang w:val="en-US"/>
                        </w:rPr>
                        <w:t>Private sector solution</w:t>
                      </w:r>
                      <w:r>
                        <w:rPr>
                          <w:sz w:val="20"/>
                          <w:szCs w:val="20"/>
                          <w:lang w:val="en-US"/>
                        </w:rPr>
                        <w:t xml:space="preserve"> (Fintech, Banks)</w:t>
                      </w:r>
                    </w:p>
                  </w:txbxContent>
                </v:textbox>
              </v:rect>
            </w:pict>
          </mc:Fallback>
        </mc:AlternateContent>
      </w:r>
    </w:p>
    <w:p w14:paraId="32DB3A9A" w14:textId="6580F2B4" w:rsidR="008B4A1B" w:rsidRPr="00D549EE" w:rsidRDefault="007A1F83" w:rsidP="00C9582F">
      <w:pPr>
        <w:pStyle w:val="a5"/>
        <w:jc w:val="both"/>
        <w:rPr>
          <w:color w:val="000000" w:themeColor="text1"/>
          <w:sz w:val="28"/>
          <w:szCs w:val="28"/>
          <w:lang w:val="en-US"/>
        </w:rPr>
      </w:pPr>
      <w:r w:rsidRPr="00D549EE">
        <w:rPr>
          <w:noProof/>
          <w:color w:val="000000" w:themeColor="text1"/>
          <w:sz w:val="28"/>
          <w:szCs w:val="28"/>
        </w:rPr>
        <mc:AlternateContent>
          <mc:Choice Requires="wps">
            <w:drawing>
              <wp:anchor distT="0" distB="0" distL="114300" distR="114300" simplePos="0" relativeHeight="251680768" behindDoc="0" locked="0" layoutInCell="1" allowOverlap="1" wp14:anchorId="57BE6DF0" wp14:editId="2954B176">
                <wp:simplePos x="0" y="0"/>
                <wp:positionH relativeFrom="column">
                  <wp:posOffset>4910467</wp:posOffset>
                </wp:positionH>
                <wp:positionV relativeFrom="paragraph">
                  <wp:posOffset>120169</wp:posOffset>
                </wp:positionV>
                <wp:extent cx="102549" cy="145279"/>
                <wp:effectExtent l="12700" t="12700" r="24765" b="7620"/>
                <wp:wrapNone/>
                <wp:docPr id="46" name="Стрелка вверх 46"/>
                <wp:cNvGraphicFramePr/>
                <a:graphic xmlns:a="http://schemas.openxmlformats.org/drawingml/2006/main">
                  <a:graphicData uri="http://schemas.microsoft.com/office/word/2010/wordprocessingShape">
                    <wps:wsp>
                      <wps:cNvSpPr/>
                      <wps:spPr>
                        <a:xfrm>
                          <a:off x="0" y="0"/>
                          <a:ext cx="102549" cy="145279"/>
                        </a:xfrm>
                        <a:prstGeom prst="upArrow">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3A59D55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6" o:spid="_x0000_s1026" type="#_x0000_t68" style="position:absolute;margin-left:386.65pt;margin-top:9.45pt;width:8.05pt;height:11.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" adj="7623" fillcolor="white [3201]" strokecolor="black [3213]" strokeweight="1pt"/>
            </w:pict>
          </mc:Fallback>
        </mc:AlternateContent>
      </w:r>
      <w:r w:rsidRPr="00D549EE">
        <w:rPr>
          <w:noProof/>
          <w:color w:val="000000" w:themeColor="text1"/>
          <w:sz w:val="28"/>
          <w:szCs w:val="28"/>
        </w:rPr>
        <mc:AlternateContent>
          <mc:Choice Requires="wps">
            <w:drawing>
              <wp:anchor distT="0" distB="0" distL="114300" distR="114300" simplePos="0" relativeHeight="251679744" behindDoc="0" locked="0" layoutInCell="1" allowOverlap="1" wp14:anchorId="0C40B1BD" wp14:editId="79FEAAD0">
                <wp:simplePos x="0" y="0"/>
                <wp:positionH relativeFrom="column">
                  <wp:posOffset>4256595</wp:posOffset>
                </wp:positionH>
                <wp:positionV relativeFrom="paragraph">
                  <wp:posOffset>119944</wp:posOffset>
                </wp:positionV>
                <wp:extent cx="117606" cy="145136"/>
                <wp:effectExtent l="12700" t="0" r="22225" b="20320"/>
                <wp:wrapNone/>
                <wp:docPr id="45" name="Стрелка вниз 45"/>
                <wp:cNvGraphicFramePr/>
                <a:graphic xmlns:a="http://schemas.openxmlformats.org/drawingml/2006/main">
                  <a:graphicData uri="http://schemas.microsoft.com/office/word/2010/wordprocessingShape">
                    <wps:wsp>
                      <wps:cNvSpPr/>
                      <wps:spPr>
                        <a:xfrm>
                          <a:off x="0" y="0"/>
                          <a:ext cx="117606" cy="145136"/>
                        </a:xfrm>
                        <a:prstGeom prst="downArrow">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5156EA" id="Стрелка вниз 45" o:spid="_x0000_s1026" type="#_x0000_t67" style="position:absolute;margin-left:335.15pt;margin-top:9.45pt;width:9.25pt;height:1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" adj="12849" fillcolor="white [3201]" strokecolor="black [3213]" strokeweight="1pt"/>
            </w:pict>
          </mc:Fallback>
        </mc:AlternateContent>
      </w:r>
      <w:r w:rsidR="00F071F5" w:rsidRPr="00D549EE">
        <w:rPr>
          <w:noProof/>
          <w:color w:val="000000" w:themeColor="text1"/>
          <w:sz w:val="28"/>
          <w:szCs w:val="28"/>
        </w:rPr>
        <mc:AlternateContent>
          <mc:Choice Requires="wps">
            <w:drawing>
              <wp:anchor distT="0" distB="0" distL="114300" distR="114300" simplePos="0" relativeHeight="251676672" behindDoc="0" locked="0" layoutInCell="1" allowOverlap="1" wp14:anchorId="0DA1259A" wp14:editId="0961AACC">
                <wp:simplePos x="0" y="0"/>
                <wp:positionH relativeFrom="column">
                  <wp:posOffset>3765330</wp:posOffset>
                </wp:positionH>
                <wp:positionV relativeFrom="paragraph">
                  <wp:posOffset>265448</wp:posOffset>
                </wp:positionV>
                <wp:extent cx="1785116" cy="341606"/>
                <wp:effectExtent l="0" t="0" r="18415" b="14605"/>
                <wp:wrapNone/>
                <wp:docPr id="38" name="Прямоугольник 38"/>
                <wp:cNvGraphicFramePr/>
                <a:graphic xmlns:a="http://schemas.openxmlformats.org/drawingml/2006/main">
                  <a:graphicData uri="http://schemas.microsoft.com/office/word/2010/wordprocessingShape">
                    <wps:wsp>
                      <wps:cNvSpPr/>
                      <wps:spPr>
                        <a:xfrm>
                          <a:off x="0" y="0"/>
                          <a:ext cx="1785116" cy="341606"/>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01ABFD2" w14:textId="13E863DC" w:rsidR="00AC0BEF" w:rsidRPr="007A1F83" w:rsidRDefault="00AC0BEF" w:rsidP="007A1F83">
                            <w:pPr>
                              <w:jc w:val="center"/>
                              <w:rPr>
                                <w:sz w:val="20"/>
                                <w:szCs w:val="20"/>
                                <w:lang w:val="en-US"/>
                              </w:rPr>
                            </w:pPr>
                            <w:r w:rsidRPr="007A1F83">
                              <w:rPr>
                                <w:sz w:val="20"/>
                                <w:szCs w:val="20"/>
                                <w:lang w:val="en-US"/>
                              </w:rPr>
                              <w:t>Digital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1259A" id="Прямоугольник 38" o:spid="_x0000_s1045" style="position:absolute;left:0;text-align:left;margin-left:296.5pt;margin-top:20.9pt;width:140.55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" fillcolor="white [3201]" strokecolor="black [3213]" strokeweight="1pt">
                <v:textbox>
                  <w:txbxContent>
                    <w:p w14:paraId="201ABFD2" w14:textId="13E863DC" w:rsidR="00AC0BEF" w:rsidRPr="007A1F83" w:rsidRDefault="00AC0BEF" w:rsidP="007A1F83">
                      <w:pPr>
                        <w:jc w:val="center"/>
                        <w:rPr>
                          <w:sz w:val="20"/>
                          <w:szCs w:val="20"/>
                          <w:lang w:val="en-US"/>
                        </w:rPr>
                      </w:pPr>
                      <w:r w:rsidRPr="007A1F83">
                        <w:rPr>
                          <w:sz w:val="20"/>
                          <w:szCs w:val="20"/>
                          <w:lang w:val="en-US"/>
                        </w:rPr>
                        <w:t>Digital Finance</w:t>
                      </w:r>
                    </w:p>
                  </w:txbxContent>
                </v:textbox>
              </v:rect>
            </w:pict>
          </mc:Fallback>
        </mc:AlternateContent>
      </w:r>
      <w:r w:rsidR="00F071F5" w:rsidRPr="00D549EE">
        <w:rPr>
          <w:noProof/>
          <w:color w:val="000000" w:themeColor="text1"/>
          <w:sz w:val="28"/>
          <w:szCs w:val="28"/>
        </w:rPr>
        <mc:AlternateContent>
          <mc:Choice Requires="wps">
            <w:drawing>
              <wp:anchor distT="0" distB="0" distL="114300" distR="114300" simplePos="0" relativeHeight="251672576" behindDoc="0" locked="0" layoutInCell="1" allowOverlap="1" wp14:anchorId="790EA019" wp14:editId="7029F126">
                <wp:simplePos x="0" y="0"/>
                <wp:positionH relativeFrom="column">
                  <wp:posOffset>2606782</wp:posOffset>
                </wp:positionH>
                <wp:positionV relativeFrom="paragraph">
                  <wp:posOffset>265448</wp:posOffset>
                </wp:positionV>
                <wp:extent cx="0" cy="572568"/>
                <wp:effectExtent l="63500" t="0" r="38100" b="37465"/>
                <wp:wrapNone/>
                <wp:docPr id="34" name="Прямая со стрелкой 34"/>
                <wp:cNvGraphicFramePr/>
                <a:graphic xmlns:a="http://schemas.openxmlformats.org/drawingml/2006/main">
                  <a:graphicData uri="http://schemas.microsoft.com/office/word/2010/wordprocessingShape">
                    <wps:wsp>
                      <wps:cNvCnPr/>
                      <wps:spPr>
                        <a:xfrm>
                          <a:off x="0" y="0"/>
                          <a:ext cx="0" cy="5725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7F5323C" id="Прямая со стрелкой 34" o:spid="_x0000_s1026" type="#_x0000_t32" style="position:absolute;margin-left:205.25pt;margin-top:20.9pt;width:0;height:45.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" strokecolor="black [3200]" strokeweight=".5pt">
                <v:stroke endarrow="block" joinstyle="miter"/>
              </v:shape>
            </w:pict>
          </mc:Fallback>
        </mc:AlternateContent>
      </w:r>
      <w:r w:rsidR="00F071F5" w:rsidRPr="00D549EE">
        <w:rPr>
          <w:noProof/>
          <w:color w:val="000000" w:themeColor="text1"/>
          <w:sz w:val="28"/>
          <w:szCs w:val="28"/>
        </w:rPr>
        <mc:AlternateContent>
          <mc:Choice Requires="wps">
            <w:drawing>
              <wp:anchor distT="0" distB="0" distL="114300" distR="114300" simplePos="0" relativeHeight="251670528" behindDoc="0" locked="0" layoutInCell="1" allowOverlap="1" wp14:anchorId="125B4AC7" wp14:editId="008F5FF3">
                <wp:simplePos x="0" y="0"/>
                <wp:positionH relativeFrom="column">
                  <wp:posOffset>756973</wp:posOffset>
                </wp:positionH>
                <wp:positionV relativeFrom="paragraph">
                  <wp:posOffset>264564</wp:posOffset>
                </wp:positionV>
                <wp:extent cx="1162466" cy="838372"/>
                <wp:effectExtent l="0" t="0" r="31750" b="38100"/>
                <wp:wrapNone/>
                <wp:docPr id="31" name="Прямая со стрелкой 31"/>
                <wp:cNvGraphicFramePr/>
                <a:graphic xmlns:a="http://schemas.openxmlformats.org/drawingml/2006/main">
                  <a:graphicData uri="http://schemas.microsoft.com/office/word/2010/wordprocessingShape">
                    <wps:wsp>
                      <wps:cNvCnPr/>
                      <wps:spPr>
                        <a:xfrm>
                          <a:off x="0" y="0"/>
                          <a:ext cx="1162466" cy="8383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2691030" id="Прямая со стрелкой 31" o:spid="_x0000_s1026" type="#_x0000_t32" style="position:absolute;margin-left:59.6pt;margin-top:20.85pt;width:91.55pt;height:6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" strokecolor="black [3200]" strokeweight=".5pt">
                <v:stroke endarrow="block" joinstyle="miter"/>
              </v:shape>
            </w:pict>
          </mc:Fallback>
        </mc:AlternateContent>
      </w:r>
    </w:p>
    <w:p w14:paraId="25BAB3A1" w14:textId="1E962FAA" w:rsidR="00F071F5" w:rsidRPr="00D549EE" w:rsidRDefault="00F071F5" w:rsidP="00C9582F">
      <w:pPr>
        <w:snapToGrid w:val="0"/>
        <w:contextualSpacing/>
        <w:jc w:val="center"/>
        <w:rPr>
          <w:color w:val="000000" w:themeColor="text1"/>
          <w:sz w:val="28"/>
          <w:szCs w:val="28"/>
          <w:lang w:val="en-US"/>
        </w:rPr>
      </w:pPr>
    </w:p>
    <w:p w14:paraId="73935107" w14:textId="550799BA" w:rsidR="00F071F5" w:rsidRPr="00D549EE" w:rsidRDefault="007A1F83" w:rsidP="00C9582F">
      <w:pPr>
        <w:snapToGrid w:val="0"/>
        <w:contextualSpacing/>
        <w:jc w:val="center"/>
        <w:rPr>
          <w:color w:val="000000" w:themeColor="text1"/>
          <w:sz w:val="28"/>
          <w:szCs w:val="28"/>
          <w:lang w:val="en-US"/>
        </w:rPr>
      </w:pPr>
      <w:r w:rsidRPr="00D549EE">
        <w:rPr>
          <w:noProof/>
          <w:color w:val="000000" w:themeColor="text1"/>
          <w:sz w:val="28"/>
          <w:szCs w:val="28"/>
        </w:rPr>
        <mc:AlternateContent>
          <mc:Choice Requires="wps">
            <w:drawing>
              <wp:anchor distT="0" distB="0" distL="114300" distR="114300" simplePos="0" relativeHeight="251681792" behindDoc="0" locked="0" layoutInCell="1" allowOverlap="1" wp14:anchorId="15046E96" wp14:editId="0B2A19BC">
                <wp:simplePos x="0" y="0"/>
                <wp:positionH relativeFrom="column">
                  <wp:posOffset>4606973</wp:posOffset>
                </wp:positionH>
                <wp:positionV relativeFrom="paragraph">
                  <wp:posOffset>20540</wp:posOffset>
                </wp:positionV>
                <wp:extent cx="87814" cy="180298"/>
                <wp:effectExtent l="12700" t="0" r="26670" b="23495"/>
                <wp:wrapNone/>
                <wp:docPr id="47" name="Стрелка вниз 47"/>
                <wp:cNvGraphicFramePr/>
                <a:graphic xmlns:a="http://schemas.openxmlformats.org/drawingml/2006/main">
                  <a:graphicData uri="http://schemas.microsoft.com/office/word/2010/wordprocessingShape">
                    <wps:wsp>
                      <wps:cNvSpPr/>
                      <wps:spPr>
                        <a:xfrm>
                          <a:off x="0" y="0"/>
                          <a:ext cx="87814" cy="180298"/>
                        </a:xfrm>
                        <a:prstGeom prst="downArrow">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0D3650C5" id="Стрелка вниз 47" o:spid="_x0000_s1026" type="#_x0000_t67" style="position:absolute;margin-left:362.75pt;margin-top:1.6pt;width:6.9pt;height:14.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" adj="16340" fillcolor="white [3201]" strokecolor="black [3213]" strokeweight="1pt"/>
            </w:pict>
          </mc:Fallback>
        </mc:AlternateContent>
      </w:r>
      <w:r w:rsidRPr="00D549EE">
        <w:rPr>
          <w:noProof/>
          <w:color w:val="000000" w:themeColor="text1"/>
          <w:sz w:val="28"/>
          <w:szCs w:val="28"/>
        </w:rPr>
        <mc:AlternateContent>
          <mc:Choice Requires="wps">
            <w:drawing>
              <wp:anchor distT="0" distB="0" distL="114300" distR="114300" simplePos="0" relativeHeight="251677696" behindDoc="0" locked="0" layoutInCell="1" allowOverlap="1" wp14:anchorId="3B6B369F" wp14:editId="071DD40B">
                <wp:simplePos x="0" y="0"/>
                <wp:positionH relativeFrom="column">
                  <wp:posOffset>3764280</wp:posOffset>
                </wp:positionH>
                <wp:positionV relativeFrom="paragraph">
                  <wp:posOffset>199651</wp:posOffset>
                </wp:positionV>
                <wp:extent cx="1785620" cy="384092"/>
                <wp:effectExtent l="0" t="0" r="17780" b="10160"/>
                <wp:wrapNone/>
                <wp:docPr id="39" name="Прямоугольник 39"/>
                <wp:cNvGraphicFramePr/>
                <a:graphic xmlns:a="http://schemas.openxmlformats.org/drawingml/2006/main">
                  <a:graphicData uri="http://schemas.microsoft.com/office/word/2010/wordprocessingShape">
                    <wps:wsp>
                      <wps:cNvSpPr/>
                      <wps:spPr>
                        <a:xfrm>
                          <a:off x="0" y="0"/>
                          <a:ext cx="1785620" cy="384092"/>
                        </a:xfrm>
                        <a:prstGeom prst="rect">
                          <a:avLst/>
                        </a:prstGeom>
                        <a:ln/>
                      </wps:spPr>
                      <wps:style>
                        <a:lnRef idx="2">
                          <a:schemeClr val="dk1"/>
                        </a:lnRef>
                        <a:fillRef idx="1">
                          <a:schemeClr val="lt1"/>
                        </a:fillRef>
                        <a:effectRef idx="0">
                          <a:schemeClr val="dk1"/>
                        </a:effectRef>
                        <a:fontRef idx="minor">
                          <a:schemeClr val="dk1"/>
                        </a:fontRef>
                      </wps:style>
                      <wps:txbx>
                        <w:txbxContent>
                          <w:p w14:paraId="529EE958" w14:textId="7EDB5766" w:rsidR="00AC0BEF" w:rsidRPr="007A1F83" w:rsidRDefault="00AC0BEF" w:rsidP="007A1F83">
                            <w:pPr>
                              <w:jc w:val="center"/>
                              <w:rPr>
                                <w:sz w:val="20"/>
                                <w:szCs w:val="20"/>
                                <w:lang w:val="en-US"/>
                              </w:rPr>
                            </w:pPr>
                            <w:r w:rsidRPr="007A1F83">
                              <w:rPr>
                                <w:sz w:val="20"/>
                                <w:szCs w:val="20"/>
                                <w:lang w:val="en-US"/>
                              </w:rPr>
                              <w:t xml:space="preserve">Financial Inclusion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369F" id="Прямоугольник 39" o:spid="_x0000_s1046" style="position:absolute;left:0;text-align:left;margin-left:296.4pt;margin-top:15.7pt;width:140.6pt;height:3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" fillcolor="white [3201]" strokecolor="black [3200]" strokeweight="1pt">
                <v:textbox>
                  <w:txbxContent>
                    <w:p w14:paraId="529EE958" w14:textId="7EDB5766" w:rsidR="00AC0BEF" w:rsidRPr="007A1F83" w:rsidRDefault="00AC0BEF" w:rsidP="007A1F83">
                      <w:pPr>
                        <w:jc w:val="center"/>
                        <w:rPr>
                          <w:sz w:val="20"/>
                          <w:szCs w:val="20"/>
                          <w:lang w:val="en-US"/>
                        </w:rPr>
                      </w:pPr>
                      <w:r w:rsidRPr="007A1F83">
                        <w:rPr>
                          <w:sz w:val="20"/>
                          <w:szCs w:val="20"/>
                          <w:lang w:val="en-US"/>
                        </w:rPr>
                        <w:t xml:space="preserve">Financial Inclusion </w:t>
                      </w:r>
                    </w:p>
                  </w:txbxContent>
                </v:textbox>
              </v:rect>
            </w:pict>
          </mc:Fallback>
        </mc:AlternateContent>
      </w:r>
    </w:p>
    <w:p w14:paraId="7216ADA6" w14:textId="4C262800" w:rsidR="00F071F5" w:rsidRPr="00D549EE" w:rsidRDefault="00F071F5" w:rsidP="00C9582F">
      <w:pPr>
        <w:snapToGrid w:val="0"/>
        <w:contextualSpacing/>
        <w:jc w:val="center"/>
        <w:rPr>
          <w:color w:val="000000" w:themeColor="text1"/>
          <w:sz w:val="28"/>
          <w:szCs w:val="28"/>
          <w:lang w:val="en-US"/>
        </w:rPr>
      </w:pPr>
      <w:r w:rsidRPr="00D549EE">
        <w:rPr>
          <w:noProof/>
          <w:color w:val="000000" w:themeColor="text1"/>
          <w:sz w:val="28"/>
          <w:szCs w:val="28"/>
        </w:rPr>
        <mc:AlternateContent>
          <mc:Choice Requires="wps">
            <w:drawing>
              <wp:anchor distT="0" distB="0" distL="114300" distR="114300" simplePos="0" relativeHeight="251668480" behindDoc="0" locked="0" layoutInCell="1" allowOverlap="1" wp14:anchorId="1AB215AA" wp14:editId="3AA5595C">
                <wp:simplePos x="0" y="0"/>
                <wp:positionH relativeFrom="column">
                  <wp:posOffset>1919439</wp:posOffset>
                </wp:positionH>
                <wp:positionV relativeFrom="paragraph">
                  <wp:posOffset>46806</wp:posOffset>
                </wp:positionV>
                <wp:extent cx="1452245" cy="487110"/>
                <wp:effectExtent l="0" t="0" r="8255" b="8255"/>
                <wp:wrapNone/>
                <wp:docPr id="28" name="Прямоугольник 28"/>
                <wp:cNvGraphicFramePr/>
                <a:graphic xmlns:a="http://schemas.openxmlformats.org/drawingml/2006/main">
                  <a:graphicData uri="http://schemas.microsoft.com/office/word/2010/wordprocessingShape">
                    <wps:wsp>
                      <wps:cNvSpPr/>
                      <wps:spPr>
                        <a:xfrm>
                          <a:off x="0" y="0"/>
                          <a:ext cx="1452245" cy="487110"/>
                        </a:xfrm>
                        <a:prstGeom prst="rect">
                          <a:avLst/>
                        </a:prstGeom>
                        <a:ln/>
                      </wps:spPr>
                      <wps:style>
                        <a:lnRef idx="2">
                          <a:schemeClr val="dk1"/>
                        </a:lnRef>
                        <a:fillRef idx="1">
                          <a:schemeClr val="lt1"/>
                        </a:fillRef>
                        <a:effectRef idx="0">
                          <a:schemeClr val="dk1"/>
                        </a:effectRef>
                        <a:fontRef idx="minor">
                          <a:schemeClr val="dk1"/>
                        </a:fontRef>
                      </wps:style>
                      <wps:txbx>
                        <w:txbxContent>
                          <w:p w14:paraId="7D1F2816" w14:textId="5C4E7772" w:rsidR="00AC0BEF" w:rsidRPr="00F071F5" w:rsidRDefault="00AC0BEF" w:rsidP="00F071F5">
                            <w:pPr>
                              <w:jc w:val="center"/>
                              <w:rPr>
                                <w:sz w:val="20"/>
                                <w:szCs w:val="20"/>
                                <w:lang w:val="en-US"/>
                              </w:rPr>
                            </w:pPr>
                            <w:r>
                              <w:rPr>
                                <w:sz w:val="20"/>
                                <w:szCs w:val="20"/>
                                <w:lang w:val="en-US"/>
                              </w:rPr>
                              <w:t xml:space="preserve">Poverty reduction </w:t>
                            </w:r>
                            <w:r w:rsidRPr="00F071F5">
                              <w:rPr>
                                <w:sz w:val="20"/>
                                <w:szCs w:val="20"/>
                                <w:lang w:val="en-US"/>
                              </w:rPr>
                              <w:t>(Objective)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215AA" id="Прямоугольник 28" o:spid="_x0000_s1047" style="position:absolute;left:0;text-align:left;margin-left:151.15pt;margin-top:3.7pt;width:114.35pt;height:38.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" fillcolor="white [3201]" strokecolor="black [3200]" strokeweight="1pt">
                <v:textbox>
                  <w:txbxContent>
                    <w:p w14:paraId="7D1F2816" w14:textId="5C4E7772" w:rsidR="00AC0BEF" w:rsidRPr="00F071F5" w:rsidRDefault="00AC0BEF" w:rsidP="00F071F5">
                      <w:pPr>
                        <w:jc w:val="center"/>
                        <w:rPr>
                          <w:sz w:val="20"/>
                          <w:szCs w:val="20"/>
                          <w:lang w:val="en-US"/>
                        </w:rPr>
                      </w:pPr>
                      <w:r>
                        <w:rPr>
                          <w:sz w:val="20"/>
                          <w:szCs w:val="20"/>
                          <w:lang w:val="en-US"/>
                        </w:rPr>
                        <w:t xml:space="preserve">Poverty reduction </w:t>
                      </w:r>
                      <w:r w:rsidRPr="00F071F5">
                        <w:rPr>
                          <w:sz w:val="20"/>
                          <w:szCs w:val="20"/>
                          <w:lang w:val="en-US"/>
                        </w:rPr>
                        <w:t>(Objective)</w:t>
                      </w:r>
                    </w:p>
                  </w:txbxContent>
                </v:textbox>
              </v:rect>
            </w:pict>
          </mc:Fallback>
        </mc:AlternateContent>
      </w:r>
    </w:p>
    <w:p w14:paraId="7C55FA36" w14:textId="07B50918" w:rsidR="00F071F5" w:rsidRPr="00D549EE" w:rsidRDefault="00163CF3" w:rsidP="00C9582F">
      <w:pPr>
        <w:snapToGrid w:val="0"/>
        <w:contextualSpacing/>
        <w:jc w:val="center"/>
        <w:rPr>
          <w:color w:val="000000" w:themeColor="text1"/>
          <w:sz w:val="28"/>
          <w:szCs w:val="28"/>
          <w:lang w:val="en-US"/>
        </w:rPr>
      </w:pPr>
      <w:r w:rsidRPr="00D549EE">
        <w:rPr>
          <w:noProof/>
          <w:color w:val="000000" w:themeColor="text1"/>
          <w:sz w:val="28"/>
          <w:szCs w:val="28"/>
        </w:rPr>
        <mc:AlternateContent>
          <mc:Choice Requires="wps">
            <w:drawing>
              <wp:anchor distT="0" distB="0" distL="114300" distR="114300" simplePos="0" relativeHeight="251683840" behindDoc="0" locked="0" layoutInCell="1" allowOverlap="1" wp14:anchorId="472A8295" wp14:editId="4E558017">
                <wp:simplePos x="0" y="0"/>
                <wp:positionH relativeFrom="column">
                  <wp:posOffset>3372224</wp:posOffset>
                </wp:positionH>
                <wp:positionV relativeFrom="paragraph">
                  <wp:posOffset>171229</wp:posOffset>
                </wp:positionV>
                <wp:extent cx="1326188" cy="158151"/>
                <wp:effectExtent l="0" t="12700" r="20320" b="6985"/>
                <wp:wrapNone/>
                <wp:docPr id="55" name="Стрелка углом вверх 55"/>
                <wp:cNvGraphicFramePr/>
                <a:graphic xmlns:a="http://schemas.openxmlformats.org/drawingml/2006/main">
                  <a:graphicData uri="http://schemas.microsoft.com/office/word/2010/wordprocessingShape">
                    <wps:wsp>
                      <wps:cNvSpPr/>
                      <wps:spPr>
                        <a:xfrm>
                          <a:off x="0" y="0"/>
                          <a:ext cx="1326188" cy="158151"/>
                        </a:xfrm>
                        <a:prstGeom prst="bentUpArrow">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FAD890" id="Стрелка углом вверх 55" o:spid="_x0000_s1026" style="position:absolute;margin-left:265.55pt;margin-top:13.5pt;width:104.4pt;height:1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6188,15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" path="m,118613r1266881,l1266881,39538r-19768,l1286650,r39538,39538l1306419,39538r,118613l,158151,,118613xe" fillcolor="white [3201]" strokecolor="black [3213]" strokeweight="1pt">
                <v:stroke joinstyle="miter"/>
                <v:path arrowok="t" o:connecttype="custom" o:connectlocs="0,118613;1266881,118613;1266881,39538;1247113,39538;1286650,0;1326188,39538;1306419,39538;1306419,158151;0,158151;0,118613" o:connectangles="0,0,0,0,0,0,0,0,0,0"/>
              </v:shape>
            </w:pict>
          </mc:Fallback>
        </mc:AlternateContent>
      </w:r>
    </w:p>
    <w:p w14:paraId="30C08125" w14:textId="575BAE63" w:rsidR="00F071F5" w:rsidRPr="00D549EE" w:rsidRDefault="00F071F5" w:rsidP="00C9582F">
      <w:pPr>
        <w:snapToGrid w:val="0"/>
        <w:contextualSpacing/>
        <w:jc w:val="center"/>
        <w:rPr>
          <w:color w:val="000000" w:themeColor="text1"/>
          <w:sz w:val="28"/>
          <w:szCs w:val="28"/>
          <w:lang w:val="en-US"/>
        </w:rPr>
      </w:pPr>
    </w:p>
    <w:p w14:paraId="299AF40E" w14:textId="359B1CC2" w:rsidR="007A1F83" w:rsidRPr="00D549EE" w:rsidRDefault="007A1F83" w:rsidP="00C9582F">
      <w:pPr>
        <w:snapToGrid w:val="0"/>
        <w:contextualSpacing/>
        <w:jc w:val="center"/>
        <w:rPr>
          <w:color w:val="000000" w:themeColor="text1"/>
          <w:sz w:val="28"/>
          <w:szCs w:val="28"/>
          <w:lang w:val="en-US"/>
        </w:rPr>
      </w:pPr>
    </w:p>
    <w:p w14:paraId="6A5C4599" w14:textId="1955736F" w:rsidR="008B4A1B" w:rsidRPr="00D549EE" w:rsidRDefault="008B4A1B" w:rsidP="00C9582F">
      <w:pPr>
        <w:snapToGrid w:val="0"/>
        <w:contextualSpacing/>
        <w:jc w:val="center"/>
        <w:rPr>
          <w:color w:val="000000" w:themeColor="text1"/>
          <w:sz w:val="28"/>
          <w:szCs w:val="28"/>
          <w:lang w:val="en-US"/>
        </w:rPr>
      </w:pPr>
      <w:r w:rsidRPr="00D549EE">
        <w:rPr>
          <w:color w:val="000000" w:themeColor="text1"/>
          <w:sz w:val="28"/>
          <w:szCs w:val="28"/>
          <w:lang w:val="en-US"/>
        </w:rPr>
        <w:t>Figure 2</w:t>
      </w:r>
      <w:r w:rsidR="008C7C61" w:rsidRPr="00D549EE">
        <w:rPr>
          <w:color w:val="000000" w:themeColor="text1"/>
          <w:sz w:val="28"/>
          <w:szCs w:val="28"/>
          <w:lang w:val="en-US"/>
        </w:rPr>
        <w:t>1</w:t>
      </w:r>
      <w:r w:rsidRPr="00D549EE">
        <w:rPr>
          <w:b/>
          <w:color w:val="000000" w:themeColor="text1"/>
          <w:sz w:val="28"/>
          <w:szCs w:val="28"/>
          <w:lang w:val="en-US"/>
        </w:rPr>
        <w:t xml:space="preserve"> </w:t>
      </w:r>
      <w:r w:rsidRPr="00D549EE">
        <w:rPr>
          <w:sz w:val="28"/>
          <w:szCs w:val="28"/>
          <w:lang w:val="en-US"/>
        </w:rPr>
        <w:t>–</w:t>
      </w:r>
      <w:r w:rsidRPr="00D549EE">
        <w:rPr>
          <w:b/>
          <w:color w:val="000000" w:themeColor="text1"/>
          <w:sz w:val="28"/>
          <w:szCs w:val="28"/>
          <w:lang w:val="en-US"/>
        </w:rPr>
        <w:t xml:space="preserve"> </w:t>
      </w:r>
      <w:r w:rsidRPr="00D549EE">
        <w:rPr>
          <w:color w:val="000000" w:themeColor="text1"/>
          <w:sz w:val="28"/>
          <w:szCs w:val="28"/>
          <w:lang w:val="en-US"/>
        </w:rPr>
        <w:t>Framework of the role of Government and Banks in fintech and poverty reduction</w:t>
      </w:r>
    </w:p>
    <w:p w14:paraId="2A47F994" w14:textId="6197B7A3" w:rsidR="008B4A1B" w:rsidRPr="00D549EE" w:rsidRDefault="008C7C61" w:rsidP="00C9582F">
      <w:pPr>
        <w:snapToGrid w:val="0"/>
        <w:contextualSpacing/>
        <w:rPr>
          <w:b/>
          <w:color w:val="000000" w:themeColor="text1"/>
          <w:lang w:val="en-US"/>
        </w:rPr>
      </w:pPr>
      <w:r w:rsidRPr="00D549EE">
        <w:rPr>
          <w:color w:val="000000" w:themeColor="text1"/>
          <w:lang w:val="en-US"/>
        </w:rPr>
        <w:tab/>
        <w:t>Note</w:t>
      </w:r>
      <w:r w:rsidR="008B4A1B" w:rsidRPr="00D549EE">
        <w:rPr>
          <w:color w:val="000000" w:themeColor="text1"/>
          <w:lang w:val="en-US"/>
        </w:rPr>
        <w:t xml:space="preserve"> –</w:t>
      </w:r>
      <w:r w:rsidRPr="00D549EE">
        <w:rPr>
          <w:color w:val="000000" w:themeColor="text1"/>
          <w:lang w:val="en-US"/>
        </w:rPr>
        <w:t xml:space="preserve"> Source</w:t>
      </w:r>
      <w:r w:rsidR="008B4A1B" w:rsidRPr="00D549EE">
        <w:rPr>
          <w:color w:val="000000" w:themeColor="text1"/>
          <w:lang w:val="en-US"/>
        </w:rPr>
        <w:t xml:space="preserve"> </w:t>
      </w:r>
      <w:r w:rsidR="005301D9" w:rsidRPr="00D549EE">
        <w:rPr>
          <w:color w:val="000000" w:themeColor="text1"/>
        </w:rPr>
        <w:fldChar w:fldCharType="begin" w:fldLock="1"/>
      </w:r>
      <w:r w:rsidR="005217A4" w:rsidRPr="00D549EE">
        <w:rPr>
          <w:color w:val="000000" w:themeColor="text1"/>
          <w:lang w:val="en-US"/>
        </w:rPr>
        <w:instrText>ADDIN CSL_CITATION {"citationItems":[{"id":"ITEM-1","itemData":{"author":[{"dropping-particle":"","family":"Ozili","given":"Peterson K","non-dropping-particle":"","parse-names":false,"suffix":""}],"id":"ITEM-1","issued":{"date-parts":[["2018"]]},"title":"Borsa _ Istanbul Review Impact of digital finance on financial inclusion and stability","type":"article-journal"},"uris":["http://www.mendeley.com/documents/?uuid=8cb9d41b-d27c-49ca-a08a-f0b3132c0f0b"]}],"mendeley":{"formattedCitation":"[137]","plainTextFormattedCitation":"[137]","previouslyFormattedCitation":"[138]"},"properties":{"noteIndex":0},"schema":"https://github.com/citation-style-language/schema/raw/master/csl-citation.json"}</w:instrText>
      </w:r>
      <w:r w:rsidR="005301D9" w:rsidRPr="00D549EE">
        <w:rPr>
          <w:color w:val="000000" w:themeColor="text1"/>
        </w:rPr>
        <w:fldChar w:fldCharType="separate"/>
      </w:r>
      <w:r w:rsidR="005217A4" w:rsidRPr="00D549EE">
        <w:rPr>
          <w:noProof/>
          <w:color w:val="000000" w:themeColor="text1"/>
          <w:lang w:val="en-US"/>
        </w:rPr>
        <w:t>[137]</w:t>
      </w:r>
      <w:r w:rsidR="005301D9" w:rsidRPr="00D549EE">
        <w:rPr>
          <w:color w:val="000000" w:themeColor="text1"/>
        </w:rPr>
        <w:fldChar w:fldCharType="end"/>
      </w:r>
      <w:r w:rsidR="00543E08" w:rsidRPr="00D549EE">
        <w:rPr>
          <w:color w:val="000000" w:themeColor="text1"/>
          <w:lang w:val="en-US"/>
        </w:rPr>
        <w:t xml:space="preserve"> </w:t>
      </w:r>
      <w:r w:rsidR="00543E08" w:rsidRPr="00D549EE">
        <w:rPr>
          <w:color w:val="000000" w:themeColor="text1"/>
          <w:lang w:val="en-US"/>
        </w:rPr>
        <w:fldChar w:fldCharType="begin" w:fldLock="1"/>
      </w:r>
      <w:r w:rsidR="00CB6E54" w:rsidRPr="00D549EE">
        <w:rPr>
          <w:color w:val="000000" w:themeColor="text1"/>
          <w:lang w:val="en-US"/>
        </w:rPr>
        <w:instrText>ADDIN CSL_CITATION {"citationItems":[{"id":"ITEM-1","itemData":{"author":[{"dropping-particle":"","family":"ARKRDFM","given":"","non-dropping-particle":"","parse-names":false,"suffix":""}],"id":"ITEM-1","issued":{"date-parts":[["2020"]]},"number-of-pages":"1-19","publisher-place":"Almaty","title":"CURRENT STATE OF THE BANKING SECTOR OF THE REPUBLIC OF KAZAKHSTAN","type":"report"},"uris":["http://www.mendeley.com/documents/?uuid=d356280a-dc94-4efd-b112-5aca59f249c1"]}],"mendeley":{"formattedCitation":"[117]","plainTextFormattedCitation":"[117]","previouslyFormattedCitation":"[117]"},"properties":{"noteIndex":0},"schema":"https://github.com/citation-style-language/schema/raw/master/csl-citation.json"}</w:instrText>
      </w:r>
      <w:r w:rsidR="00543E08" w:rsidRPr="00D549EE">
        <w:rPr>
          <w:color w:val="000000" w:themeColor="text1"/>
          <w:lang w:val="en-US"/>
        </w:rPr>
        <w:fldChar w:fldCharType="separate"/>
      </w:r>
      <w:r w:rsidR="00B25838" w:rsidRPr="00D549EE">
        <w:rPr>
          <w:noProof/>
          <w:color w:val="000000" w:themeColor="text1"/>
          <w:lang w:val="en-US"/>
        </w:rPr>
        <w:t>[117]</w:t>
      </w:r>
      <w:r w:rsidR="00543E08" w:rsidRPr="00D549EE">
        <w:rPr>
          <w:color w:val="000000" w:themeColor="text1"/>
          <w:lang w:val="en-US"/>
        </w:rPr>
        <w:fldChar w:fldCharType="end"/>
      </w:r>
    </w:p>
    <w:p w14:paraId="7284E990" w14:textId="77777777" w:rsidR="00AF3A45" w:rsidRPr="00AF3A45" w:rsidRDefault="00465D6E" w:rsidP="00AF3A45">
      <w:pPr>
        <w:pStyle w:val="a5"/>
        <w:contextualSpacing/>
        <w:jc w:val="both"/>
        <w:rPr>
          <w:color w:val="000000" w:themeColor="text1"/>
          <w:sz w:val="28"/>
          <w:szCs w:val="28"/>
          <w:lang w:val="en-US"/>
        </w:rPr>
      </w:pPr>
      <w:r w:rsidRPr="00D549EE">
        <w:rPr>
          <w:color w:val="000000" w:themeColor="text1"/>
          <w:sz w:val="28"/>
          <w:szCs w:val="28"/>
          <w:lang w:val="en-US"/>
        </w:rPr>
        <w:tab/>
      </w:r>
      <w:r w:rsidR="00AF3A45" w:rsidRPr="00AF3A45">
        <w:rPr>
          <w:color w:val="000000" w:themeColor="text1"/>
          <w:sz w:val="28"/>
          <w:szCs w:val="28"/>
          <w:lang w:val="en-US"/>
        </w:rPr>
        <w:t xml:space="preserve">The framework presented above illustrates the role of the state and financial institutions related to the role of fintech in the poverty problem and reduction. If to turn to Kazakhstan, according to the study by the Agency for regulation and development of the financial market, the average financial literacy rate in the country is 80% of the population, and there are 14.7 million active cellular subscribers devices in the country. </w:t>
      </w:r>
    </w:p>
    <w:p w14:paraId="700127AE"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 xml:space="preserve">According to the Global innovation index (GII 2020), Kazakhstan is at the 77 ranks among 131 countries and implements innovation input (66) more than innovation outputs (94) [138]. This index estimates 80 different indicators grouped into inputs and outputs and indicates the multi-dimensional country indicator. Furthermore, the country is ranked 27 and scored 29.1 among 64 countries by the Global Islamic Fintech report 2021 [139]. The Global Islamic fintech index is estimated using 32 indicators, grouped for talent, regulation; infrastructure; Islamic Fintech market and ecosystem, and capital categories. In general, Astana International Financial Centre's role must be noted, particularly its Islamic finance and Fintech Hubs. </w:t>
      </w:r>
    </w:p>
    <w:p w14:paraId="775C2D7A" w14:textId="39D32DBE" w:rsidR="00AF3A45" w:rsidRPr="00AF3A45" w:rsidRDefault="00D6097F" w:rsidP="00AF3A45">
      <w:pPr>
        <w:pStyle w:val="a5"/>
        <w:contextualSpacing/>
        <w:jc w:val="both"/>
        <w:rPr>
          <w:color w:val="000000" w:themeColor="text1"/>
          <w:sz w:val="28"/>
          <w:szCs w:val="28"/>
          <w:lang w:val="en-US"/>
        </w:rPr>
      </w:pPr>
      <w:r>
        <w:rPr>
          <w:color w:val="000000" w:themeColor="text1"/>
          <w:sz w:val="28"/>
          <w:szCs w:val="28"/>
          <w:lang w:val="en-US"/>
        </w:rPr>
        <w:tab/>
      </w:r>
      <w:r w:rsidR="00AF3A45" w:rsidRPr="00AF3A45">
        <w:rPr>
          <w:color w:val="000000" w:themeColor="text1"/>
          <w:sz w:val="28"/>
          <w:szCs w:val="28"/>
          <w:lang w:val="en-US"/>
        </w:rPr>
        <w:t xml:space="preserve">There is a legislative framework of the country, which considers all aspects of financial technology regulation by the Law "On amendments and additions to some legislative acts of the Republic of Kazakhstan on the regulation of digital technologies" from 25 June 2020, № 347-VI ZRK. There were made amendments and additions to the Civil Code, Environmental Code, Budget Code, Business Code, Law "On Banks and banking activities," Law "On the State Security Service," Law "On the electronic document and an electronic digital signature," Law "On telecommunications," and others. </w:t>
      </w:r>
    </w:p>
    <w:p w14:paraId="2649977C" w14:textId="40CAA971" w:rsidR="00AF3A45" w:rsidRPr="00AF3A45" w:rsidRDefault="00D6097F" w:rsidP="00AF3A45">
      <w:pPr>
        <w:pStyle w:val="a5"/>
        <w:contextualSpacing/>
        <w:jc w:val="both"/>
        <w:rPr>
          <w:color w:val="000000" w:themeColor="text1"/>
          <w:sz w:val="28"/>
          <w:szCs w:val="28"/>
          <w:lang w:val="en-US"/>
        </w:rPr>
      </w:pPr>
      <w:r>
        <w:rPr>
          <w:color w:val="000000" w:themeColor="text1"/>
          <w:sz w:val="28"/>
          <w:szCs w:val="28"/>
          <w:lang w:val="en-US"/>
        </w:rPr>
        <w:tab/>
      </w:r>
      <w:r w:rsidR="00AF3A45" w:rsidRPr="00AF3A45">
        <w:rPr>
          <w:color w:val="000000" w:themeColor="text1"/>
          <w:sz w:val="28"/>
          <w:szCs w:val="28"/>
          <w:lang w:val="en-US"/>
        </w:rPr>
        <w:t>As it can be seen from the facts, the country has a favorable landscape for the development of financial technology area an Islamic financial perspective. Fintech is considered a driver instrument of Islamic finance advancement. First of all, the transparency of transactions and the option of viewing all transactions in the form of a block, including information, by blockchain. Secondly, it is an opportunity to provide financial instruments effectively with reduced costs and time of transactions.</w:t>
      </w:r>
    </w:p>
    <w:p w14:paraId="704534C1"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 xml:space="preserve">There have been done studies about the impact of fintech on Islamic finance and the capacity of the blockchain technologies for assurance of Shariah compliance in the Islamic financial services industry [140] [141] and explained the potential development of Islamic finance through financial technology [142]. According to our study, 84.38% of respondents among experts and professionals involved in the Islamic finance market in Kazakhstan are confident that financial technologies comply with principles of Shariah and assume that financial technologies promote Islamic financial inclusion, reduce the cost of financial intermediation for Islamic financial institutions, and increase aggregate expenditure for the government. </w:t>
      </w:r>
    </w:p>
    <w:p w14:paraId="2A05BF9C"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The current landscape of Islamic social finance globally needs to be improved. Despite a rich history of the successful implementation of Islamic Social Financial instruments, their future application will be exceedingly sophisticated, addressing the challenges in the calculation, poor collection mechanisms, and inefficient distribution channels. The justifiable skepticism of zakat payers and waqf donors can be dealt with using advances in technology, such as blockchain. Blockchain technology can be said to incorporate the Islamic values (of trust, justice, equality, and efficiency) into finance that embodies and promotes the spirit of Shariah.</w:t>
      </w:r>
    </w:p>
    <w:p w14:paraId="399481F0"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In the Islamic financial sector, the last year was significant in developing new business models and customer services improvements by digitalizing financial services, despite the pandemic crisis-affected industry. It made 4.93 billion US dollars of investments in Islamic fintech. The leading countries by deals in Islamic fintech were Indonesia (14), UAE (7) and Kuwait (5) for 2020 [4].</w:t>
      </w:r>
    </w:p>
    <w:p w14:paraId="1149ABDB"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 xml:space="preserve">In the context of the pandemic, there were identified strong signals of opportunities, among which are Islamic financial institutions' digitalization and social finance growth. Examples of the successful cases: Pakistan's Islamic fintech SadaPay, which provides a mobile wallet for receiving payments from 45 countries; Qatar Islamic Bank launched QIB mobile application; Malaysian electronic government service provider set up a subsidiary for Islamic financing activities to provide Islamic financial leasing and other credit-granting activities; and Al Rayan Investment in Kazakhstan (in AIFC) will establish a digital bank focused on the development of Islamic banking products and investments. </w:t>
      </w:r>
    </w:p>
    <w:p w14:paraId="5252B7F7"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 xml:space="preserve">Thus, the implementation of financial technology in Islamic finance has been increasing, including the digitalization of Islamic financial services and the issuance of fintech-related Sukuk. It is an opportunity for both fintech and Islamic financial companies to expand their activity and services by providing Islamic financial products and more investment area options for investors.  </w:t>
      </w:r>
    </w:p>
    <w:p w14:paraId="4A685C8A"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 xml:space="preserve">Several products and instruments of alternative Islamic financing involved financial technology and digital finance: P2P, supply chain financing, crowdfunding, and others [143]. </w:t>
      </w:r>
    </w:p>
    <w:p w14:paraId="20B303DC"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 xml:space="preserve">The Islamic cards provided are underdeveloped in our country. There is only one provider of the product represented by Al-Saqr finance JSC. The card's features are based on the absence of remuneration, and the card balances are not used for generation bank's income, the prohibition of payments in shops distributed haram goods and services, and the high amount of cash-back. There is the social specificity of the card, that generated cash-back can be used to the charity. The challenge of providing the cards, compiled with shariah requirements and approved by Islamic law, is in the processing center's high costs as an associate member of the Visa and Master card international payment system. The credit card system is absent in Kazakhstan despite being one of the drivers of Islamic finance in the world. There are advantages for Islamic financial institutions as providers of Islamic credit cards and customers of the financial institutions. At the level of the financial industry in general, it is a way to promote and raise awareness of Islamic financial instruments among financial services users. For the financial institutions, it is the solution for offering financial products by card system and the growth of sales of the products. For the banks' clients, the capacity of choice depends on the conditions of the offered products depends on the ethical and moral beliefs of the customer. </w:t>
      </w:r>
    </w:p>
    <w:p w14:paraId="0EA7CDB7"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It must be noted that Islamic credit cards must meet at least three main requirements and follow to prohibition riba, garar and maysir. Furthermore, there is the limitation of financing and payment for haram products [144]. Considering the limited amount of the products provided by local Islamic financial institutions, there is a limitation of Islamic credit card specter of the offer: Murabaha card, tawaruq card. Furthermore, depending on the product type, the development of the other types of cards is relevant to offering products, such as card-Hasan, takaful, and others. The costs of offering the Islamic cards to the clients and the output of the realization of credit card supply by Islamic financial institutions must be estimated. One direction of implementing the Credit card system for Islamic financial institutions is to develop digitalization of the process. There should mention the first digital Islamic financial services of the country Tayyab, offering specter of Islamic financial products. The benefit of digital banking and credit card systems is erasing territorial boundaries and attracting global resources and clients without linking to a specific location.</w:t>
      </w:r>
    </w:p>
    <w:p w14:paraId="568BA133"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As this Islamic financial services area is relatively new, there is a limited number of research or international data on the direction. It means that there are future prospects for development theoretically and practically.</w:t>
      </w:r>
    </w:p>
    <w:p w14:paraId="45B3F273"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 xml:space="preserve">Crowdfunding is a method of collective project financing in which money for creating a new product comes from users (donors) who receive any goods or services in return, including the final product. The crowdfunding platform is a specialized Internet resource that hosts crowdfunding projects, including social projects. The Shariah view for crowdfunding platforms is based on the main principles: a debt-based crowdfunding model involving riba is prohibited and not Shariah-compliant. The equity-based crowdfunding model for being Islamic must satisfy screening requirements and be acceptable activities in terms of Shariah. The real-estate crowdfunding model is similar to the equity-based, and there is a low level of shariah-compliant risk. Moreover, the last crowdfunding model and our study concentrated on this type, as the solution and recommendation for increasing the social functions and effects of Islamic finance is donation-based crowdfunding. This model is used for donation and social projects. For social assistance, the donation-based structure of crowdfunding is permissible by Shariah. </w:t>
      </w:r>
    </w:p>
    <w:p w14:paraId="23690636"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 xml:space="preserve">The practical significance and applicability of the research are to develop a feasibility study of recommendations for launching a crowdfunding platform, which can serve as a guide for the development of crowdfunding platforms and financial technologies in the country and increase the awareness of the population on Islamic social tools, such as zakat and sadaqah. This, in turn, will allow increasing transparency and, as a result, trust of the donators and, consequently amount of zakat collection in the country. </w:t>
      </w:r>
    </w:p>
    <w:p w14:paraId="0F2016B1"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 xml:space="preserve">As the study suggests, the creation of a crowdfunding platform, in turn, will serve as a tool for implementing social projects and increase transparency and trust of the population in the zakat institution and zakat fund of the country as representative of SAMK and the Muslim community. The target consumers of the crowdfunding platform will be the socially vulnerable population and people who are living under the national poverty line and have to live for less than 1.90 US dollars per day. Using blockchain technologies for crowdfunding will fix all transactions from the donators to the needy as the main problem of the low level of zakat and sadaqah collection by Zeket fund is distrust of the donators of the targeting funding. As 71 % of our study respondents do the charity without intermediaries (Chapter II), and 77 % of respondents of the Atameken business survey do not trust the intermediaries. </w:t>
      </w:r>
    </w:p>
    <w:p w14:paraId="5D134C4E" w14:textId="4153AFC7" w:rsid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 xml:space="preserve">Given the rapid pace of development of crowd technologies on the global platform, a 13-fold increase in investment in this direction, the Global amount raised by alternative finance is 304 billion US dollars, 215.40 billion US dollars of which concentrated in China [145]. The number of identified crowdfunding platforms in Europe is 510, 94 donation platforms [146]. Reward and donation crowdfunding is 5.5 billion US dollars globally [147]. According to the Cambridge Centre of Alternative finance, there are 6 crowdfunding platforms in Kazakhstan, only 1 is domestic, and the others are foreign-based platforms. The alternative finance volumes per capita in Kazakhstan are 4.76 USD. </w:t>
      </w:r>
    </w:p>
    <w:p w14:paraId="428B2CDA" w14:textId="5048176E" w:rsidR="003A5576" w:rsidRPr="003A5576" w:rsidRDefault="003A5576" w:rsidP="00AF3A45">
      <w:pPr>
        <w:pStyle w:val="a5"/>
        <w:contextualSpacing/>
        <w:jc w:val="both"/>
        <w:rPr>
          <w:i/>
          <w:iCs/>
          <w:color w:val="000000" w:themeColor="text1"/>
          <w:sz w:val="28"/>
          <w:szCs w:val="28"/>
          <w:lang w:val="en-US"/>
        </w:rPr>
      </w:pPr>
      <w:r>
        <w:rPr>
          <w:color w:val="000000" w:themeColor="text1"/>
          <w:sz w:val="28"/>
          <w:szCs w:val="28"/>
          <w:lang w:val="en-US"/>
        </w:rPr>
        <w:tab/>
      </w:r>
      <w:r w:rsidRPr="003A5576">
        <w:rPr>
          <w:i/>
          <w:iCs/>
          <w:color w:val="000000" w:themeColor="text1"/>
          <w:sz w:val="28"/>
          <w:szCs w:val="28"/>
          <w:lang w:val="en-US"/>
        </w:rPr>
        <w:t>The crowdfunding platform.</w:t>
      </w:r>
    </w:p>
    <w:p w14:paraId="48633B88" w14:textId="77777777" w:rsidR="00AF3A45" w:rsidRPr="00AF3A45" w:rsidRDefault="00AF3A45" w:rsidP="003A5576">
      <w:pPr>
        <w:pStyle w:val="a5"/>
        <w:ind w:firstLine="708"/>
        <w:contextualSpacing/>
        <w:jc w:val="both"/>
        <w:rPr>
          <w:color w:val="000000" w:themeColor="text1"/>
          <w:sz w:val="28"/>
          <w:szCs w:val="28"/>
          <w:lang w:val="en-US"/>
        </w:rPr>
      </w:pPr>
      <w:r w:rsidRPr="00AF3A45">
        <w:rPr>
          <w:color w:val="000000" w:themeColor="text1"/>
          <w:sz w:val="28"/>
          <w:szCs w:val="28"/>
          <w:lang w:val="en-US"/>
        </w:rPr>
        <w:t>The scientific novelty and practical significance of the solution in the form of a crowd platform at the international level are indisputable. It consists of enhancing Islamic Finance theory with the experience of developing social finance through financial technologies in a post-Soviet country with a developing market. The critical advantage of the platform will be its operation in 3 languages (Kazakh, Russian and English), which will expand the range of users not only in the Republic of Kazakhstan but also in Central Asian countries.</w:t>
      </w:r>
    </w:p>
    <w:p w14:paraId="21EF992A" w14:textId="77777777" w:rsidR="00AF3A45" w:rsidRPr="00AF3A45" w:rsidRDefault="00AF3A45" w:rsidP="003A5576">
      <w:pPr>
        <w:pStyle w:val="a5"/>
        <w:ind w:firstLine="708"/>
        <w:contextualSpacing/>
        <w:jc w:val="both"/>
        <w:rPr>
          <w:color w:val="000000" w:themeColor="text1"/>
          <w:sz w:val="28"/>
          <w:szCs w:val="28"/>
          <w:lang w:val="en-US"/>
        </w:rPr>
      </w:pPr>
      <w:r w:rsidRPr="00AF3A45">
        <w:rPr>
          <w:color w:val="000000" w:themeColor="text1"/>
          <w:sz w:val="28"/>
          <w:szCs w:val="28"/>
          <w:lang w:val="en-US"/>
        </w:rPr>
        <w:t xml:space="preserve">The study of the effectiveness of social tools of Islamic Finance and the creation of a crowdfunding platform will contribute to the implementation of the country's strategic goals. </w:t>
      </w:r>
    </w:p>
    <w:p w14:paraId="7FD3A20B" w14:textId="77777777" w:rsidR="00AF3A45" w:rsidRPr="00AF3A45" w:rsidRDefault="00AF3A45" w:rsidP="003A5576">
      <w:pPr>
        <w:pStyle w:val="a5"/>
        <w:ind w:firstLine="708"/>
        <w:contextualSpacing/>
        <w:jc w:val="both"/>
        <w:rPr>
          <w:color w:val="000000" w:themeColor="text1"/>
          <w:sz w:val="28"/>
          <w:szCs w:val="28"/>
          <w:lang w:val="en-US"/>
        </w:rPr>
      </w:pPr>
      <w:r w:rsidRPr="00AF3A45">
        <w:rPr>
          <w:color w:val="000000" w:themeColor="text1"/>
          <w:sz w:val="28"/>
          <w:szCs w:val="28"/>
          <w:lang w:val="en-US"/>
        </w:rPr>
        <w:t>The results of this research and implementation of the crowdfunding platform for social tools of Islamic finance can be used on several levels:</w:t>
      </w:r>
    </w:p>
    <w:p w14:paraId="74FC6C44"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w:t>
      </w:r>
      <w:r w:rsidRPr="00AF3A45">
        <w:rPr>
          <w:color w:val="000000" w:themeColor="text1"/>
          <w:sz w:val="28"/>
          <w:szCs w:val="28"/>
          <w:lang w:val="en-US"/>
        </w:rPr>
        <w:tab/>
        <w:t>on the state level – for further development of social and economic policy, to reduce the number of the population under the poverty line, to reduce spending for the targeted social assistance from the state budget;</w:t>
      </w:r>
    </w:p>
    <w:p w14:paraId="12D258AE"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b)</w:t>
      </w:r>
      <w:r w:rsidRPr="00AF3A45">
        <w:rPr>
          <w:color w:val="000000" w:themeColor="text1"/>
          <w:sz w:val="28"/>
          <w:szCs w:val="28"/>
          <w:lang w:val="en-US"/>
        </w:rPr>
        <w:tab/>
        <w:t>level of the SAMK – for creation transparency of zakat and sadaqah collection and zakat distribution among the needy population, the platform will ensure transparency of the use of funds and the results obtained;</w:t>
      </w:r>
    </w:p>
    <w:p w14:paraId="2AA0B4F3"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c)</w:t>
      </w:r>
      <w:r w:rsidRPr="00AF3A45">
        <w:rPr>
          <w:color w:val="000000" w:themeColor="text1"/>
          <w:sz w:val="28"/>
          <w:szCs w:val="28"/>
          <w:lang w:val="en-US"/>
        </w:rPr>
        <w:tab/>
        <w:t>level of socially vulnerable population segments – for the opportunity to apply for social assistance.</w:t>
      </w:r>
    </w:p>
    <w:p w14:paraId="724A886B"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According to official data from the Bureau of National Statistics of the Ministry of National Economics of the Republic of Kazakhstan, the economically active population is 83.1% of the total socially responsible population. In addition, 80% of the total population are active Internet users, and the computer literacy rate is 87.4%. We assume that 70% of the economically active Muslim population are interested in and able to provide social support to those in need. There is assessed social effectiveness of crowdfunding platforms in the collection zakat and sadaqah, using available statistics data. According to our estimation, 1.97% of GDP is a potential zakat collection for the country.</w:t>
      </w:r>
    </w:p>
    <w:p w14:paraId="30606F47" w14:textId="77777777" w:rsidR="00AF3A45" w:rsidRPr="00AF3A45" w:rsidRDefault="00AF3A45" w:rsidP="00AF3A45">
      <w:pPr>
        <w:pStyle w:val="a5"/>
        <w:contextualSpacing/>
        <w:jc w:val="both"/>
        <w:rPr>
          <w:color w:val="000000" w:themeColor="text1"/>
          <w:sz w:val="28"/>
          <w:szCs w:val="28"/>
          <w:lang w:val="en-US"/>
        </w:rPr>
      </w:pPr>
      <w:r w:rsidRPr="00AF3A45">
        <w:rPr>
          <w:color w:val="000000" w:themeColor="text1"/>
          <w:sz w:val="28"/>
          <w:szCs w:val="28"/>
          <w:lang w:val="en-US"/>
        </w:rPr>
        <w:tab/>
        <w:t>The feasibility study is on developing a crowdfunding platform for the realization of social functions of Islamic Finance, including technical specification, development of the business plan for assessing the effectiveness of the crowd platform, and design documentation.</w:t>
      </w:r>
    </w:p>
    <w:p w14:paraId="34A3F8E7" w14:textId="47DCD81A" w:rsidR="007E0E14" w:rsidRPr="002A2D0B" w:rsidRDefault="00AF3A45" w:rsidP="002A2D0B">
      <w:pPr>
        <w:pStyle w:val="a5"/>
        <w:contextualSpacing/>
        <w:jc w:val="both"/>
        <w:rPr>
          <w:color w:val="000000" w:themeColor="text1"/>
          <w:sz w:val="28"/>
          <w:szCs w:val="28"/>
          <w:lang w:val="en-US"/>
        </w:rPr>
      </w:pPr>
      <w:r w:rsidRPr="00AF3A45">
        <w:rPr>
          <w:color w:val="000000" w:themeColor="text1"/>
          <w:sz w:val="28"/>
          <w:szCs w:val="28"/>
          <w:lang w:val="en-US"/>
        </w:rPr>
        <w:tab/>
        <w:t>The project is designed to create a crowdfunding platform for Kazakhstani social projects and provide service to sponsors and donors for monitoring, analysis, and further distribution among the needy and poor population of the country. Crowd platform is recommended for implementation in Zeket and charity foundation activity, including the mobile application, as an example of the effectiveness of the technological solution to the Islamic social instrument – zakat.</w:t>
      </w:r>
      <w:r w:rsidR="002A2D0B">
        <w:rPr>
          <w:color w:val="000000" w:themeColor="text1"/>
          <w:sz w:val="28"/>
          <w:szCs w:val="28"/>
          <w:lang w:val="en-US"/>
        </w:rPr>
        <w:t xml:space="preserve"> </w:t>
      </w:r>
      <w:r w:rsidR="00B128C0" w:rsidRPr="00D549EE">
        <w:rPr>
          <w:sz w:val="28"/>
          <w:szCs w:val="28"/>
          <w:lang w:val="en-US"/>
        </w:rPr>
        <w:t>This is facilitated by the marketing strategy and the growing popularity of the system.</w:t>
      </w:r>
    </w:p>
    <w:p w14:paraId="0E75A566" w14:textId="77777777" w:rsidR="002A2D0B" w:rsidRDefault="002A2D0B" w:rsidP="00C9582F">
      <w:pPr>
        <w:pStyle w:val="a5"/>
        <w:shd w:val="clear" w:color="auto" w:fill="FFFFFF"/>
        <w:contextualSpacing/>
        <w:jc w:val="both"/>
        <w:rPr>
          <w:color w:val="000000" w:themeColor="text1"/>
          <w:sz w:val="28"/>
          <w:szCs w:val="28"/>
          <w:lang w:val="en-US"/>
        </w:rPr>
      </w:pPr>
    </w:p>
    <w:p w14:paraId="051A3B76" w14:textId="24ED2560" w:rsidR="00195C5F" w:rsidRPr="00D549EE" w:rsidRDefault="00195C5F" w:rsidP="00C9582F">
      <w:pPr>
        <w:pStyle w:val="a5"/>
        <w:shd w:val="clear" w:color="auto" w:fill="FFFFFF"/>
        <w:contextualSpacing/>
        <w:jc w:val="both"/>
        <w:rPr>
          <w:color w:val="000000" w:themeColor="text1"/>
          <w:sz w:val="28"/>
          <w:szCs w:val="28"/>
          <w:lang w:val="en-US"/>
        </w:rPr>
      </w:pPr>
      <w:r w:rsidRPr="00D549EE">
        <w:rPr>
          <w:color w:val="000000" w:themeColor="text1"/>
          <w:sz w:val="28"/>
          <w:szCs w:val="28"/>
          <w:lang w:val="en-US"/>
        </w:rPr>
        <w:t xml:space="preserve">Table </w:t>
      </w:r>
      <w:r w:rsidR="009E187D" w:rsidRPr="00D549EE">
        <w:rPr>
          <w:color w:val="000000" w:themeColor="text1"/>
          <w:sz w:val="28"/>
          <w:szCs w:val="28"/>
          <w:lang w:val="en-US"/>
        </w:rPr>
        <w:t>46</w:t>
      </w:r>
      <w:r w:rsidR="00CF41B3" w:rsidRPr="00D549EE">
        <w:rPr>
          <w:color w:val="000000" w:themeColor="text1"/>
          <w:sz w:val="28"/>
          <w:szCs w:val="28"/>
          <w:lang w:val="en-US"/>
        </w:rPr>
        <w:t xml:space="preserve"> – </w:t>
      </w:r>
      <w:r w:rsidRPr="00D549EE">
        <w:rPr>
          <w:color w:val="000000" w:themeColor="text1"/>
          <w:sz w:val="28"/>
          <w:szCs w:val="28"/>
          <w:lang w:val="en-US"/>
        </w:rPr>
        <w:t>Crowdfunding platform model Canvas</w:t>
      </w:r>
    </w:p>
    <w:p w14:paraId="5AFF5857" w14:textId="77777777" w:rsidR="00195C5F" w:rsidRPr="00D549EE" w:rsidRDefault="00195C5F" w:rsidP="00C9582F">
      <w:pPr>
        <w:pStyle w:val="a5"/>
        <w:shd w:val="clear" w:color="auto" w:fill="FFFFFF"/>
        <w:contextualSpacing/>
        <w:jc w:val="both"/>
        <w:rPr>
          <w:color w:val="000000" w:themeColor="text1"/>
          <w:sz w:val="28"/>
          <w:szCs w:val="28"/>
          <w:lang w:val="en-US"/>
        </w:rPr>
      </w:pPr>
    </w:p>
    <w:tbl>
      <w:tblPr>
        <w:tblStyle w:val="a9"/>
        <w:tblW w:w="9634" w:type="dxa"/>
        <w:tblLook w:val="04A0" w:firstRow="1" w:lastRow="0" w:firstColumn="1" w:lastColumn="0" w:noHBand="0" w:noVBand="1"/>
      </w:tblPr>
      <w:tblGrid>
        <w:gridCol w:w="1552"/>
        <w:gridCol w:w="2272"/>
        <w:gridCol w:w="1880"/>
        <w:gridCol w:w="1212"/>
        <w:gridCol w:w="1154"/>
        <w:gridCol w:w="1553"/>
        <w:gridCol w:w="11"/>
      </w:tblGrid>
      <w:tr w:rsidR="006A04DD" w:rsidRPr="00D549EE" w14:paraId="35239C78" w14:textId="1B415C0E" w:rsidTr="003A5576">
        <w:trPr>
          <w:gridAfter w:val="1"/>
          <w:wAfter w:w="11" w:type="dxa"/>
        </w:trPr>
        <w:tc>
          <w:tcPr>
            <w:tcW w:w="0" w:type="auto"/>
          </w:tcPr>
          <w:p w14:paraId="2DB1AE42" w14:textId="10BC94FB" w:rsidR="00195C5F" w:rsidRPr="00D549EE" w:rsidRDefault="00195C5F" w:rsidP="00C9582F">
            <w:pPr>
              <w:pStyle w:val="a5"/>
              <w:contextualSpacing/>
              <w:rPr>
                <w:bCs/>
                <w:color w:val="000000" w:themeColor="text1"/>
                <w:lang w:val="en-US"/>
              </w:rPr>
            </w:pPr>
            <w:r w:rsidRPr="00D549EE">
              <w:rPr>
                <w:bCs/>
                <w:color w:val="000000" w:themeColor="text1"/>
                <w:lang w:val="en-US"/>
              </w:rPr>
              <w:t>Key partners</w:t>
            </w:r>
          </w:p>
        </w:tc>
        <w:tc>
          <w:tcPr>
            <w:tcW w:w="0" w:type="auto"/>
          </w:tcPr>
          <w:p w14:paraId="1476D865" w14:textId="650E712E" w:rsidR="00195C5F" w:rsidRPr="00D549EE" w:rsidRDefault="00195C5F" w:rsidP="00C9582F">
            <w:pPr>
              <w:pStyle w:val="a5"/>
              <w:contextualSpacing/>
              <w:rPr>
                <w:bCs/>
                <w:color w:val="000000" w:themeColor="text1"/>
                <w:lang w:val="en-US"/>
              </w:rPr>
            </w:pPr>
            <w:r w:rsidRPr="00D549EE">
              <w:rPr>
                <w:bCs/>
                <w:color w:val="000000" w:themeColor="text1"/>
                <w:lang w:val="en-US"/>
              </w:rPr>
              <w:t>Key activities</w:t>
            </w:r>
          </w:p>
        </w:tc>
        <w:tc>
          <w:tcPr>
            <w:tcW w:w="0" w:type="auto"/>
          </w:tcPr>
          <w:p w14:paraId="2E5859EF" w14:textId="7CC677BA" w:rsidR="00195C5F" w:rsidRPr="00D549EE" w:rsidRDefault="00195C5F" w:rsidP="00C9582F">
            <w:pPr>
              <w:pStyle w:val="a5"/>
              <w:contextualSpacing/>
              <w:rPr>
                <w:bCs/>
                <w:color w:val="000000" w:themeColor="text1"/>
                <w:lang w:val="en-US"/>
              </w:rPr>
            </w:pPr>
            <w:r w:rsidRPr="00D549EE">
              <w:rPr>
                <w:bCs/>
                <w:color w:val="000000" w:themeColor="text1"/>
                <w:lang w:val="en-US"/>
              </w:rPr>
              <w:t>Value Proposition</w:t>
            </w:r>
          </w:p>
        </w:tc>
        <w:tc>
          <w:tcPr>
            <w:tcW w:w="0" w:type="auto"/>
            <w:gridSpan w:val="2"/>
          </w:tcPr>
          <w:p w14:paraId="0E7EE4FE" w14:textId="5BF5D641" w:rsidR="00195C5F" w:rsidRPr="00D549EE" w:rsidRDefault="00195C5F" w:rsidP="00C9582F">
            <w:pPr>
              <w:pStyle w:val="a5"/>
              <w:contextualSpacing/>
              <w:rPr>
                <w:bCs/>
                <w:color w:val="000000" w:themeColor="text1"/>
                <w:lang w:val="en-US"/>
              </w:rPr>
            </w:pPr>
            <w:r w:rsidRPr="00D549EE">
              <w:rPr>
                <w:bCs/>
                <w:color w:val="000000" w:themeColor="text1"/>
                <w:lang w:val="en-US"/>
              </w:rPr>
              <w:t xml:space="preserve">User Relationship </w:t>
            </w:r>
          </w:p>
        </w:tc>
        <w:tc>
          <w:tcPr>
            <w:tcW w:w="0" w:type="auto"/>
          </w:tcPr>
          <w:p w14:paraId="357543F4" w14:textId="1B01BA4D" w:rsidR="00195C5F" w:rsidRPr="00D549EE" w:rsidRDefault="00195C5F" w:rsidP="00C9582F">
            <w:pPr>
              <w:pStyle w:val="a5"/>
              <w:contextualSpacing/>
              <w:rPr>
                <w:bCs/>
                <w:color w:val="000000" w:themeColor="text1"/>
                <w:lang w:val="en-US"/>
              </w:rPr>
            </w:pPr>
            <w:r w:rsidRPr="00D549EE">
              <w:rPr>
                <w:bCs/>
                <w:color w:val="000000" w:themeColor="text1"/>
                <w:lang w:val="en-US"/>
              </w:rPr>
              <w:t xml:space="preserve">User Segment </w:t>
            </w:r>
          </w:p>
        </w:tc>
      </w:tr>
      <w:tr w:rsidR="006A04DD" w:rsidRPr="00FC685D" w14:paraId="686DC8BB" w14:textId="6EBCAA53" w:rsidTr="003A5576">
        <w:trPr>
          <w:gridAfter w:val="1"/>
          <w:wAfter w:w="11" w:type="dxa"/>
        </w:trPr>
        <w:tc>
          <w:tcPr>
            <w:tcW w:w="0" w:type="auto"/>
            <w:vMerge w:val="restart"/>
          </w:tcPr>
          <w:p w14:paraId="7BD0400E" w14:textId="77777777" w:rsidR="006A04DD" w:rsidRPr="00D549EE" w:rsidRDefault="006A04DD" w:rsidP="00C9582F">
            <w:pPr>
              <w:pStyle w:val="a5"/>
              <w:contextualSpacing/>
              <w:rPr>
                <w:color w:val="000000" w:themeColor="text1"/>
                <w:lang w:val="en-US"/>
              </w:rPr>
            </w:pPr>
            <w:r w:rsidRPr="00D549EE">
              <w:rPr>
                <w:color w:val="000000" w:themeColor="text1"/>
                <w:lang w:val="en-US"/>
              </w:rPr>
              <w:t>-Charity funds</w:t>
            </w:r>
          </w:p>
          <w:p w14:paraId="386C1EFA" w14:textId="77777777" w:rsidR="006A04DD" w:rsidRPr="00D549EE" w:rsidRDefault="006A04DD" w:rsidP="00C9582F">
            <w:pPr>
              <w:pStyle w:val="a5"/>
              <w:contextualSpacing/>
              <w:rPr>
                <w:color w:val="000000" w:themeColor="text1"/>
                <w:lang w:val="en-US"/>
              </w:rPr>
            </w:pPr>
            <w:r w:rsidRPr="00D549EE">
              <w:rPr>
                <w:color w:val="000000" w:themeColor="text1"/>
                <w:lang w:val="en-US"/>
              </w:rPr>
              <w:t>-Islamic financial institutions</w:t>
            </w:r>
          </w:p>
          <w:p w14:paraId="32368A47" w14:textId="54D92BA1" w:rsidR="006A04DD" w:rsidRPr="00D549EE" w:rsidRDefault="006A04DD" w:rsidP="00C9582F">
            <w:pPr>
              <w:pStyle w:val="a5"/>
              <w:contextualSpacing/>
              <w:rPr>
                <w:color w:val="000000" w:themeColor="text1"/>
                <w:lang w:val="en-US"/>
              </w:rPr>
            </w:pPr>
            <w:r w:rsidRPr="00D549EE">
              <w:rPr>
                <w:color w:val="000000" w:themeColor="text1"/>
                <w:lang w:val="en-US"/>
              </w:rPr>
              <w:t>-State</w:t>
            </w:r>
          </w:p>
        </w:tc>
        <w:tc>
          <w:tcPr>
            <w:tcW w:w="0" w:type="auto"/>
          </w:tcPr>
          <w:p w14:paraId="1BAD6219" w14:textId="77777777" w:rsidR="006A04DD" w:rsidRPr="00D549EE" w:rsidRDefault="006A04DD" w:rsidP="00C9582F">
            <w:pPr>
              <w:pStyle w:val="a5"/>
              <w:contextualSpacing/>
              <w:rPr>
                <w:color w:val="000000" w:themeColor="text1"/>
                <w:lang w:val="en-US"/>
              </w:rPr>
            </w:pPr>
            <w:r w:rsidRPr="00D549EE">
              <w:rPr>
                <w:color w:val="000000" w:themeColor="text1"/>
                <w:lang w:val="en-US"/>
              </w:rPr>
              <w:t>-attracting donators</w:t>
            </w:r>
          </w:p>
          <w:p w14:paraId="69C7EF82" w14:textId="77777777" w:rsidR="006A04DD" w:rsidRPr="00D549EE" w:rsidRDefault="006A04DD" w:rsidP="00C9582F">
            <w:pPr>
              <w:pStyle w:val="a5"/>
              <w:contextualSpacing/>
              <w:rPr>
                <w:color w:val="000000" w:themeColor="text1"/>
                <w:lang w:val="en-US"/>
              </w:rPr>
            </w:pPr>
            <w:r w:rsidRPr="00D549EE">
              <w:rPr>
                <w:color w:val="000000" w:themeColor="text1"/>
                <w:lang w:val="en-US"/>
              </w:rPr>
              <w:t>-promotion social activity</w:t>
            </w:r>
          </w:p>
          <w:p w14:paraId="57B2F616" w14:textId="77777777" w:rsidR="006A04DD" w:rsidRPr="00D549EE" w:rsidRDefault="006A04DD" w:rsidP="00C9582F">
            <w:pPr>
              <w:pStyle w:val="a5"/>
              <w:contextualSpacing/>
              <w:rPr>
                <w:color w:val="000000" w:themeColor="text1"/>
                <w:lang w:val="en-US"/>
              </w:rPr>
            </w:pPr>
            <w:r w:rsidRPr="00D549EE">
              <w:rPr>
                <w:color w:val="000000" w:themeColor="text1"/>
                <w:lang w:val="en-US"/>
              </w:rPr>
              <w:t>-promotion social tools of Islamic finance (zakat, waqf and sadaqah)</w:t>
            </w:r>
          </w:p>
          <w:p w14:paraId="5718BB4A" w14:textId="77777777" w:rsidR="006A04DD" w:rsidRPr="00D549EE" w:rsidRDefault="006A04DD" w:rsidP="00C9582F">
            <w:pPr>
              <w:pStyle w:val="a5"/>
              <w:contextualSpacing/>
              <w:rPr>
                <w:color w:val="000000" w:themeColor="text1"/>
                <w:lang w:val="en-US"/>
              </w:rPr>
            </w:pPr>
            <w:r w:rsidRPr="00D549EE">
              <w:rPr>
                <w:color w:val="000000" w:themeColor="text1"/>
                <w:lang w:val="en-US"/>
              </w:rPr>
              <w:t>-</w:t>
            </w:r>
            <w:r w:rsidRPr="00D549EE">
              <w:rPr>
                <w:lang w:val="en-US"/>
              </w:rPr>
              <w:t xml:space="preserve"> </w:t>
            </w:r>
            <w:r w:rsidRPr="00D549EE">
              <w:rPr>
                <w:color w:val="000000" w:themeColor="text1"/>
                <w:lang w:val="en-US"/>
              </w:rPr>
              <w:t>ensuring transparency</w:t>
            </w:r>
          </w:p>
          <w:p w14:paraId="716381BC" w14:textId="5627AB98" w:rsidR="006A04DD" w:rsidRPr="00D549EE" w:rsidRDefault="006A04DD" w:rsidP="00C9582F">
            <w:pPr>
              <w:pStyle w:val="a5"/>
              <w:contextualSpacing/>
              <w:rPr>
                <w:color w:val="000000" w:themeColor="text1"/>
                <w:lang w:val="en-US"/>
              </w:rPr>
            </w:pPr>
            <w:r w:rsidRPr="00D549EE">
              <w:rPr>
                <w:color w:val="000000" w:themeColor="text1"/>
                <w:lang w:val="en-US"/>
              </w:rPr>
              <w:t>- ensuring report of distribution</w:t>
            </w:r>
          </w:p>
        </w:tc>
        <w:tc>
          <w:tcPr>
            <w:tcW w:w="0" w:type="auto"/>
            <w:vMerge w:val="restart"/>
          </w:tcPr>
          <w:p w14:paraId="11CA5FBF" w14:textId="3026F82B" w:rsidR="006A04DD" w:rsidRPr="00D549EE" w:rsidRDefault="006A04DD" w:rsidP="00C9582F">
            <w:pPr>
              <w:pStyle w:val="a5"/>
              <w:contextualSpacing/>
              <w:rPr>
                <w:color w:val="000000" w:themeColor="text1"/>
                <w:lang w:val="en-US"/>
              </w:rPr>
            </w:pPr>
            <w:r w:rsidRPr="00D549EE">
              <w:rPr>
                <w:color w:val="000000" w:themeColor="text1"/>
                <w:lang w:val="en-US"/>
              </w:rPr>
              <w:t>-</w:t>
            </w:r>
            <w:r w:rsidRPr="00D549EE">
              <w:rPr>
                <w:lang w:val="en-US"/>
              </w:rPr>
              <w:t xml:space="preserve"> </w:t>
            </w:r>
            <w:r w:rsidRPr="00D549EE">
              <w:rPr>
                <w:color w:val="000000" w:themeColor="text1"/>
                <w:lang w:val="en-US"/>
              </w:rPr>
              <w:t>Platform for fundraising social projects</w:t>
            </w:r>
          </w:p>
          <w:p w14:paraId="620B560C" w14:textId="77777777" w:rsidR="006A04DD" w:rsidRPr="00D549EE" w:rsidRDefault="006A04DD" w:rsidP="00C9582F">
            <w:pPr>
              <w:pStyle w:val="a5"/>
              <w:contextualSpacing/>
              <w:rPr>
                <w:color w:val="000000" w:themeColor="text1"/>
                <w:lang w:val="en-US"/>
              </w:rPr>
            </w:pPr>
          </w:p>
          <w:p w14:paraId="57455E7B" w14:textId="77738EF6" w:rsidR="006A04DD" w:rsidRPr="00D549EE" w:rsidRDefault="006A04DD" w:rsidP="00C9582F">
            <w:pPr>
              <w:pStyle w:val="a5"/>
              <w:shd w:val="clear" w:color="auto" w:fill="FFFFFF"/>
              <w:rPr>
                <w:sz w:val="20"/>
                <w:szCs w:val="20"/>
                <w:lang w:val="en-US"/>
              </w:rPr>
            </w:pPr>
            <w:r w:rsidRPr="00D549EE">
              <w:rPr>
                <w:color w:val="000000" w:themeColor="text1"/>
                <w:lang w:val="en-US"/>
              </w:rPr>
              <w:t>-</w:t>
            </w:r>
            <w:r w:rsidRPr="00D549EE">
              <w:rPr>
                <w:sz w:val="20"/>
                <w:szCs w:val="20"/>
                <w:lang w:val="en-US"/>
              </w:rPr>
              <w:t xml:space="preserve"> </w:t>
            </w:r>
            <w:r w:rsidRPr="00D549EE">
              <w:rPr>
                <w:lang w:val="en-US"/>
              </w:rPr>
              <w:t>Platform for growing public awareness</w:t>
            </w:r>
            <w:r w:rsidRPr="00D549EE">
              <w:rPr>
                <w:sz w:val="20"/>
                <w:szCs w:val="20"/>
                <w:lang w:val="en-US"/>
              </w:rPr>
              <w:t xml:space="preserve">  </w:t>
            </w:r>
          </w:p>
          <w:p w14:paraId="27407572" w14:textId="0489A90D" w:rsidR="006A04DD" w:rsidRPr="00D549EE" w:rsidRDefault="006A04DD" w:rsidP="00C9582F">
            <w:pPr>
              <w:pStyle w:val="a5"/>
              <w:shd w:val="clear" w:color="auto" w:fill="FFFFFF"/>
              <w:rPr>
                <w:lang w:val="en-US"/>
              </w:rPr>
            </w:pPr>
            <w:r w:rsidRPr="00D549EE">
              <w:rPr>
                <w:lang w:val="en-US"/>
              </w:rPr>
              <w:t>- Platform for database of needy and poor people</w:t>
            </w:r>
          </w:p>
          <w:p w14:paraId="1174EF21" w14:textId="1B4672DF" w:rsidR="006A04DD" w:rsidRPr="00D549EE" w:rsidRDefault="006A04DD" w:rsidP="00C9582F">
            <w:pPr>
              <w:pStyle w:val="a5"/>
              <w:contextualSpacing/>
              <w:rPr>
                <w:color w:val="000000" w:themeColor="text1"/>
                <w:lang w:val="en-US"/>
              </w:rPr>
            </w:pPr>
          </w:p>
        </w:tc>
        <w:tc>
          <w:tcPr>
            <w:tcW w:w="0" w:type="auto"/>
            <w:gridSpan w:val="2"/>
          </w:tcPr>
          <w:p w14:paraId="5B7858C3" w14:textId="77777777" w:rsidR="006A04DD" w:rsidRPr="00D549EE" w:rsidRDefault="006A04DD" w:rsidP="00C9582F">
            <w:pPr>
              <w:pStyle w:val="a5"/>
              <w:contextualSpacing/>
              <w:rPr>
                <w:color w:val="000000" w:themeColor="text1"/>
                <w:lang w:val="en-US"/>
              </w:rPr>
            </w:pPr>
            <w:r w:rsidRPr="00D549EE">
              <w:rPr>
                <w:color w:val="000000" w:themeColor="text1"/>
                <w:lang w:val="en-US"/>
              </w:rPr>
              <w:t>-application instructions (written and video)</w:t>
            </w:r>
          </w:p>
          <w:p w14:paraId="435491C4" w14:textId="77777777" w:rsidR="006A04DD" w:rsidRPr="00D549EE" w:rsidRDefault="006A04DD" w:rsidP="00C9582F">
            <w:pPr>
              <w:pStyle w:val="a5"/>
              <w:contextualSpacing/>
              <w:rPr>
                <w:color w:val="000000" w:themeColor="text1"/>
                <w:lang w:val="en-US"/>
              </w:rPr>
            </w:pPr>
            <w:r w:rsidRPr="00D549EE">
              <w:rPr>
                <w:color w:val="000000" w:themeColor="text1"/>
                <w:lang w:val="en-US"/>
              </w:rPr>
              <w:t>-donators instruction</w:t>
            </w:r>
          </w:p>
          <w:p w14:paraId="5118F28D" w14:textId="77777777" w:rsidR="006A04DD" w:rsidRPr="00D549EE" w:rsidRDefault="006A04DD" w:rsidP="00C9582F">
            <w:pPr>
              <w:pStyle w:val="a5"/>
              <w:contextualSpacing/>
              <w:rPr>
                <w:color w:val="000000" w:themeColor="text1"/>
                <w:lang w:val="en-US"/>
              </w:rPr>
            </w:pPr>
            <w:r w:rsidRPr="00D549EE">
              <w:rPr>
                <w:color w:val="000000" w:themeColor="text1"/>
                <w:lang w:val="en-US"/>
              </w:rPr>
              <w:t>-contacts and capacity for communication with zakat expert</w:t>
            </w:r>
          </w:p>
          <w:p w14:paraId="4E0672C5" w14:textId="263170C3" w:rsidR="006A04DD" w:rsidRPr="00D549EE" w:rsidRDefault="006A04DD" w:rsidP="00C9582F">
            <w:pPr>
              <w:pStyle w:val="a5"/>
              <w:contextualSpacing/>
              <w:rPr>
                <w:color w:val="000000" w:themeColor="text1"/>
                <w:lang w:val="en-US"/>
              </w:rPr>
            </w:pPr>
          </w:p>
        </w:tc>
        <w:tc>
          <w:tcPr>
            <w:tcW w:w="0" w:type="auto"/>
            <w:vMerge w:val="restart"/>
          </w:tcPr>
          <w:p w14:paraId="1554F0D2" w14:textId="0B82C398" w:rsidR="006A04DD" w:rsidRPr="00D549EE" w:rsidRDefault="006A04DD" w:rsidP="00C9582F">
            <w:pPr>
              <w:pStyle w:val="a5"/>
              <w:contextualSpacing/>
              <w:rPr>
                <w:color w:val="000000" w:themeColor="text1"/>
                <w:lang w:val="en-US"/>
              </w:rPr>
            </w:pPr>
            <w:r w:rsidRPr="00D549EE">
              <w:rPr>
                <w:color w:val="000000" w:themeColor="text1"/>
                <w:lang w:val="en-US"/>
              </w:rPr>
              <w:t>Initiators</w:t>
            </w:r>
          </w:p>
          <w:p w14:paraId="18696BF9" w14:textId="77777777" w:rsidR="006A04DD" w:rsidRPr="00D549EE" w:rsidRDefault="006A04DD" w:rsidP="00C9582F">
            <w:pPr>
              <w:pStyle w:val="a5"/>
              <w:contextualSpacing/>
              <w:rPr>
                <w:color w:val="000000" w:themeColor="text1"/>
                <w:lang w:val="en-US"/>
              </w:rPr>
            </w:pPr>
            <w:r w:rsidRPr="00D549EE">
              <w:rPr>
                <w:color w:val="000000" w:themeColor="text1"/>
                <w:lang w:val="en-US"/>
              </w:rPr>
              <w:t>-people in need</w:t>
            </w:r>
          </w:p>
          <w:p w14:paraId="7C1F7992" w14:textId="77777777" w:rsidR="006A04DD" w:rsidRPr="00D549EE" w:rsidRDefault="006A04DD" w:rsidP="00C9582F">
            <w:pPr>
              <w:pStyle w:val="a5"/>
              <w:contextualSpacing/>
              <w:rPr>
                <w:color w:val="000000" w:themeColor="text1"/>
                <w:lang w:val="en-US"/>
              </w:rPr>
            </w:pPr>
            <w:r w:rsidRPr="00D549EE">
              <w:rPr>
                <w:color w:val="000000" w:themeColor="text1"/>
                <w:lang w:val="en-US"/>
              </w:rPr>
              <w:t>-poor people</w:t>
            </w:r>
          </w:p>
          <w:p w14:paraId="4BBDB243" w14:textId="77777777" w:rsidR="006A04DD" w:rsidRPr="00D549EE" w:rsidRDefault="006A04DD" w:rsidP="00C9582F">
            <w:pPr>
              <w:pStyle w:val="a5"/>
              <w:contextualSpacing/>
              <w:rPr>
                <w:color w:val="000000" w:themeColor="text1"/>
                <w:lang w:val="en-US"/>
              </w:rPr>
            </w:pPr>
            <w:r w:rsidRPr="00D549EE">
              <w:rPr>
                <w:color w:val="000000" w:themeColor="text1"/>
                <w:lang w:val="en-US"/>
              </w:rPr>
              <w:t>-donators</w:t>
            </w:r>
          </w:p>
          <w:p w14:paraId="7E354D21" w14:textId="77777777" w:rsidR="006A04DD" w:rsidRPr="00D549EE" w:rsidRDefault="006A04DD" w:rsidP="00C9582F">
            <w:pPr>
              <w:pStyle w:val="a5"/>
              <w:contextualSpacing/>
              <w:rPr>
                <w:color w:val="000000" w:themeColor="text1"/>
                <w:lang w:val="en-US"/>
              </w:rPr>
            </w:pPr>
            <w:r w:rsidRPr="00D549EE">
              <w:rPr>
                <w:color w:val="000000" w:themeColor="text1"/>
                <w:lang w:val="en-US"/>
              </w:rPr>
              <w:t>-sponsors</w:t>
            </w:r>
          </w:p>
          <w:p w14:paraId="4E7ADD56" w14:textId="77777777" w:rsidR="006A04DD" w:rsidRPr="00D549EE" w:rsidRDefault="006A04DD" w:rsidP="00C9582F">
            <w:pPr>
              <w:pStyle w:val="a5"/>
              <w:contextualSpacing/>
              <w:rPr>
                <w:color w:val="000000" w:themeColor="text1"/>
                <w:lang w:val="en-US"/>
              </w:rPr>
            </w:pPr>
            <w:r w:rsidRPr="00D549EE">
              <w:rPr>
                <w:color w:val="000000" w:themeColor="text1"/>
                <w:lang w:val="en-US"/>
              </w:rPr>
              <w:t>-SAMK</w:t>
            </w:r>
          </w:p>
          <w:p w14:paraId="147EC3D6" w14:textId="66526449" w:rsidR="006A04DD" w:rsidRPr="00D549EE" w:rsidRDefault="006A04DD" w:rsidP="00C9582F">
            <w:pPr>
              <w:pStyle w:val="a5"/>
              <w:contextualSpacing/>
              <w:rPr>
                <w:color w:val="000000" w:themeColor="text1"/>
                <w:lang w:val="en-US"/>
              </w:rPr>
            </w:pPr>
            <w:r w:rsidRPr="00D549EE">
              <w:rPr>
                <w:color w:val="000000" w:themeColor="text1"/>
                <w:lang w:val="en-US"/>
              </w:rPr>
              <w:t>-Zeket fund</w:t>
            </w:r>
          </w:p>
          <w:p w14:paraId="01DE40C1" w14:textId="77777777" w:rsidR="006A04DD" w:rsidRPr="00D549EE" w:rsidRDefault="006A04DD" w:rsidP="00C9582F">
            <w:pPr>
              <w:pStyle w:val="a5"/>
              <w:contextualSpacing/>
              <w:rPr>
                <w:color w:val="000000" w:themeColor="text1"/>
                <w:lang w:val="en-US"/>
              </w:rPr>
            </w:pPr>
          </w:p>
          <w:p w14:paraId="74882AEC" w14:textId="77777777" w:rsidR="006A04DD" w:rsidRPr="00D549EE" w:rsidRDefault="006A04DD" w:rsidP="00C9582F">
            <w:pPr>
              <w:pStyle w:val="a5"/>
              <w:contextualSpacing/>
              <w:rPr>
                <w:color w:val="000000" w:themeColor="text1"/>
                <w:lang w:val="en-US"/>
              </w:rPr>
            </w:pPr>
            <w:r w:rsidRPr="00D549EE">
              <w:rPr>
                <w:color w:val="000000" w:themeColor="text1"/>
                <w:lang w:val="en-US"/>
              </w:rPr>
              <w:t>Backers</w:t>
            </w:r>
          </w:p>
          <w:p w14:paraId="4FA46D6C" w14:textId="77777777" w:rsidR="006A04DD" w:rsidRPr="00D549EE" w:rsidRDefault="006A04DD" w:rsidP="00C9582F">
            <w:pPr>
              <w:pStyle w:val="a5"/>
              <w:contextualSpacing/>
              <w:rPr>
                <w:color w:val="000000" w:themeColor="text1"/>
                <w:lang w:val="en-US"/>
              </w:rPr>
            </w:pPr>
            <w:r w:rsidRPr="00D549EE">
              <w:rPr>
                <w:color w:val="000000" w:themeColor="text1"/>
                <w:lang w:val="en-US"/>
              </w:rPr>
              <w:t>-donators</w:t>
            </w:r>
          </w:p>
          <w:p w14:paraId="2E77585A" w14:textId="77777777" w:rsidR="006A04DD" w:rsidRPr="00D549EE" w:rsidRDefault="006A04DD" w:rsidP="00C9582F">
            <w:pPr>
              <w:pStyle w:val="a5"/>
              <w:contextualSpacing/>
              <w:rPr>
                <w:color w:val="000000" w:themeColor="text1"/>
                <w:lang w:val="en-US"/>
              </w:rPr>
            </w:pPr>
            <w:r w:rsidRPr="00D549EE">
              <w:rPr>
                <w:color w:val="000000" w:themeColor="text1"/>
                <w:lang w:val="en-US"/>
              </w:rPr>
              <w:t>-sponsors</w:t>
            </w:r>
          </w:p>
          <w:p w14:paraId="56DF2551" w14:textId="1E5E5243" w:rsidR="006A04DD" w:rsidRPr="00D549EE" w:rsidRDefault="006A04DD" w:rsidP="00C9582F">
            <w:pPr>
              <w:pStyle w:val="a5"/>
              <w:contextualSpacing/>
              <w:rPr>
                <w:color w:val="000000" w:themeColor="text1"/>
                <w:lang w:val="en-US"/>
              </w:rPr>
            </w:pPr>
            <w:r w:rsidRPr="00D549EE">
              <w:rPr>
                <w:color w:val="000000" w:themeColor="text1"/>
                <w:lang w:val="en-US"/>
              </w:rPr>
              <w:t>-Islamic financial institutions</w:t>
            </w:r>
          </w:p>
        </w:tc>
      </w:tr>
      <w:tr w:rsidR="006A04DD" w:rsidRPr="00D549EE" w14:paraId="6BFF7020" w14:textId="49A7754F" w:rsidTr="003A5576">
        <w:trPr>
          <w:gridAfter w:val="1"/>
          <w:wAfter w:w="11" w:type="dxa"/>
        </w:trPr>
        <w:tc>
          <w:tcPr>
            <w:tcW w:w="0" w:type="auto"/>
            <w:vMerge/>
          </w:tcPr>
          <w:p w14:paraId="56BA8D9E" w14:textId="77777777" w:rsidR="006A04DD" w:rsidRPr="00D549EE" w:rsidRDefault="006A04DD" w:rsidP="00C9582F">
            <w:pPr>
              <w:pStyle w:val="a5"/>
              <w:contextualSpacing/>
              <w:rPr>
                <w:color w:val="000000" w:themeColor="text1"/>
                <w:lang w:val="en-US"/>
              </w:rPr>
            </w:pPr>
          </w:p>
        </w:tc>
        <w:tc>
          <w:tcPr>
            <w:tcW w:w="0" w:type="auto"/>
          </w:tcPr>
          <w:p w14:paraId="4DD7BE83" w14:textId="73022EB5" w:rsidR="006A04DD" w:rsidRPr="00D549EE" w:rsidRDefault="006A04DD" w:rsidP="00C9582F">
            <w:pPr>
              <w:pStyle w:val="a5"/>
              <w:contextualSpacing/>
              <w:rPr>
                <w:bCs/>
                <w:color w:val="000000" w:themeColor="text1"/>
                <w:lang w:val="en-US"/>
              </w:rPr>
            </w:pPr>
            <w:r w:rsidRPr="00D549EE">
              <w:rPr>
                <w:bCs/>
                <w:color w:val="000000" w:themeColor="text1"/>
                <w:lang w:val="en-US"/>
              </w:rPr>
              <w:t>Key resource</w:t>
            </w:r>
          </w:p>
        </w:tc>
        <w:tc>
          <w:tcPr>
            <w:tcW w:w="0" w:type="auto"/>
            <w:vMerge/>
          </w:tcPr>
          <w:p w14:paraId="68B498CE" w14:textId="77777777" w:rsidR="006A04DD" w:rsidRPr="00D549EE" w:rsidRDefault="006A04DD" w:rsidP="00C9582F">
            <w:pPr>
              <w:pStyle w:val="a5"/>
              <w:contextualSpacing/>
              <w:rPr>
                <w:color w:val="000000" w:themeColor="text1"/>
                <w:lang w:val="en-US"/>
              </w:rPr>
            </w:pPr>
          </w:p>
        </w:tc>
        <w:tc>
          <w:tcPr>
            <w:tcW w:w="0" w:type="auto"/>
            <w:gridSpan w:val="2"/>
          </w:tcPr>
          <w:p w14:paraId="73570248" w14:textId="7DCD713C" w:rsidR="006A04DD" w:rsidRPr="00D549EE" w:rsidRDefault="006A04DD" w:rsidP="00C9582F">
            <w:pPr>
              <w:pStyle w:val="a5"/>
              <w:contextualSpacing/>
              <w:rPr>
                <w:bCs/>
                <w:color w:val="000000" w:themeColor="text1"/>
                <w:lang w:val="en-US"/>
              </w:rPr>
            </w:pPr>
            <w:r w:rsidRPr="00D549EE">
              <w:rPr>
                <w:bCs/>
                <w:color w:val="000000" w:themeColor="text1"/>
                <w:lang w:val="en-US"/>
              </w:rPr>
              <w:t xml:space="preserve">Channels </w:t>
            </w:r>
          </w:p>
        </w:tc>
        <w:tc>
          <w:tcPr>
            <w:tcW w:w="0" w:type="auto"/>
            <w:vMerge/>
          </w:tcPr>
          <w:p w14:paraId="384C2C38" w14:textId="77777777" w:rsidR="006A04DD" w:rsidRPr="00D549EE" w:rsidRDefault="006A04DD" w:rsidP="00C9582F">
            <w:pPr>
              <w:pStyle w:val="a5"/>
              <w:contextualSpacing/>
              <w:rPr>
                <w:color w:val="000000" w:themeColor="text1"/>
                <w:lang w:val="en-US"/>
              </w:rPr>
            </w:pPr>
          </w:p>
        </w:tc>
      </w:tr>
      <w:tr w:rsidR="006A04DD" w:rsidRPr="00FC685D" w14:paraId="7EB7A515" w14:textId="5D4935FC" w:rsidTr="003A5576">
        <w:trPr>
          <w:gridAfter w:val="1"/>
          <w:wAfter w:w="11" w:type="dxa"/>
        </w:trPr>
        <w:tc>
          <w:tcPr>
            <w:tcW w:w="0" w:type="auto"/>
            <w:vMerge/>
          </w:tcPr>
          <w:p w14:paraId="417D7216" w14:textId="77777777" w:rsidR="006A04DD" w:rsidRPr="00D549EE" w:rsidRDefault="006A04DD" w:rsidP="00C9582F">
            <w:pPr>
              <w:pStyle w:val="a5"/>
              <w:contextualSpacing/>
              <w:rPr>
                <w:color w:val="000000" w:themeColor="text1"/>
                <w:lang w:val="en-US"/>
              </w:rPr>
            </w:pPr>
          </w:p>
        </w:tc>
        <w:tc>
          <w:tcPr>
            <w:tcW w:w="0" w:type="auto"/>
          </w:tcPr>
          <w:p w14:paraId="048E9694" w14:textId="1A3BEB97" w:rsidR="006A04DD" w:rsidRPr="00D549EE" w:rsidRDefault="006A04DD" w:rsidP="00C9582F">
            <w:pPr>
              <w:pStyle w:val="a5"/>
              <w:contextualSpacing/>
              <w:rPr>
                <w:color w:val="000000" w:themeColor="text1"/>
                <w:lang w:val="en-US"/>
              </w:rPr>
            </w:pPr>
            <w:r w:rsidRPr="00D549EE">
              <w:rPr>
                <w:color w:val="000000" w:themeColor="text1"/>
                <w:lang w:val="en-US"/>
              </w:rPr>
              <w:t>IT- platform with blockchain integrated with payment systems</w:t>
            </w:r>
          </w:p>
        </w:tc>
        <w:tc>
          <w:tcPr>
            <w:tcW w:w="0" w:type="auto"/>
            <w:vMerge/>
          </w:tcPr>
          <w:p w14:paraId="6D336469" w14:textId="77777777" w:rsidR="006A04DD" w:rsidRPr="00D549EE" w:rsidRDefault="006A04DD" w:rsidP="00C9582F">
            <w:pPr>
              <w:pStyle w:val="a5"/>
              <w:contextualSpacing/>
              <w:rPr>
                <w:color w:val="000000" w:themeColor="text1"/>
                <w:lang w:val="en-US"/>
              </w:rPr>
            </w:pPr>
          </w:p>
        </w:tc>
        <w:tc>
          <w:tcPr>
            <w:tcW w:w="0" w:type="auto"/>
            <w:gridSpan w:val="2"/>
          </w:tcPr>
          <w:p w14:paraId="298E3DFA" w14:textId="141228E7" w:rsidR="006A04DD" w:rsidRPr="00D549EE" w:rsidRDefault="006A04DD" w:rsidP="00C9582F">
            <w:pPr>
              <w:pStyle w:val="a5"/>
              <w:contextualSpacing/>
              <w:rPr>
                <w:color w:val="000000" w:themeColor="text1"/>
                <w:lang w:val="en-US"/>
              </w:rPr>
            </w:pPr>
            <w:r w:rsidRPr="00D549EE">
              <w:rPr>
                <w:color w:val="000000" w:themeColor="text1"/>
                <w:lang w:val="en-US"/>
              </w:rPr>
              <w:t>-Web-site</w:t>
            </w:r>
          </w:p>
          <w:p w14:paraId="17B7F1F9" w14:textId="7D7885C4" w:rsidR="006A04DD" w:rsidRPr="00D549EE" w:rsidRDefault="006A04DD" w:rsidP="00C9582F">
            <w:pPr>
              <w:pStyle w:val="a5"/>
              <w:contextualSpacing/>
              <w:rPr>
                <w:color w:val="000000" w:themeColor="text1"/>
                <w:lang w:val="en-US"/>
              </w:rPr>
            </w:pPr>
            <w:r w:rsidRPr="00D549EE">
              <w:rPr>
                <w:color w:val="000000" w:themeColor="text1"/>
                <w:lang w:val="en-US"/>
              </w:rPr>
              <w:t>-SAMK</w:t>
            </w:r>
          </w:p>
          <w:p w14:paraId="13B0BC79" w14:textId="5062818D" w:rsidR="006A04DD" w:rsidRPr="00D549EE" w:rsidRDefault="006A04DD" w:rsidP="00C9582F">
            <w:pPr>
              <w:pStyle w:val="a5"/>
              <w:contextualSpacing/>
              <w:rPr>
                <w:color w:val="000000" w:themeColor="text1"/>
                <w:lang w:val="en-US"/>
              </w:rPr>
            </w:pPr>
            <w:r w:rsidRPr="00D549EE">
              <w:rPr>
                <w:color w:val="000000" w:themeColor="text1"/>
                <w:lang w:val="en-US"/>
              </w:rPr>
              <w:t xml:space="preserve">-Imams in Mosques </w:t>
            </w:r>
          </w:p>
          <w:p w14:paraId="0FBF1677" w14:textId="4F5DCE57" w:rsidR="006A04DD" w:rsidRPr="00D549EE" w:rsidRDefault="006A04DD" w:rsidP="00C9582F">
            <w:pPr>
              <w:pStyle w:val="a5"/>
              <w:contextualSpacing/>
              <w:rPr>
                <w:color w:val="000000" w:themeColor="text1"/>
                <w:lang w:val="en-US"/>
              </w:rPr>
            </w:pPr>
            <w:r w:rsidRPr="00D549EE">
              <w:rPr>
                <w:color w:val="000000" w:themeColor="text1"/>
                <w:lang w:val="en-US"/>
              </w:rPr>
              <w:t>-Mass-media</w:t>
            </w:r>
          </w:p>
          <w:p w14:paraId="5CC1C954" w14:textId="6195E4F1" w:rsidR="006A04DD" w:rsidRPr="00D549EE" w:rsidRDefault="006A04DD" w:rsidP="00C9582F">
            <w:pPr>
              <w:pStyle w:val="a5"/>
              <w:contextualSpacing/>
              <w:rPr>
                <w:color w:val="000000" w:themeColor="text1"/>
                <w:lang w:val="en-US"/>
              </w:rPr>
            </w:pPr>
            <w:r w:rsidRPr="00D549EE">
              <w:rPr>
                <w:color w:val="000000" w:themeColor="text1"/>
                <w:lang w:val="en-US"/>
              </w:rPr>
              <w:t>-Associations and Unions</w:t>
            </w:r>
          </w:p>
          <w:p w14:paraId="679FF645" w14:textId="5F4DA3C0" w:rsidR="006A04DD" w:rsidRPr="00D549EE" w:rsidRDefault="006A04DD" w:rsidP="00C9582F">
            <w:pPr>
              <w:pStyle w:val="a5"/>
              <w:contextualSpacing/>
              <w:rPr>
                <w:color w:val="000000" w:themeColor="text1"/>
                <w:lang w:val="en-US"/>
              </w:rPr>
            </w:pPr>
            <w:r w:rsidRPr="00D549EE">
              <w:rPr>
                <w:color w:val="000000" w:themeColor="text1"/>
                <w:lang w:val="en-US"/>
              </w:rPr>
              <w:t>- Social networks</w:t>
            </w:r>
          </w:p>
        </w:tc>
        <w:tc>
          <w:tcPr>
            <w:tcW w:w="0" w:type="auto"/>
            <w:vMerge/>
          </w:tcPr>
          <w:p w14:paraId="5CA8F5FD" w14:textId="77777777" w:rsidR="006A04DD" w:rsidRPr="00D549EE" w:rsidRDefault="006A04DD" w:rsidP="00C9582F">
            <w:pPr>
              <w:pStyle w:val="a5"/>
              <w:contextualSpacing/>
              <w:rPr>
                <w:color w:val="000000" w:themeColor="text1"/>
                <w:lang w:val="en-US"/>
              </w:rPr>
            </w:pPr>
          </w:p>
        </w:tc>
      </w:tr>
      <w:tr w:rsidR="006A04DD" w:rsidRPr="00D549EE" w14:paraId="6A7EA1F7" w14:textId="77777777" w:rsidTr="003A5576">
        <w:trPr>
          <w:trHeight w:val="280"/>
        </w:trPr>
        <w:tc>
          <w:tcPr>
            <w:tcW w:w="0" w:type="auto"/>
            <w:gridSpan w:val="4"/>
          </w:tcPr>
          <w:p w14:paraId="6E720EBB" w14:textId="6EEEC1E8" w:rsidR="006A04DD" w:rsidRPr="00D549EE" w:rsidRDefault="006A04DD" w:rsidP="00C9582F">
            <w:pPr>
              <w:pStyle w:val="a5"/>
              <w:contextualSpacing/>
              <w:rPr>
                <w:bCs/>
                <w:color w:val="000000" w:themeColor="text1"/>
                <w:lang w:val="en-US"/>
              </w:rPr>
            </w:pPr>
            <w:r w:rsidRPr="00D549EE">
              <w:rPr>
                <w:bCs/>
                <w:color w:val="000000" w:themeColor="text1"/>
                <w:lang w:val="en-US"/>
              </w:rPr>
              <w:t>Cost Structure</w:t>
            </w:r>
          </w:p>
        </w:tc>
        <w:tc>
          <w:tcPr>
            <w:tcW w:w="2719" w:type="dxa"/>
            <w:gridSpan w:val="3"/>
          </w:tcPr>
          <w:p w14:paraId="28AC0669" w14:textId="31763C1F" w:rsidR="006A04DD" w:rsidRPr="00D549EE" w:rsidRDefault="006A04DD" w:rsidP="00C9582F">
            <w:pPr>
              <w:pStyle w:val="a5"/>
              <w:contextualSpacing/>
              <w:rPr>
                <w:bCs/>
                <w:color w:val="000000" w:themeColor="text1"/>
                <w:lang w:val="en-US"/>
              </w:rPr>
            </w:pPr>
            <w:r w:rsidRPr="00D549EE">
              <w:rPr>
                <w:bCs/>
                <w:color w:val="000000" w:themeColor="text1"/>
                <w:lang w:val="en-US"/>
              </w:rPr>
              <w:t>Revenue Streams</w:t>
            </w:r>
          </w:p>
        </w:tc>
      </w:tr>
      <w:tr w:rsidR="006A04DD" w:rsidRPr="00FC685D" w14:paraId="40C3AA00" w14:textId="58F1C4E6" w:rsidTr="003A5576">
        <w:trPr>
          <w:trHeight w:val="562"/>
        </w:trPr>
        <w:tc>
          <w:tcPr>
            <w:tcW w:w="0" w:type="auto"/>
            <w:gridSpan w:val="4"/>
          </w:tcPr>
          <w:p w14:paraId="54A78F85" w14:textId="77777777" w:rsidR="006A04DD" w:rsidRPr="00D549EE" w:rsidRDefault="006A04DD" w:rsidP="00C9582F">
            <w:pPr>
              <w:pStyle w:val="a5"/>
              <w:contextualSpacing/>
              <w:rPr>
                <w:color w:val="000000" w:themeColor="text1"/>
                <w:lang w:val="en-US"/>
              </w:rPr>
            </w:pPr>
            <w:r w:rsidRPr="00D549EE">
              <w:rPr>
                <w:color w:val="000000" w:themeColor="text1"/>
                <w:lang w:val="en-US"/>
              </w:rPr>
              <w:t>- Developing IT platform</w:t>
            </w:r>
          </w:p>
          <w:p w14:paraId="3B39B6F6" w14:textId="47840005" w:rsidR="006A04DD" w:rsidRPr="00D549EE" w:rsidRDefault="006A04DD" w:rsidP="00C9582F">
            <w:pPr>
              <w:pStyle w:val="a5"/>
              <w:contextualSpacing/>
              <w:rPr>
                <w:color w:val="000000" w:themeColor="text1"/>
                <w:lang w:val="en-US"/>
              </w:rPr>
            </w:pPr>
            <w:r w:rsidRPr="00D549EE">
              <w:rPr>
                <w:color w:val="000000" w:themeColor="text1"/>
                <w:lang w:val="en-US"/>
              </w:rPr>
              <w:t>- Support</w:t>
            </w:r>
          </w:p>
          <w:p w14:paraId="01CB9808" w14:textId="77777777" w:rsidR="006A04DD" w:rsidRPr="00D549EE" w:rsidRDefault="006A04DD" w:rsidP="00C9582F">
            <w:pPr>
              <w:pStyle w:val="a5"/>
              <w:contextualSpacing/>
              <w:rPr>
                <w:color w:val="000000" w:themeColor="text1"/>
                <w:lang w:val="en-US"/>
              </w:rPr>
            </w:pPr>
            <w:r w:rsidRPr="00D549EE">
              <w:rPr>
                <w:color w:val="000000" w:themeColor="text1"/>
                <w:lang w:val="en-US"/>
              </w:rPr>
              <w:t>- Payment system \ processing</w:t>
            </w:r>
          </w:p>
          <w:p w14:paraId="061C11E6" w14:textId="2F7446F5" w:rsidR="006A04DD" w:rsidRPr="00D549EE" w:rsidRDefault="006A04DD" w:rsidP="00C9582F">
            <w:pPr>
              <w:pStyle w:val="a5"/>
              <w:contextualSpacing/>
              <w:rPr>
                <w:color w:val="000000" w:themeColor="text1"/>
                <w:lang w:val="en-US"/>
              </w:rPr>
            </w:pPr>
            <w:r w:rsidRPr="00D549EE">
              <w:rPr>
                <w:color w:val="000000" w:themeColor="text1"/>
                <w:lang w:val="en-US"/>
              </w:rPr>
              <w:t xml:space="preserve">- Promotion </w:t>
            </w:r>
          </w:p>
        </w:tc>
        <w:tc>
          <w:tcPr>
            <w:tcW w:w="2719" w:type="dxa"/>
            <w:gridSpan w:val="3"/>
          </w:tcPr>
          <w:p w14:paraId="6CDCA273" w14:textId="77777777" w:rsidR="006A04DD" w:rsidRPr="00D549EE" w:rsidRDefault="006A04DD" w:rsidP="00C9582F">
            <w:pPr>
              <w:pStyle w:val="a5"/>
              <w:contextualSpacing/>
              <w:rPr>
                <w:color w:val="000000" w:themeColor="text1"/>
                <w:lang w:val="en-US"/>
              </w:rPr>
            </w:pPr>
            <w:r w:rsidRPr="00D549EE">
              <w:rPr>
                <w:color w:val="000000" w:themeColor="text1"/>
                <w:lang w:val="en-US"/>
              </w:rPr>
              <w:t>-zakat collection</w:t>
            </w:r>
          </w:p>
          <w:p w14:paraId="65948713" w14:textId="77777777" w:rsidR="006A04DD" w:rsidRPr="00D549EE" w:rsidRDefault="006A04DD" w:rsidP="00C9582F">
            <w:pPr>
              <w:pStyle w:val="a5"/>
              <w:contextualSpacing/>
              <w:rPr>
                <w:color w:val="000000" w:themeColor="text1"/>
                <w:lang w:val="en-US"/>
              </w:rPr>
            </w:pPr>
            <w:r w:rsidRPr="00D549EE">
              <w:rPr>
                <w:color w:val="000000" w:themeColor="text1"/>
                <w:lang w:val="en-US"/>
              </w:rPr>
              <w:t>-sadaqah collection</w:t>
            </w:r>
          </w:p>
          <w:p w14:paraId="4E1B8B2A" w14:textId="1590FEB0" w:rsidR="006A04DD" w:rsidRPr="00D549EE" w:rsidRDefault="006A04DD" w:rsidP="00C9582F">
            <w:pPr>
              <w:pStyle w:val="a5"/>
              <w:contextualSpacing/>
              <w:rPr>
                <w:color w:val="000000" w:themeColor="text1"/>
                <w:lang w:val="en-US"/>
              </w:rPr>
            </w:pPr>
            <w:r w:rsidRPr="00D549EE">
              <w:rPr>
                <w:color w:val="000000" w:themeColor="text1"/>
                <w:lang w:val="en-US"/>
              </w:rPr>
              <w:t xml:space="preserve">-waqf investment </w:t>
            </w:r>
          </w:p>
        </w:tc>
      </w:tr>
      <w:tr w:rsidR="006A04DD" w:rsidRPr="00FC685D" w14:paraId="11FB622A" w14:textId="77777777" w:rsidTr="003A5576">
        <w:trPr>
          <w:trHeight w:val="423"/>
        </w:trPr>
        <w:tc>
          <w:tcPr>
            <w:tcW w:w="9634" w:type="dxa"/>
            <w:gridSpan w:val="7"/>
          </w:tcPr>
          <w:p w14:paraId="4123B59F" w14:textId="340A0187" w:rsidR="006A04DD" w:rsidRPr="00D549EE" w:rsidRDefault="00263B47" w:rsidP="00C9582F">
            <w:pPr>
              <w:pStyle w:val="a5"/>
              <w:contextualSpacing/>
              <w:rPr>
                <w:color w:val="000000" w:themeColor="text1"/>
                <w:lang w:val="en-US"/>
              </w:rPr>
            </w:pPr>
            <w:r w:rsidRPr="00D549EE">
              <w:rPr>
                <w:color w:val="000000" w:themeColor="text1"/>
                <w:lang w:val="en-US"/>
              </w:rPr>
              <w:t xml:space="preserve">     </w:t>
            </w:r>
            <w:r w:rsidR="006A04DD" w:rsidRPr="00D549EE">
              <w:rPr>
                <w:color w:val="000000" w:themeColor="text1"/>
                <w:lang w:val="en-US"/>
              </w:rPr>
              <w:t>Note – Compiled by the author</w:t>
            </w:r>
          </w:p>
        </w:tc>
      </w:tr>
    </w:tbl>
    <w:p w14:paraId="3D04EBD9" w14:textId="77777777" w:rsidR="00F65E29" w:rsidRPr="00F65E29" w:rsidRDefault="00195C5F" w:rsidP="00F65E29">
      <w:pPr>
        <w:pStyle w:val="a5"/>
        <w:shd w:val="clear" w:color="auto" w:fill="FFFFFF"/>
        <w:contextualSpacing/>
        <w:jc w:val="both"/>
        <w:rPr>
          <w:color w:val="000000" w:themeColor="text1"/>
          <w:sz w:val="28"/>
          <w:szCs w:val="28"/>
          <w:lang w:val="en-US"/>
        </w:rPr>
      </w:pPr>
      <w:r w:rsidRPr="00D549EE">
        <w:rPr>
          <w:color w:val="000000" w:themeColor="text1"/>
          <w:sz w:val="28"/>
          <w:szCs w:val="28"/>
          <w:lang w:val="en-US"/>
        </w:rPr>
        <w:t xml:space="preserve"> </w:t>
      </w:r>
      <w:r w:rsidR="00EB3042" w:rsidRPr="00D549EE">
        <w:rPr>
          <w:color w:val="000000" w:themeColor="text1"/>
          <w:sz w:val="28"/>
          <w:szCs w:val="28"/>
          <w:lang w:val="en-US"/>
        </w:rPr>
        <w:tab/>
      </w:r>
      <w:r w:rsidR="00F65E29" w:rsidRPr="00F65E29">
        <w:rPr>
          <w:color w:val="000000" w:themeColor="text1"/>
          <w:sz w:val="28"/>
          <w:szCs w:val="28"/>
          <w:lang w:val="en-US"/>
        </w:rPr>
        <w:t xml:space="preserve">Table 46 illustrates the crowd platform model structure, the primary purpose of ensuring transparency and increasing the population's trust, which provides growth collection of zakat and sadaqah, and as a result, reduces the number of needy and poor people. We assume that blockchain technology will provide transparency, which will secure collected information of all transactions. Other instruments for providing transparency are a full report of the collected and distributed amount of charity. As the crowd platform is not a commercial project, the costs such as support of the platform, processing, and promotion are also planned to be covered by streams from the zakat collection. </w:t>
      </w:r>
    </w:p>
    <w:p w14:paraId="00D8BB94"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The input data for the platform development are:</w:t>
      </w:r>
    </w:p>
    <w:p w14:paraId="15A0C4C8"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1. The beginning of the crowdfunding system development is 1 year</w:t>
      </w:r>
    </w:p>
    <w:p w14:paraId="53A9DFFC"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By the second year, it is planned to complete the development of ready-made modules for registering projects (MVP - minimum viable product), integration with the payment system, and finance them with all possible payment systems.</w:t>
      </w:r>
    </w:p>
    <w:p w14:paraId="370295C9"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2. There is a plan to start platform activity at the start of the second year when the platform modules are ready.</w:t>
      </w:r>
    </w:p>
    <w:p w14:paraId="793909E5"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3. Continue to refine the crowdfunding system until 6 months of the second year with the testing model on the social projects and charity collection.</w:t>
      </w:r>
    </w:p>
    <w:p w14:paraId="1C3D9A25"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4. For 4 years, there has been a plan to implement the waqf system, which will provide the use amount of sadaqah (not zakat) for Shariah-compliant investment projects to get income for distributing generated income to the needy.</w:t>
      </w:r>
    </w:p>
    <w:p w14:paraId="024F2BFA"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 xml:space="preserve">5. To promote the platform and explain its transparency among the population, it will use channels such as mosques during the hutbas by imams for rural areas, Zeket fund's promotion channels, social media channels, and different sources of advertisement. </w:t>
      </w:r>
    </w:p>
    <w:p w14:paraId="3256C194" w14:textId="3BF531D0"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6. There is planned to use 2 units of administration stuff for the crowd platform from Zeket f</w:t>
      </w:r>
      <w:r>
        <w:rPr>
          <w:color w:val="000000" w:themeColor="text1"/>
          <w:sz w:val="28"/>
          <w:szCs w:val="28"/>
          <w:lang w:val="en-US"/>
        </w:rPr>
        <w:t>o</w:t>
      </w:r>
      <w:r w:rsidRPr="00F65E29">
        <w:rPr>
          <w:color w:val="000000" w:themeColor="text1"/>
          <w:sz w:val="28"/>
          <w:szCs w:val="28"/>
          <w:lang w:val="en-US"/>
        </w:rPr>
        <w:t xml:space="preserve">undation. </w:t>
      </w:r>
    </w:p>
    <w:p w14:paraId="27668F2C" w14:textId="77777777" w:rsid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 xml:space="preserve">To develop web-platform for registering applications, showing the collections in the real-time, including the opportunity for waqf-chain development, it will need to be the following capital expenditures: </w:t>
      </w:r>
    </w:p>
    <w:p w14:paraId="2BDF670B" w14:textId="77777777" w:rsidR="00F65E29" w:rsidRDefault="00F65E29" w:rsidP="00F65E29">
      <w:pPr>
        <w:pStyle w:val="a5"/>
        <w:shd w:val="clear" w:color="auto" w:fill="FFFFFF"/>
        <w:contextualSpacing/>
        <w:jc w:val="both"/>
        <w:rPr>
          <w:color w:val="000000" w:themeColor="text1"/>
          <w:sz w:val="28"/>
          <w:szCs w:val="28"/>
          <w:lang w:val="en-US"/>
        </w:rPr>
      </w:pPr>
    </w:p>
    <w:p w14:paraId="541BA025" w14:textId="248F6340" w:rsidR="00A127A8" w:rsidRPr="00D549EE" w:rsidRDefault="00A127A8" w:rsidP="00F65E29">
      <w:pPr>
        <w:pStyle w:val="a5"/>
        <w:shd w:val="clear" w:color="auto" w:fill="FFFFFF"/>
        <w:contextualSpacing/>
        <w:jc w:val="both"/>
        <w:rPr>
          <w:color w:val="000000" w:themeColor="text1"/>
          <w:sz w:val="28"/>
          <w:szCs w:val="28"/>
          <w:lang w:val="en-US"/>
        </w:rPr>
      </w:pPr>
      <w:r w:rsidRPr="00D549EE">
        <w:rPr>
          <w:color w:val="000000" w:themeColor="text1"/>
          <w:sz w:val="28"/>
          <w:szCs w:val="28"/>
          <w:lang w:val="en-US"/>
        </w:rPr>
        <w:t xml:space="preserve">Table </w:t>
      </w:r>
      <w:r w:rsidR="00CF41B3" w:rsidRPr="00D549EE">
        <w:rPr>
          <w:color w:val="000000" w:themeColor="text1"/>
          <w:sz w:val="28"/>
          <w:szCs w:val="28"/>
          <w:lang w:val="en-US"/>
        </w:rPr>
        <w:t>47 –</w:t>
      </w:r>
      <w:r w:rsidRPr="00D549EE">
        <w:rPr>
          <w:color w:val="000000" w:themeColor="text1"/>
          <w:sz w:val="28"/>
          <w:szCs w:val="28"/>
          <w:lang w:val="en-US"/>
        </w:rPr>
        <w:t xml:space="preserve"> Crowdfunding platform capital expenditures</w:t>
      </w:r>
    </w:p>
    <w:p w14:paraId="52E3660B" w14:textId="78CE97B9" w:rsidR="00A127A8" w:rsidRPr="00D549EE" w:rsidRDefault="00A127A8" w:rsidP="00C9582F">
      <w:pPr>
        <w:pStyle w:val="a5"/>
        <w:shd w:val="clear" w:color="auto" w:fill="FFFFFF"/>
        <w:contextualSpacing/>
        <w:jc w:val="both"/>
        <w:rPr>
          <w:color w:val="000000" w:themeColor="text1"/>
          <w:sz w:val="28"/>
          <w:szCs w:val="28"/>
          <w:lang w:val="en-US"/>
        </w:rPr>
      </w:pPr>
    </w:p>
    <w:tbl>
      <w:tblPr>
        <w:tblStyle w:val="a9"/>
        <w:tblW w:w="0" w:type="auto"/>
        <w:tblLook w:val="04A0" w:firstRow="1" w:lastRow="0" w:firstColumn="1" w:lastColumn="0" w:noHBand="0" w:noVBand="1"/>
      </w:tblPr>
      <w:tblGrid>
        <w:gridCol w:w="7508"/>
        <w:gridCol w:w="2115"/>
      </w:tblGrid>
      <w:tr w:rsidR="00A127A8" w:rsidRPr="00D549EE" w14:paraId="075F8546" w14:textId="77777777" w:rsidTr="000F40A9">
        <w:tc>
          <w:tcPr>
            <w:tcW w:w="7508" w:type="dxa"/>
          </w:tcPr>
          <w:p w14:paraId="594314E5" w14:textId="5FB4A8C1" w:rsidR="00A127A8" w:rsidRPr="00D549EE" w:rsidRDefault="00A127A8" w:rsidP="00C9582F">
            <w:pPr>
              <w:pStyle w:val="a5"/>
              <w:contextualSpacing/>
              <w:rPr>
                <w:bCs/>
                <w:color w:val="000000" w:themeColor="text1"/>
                <w:lang w:val="en-US"/>
              </w:rPr>
            </w:pPr>
            <w:r w:rsidRPr="00D549EE">
              <w:rPr>
                <w:bCs/>
                <w:color w:val="000000" w:themeColor="text1"/>
                <w:lang w:val="en-US"/>
              </w:rPr>
              <w:t>Crowdfunding system modules</w:t>
            </w:r>
          </w:p>
        </w:tc>
        <w:tc>
          <w:tcPr>
            <w:tcW w:w="2115" w:type="dxa"/>
          </w:tcPr>
          <w:p w14:paraId="7D858C2D" w14:textId="67EE5949" w:rsidR="00A127A8" w:rsidRPr="00D549EE" w:rsidRDefault="00A127A8" w:rsidP="00C9582F">
            <w:pPr>
              <w:pStyle w:val="a5"/>
              <w:contextualSpacing/>
              <w:rPr>
                <w:bCs/>
                <w:color w:val="000000" w:themeColor="text1"/>
                <w:lang w:val="en-US"/>
              </w:rPr>
            </w:pPr>
            <w:r w:rsidRPr="00D549EE">
              <w:rPr>
                <w:bCs/>
                <w:color w:val="000000" w:themeColor="text1"/>
                <w:lang w:val="en-US"/>
              </w:rPr>
              <w:t>Price, tenge</w:t>
            </w:r>
          </w:p>
        </w:tc>
      </w:tr>
      <w:tr w:rsidR="00A127A8" w:rsidRPr="00D549EE" w14:paraId="6F9DD8CE" w14:textId="77777777" w:rsidTr="000F40A9">
        <w:tc>
          <w:tcPr>
            <w:tcW w:w="7508" w:type="dxa"/>
          </w:tcPr>
          <w:p w14:paraId="768889B2" w14:textId="31737DC7" w:rsidR="00A127A8" w:rsidRPr="00D549EE" w:rsidRDefault="00C56C96" w:rsidP="00C9582F">
            <w:pPr>
              <w:pStyle w:val="a5"/>
              <w:contextualSpacing/>
              <w:rPr>
                <w:color w:val="000000" w:themeColor="text1"/>
                <w:lang w:val="en-US"/>
              </w:rPr>
            </w:pPr>
            <w:r w:rsidRPr="00D549EE">
              <w:rPr>
                <w:color w:val="000000" w:themeColor="text1"/>
                <w:lang w:val="en-US"/>
              </w:rPr>
              <w:t>Individual</w:t>
            </w:r>
            <w:r w:rsidR="00FD7995" w:rsidRPr="00D549EE">
              <w:rPr>
                <w:color w:val="000000" w:themeColor="text1"/>
                <w:lang w:val="en-US"/>
              </w:rPr>
              <w:t xml:space="preserve"> multi-page </w:t>
            </w:r>
            <w:r w:rsidRPr="00D549EE">
              <w:rPr>
                <w:color w:val="000000" w:themeColor="text1"/>
                <w:lang w:val="en-US"/>
              </w:rPr>
              <w:t xml:space="preserve">platform design </w:t>
            </w:r>
          </w:p>
        </w:tc>
        <w:tc>
          <w:tcPr>
            <w:tcW w:w="2115" w:type="dxa"/>
          </w:tcPr>
          <w:p w14:paraId="6F176580" w14:textId="5380FE2B" w:rsidR="00A127A8" w:rsidRPr="00D549EE" w:rsidRDefault="00543E08" w:rsidP="00C9582F">
            <w:pPr>
              <w:pStyle w:val="a5"/>
              <w:contextualSpacing/>
              <w:rPr>
                <w:color w:val="000000" w:themeColor="text1"/>
                <w:lang w:val="en-US"/>
              </w:rPr>
            </w:pPr>
            <w:r w:rsidRPr="00D549EE">
              <w:rPr>
                <w:color w:val="000000" w:themeColor="text1"/>
                <w:lang w:val="en-US"/>
              </w:rPr>
              <w:t>1 0</w:t>
            </w:r>
            <w:r w:rsidR="00FD7995" w:rsidRPr="00D549EE">
              <w:rPr>
                <w:color w:val="000000" w:themeColor="text1"/>
                <w:lang w:val="en-US"/>
              </w:rPr>
              <w:t>00 000.00</w:t>
            </w:r>
          </w:p>
        </w:tc>
      </w:tr>
      <w:tr w:rsidR="00A127A8" w:rsidRPr="00D549EE" w14:paraId="6B3FB138" w14:textId="77777777" w:rsidTr="000F40A9">
        <w:tc>
          <w:tcPr>
            <w:tcW w:w="7508" w:type="dxa"/>
          </w:tcPr>
          <w:p w14:paraId="15935A0A" w14:textId="0858ACB6" w:rsidR="00A127A8" w:rsidRPr="00D549EE" w:rsidRDefault="00FD7995" w:rsidP="00C9582F">
            <w:pPr>
              <w:pStyle w:val="a5"/>
              <w:contextualSpacing/>
              <w:rPr>
                <w:color w:val="000000" w:themeColor="text1"/>
                <w:lang w:val="en-US"/>
              </w:rPr>
            </w:pPr>
            <w:r w:rsidRPr="00D549EE">
              <w:rPr>
                <w:color w:val="000000" w:themeColor="text1"/>
                <w:lang w:val="en-US"/>
              </w:rPr>
              <w:t>Server</w:t>
            </w:r>
            <w:r w:rsidR="00271B6B" w:rsidRPr="00D549EE">
              <w:rPr>
                <w:color w:val="000000" w:themeColor="text1"/>
                <w:lang w:val="en-US"/>
              </w:rPr>
              <w:t>-domain</w:t>
            </w:r>
          </w:p>
        </w:tc>
        <w:tc>
          <w:tcPr>
            <w:tcW w:w="2115" w:type="dxa"/>
          </w:tcPr>
          <w:p w14:paraId="50F1E735" w14:textId="71BE88CA" w:rsidR="00A127A8" w:rsidRPr="00D549EE" w:rsidRDefault="00271B6B" w:rsidP="00C9582F">
            <w:pPr>
              <w:pStyle w:val="a5"/>
              <w:contextualSpacing/>
              <w:rPr>
                <w:color w:val="000000" w:themeColor="text1"/>
                <w:lang w:val="en-US"/>
              </w:rPr>
            </w:pPr>
            <w:r w:rsidRPr="00D549EE">
              <w:rPr>
                <w:color w:val="000000" w:themeColor="text1"/>
                <w:lang w:val="en-US"/>
              </w:rPr>
              <w:t>3</w:t>
            </w:r>
            <w:r w:rsidR="00FD7995" w:rsidRPr="00D549EE">
              <w:rPr>
                <w:color w:val="000000" w:themeColor="text1"/>
                <w:lang w:val="en-US"/>
              </w:rPr>
              <w:t>00 000.00</w:t>
            </w:r>
          </w:p>
        </w:tc>
      </w:tr>
      <w:tr w:rsidR="00A127A8" w:rsidRPr="00D549EE" w14:paraId="14190CC3" w14:textId="77777777" w:rsidTr="000F40A9">
        <w:tc>
          <w:tcPr>
            <w:tcW w:w="7508" w:type="dxa"/>
          </w:tcPr>
          <w:p w14:paraId="057EB0CD" w14:textId="2C19CDEF" w:rsidR="00A127A8" w:rsidRPr="00D549EE" w:rsidRDefault="00FD7995" w:rsidP="00C9582F">
            <w:pPr>
              <w:pStyle w:val="a5"/>
              <w:contextualSpacing/>
              <w:rPr>
                <w:color w:val="000000" w:themeColor="text1"/>
                <w:lang w:val="en-US"/>
              </w:rPr>
            </w:pPr>
            <w:r w:rsidRPr="00D549EE">
              <w:rPr>
                <w:color w:val="000000" w:themeColor="text1"/>
                <w:lang w:val="en-US"/>
              </w:rPr>
              <w:t>Developing and programming the system</w:t>
            </w:r>
          </w:p>
        </w:tc>
        <w:tc>
          <w:tcPr>
            <w:tcW w:w="2115" w:type="dxa"/>
          </w:tcPr>
          <w:p w14:paraId="68515AE6" w14:textId="3F9560BA" w:rsidR="00A127A8" w:rsidRPr="00D549EE" w:rsidRDefault="00FD7995" w:rsidP="00C9582F">
            <w:pPr>
              <w:pStyle w:val="a5"/>
              <w:contextualSpacing/>
              <w:rPr>
                <w:color w:val="000000" w:themeColor="text1"/>
                <w:lang w:val="en-US"/>
              </w:rPr>
            </w:pPr>
            <w:r w:rsidRPr="00D549EE">
              <w:rPr>
                <w:color w:val="000000" w:themeColor="text1"/>
                <w:lang w:val="en-US"/>
              </w:rPr>
              <w:t>1 000 000.00</w:t>
            </w:r>
          </w:p>
        </w:tc>
      </w:tr>
      <w:tr w:rsidR="00A127A8" w:rsidRPr="00D549EE" w14:paraId="69D35DEB" w14:textId="77777777" w:rsidTr="000F40A9">
        <w:tc>
          <w:tcPr>
            <w:tcW w:w="7508" w:type="dxa"/>
          </w:tcPr>
          <w:p w14:paraId="200B5B33" w14:textId="2FA225B7" w:rsidR="00A127A8" w:rsidRPr="00D549EE" w:rsidRDefault="00FD7995" w:rsidP="00C9582F">
            <w:pPr>
              <w:pStyle w:val="a5"/>
              <w:contextualSpacing/>
              <w:rPr>
                <w:color w:val="000000" w:themeColor="text1"/>
                <w:lang w:val="en-US"/>
              </w:rPr>
            </w:pPr>
            <w:r w:rsidRPr="00D549EE">
              <w:rPr>
                <w:color w:val="000000" w:themeColor="text1"/>
                <w:lang w:val="en-US"/>
              </w:rPr>
              <w:t>Software testing</w:t>
            </w:r>
          </w:p>
        </w:tc>
        <w:tc>
          <w:tcPr>
            <w:tcW w:w="2115" w:type="dxa"/>
          </w:tcPr>
          <w:p w14:paraId="6EB67C81" w14:textId="05BA1848" w:rsidR="00A127A8" w:rsidRPr="00D549EE" w:rsidRDefault="00543E08" w:rsidP="00C9582F">
            <w:pPr>
              <w:pStyle w:val="a5"/>
              <w:contextualSpacing/>
              <w:rPr>
                <w:color w:val="000000" w:themeColor="text1"/>
                <w:lang w:val="en-US"/>
              </w:rPr>
            </w:pPr>
            <w:r w:rsidRPr="00D549EE">
              <w:rPr>
                <w:color w:val="000000" w:themeColor="text1"/>
                <w:lang w:val="en-US"/>
              </w:rPr>
              <w:t>1 00</w:t>
            </w:r>
            <w:r w:rsidR="00FD7995" w:rsidRPr="00D549EE">
              <w:rPr>
                <w:color w:val="000000" w:themeColor="text1"/>
                <w:lang w:val="en-US"/>
              </w:rPr>
              <w:t>0 000.00</w:t>
            </w:r>
          </w:p>
        </w:tc>
      </w:tr>
      <w:tr w:rsidR="00A127A8" w:rsidRPr="00D549EE" w14:paraId="3BE7AA4F" w14:textId="77777777" w:rsidTr="000F40A9">
        <w:tc>
          <w:tcPr>
            <w:tcW w:w="7508" w:type="dxa"/>
          </w:tcPr>
          <w:p w14:paraId="6CC6E05A" w14:textId="6D1B6EEB" w:rsidR="00A127A8" w:rsidRPr="00D549EE" w:rsidRDefault="00FD7995" w:rsidP="00C9582F">
            <w:pPr>
              <w:pStyle w:val="a5"/>
              <w:contextualSpacing/>
              <w:rPr>
                <w:color w:val="000000" w:themeColor="text1"/>
                <w:lang w:val="en-US"/>
              </w:rPr>
            </w:pPr>
            <w:r w:rsidRPr="00D549EE">
              <w:rPr>
                <w:color w:val="000000" w:themeColor="text1"/>
                <w:lang w:val="en-US"/>
              </w:rPr>
              <w:t>Integration with the payment system</w:t>
            </w:r>
          </w:p>
        </w:tc>
        <w:tc>
          <w:tcPr>
            <w:tcW w:w="2115" w:type="dxa"/>
          </w:tcPr>
          <w:p w14:paraId="2499D0B0" w14:textId="625A0E2B" w:rsidR="00A127A8" w:rsidRPr="00D549EE" w:rsidRDefault="00543E08" w:rsidP="00C9582F">
            <w:pPr>
              <w:pStyle w:val="a5"/>
              <w:contextualSpacing/>
              <w:rPr>
                <w:color w:val="000000" w:themeColor="text1"/>
                <w:lang w:val="en-US"/>
              </w:rPr>
            </w:pPr>
            <w:r w:rsidRPr="00D549EE">
              <w:rPr>
                <w:color w:val="000000" w:themeColor="text1"/>
                <w:lang w:val="en-US"/>
              </w:rPr>
              <w:t>750</w:t>
            </w:r>
            <w:r w:rsidR="00FD7995" w:rsidRPr="00D549EE">
              <w:rPr>
                <w:color w:val="000000" w:themeColor="text1"/>
                <w:lang w:val="en-US"/>
              </w:rPr>
              <w:t> 000.00</w:t>
            </w:r>
          </w:p>
        </w:tc>
      </w:tr>
      <w:tr w:rsidR="00876852" w:rsidRPr="00D549EE" w14:paraId="7582B038" w14:textId="77777777" w:rsidTr="000F40A9">
        <w:tc>
          <w:tcPr>
            <w:tcW w:w="7508" w:type="dxa"/>
          </w:tcPr>
          <w:p w14:paraId="65365053" w14:textId="64EF58A7" w:rsidR="00876852" w:rsidRPr="00D549EE" w:rsidRDefault="00876852" w:rsidP="00C9582F">
            <w:pPr>
              <w:pStyle w:val="a5"/>
              <w:contextualSpacing/>
              <w:rPr>
                <w:color w:val="000000" w:themeColor="text1"/>
                <w:lang w:val="en-US"/>
              </w:rPr>
            </w:pPr>
            <w:r w:rsidRPr="00D549EE">
              <w:rPr>
                <w:color w:val="000000" w:themeColor="text1"/>
                <w:lang w:val="en-US"/>
              </w:rPr>
              <w:t xml:space="preserve">Computers 2 </w:t>
            </w:r>
          </w:p>
        </w:tc>
        <w:tc>
          <w:tcPr>
            <w:tcW w:w="2115" w:type="dxa"/>
          </w:tcPr>
          <w:p w14:paraId="6FB45DE3" w14:textId="0115DFC3" w:rsidR="00876852" w:rsidRPr="00D549EE" w:rsidRDefault="00B128C0" w:rsidP="00C9582F">
            <w:pPr>
              <w:pStyle w:val="a5"/>
              <w:contextualSpacing/>
              <w:rPr>
                <w:color w:val="000000" w:themeColor="text1"/>
                <w:lang w:val="en-US"/>
              </w:rPr>
            </w:pPr>
            <w:r w:rsidRPr="00D549EE">
              <w:rPr>
                <w:color w:val="000000" w:themeColor="text1"/>
                <w:lang w:val="en-US"/>
              </w:rPr>
              <w:t>360 000.00</w:t>
            </w:r>
          </w:p>
        </w:tc>
      </w:tr>
      <w:tr w:rsidR="00715B6B" w:rsidRPr="00D549EE" w14:paraId="7D1A7FCD" w14:textId="77777777" w:rsidTr="000F40A9">
        <w:tc>
          <w:tcPr>
            <w:tcW w:w="7508" w:type="dxa"/>
          </w:tcPr>
          <w:p w14:paraId="6B7765D4" w14:textId="56CFA59B" w:rsidR="00715B6B" w:rsidRPr="00D549EE" w:rsidRDefault="00715B6B" w:rsidP="00C9582F">
            <w:pPr>
              <w:pStyle w:val="a5"/>
              <w:contextualSpacing/>
              <w:rPr>
                <w:color w:val="000000" w:themeColor="text1"/>
                <w:lang w:val="en-US"/>
              </w:rPr>
            </w:pPr>
            <w:r w:rsidRPr="00D549EE">
              <w:rPr>
                <w:color w:val="000000" w:themeColor="text1"/>
                <w:lang w:val="en-US"/>
              </w:rPr>
              <w:t>Software</w:t>
            </w:r>
          </w:p>
        </w:tc>
        <w:tc>
          <w:tcPr>
            <w:tcW w:w="2115" w:type="dxa"/>
          </w:tcPr>
          <w:p w14:paraId="5E8A5CE4" w14:textId="16367C3B" w:rsidR="00715B6B" w:rsidRPr="00D549EE" w:rsidRDefault="00715B6B" w:rsidP="00C9582F">
            <w:pPr>
              <w:pStyle w:val="a5"/>
              <w:contextualSpacing/>
              <w:rPr>
                <w:color w:val="000000" w:themeColor="text1"/>
                <w:lang w:val="en-US"/>
              </w:rPr>
            </w:pPr>
            <w:r w:rsidRPr="00D549EE">
              <w:rPr>
                <w:color w:val="000000" w:themeColor="text1"/>
                <w:lang w:val="en-US"/>
              </w:rPr>
              <w:t>190 000.00</w:t>
            </w:r>
          </w:p>
        </w:tc>
      </w:tr>
      <w:tr w:rsidR="00A127A8" w:rsidRPr="00D549EE" w14:paraId="51290F53" w14:textId="77777777" w:rsidTr="000F40A9">
        <w:tc>
          <w:tcPr>
            <w:tcW w:w="7508" w:type="dxa"/>
          </w:tcPr>
          <w:p w14:paraId="417D5F48" w14:textId="512BEEAF" w:rsidR="00A127A8" w:rsidRPr="00D549EE" w:rsidRDefault="00271B6B" w:rsidP="00C9582F">
            <w:pPr>
              <w:pStyle w:val="a5"/>
              <w:contextualSpacing/>
              <w:rPr>
                <w:color w:val="000000" w:themeColor="text1"/>
                <w:lang w:val="en-US"/>
              </w:rPr>
            </w:pPr>
            <w:r w:rsidRPr="00D549EE">
              <w:rPr>
                <w:color w:val="000000" w:themeColor="text1"/>
                <w:lang w:val="en-US"/>
              </w:rPr>
              <w:t>Total</w:t>
            </w:r>
          </w:p>
        </w:tc>
        <w:tc>
          <w:tcPr>
            <w:tcW w:w="2115" w:type="dxa"/>
          </w:tcPr>
          <w:p w14:paraId="01BD2B0C" w14:textId="0C239249" w:rsidR="00A127A8" w:rsidRPr="00D549EE" w:rsidRDefault="00543E08" w:rsidP="00C9582F">
            <w:pPr>
              <w:pStyle w:val="a5"/>
              <w:contextualSpacing/>
              <w:rPr>
                <w:color w:val="000000" w:themeColor="text1"/>
                <w:lang w:val="en-US"/>
              </w:rPr>
            </w:pPr>
            <w:r w:rsidRPr="00D549EE">
              <w:rPr>
                <w:color w:val="000000" w:themeColor="text1"/>
                <w:lang w:val="en-US"/>
              </w:rPr>
              <w:t>4</w:t>
            </w:r>
            <w:r w:rsidR="00271B6B" w:rsidRPr="00D549EE">
              <w:rPr>
                <w:color w:val="000000" w:themeColor="text1"/>
                <w:lang w:val="en-US"/>
              </w:rPr>
              <w:t> </w:t>
            </w:r>
            <w:r w:rsidR="00715B6B" w:rsidRPr="00D549EE">
              <w:rPr>
                <w:color w:val="000000" w:themeColor="text1"/>
                <w:lang w:val="en-US"/>
              </w:rPr>
              <w:t>600</w:t>
            </w:r>
            <w:r w:rsidR="00271B6B" w:rsidRPr="00D549EE">
              <w:rPr>
                <w:color w:val="000000" w:themeColor="text1"/>
                <w:lang w:val="en-US"/>
              </w:rPr>
              <w:t> 000.00</w:t>
            </w:r>
          </w:p>
        </w:tc>
      </w:tr>
      <w:tr w:rsidR="00271B6B" w:rsidRPr="00FC685D" w14:paraId="69D01D7B" w14:textId="77777777" w:rsidTr="00B00E68">
        <w:tc>
          <w:tcPr>
            <w:tcW w:w="9623" w:type="dxa"/>
            <w:gridSpan w:val="2"/>
          </w:tcPr>
          <w:p w14:paraId="29E368E6" w14:textId="143C10B4" w:rsidR="00171B07" w:rsidRPr="00D549EE" w:rsidRDefault="009D197D" w:rsidP="00C9582F">
            <w:pPr>
              <w:pStyle w:val="a5"/>
              <w:contextualSpacing/>
              <w:rPr>
                <w:color w:val="000000" w:themeColor="text1"/>
                <w:lang w:val="en-US"/>
              </w:rPr>
            </w:pPr>
            <w:r w:rsidRPr="00D549EE">
              <w:rPr>
                <w:color w:val="000000" w:themeColor="text1"/>
                <w:lang w:val="en-US"/>
              </w:rPr>
              <w:t xml:space="preserve">    </w:t>
            </w:r>
            <w:r w:rsidR="00271B6B" w:rsidRPr="00D549EE">
              <w:rPr>
                <w:color w:val="000000" w:themeColor="text1"/>
                <w:lang w:val="en-US"/>
              </w:rPr>
              <w:t>Note</w:t>
            </w:r>
            <w:r w:rsidR="00171B07" w:rsidRPr="00D549EE">
              <w:rPr>
                <w:color w:val="000000" w:themeColor="text1"/>
                <w:lang w:val="en-US"/>
              </w:rPr>
              <w:t>s</w:t>
            </w:r>
          </w:p>
          <w:p w14:paraId="0114250D" w14:textId="188A05E7" w:rsidR="00271B6B" w:rsidRPr="00D549EE" w:rsidRDefault="00271B6B" w:rsidP="00C9582F">
            <w:pPr>
              <w:pStyle w:val="a5"/>
              <w:contextualSpacing/>
              <w:rPr>
                <w:color w:val="000000" w:themeColor="text1"/>
                <w:lang w:val="en-US"/>
              </w:rPr>
            </w:pPr>
            <w:r w:rsidRPr="00D549EE">
              <w:rPr>
                <w:color w:val="000000" w:themeColor="text1"/>
                <w:lang w:val="en-US"/>
              </w:rPr>
              <w:t xml:space="preserve"> </w:t>
            </w:r>
            <w:r w:rsidR="00171B07" w:rsidRPr="00D549EE">
              <w:rPr>
                <w:color w:val="000000" w:themeColor="text1"/>
                <w:lang w:val="en-US"/>
              </w:rPr>
              <w:t xml:space="preserve">   1 </w:t>
            </w:r>
            <w:r w:rsidRPr="00D549EE">
              <w:rPr>
                <w:color w:val="000000" w:themeColor="text1"/>
                <w:lang w:val="en-US"/>
              </w:rPr>
              <w:t xml:space="preserve">Compiled by the author </w:t>
            </w:r>
          </w:p>
          <w:p w14:paraId="20C612E8" w14:textId="02113A26" w:rsidR="00271B6B" w:rsidRPr="00D549EE" w:rsidRDefault="009D197D" w:rsidP="00C9582F">
            <w:pPr>
              <w:pStyle w:val="a5"/>
              <w:contextualSpacing/>
              <w:rPr>
                <w:color w:val="000000" w:themeColor="text1"/>
                <w:lang w:val="en-US"/>
              </w:rPr>
            </w:pPr>
            <w:r w:rsidRPr="00D549EE">
              <w:rPr>
                <w:color w:val="000000" w:themeColor="text1"/>
                <w:lang w:val="en-US"/>
              </w:rPr>
              <w:t xml:space="preserve">   </w:t>
            </w:r>
            <w:r w:rsidR="00171B07" w:rsidRPr="00D549EE">
              <w:rPr>
                <w:color w:val="000000" w:themeColor="text1"/>
                <w:lang w:val="en-US"/>
              </w:rPr>
              <w:t xml:space="preserve"> 2 P</w:t>
            </w:r>
            <w:r w:rsidR="00271B6B" w:rsidRPr="00D549EE">
              <w:rPr>
                <w:color w:val="000000" w:themeColor="text1"/>
                <w:lang w:val="en-US"/>
              </w:rPr>
              <w:t xml:space="preserve">rice list is actual for </w:t>
            </w:r>
            <w:r w:rsidR="00860335" w:rsidRPr="00D549EE">
              <w:rPr>
                <w:color w:val="000000" w:themeColor="text1"/>
                <w:lang w:val="en-US"/>
              </w:rPr>
              <w:t>November</w:t>
            </w:r>
            <w:r w:rsidR="00271B6B" w:rsidRPr="00D549EE">
              <w:rPr>
                <w:color w:val="000000" w:themeColor="text1"/>
                <w:lang w:val="en-US"/>
              </w:rPr>
              <w:t>, 2021</w:t>
            </w:r>
          </w:p>
        </w:tc>
      </w:tr>
    </w:tbl>
    <w:p w14:paraId="79DA78C4" w14:textId="6E05A51B" w:rsidR="00F65E29" w:rsidRDefault="00271B6B" w:rsidP="00C9582F">
      <w:pPr>
        <w:pStyle w:val="a5"/>
        <w:shd w:val="clear" w:color="auto" w:fill="FFFFFF"/>
        <w:contextualSpacing/>
        <w:jc w:val="both"/>
        <w:rPr>
          <w:color w:val="000000" w:themeColor="text1"/>
          <w:sz w:val="28"/>
          <w:szCs w:val="28"/>
          <w:lang w:val="en-US"/>
        </w:rPr>
      </w:pPr>
      <w:r w:rsidRPr="00D549EE">
        <w:rPr>
          <w:color w:val="000000" w:themeColor="text1"/>
          <w:sz w:val="28"/>
          <w:szCs w:val="28"/>
          <w:lang w:val="en-US"/>
        </w:rPr>
        <w:tab/>
      </w:r>
      <w:r w:rsidR="003A5576">
        <w:rPr>
          <w:color w:val="000000" w:themeColor="text1"/>
          <w:sz w:val="28"/>
          <w:szCs w:val="28"/>
          <w:lang w:val="en-US"/>
        </w:rPr>
        <w:t>T</w:t>
      </w:r>
      <w:r w:rsidR="00F65E29" w:rsidRPr="00F65E29">
        <w:rPr>
          <w:color w:val="000000" w:themeColor="text1"/>
          <w:sz w:val="28"/>
          <w:szCs w:val="28"/>
          <w:lang w:val="en-US"/>
        </w:rPr>
        <w:t xml:space="preserve">he time required for developing the platform is three months at least, by the involvement of a professional programmer-engineer, programmer-tester, integrator with a payment system, and designer. It is planned to develop the platform with the installation of automatic visualization of cash proceeds to the account in real-time. The following options and pages of the platform are illustrated in Table 48. </w:t>
      </w:r>
    </w:p>
    <w:p w14:paraId="699BDD2A" w14:textId="2C765F71" w:rsidR="00D6097F" w:rsidRDefault="00D6097F" w:rsidP="00C9582F">
      <w:pPr>
        <w:pStyle w:val="a5"/>
        <w:shd w:val="clear" w:color="auto" w:fill="FFFFFF"/>
        <w:contextualSpacing/>
        <w:jc w:val="both"/>
        <w:rPr>
          <w:color w:val="000000" w:themeColor="text1"/>
          <w:sz w:val="28"/>
          <w:szCs w:val="28"/>
          <w:lang w:val="en-US"/>
        </w:rPr>
      </w:pPr>
      <w:r>
        <w:rPr>
          <w:color w:val="000000" w:themeColor="text1"/>
          <w:sz w:val="28"/>
          <w:szCs w:val="28"/>
          <w:lang w:val="en-US"/>
        </w:rPr>
        <w:tab/>
      </w:r>
      <w:r w:rsidRPr="00F65E29">
        <w:rPr>
          <w:color w:val="000000" w:themeColor="text1"/>
          <w:sz w:val="28"/>
          <w:szCs w:val="28"/>
          <w:lang w:val="en-US"/>
        </w:rPr>
        <w:t>Detailed description and technical options are given in Appendix E in the form of the technical specification of the crowd platform. These modules are preliminary and can be improved when working with the developers' team.</w:t>
      </w:r>
    </w:p>
    <w:p w14:paraId="427EC552" w14:textId="54383243" w:rsidR="00F65E29" w:rsidRDefault="00F65E29" w:rsidP="00C9582F">
      <w:pPr>
        <w:pStyle w:val="a5"/>
        <w:shd w:val="clear" w:color="auto" w:fill="FFFFFF"/>
        <w:contextualSpacing/>
        <w:jc w:val="both"/>
        <w:rPr>
          <w:color w:val="000000" w:themeColor="text1"/>
          <w:sz w:val="28"/>
          <w:szCs w:val="28"/>
          <w:lang w:val="en-US"/>
        </w:rPr>
      </w:pPr>
    </w:p>
    <w:p w14:paraId="0AED27BC" w14:textId="471A0048" w:rsidR="00D6097F" w:rsidRDefault="00D6097F" w:rsidP="00C9582F">
      <w:pPr>
        <w:pStyle w:val="a5"/>
        <w:shd w:val="clear" w:color="auto" w:fill="FFFFFF"/>
        <w:contextualSpacing/>
        <w:jc w:val="both"/>
        <w:rPr>
          <w:color w:val="000000" w:themeColor="text1"/>
          <w:sz w:val="28"/>
          <w:szCs w:val="28"/>
          <w:lang w:val="en-US"/>
        </w:rPr>
      </w:pPr>
    </w:p>
    <w:p w14:paraId="4B89B1B5" w14:textId="7C7347A3" w:rsidR="00D6097F" w:rsidRDefault="00D6097F" w:rsidP="00C9582F">
      <w:pPr>
        <w:pStyle w:val="a5"/>
        <w:shd w:val="clear" w:color="auto" w:fill="FFFFFF"/>
        <w:contextualSpacing/>
        <w:jc w:val="both"/>
        <w:rPr>
          <w:color w:val="000000" w:themeColor="text1"/>
          <w:sz w:val="28"/>
          <w:szCs w:val="28"/>
          <w:lang w:val="en-US"/>
        </w:rPr>
      </w:pPr>
    </w:p>
    <w:p w14:paraId="6D904514" w14:textId="52B6FCB0" w:rsidR="00D6097F" w:rsidRDefault="00D6097F" w:rsidP="00C9582F">
      <w:pPr>
        <w:pStyle w:val="a5"/>
        <w:shd w:val="clear" w:color="auto" w:fill="FFFFFF"/>
        <w:contextualSpacing/>
        <w:jc w:val="both"/>
        <w:rPr>
          <w:color w:val="000000" w:themeColor="text1"/>
          <w:sz w:val="28"/>
          <w:szCs w:val="28"/>
          <w:lang w:val="en-US"/>
        </w:rPr>
      </w:pPr>
    </w:p>
    <w:p w14:paraId="5108BF7B" w14:textId="57A6BFD4" w:rsidR="00D6097F" w:rsidRDefault="00D6097F" w:rsidP="00C9582F">
      <w:pPr>
        <w:pStyle w:val="a5"/>
        <w:shd w:val="clear" w:color="auto" w:fill="FFFFFF"/>
        <w:contextualSpacing/>
        <w:jc w:val="both"/>
        <w:rPr>
          <w:color w:val="000000" w:themeColor="text1"/>
          <w:sz w:val="28"/>
          <w:szCs w:val="28"/>
          <w:lang w:val="en-US"/>
        </w:rPr>
      </w:pPr>
    </w:p>
    <w:p w14:paraId="331A024E" w14:textId="77777777" w:rsidR="00D6097F" w:rsidRDefault="00D6097F" w:rsidP="00C9582F">
      <w:pPr>
        <w:pStyle w:val="a5"/>
        <w:shd w:val="clear" w:color="auto" w:fill="FFFFFF"/>
        <w:contextualSpacing/>
        <w:jc w:val="both"/>
        <w:rPr>
          <w:color w:val="000000" w:themeColor="text1"/>
          <w:sz w:val="28"/>
          <w:szCs w:val="28"/>
          <w:lang w:val="en-US"/>
        </w:rPr>
      </w:pPr>
    </w:p>
    <w:p w14:paraId="45A36E0E" w14:textId="4D57F5D5" w:rsidR="00B00E68" w:rsidRPr="00D549EE" w:rsidRDefault="00B00E68" w:rsidP="00C9582F">
      <w:pPr>
        <w:pStyle w:val="a5"/>
        <w:shd w:val="clear" w:color="auto" w:fill="FFFFFF"/>
        <w:contextualSpacing/>
        <w:jc w:val="both"/>
        <w:rPr>
          <w:color w:val="000000" w:themeColor="text1"/>
          <w:sz w:val="28"/>
          <w:szCs w:val="28"/>
          <w:lang w:val="en-US"/>
        </w:rPr>
      </w:pPr>
      <w:r w:rsidRPr="00D549EE">
        <w:rPr>
          <w:color w:val="000000" w:themeColor="text1"/>
          <w:sz w:val="28"/>
          <w:szCs w:val="28"/>
          <w:lang w:val="en-US"/>
        </w:rPr>
        <w:t>Table 4</w:t>
      </w:r>
      <w:r w:rsidR="00647EB1" w:rsidRPr="00D549EE">
        <w:rPr>
          <w:color w:val="000000" w:themeColor="text1"/>
          <w:sz w:val="28"/>
          <w:szCs w:val="28"/>
          <w:lang w:val="en-US"/>
        </w:rPr>
        <w:t>8 –</w:t>
      </w:r>
      <w:r w:rsidRPr="00D549EE">
        <w:rPr>
          <w:color w:val="000000" w:themeColor="text1"/>
          <w:sz w:val="28"/>
          <w:szCs w:val="28"/>
          <w:lang w:val="en-US"/>
        </w:rPr>
        <w:t xml:space="preserve"> Crowdfunding platform modules and systems</w:t>
      </w:r>
    </w:p>
    <w:p w14:paraId="0E9C9651" w14:textId="283F56DA" w:rsidR="0040226A" w:rsidRPr="00D549EE" w:rsidRDefault="0040226A" w:rsidP="00C9582F">
      <w:pPr>
        <w:pStyle w:val="a5"/>
        <w:shd w:val="clear" w:color="auto" w:fill="FFFFFF"/>
        <w:contextualSpacing/>
        <w:jc w:val="both"/>
        <w:rPr>
          <w:color w:val="000000" w:themeColor="text1"/>
          <w:sz w:val="28"/>
          <w:szCs w:val="28"/>
          <w:lang w:val="en-US"/>
        </w:rPr>
      </w:pPr>
    </w:p>
    <w:tbl>
      <w:tblPr>
        <w:tblStyle w:val="a9"/>
        <w:tblW w:w="0" w:type="auto"/>
        <w:tblLook w:val="04A0" w:firstRow="1" w:lastRow="0" w:firstColumn="1" w:lastColumn="0" w:noHBand="0" w:noVBand="1"/>
      </w:tblPr>
      <w:tblGrid>
        <w:gridCol w:w="562"/>
        <w:gridCol w:w="9061"/>
      </w:tblGrid>
      <w:tr w:rsidR="0040226A" w:rsidRPr="00FC685D" w14:paraId="13B507EA" w14:textId="77777777" w:rsidTr="0040226A">
        <w:tc>
          <w:tcPr>
            <w:tcW w:w="562" w:type="dxa"/>
          </w:tcPr>
          <w:p w14:paraId="1F449DC4" w14:textId="77777777" w:rsidR="0040226A" w:rsidRPr="00D549EE" w:rsidRDefault="0040226A" w:rsidP="00C9582F">
            <w:pPr>
              <w:pStyle w:val="a5"/>
              <w:contextualSpacing/>
              <w:rPr>
                <w:color w:val="000000" w:themeColor="text1"/>
                <w:lang w:val="en-US"/>
              </w:rPr>
            </w:pPr>
          </w:p>
        </w:tc>
        <w:tc>
          <w:tcPr>
            <w:tcW w:w="9061" w:type="dxa"/>
          </w:tcPr>
          <w:p w14:paraId="26653528" w14:textId="5D7143AE" w:rsidR="0040226A" w:rsidRPr="00D549EE" w:rsidRDefault="00B00E68" w:rsidP="00C9582F">
            <w:pPr>
              <w:pStyle w:val="a5"/>
              <w:contextualSpacing/>
              <w:rPr>
                <w:color w:val="000000" w:themeColor="text1"/>
                <w:lang w:val="en-US"/>
              </w:rPr>
            </w:pPr>
            <w:r w:rsidRPr="00D549EE">
              <w:rPr>
                <w:color w:val="000000" w:themeColor="text1"/>
                <w:lang w:val="en-US"/>
              </w:rPr>
              <w:t>Modules and systems of the platform</w:t>
            </w:r>
          </w:p>
        </w:tc>
      </w:tr>
      <w:tr w:rsidR="0040226A" w:rsidRPr="00FC685D" w14:paraId="1160F337" w14:textId="77777777" w:rsidTr="0040226A">
        <w:tc>
          <w:tcPr>
            <w:tcW w:w="562" w:type="dxa"/>
          </w:tcPr>
          <w:p w14:paraId="22FD6152" w14:textId="119AA494" w:rsidR="0040226A" w:rsidRPr="00D549EE" w:rsidRDefault="0040226A" w:rsidP="00C9582F">
            <w:pPr>
              <w:pStyle w:val="a5"/>
              <w:contextualSpacing/>
              <w:rPr>
                <w:color w:val="000000" w:themeColor="text1"/>
                <w:lang w:val="en-US"/>
              </w:rPr>
            </w:pPr>
            <w:r w:rsidRPr="00D549EE">
              <w:rPr>
                <w:color w:val="000000" w:themeColor="text1"/>
                <w:lang w:val="en-US"/>
              </w:rPr>
              <w:t>1</w:t>
            </w:r>
          </w:p>
        </w:tc>
        <w:tc>
          <w:tcPr>
            <w:tcW w:w="9061" w:type="dxa"/>
          </w:tcPr>
          <w:p w14:paraId="6D8B3AF0" w14:textId="05F2CE14" w:rsidR="0040226A" w:rsidRPr="00D549EE" w:rsidRDefault="0040226A" w:rsidP="00C9582F">
            <w:pPr>
              <w:pStyle w:val="a5"/>
              <w:contextualSpacing/>
              <w:rPr>
                <w:color w:val="000000" w:themeColor="text1"/>
                <w:lang w:val="en-US"/>
              </w:rPr>
            </w:pPr>
            <w:r w:rsidRPr="00D549EE">
              <w:rPr>
                <w:color w:val="000000" w:themeColor="text1"/>
                <w:lang w:val="en-US"/>
              </w:rPr>
              <w:t>Main page with information about Fund, purpose and aims, about Zakat and sada</w:t>
            </w:r>
            <w:r w:rsidR="008F785C" w:rsidRPr="00D549EE">
              <w:rPr>
                <w:color w:val="000000" w:themeColor="text1"/>
                <w:lang w:val="en-US"/>
              </w:rPr>
              <w:t>q</w:t>
            </w:r>
            <w:r w:rsidRPr="00D549EE">
              <w:rPr>
                <w:color w:val="000000" w:themeColor="text1"/>
                <w:lang w:val="en-US"/>
              </w:rPr>
              <w:t>ah, charity</w:t>
            </w:r>
          </w:p>
        </w:tc>
      </w:tr>
      <w:tr w:rsidR="0040226A" w:rsidRPr="00FC685D" w14:paraId="07DE386E" w14:textId="77777777" w:rsidTr="0040226A">
        <w:tc>
          <w:tcPr>
            <w:tcW w:w="562" w:type="dxa"/>
          </w:tcPr>
          <w:p w14:paraId="4F5F395B" w14:textId="74A88CD7" w:rsidR="0040226A" w:rsidRPr="00D549EE" w:rsidRDefault="0040226A" w:rsidP="00C9582F">
            <w:pPr>
              <w:pStyle w:val="a5"/>
              <w:contextualSpacing/>
              <w:rPr>
                <w:color w:val="000000" w:themeColor="text1"/>
                <w:lang w:val="en-US"/>
              </w:rPr>
            </w:pPr>
            <w:r w:rsidRPr="00D549EE">
              <w:rPr>
                <w:color w:val="000000" w:themeColor="text1"/>
                <w:lang w:val="en-US"/>
              </w:rPr>
              <w:t>2</w:t>
            </w:r>
          </w:p>
        </w:tc>
        <w:tc>
          <w:tcPr>
            <w:tcW w:w="9061" w:type="dxa"/>
          </w:tcPr>
          <w:p w14:paraId="132830A0" w14:textId="61330B71" w:rsidR="0040226A" w:rsidRPr="00D549EE" w:rsidRDefault="0040226A" w:rsidP="00C9582F">
            <w:pPr>
              <w:pStyle w:val="a5"/>
              <w:contextualSpacing/>
              <w:rPr>
                <w:color w:val="000000" w:themeColor="text1"/>
                <w:lang w:val="en-US"/>
              </w:rPr>
            </w:pPr>
            <w:r w:rsidRPr="00D549EE">
              <w:rPr>
                <w:color w:val="000000" w:themeColor="text1"/>
                <w:lang w:val="en-US"/>
              </w:rPr>
              <w:t>The page of on-line zakat calculator</w:t>
            </w:r>
          </w:p>
        </w:tc>
      </w:tr>
      <w:tr w:rsidR="0040226A" w:rsidRPr="00FC685D" w14:paraId="3F4A4846" w14:textId="77777777" w:rsidTr="0040226A">
        <w:tc>
          <w:tcPr>
            <w:tcW w:w="562" w:type="dxa"/>
          </w:tcPr>
          <w:p w14:paraId="73278051" w14:textId="01301476" w:rsidR="0040226A" w:rsidRPr="00D549EE" w:rsidRDefault="0040226A" w:rsidP="00C9582F">
            <w:pPr>
              <w:pStyle w:val="a5"/>
              <w:contextualSpacing/>
              <w:rPr>
                <w:color w:val="000000" w:themeColor="text1"/>
                <w:lang w:val="en-US"/>
              </w:rPr>
            </w:pPr>
            <w:r w:rsidRPr="00D549EE">
              <w:rPr>
                <w:color w:val="000000" w:themeColor="text1"/>
                <w:lang w:val="en-US"/>
              </w:rPr>
              <w:t>3</w:t>
            </w:r>
          </w:p>
        </w:tc>
        <w:tc>
          <w:tcPr>
            <w:tcW w:w="9061" w:type="dxa"/>
          </w:tcPr>
          <w:p w14:paraId="4D7291A5" w14:textId="3329DDE2" w:rsidR="0040226A" w:rsidRPr="00D549EE" w:rsidRDefault="0040226A" w:rsidP="00C9582F">
            <w:pPr>
              <w:pStyle w:val="a5"/>
              <w:contextualSpacing/>
              <w:rPr>
                <w:color w:val="000000" w:themeColor="text1"/>
                <w:lang w:val="en-US"/>
              </w:rPr>
            </w:pPr>
            <w:r w:rsidRPr="00D549EE">
              <w:rPr>
                <w:color w:val="000000" w:themeColor="text1"/>
                <w:lang w:val="en-US"/>
              </w:rPr>
              <w:t>Registration system for the project (application for assistance)</w:t>
            </w:r>
          </w:p>
        </w:tc>
      </w:tr>
      <w:tr w:rsidR="0040226A" w:rsidRPr="00FC685D" w14:paraId="23E413C9" w14:textId="77777777" w:rsidTr="0040226A">
        <w:tc>
          <w:tcPr>
            <w:tcW w:w="562" w:type="dxa"/>
          </w:tcPr>
          <w:p w14:paraId="1FC37D66" w14:textId="68320788" w:rsidR="0040226A" w:rsidRPr="00D549EE" w:rsidRDefault="0040226A" w:rsidP="00C9582F">
            <w:pPr>
              <w:pStyle w:val="a5"/>
              <w:contextualSpacing/>
              <w:rPr>
                <w:color w:val="000000" w:themeColor="text1"/>
                <w:lang w:val="en-US"/>
              </w:rPr>
            </w:pPr>
            <w:r w:rsidRPr="00D549EE">
              <w:rPr>
                <w:color w:val="000000" w:themeColor="text1"/>
                <w:lang w:val="en-US"/>
              </w:rPr>
              <w:t>4</w:t>
            </w:r>
          </w:p>
        </w:tc>
        <w:tc>
          <w:tcPr>
            <w:tcW w:w="9061" w:type="dxa"/>
          </w:tcPr>
          <w:p w14:paraId="29AE6EF9" w14:textId="709B7222" w:rsidR="0040226A" w:rsidRPr="00D549EE" w:rsidRDefault="0040226A" w:rsidP="00C9582F">
            <w:pPr>
              <w:pStyle w:val="a5"/>
              <w:contextualSpacing/>
              <w:rPr>
                <w:color w:val="000000" w:themeColor="text1"/>
                <w:lang w:val="en-US"/>
              </w:rPr>
            </w:pPr>
            <w:r w:rsidRPr="00D549EE">
              <w:rPr>
                <w:color w:val="000000" w:themeColor="text1"/>
                <w:lang w:val="en-US"/>
              </w:rPr>
              <w:t>Registration system for the donor and sponsors</w:t>
            </w:r>
          </w:p>
        </w:tc>
      </w:tr>
      <w:tr w:rsidR="0040226A" w:rsidRPr="00D549EE" w14:paraId="4AB8EB5F" w14:textId="77777777" w:rsidTr="0040226A">
        <w:tc>
          <w:tcPr>
            <w:tcW w:w="562" w:type="dxa"/>
          </w:tcPr>
          <w:p w14:paraId="7FD7CAE0" w14:textId="6BD3DD33" w:rsidR="0040226A" w:rsidRPr="00D549EE" w:rsidRDefault="0040226A" w:rsidP="00C9582F">
            <w:pPr>
              <w:pStyle w:val="a5"/>
              <w:contextualSpacing/>
              <w:rPr>
                <w:color w:val="000000" w:themeColor="text1"/>
                <w:lang w:val="en-US"/>
              </w:rPr>
            </w:pPr>
            <w:r w:rsidRPr="00D549EE">
              <w:rPr>
                <w:color w:val="000000" w:themeColor="text1"/>
                <w:lang w:val="en-US"/>
              </w:rPr>
              <w:t>5</w:t>
            </w:r>
          </w:p>
        </w:tc>
        <w:tc>
          <w:tcPr>
            <w:tcW w:w="9061" w:type="dxa"/>
          </w:tcPr>
          <w:p w14:paraId="148EF0CF" w14:textId="718C36D4" w:rsidR="0040226A" w:rsidRPr="00D549EE" w:rsidRDefault="0040226A" w:rsidP="00C9582F">
            <w:pPr>
              <w:pStyle w:val="a5"/>
              <w:contextualSpacing/>
              <w:rPr>
                <w:color w:val="000000" w:themeColor="text1"/>
                <w:lang w:val="en-US"/>
              </w:rPr>
            </w:pPr>
            <w:r w:rsidRPr="00D549EE">
              <w:rPr>
                <w:color w:val="000000" w:themeColor="text1"/>
                <w:lang w:val="en-US"/>
              </w:rPr>
              <w:t>Payment system</w:t>
            </w:r>
          </w:p>
        </w:tc>
      </w:tr>
      <w:tr w:rsidR="0040226A" w:rsidRPr="00FC685D" w14:paraId="7E3A405D" w14:textId="77777777" w:rsidTr="0040226A">
        <w:tc>
          <w:tcPr>
            <w:tcW w:w="562" w:type="dxa"/>
          </w:tcPr>
          <w:p w14:paraId="1F0EC16B" w14:textId="4B59BC8C" w:rsidR="0040226A" w:rsidRPr="00D549EE" w:rsidRDefault="0040226A" w:rsidP="00C9582F">
            <w:pPr>
              <w:pStyle w:val="a5"/>
              <w:contextualSpacing/>
              <w:rPr>
                <w:color w:val="000000" w:themeColor="text1"/>
                <w:lang w:val="en-US"/>
              </w:rPr>
            </w:pPr>
            <w:r w:rsidRPr="00D549EE">
              <w:rPr>
                <w:color w:val="000000" w:themeColor="text1"/>
                <w:lang w:val="en-US"/>
              </w:rPr>
              <w:t>6</w:t>
            </w:r>
          </w:p>
        </w:tc>
        <w:tc>
          <w:tcPr>
            <w:tcW w:w="9061" w:type="dxa"/>
          </w:tcPr>
          <w:p w14:paraId="141ED767" w14:textId="2D758772" w:rsidR="0040226A" w:rsidRPr="00D549EE" w:rsidRDefault="0040226A" w:rsidP="00C9582F">
            <w:pPr>
              <w:pStyle w:val="a5"/>
              <w:contextualSpacing/>
              <w:rPr>
                <w:color w:val="000000" w:themeColor="text1"/>
                <w:lang w:val="en-US"/>
              </w:rPr>
            </w:pPr>
            <w:r w:rsidRPr="00D549EE">
              <w:rPr>
                <w:color w:val="000000" w:themeColor="text1"/>
                <w:lang w:val="en-US"/>
              </w:rPr>
              <w:t xml:space="preserve">Data Storage and account Management </w:t>
            </w:r>
          </w:p>
        </w:tc>
      </w:tr>
      <w:tr w:rsidR="00BF60DC" w:rsidRPr="00FC685D" w14:paraId="002CE538" w14:textId="77777777" w:rsidTr="0040226A">
        <w:tc>
          <w:tcPr>
            <w:tcW w:w="562" w:type="dxa"/>
          </w:tcPr>
          <w:p w14:paraId="10323004" w14:textId="55624838" w:rsidR="00BF60DC" w:rsidRPr="00D549EE" w:rsidRDefault="00BF60DC" w:rsidP="00C9582F">
            <w:pPr>
              <w:pStyle w:val="a5"/>
              <w:contextualSpacing/>
              <w:rPr>
                <w:color w:val="000000" w:themeColor="text1"/>
                <w:lang w:val="en-US"/>
              </w:rPr>
            </w:pPr>
            <w:r w:rsidRPr="00D549EE">
              <w:rPr>
                <w:color w:val="000000" w:themeColor="text1"/>
                <w:lang w:val="en-US"/>
              </w:rPr>
              <w:t>7</w:t>
            </w:r>
          </w:p>
        </w:tc>
        <w:tc>
          <w:tcPr>
            <w:tcW w:w="9061" w:type="dxa"/>
          </w:tcPr>
          <w:p w14:paraId="7068D128" w14:textId="6DA6BC21" w:rsidR="00BF60DC" w:rsidRPr="00D549EE" w:rsidRDefault="00BF60DC" w:rsidP="00C9582F">
            <w:pPr>
              <w:pStyle w:val="a5"/>
              <w:contextualSpacing/>
              <w:rPr>
                <w:color w:val="000000" w:themeColor="text1"/>
                <w:lang w:val="en-US"/>
              </w:rPr>
            </w:pPr>
            <w:r w:rsidRPr="00D549EE">
              <w:rPr>
                <w:color w:val="000000" w:themeColor="text1"/>
                <w:lang w:val="en-US"/>
              </w:rPr>
              <w:t xml:space="preserve">Report of the collection and distribution </w:t>
            </w:r>
          </w:p>
        </w:tc>
      </w:tr>
      <w:tr w:rsidR="0040226A" w:rsidRPr="00D549EE" w14:paraId="0DDC5E34" w14:textId="77777777" w:rsidTr="0040226A">
        <w:tc>
          <w:tcPr>
            <w:tcW w:w="562" w:type="dxa"/>
          </w:tcPr>
          <w:p w14:paraId="7A438FA2" w14:textId="0C7D4F1B" w:rsidR="0040226A" w:rsidRPr="00D549EE" w:rsidRDefault="00BF60DC" w:rsidP="00C9582F">
            <w:pPr>
              <w:pStyle w:val="a5"/>
              <w:contextualSpacing/>
              <w:rPr>
                <w:color w:val="000000" w:themeColor="text1"/>
                <w:lang w:val="en-US"/>
              </w:rPr>
            </w:pPr>
            <w:r w:rsidRPr="00D549EE">
              <w:rPr>
                <w:color w:val="000000" w:themeColor="text1"/>
                <w:lang w:val="en-US"/>
              </w:rPr>
              <w:t>8</w:t>
            </w:r>
          </w:p>
        </w:tc>
        <w:tc>
          <w:tcPr>
            <w:tcW w:w="9061" w:type="dxa"/>
          </w:tcPr>
          <w:p w14:paraId="0CEA26BA" w14:textId="21C612CC" w:rsidR="0040226A" w:rsidRPr="00D549EE" w:rsidRDefault="0040226A" w:rsidP="00C9582F">
            <w:pPr>
              <w:pStyle w:val="a5"/>
              <w:contextualSpacing/>
              <w:rPr>
                <w:color w:val="000000" w:themeColor="text1"/>
                <w:lang w:val="en-US"/>
              </w:rPr>
            </w:pPr>
            <w:r w:rsidRPr="00D549EE">
              <w:rPr>
                <w:color w:val="000000" w:themeColor="text1"/>
                <w:lang w:val="en-US"/>
              </w:rPr>
              <w:t>Statistics</w:t>
            </w:r>
          </w:p>
        </w:tc>
      </w:tr>
      <w:tr w:rsidR="0040226A" w:rsidRPr="00D549EE" w14:paraId="4CA0AEAB" w14:textId="77777777" w:rsidTr="0040226A">
        <w:tc>
          <w:tcPr>
            <w:tcW w:w="562" w:type="dxa"/>
          </w:tcPr>
          <w:p w14:paraId="56DC9921" w14:textId="316DB2F9" w:rsidR="0040226A" w:rsidRPr="00D549EE" w:rsidRDefault="00BF60DC" w:rsidP="00C9582F">
            <w:pPr>
              <w:pStyle w:val="a5"/>
              <w:contextualSpacing/>
              <w:rPr>
                <w:color w:val="000000" w:themeColor="text1"/>
                <w:lang w:val="en-US"/>
              </w:rPr>
            </w:pPr>
            <w:r w:rsidRPr="00D549EE">
              <w:rPr>
                <w:color w:val="000000" w:themeColor="text1"/>
                <w:lang w:val="en-US"/>
              </w:rPr>
              <w:t>9</w:t>
            </w:r>
          </w:p>
        </w:tc>
        <w:tc>
          <w:tcPr>
            <w:tcW w:w="9061" w:type="dxa"/>
          </w:tcPr>
          <w:p w14:paraId="67EB6579" w14:textId="55A69A6D" w:rsidR="0040226A" w:rsidRPr="00D549EE" w:rsidRDefault="00BF60DC" w:rsidP="00C9582F">
            <w:pPr>
              <w:pStyle w:val="a5"/>
              <w:contextualSpacing/>
              <w:rPr>
                <w:color w:val="000000" w:themeColor="text1"/>
                <w:lang w:val="en-US"/>
              </w:rPr>
            </w:pPr>
            <w:r w:rsidRPr="00D549EE">
              <w:rPr>
                <w:color w:val="000000" w:themeColor="text1"/>
                <w:lang w:val="en-US"/>
              </w:rPr>
              <w:t>News Feed</w:t>
            </w:r>
          </w:p>
        </w:tc>
      </w:tr>
      <w:tr w:rsidR="00BF60DC" w:rsidRPr="00D549EE" w14:paraId="25647135" w14:textId="77777777" w:rsidTr="0040226A">
        <w:tc>
          <w:tcPr>
            <w:tcW w:w="562" w:type="dxa"/>
          </w:tcPr>
          <w:p w14:paraId="35155D9B" w14:textId="30210840" w:rsidR="00BF60DC" w:rsidRPr="00D549EE" w:rsidRDefault="00BF60DC" w:rsidP="00C9582F">
            <w:pPr>
              <w:pStyle w:val="a5"/>
              <w:contextualSpacing/>
              <w:rPr>
                <w:color w:val="000000" w:themeColor="text1"/>
                <w:lang w:val="en-US"/>
              </w:rPr>
            </w:pPr>
            <w:r w:rsidRPr="00D549EE">
              <w:rPr>
                <w:color w:val="000000" w:themeColor="text1"/>
                <w:lang w:val="en-US"/>
              </w:rPr>
              <w:t>10</w:t>
            </w:r>
          </w:p>
        </w:tc>
        <w:tc>
          <w:tcPr>
            <w:tcW w:w="9061" w:type="dxa"/>
          </w:tcPr>
          <w:p w14:paraId="0FB4C7DF" w14:textId="57A1355C" w:rsidR="00BF60DC" w:rsidRPr="00D549EE" w:rsidRDefault="00BF60DC" w:rsidP="00C9582F">
            <w:pPr>
              <w:pStyle w:val="a5"/>
              <w:contextualSpacing/>
              <w:rPr>
                <w:color w:val="000000" w:themeColor="text1"/>
                <w:lang w:val="en-US"/>
              </w:rPr>
            </w:pPr>
            <w:r w:rsidRPr="00D549EE">
              <w:rPr>
                <w:color w:val="000000" w:themeColor="text1"/>
                <w:lang w:val="en-US"/>
              </w:rPr>
              <w:t>Forum</w:t>
            </w:r>
          </w:p>
        </w:tc>
      </w:tr>
      <w:tr w:rsidR="00BF60DC" w:rsidRPr="00D549EE" w14:paraId="184A0119" w14:textId="77777777" w:rsidTr="0040226A">
        <w:tc>
          <w:tcPr>
            <w:tcW w:w="562" w:type="dxa"/>
          </w:tcPr>
          <w:p w14:paraId="775653AD" w14:textId="6B44DF7E" w:rsidR="00BF60DC" w:rsidRPr="00D549EE" w:rsidRDefault="00BF60DC" w:rsidP="00C9582F">
            <w:pPr>
              <w:pStyle w:val="a5"/>
              <w:contextualSpacing/>
              <w:rPr>
                <w:color w:val="000000" w:themeColor="text1"/>
                <w:lang w:val="en-US"/>
              </w:rPr>
            </w:pPr>
            <w:r w:rsidRPr="00D549EE">
              <w:rPr>
                <w:color w:val="000000" w:themeColor="text1"/>
                <w:lang w:val="en-US"/>
              </w:rPr>
              <w:t>11</w:t>
            </w:r>
          </w:p>
        </w:tc>
        <w:tc>
          <w:tcPr>
            <w:tcW w:w="9061" w:type="dxa"/>
          </w:tcPr>
          <w:p w14:paraId="45D505BD" w14:textId="36C8BB6E" w:rsidR="00BF60DC" w:rsidRPr="00D549EE" w:rsidRDefault="00BF60DC" w:rsidP="00C9582F">
            <w:pPr>
              <w:pStyle w:val="a5"/>
              <w:contextualSpacing/>
              <w:rPr>
                <w:color w:val="000000" w:themeColor="text1"/>
                <w:lang w:val="en-US"/>
              </w:rPr>
            </w:pPr>
            <w:r w:rsidRPr="00D549EE">
              <w:rPr>
                <w:color w:val="000000" w:themeColor="text1"/>
                <w:lang w:val="en-US"/>
              </w:rPr>
              <w:t>Project tracking system</w:t>
            </w:r>
          </w:p>
        </w:tc>
      </w:tr>
      <w:tr w:rsidR="00BF60DC" w:rsidRPr="00D549EE" w14:paraId="4DEB0543" w14:textId="77777777" w:rsidTr="0040226A">
        <w:tc>
          <w:tcPr>
            <w:tcW w:w="562" w:type="dxa"/>
          </w:tcPr>
          <w:p w14:paraId="38988A41" w14:textId="47068E42" w:rsidR="00BF60DC" w:rsidRPr="00D549EE" w:rsidRDefault="00BF60DC" w:rsidP="00C9582F">
            <w:pPr>
              <w:pStyle w:val="a5"/>
              <w:contextualSpacing/>
              <w:rPr>
                <w:color w:val="000000" w:themeColor="text1"/>
                <w:lang w:val="en-US"/>
              </w:rPr>
            </w:pPr>
            <w:r w:rsidRPr="00D549EE">
              <w:rPr>
                <w:color w:val="000000" w:themeColor="text1"/>
                <w:lang w:val="en-US"/>
              </w:rPr>
              <w:t>12</w:t>
            </w:r>
          </w:p>
        </w:tc>
        <w:tc>
          <w:tcPr>
            <w:tcW w:w="9061" w:type="dxa"/>
          </w:tcPr>
          <w:p w14:paraId="4EFCA8F8" w14:textId="764B95DB" w:rsidR="00BF60DC" w:rsidRPr="00D549EE" w:rsidRDefault="00BF60DC" w:rsidP="00C9582F">
            <w:pPr>
              <w:pStyle w:val="a5"/>
              <w:contextualSpacing/>
              <w:rPr>
                <w:color w:val="000000" w:themeColor="text1"/>
                <w:lang w:val="en-US"/>
              </w:rPr>
            </w:pPr>
            <w:r w:rsidRPr="00D549EE">
              <w:rPr>
                <w:color w:val="000000" w:themeColor="text1"/>
                <w:lang w:val="en-US"/>
              </w:rPr>
              <w:t>Feedback</w:t>
            </w:r>
          </w:p>
        </w:tc>
      </w:tr>
      <w:tr w:rsidR="00BF60DC" w:rsidRPr="00D549EE" w14:paraId="3476F25C" w14:textId="77777777" w:rsidTr="0040226A">
        <w:tc>
          <w:tcPr>
            <w:tcW w:w="562" w:type="dxa"/>
          </w:tcPr>
          <w:p w14:paraId="03A177F7" w14:textId="7524361E" w:rsidR="00BF60DC" w:rsidRPr="00D549EE" w:rsidRDefault="00BF60DC" w:rsidP="00C9582F">
            <w:pPr>
              <w:pStyle w:val="a5"/>
              <w:contextualSpacing/>
              <w:rPr>
                <w:color w:val="000000" w:themeColor="text1"/>
                <w:lang w:val="en-US"/>
              </w:rPr>
            </w:pPr>
            <w:r w:rsidRPr="00D549EE">
              <w:rPr>
                <w:color w:val="000000" w:themeColor="text1"/>
                <w:lang w:val="en-US"/>
              </w:rPr>
              <w:t>13</w:t>
            </w:r>
          </w:p>
        </w:tc>
        <w:tc>
          <w:tcPr>
            <w:tcW w:w="9061" w:type="dxa"/>
          </w:tcPr>
          <w:p w14:paraId="6483EF0F" w14:textId="05B571E1" w:rsidR="00BF60DC" w:rsidRPr="00D549EE" w:rsidRDefault="00BF60DC" w:rsidP="00C9582F">
            <w:pPr>
              <w:pStyle w:val="a5"/>
              <w:contextualSpacing/>
              <w:rPr>
                <w:color w:val="000000" w:themeColor="text1"/>
                <w:lang w:val="en-US"/>
              </w:rPr>
            </w:pPr>
            <w:r w:rsidRPr="00D549EE">
              <w:rPr>
                <w:color w:val="000000" w:themeColor="text1"/>
                <w:lang w:val="en-US"/>
              </w:rPr>
              <w:t>Chat</w:t>
            </w:r>
          </w:p>
        </w:tc>
      </w:tr>
      <w:tr w:rsidR="00BF60DC" w:rsidRPr="00D549EE" w14:paraId="6E0E7FAA" w14:textId="77777777" w:rsidTr="0040226A">
        <w:tc>
          <w:tcPr>
            <w:tcW w:w="562" w:type="dxa"/>
          </w:tcPr>
          <w:p w14:paraId="621B9A39" w14:textId="0C129D72" w:rsidR="00BF60DC" w:rsidRPr="00D549EE" w:rsidRDefault="00BF60DC" w:rsidP="00C9582F">
            <w:pPr>
              <w:pStyle w:val="a5"/>
              <w:contextualSpacing/>
              <w:rPr>
                <w:color w:val="000000" w:themeColor="text1"/>
                <w:lang w:val="en-US"/>
              </w:rPr>
            </w:pPr>
            <w:r w:rsidRPr="00D549EE">
              <w:rPr>
                <w:color w:val="000000" w:themeColor="text1"/>
                <w:lang w:val="en-US"/>
              </w:rPr>
              <w:t>14</w:t>
            </w:r>
          </w:p>
        </w:tc>
        <w:tc>
          <w:tcPr>
            <w:tcW w:w="9061" w:type="dxa"/>
          </w:tcPr>
          <w:p w14:paraId="57F85CD7" w14:textId="61E3E2CF" w:rsidR="00BF60DC" w:rsidRPr="00D549EE" w:rsidRDefault="00BF60DC" w:rsidP="00C9582F">
            <w:pPr>
              <w:pStyle w:val="a5"/>
              <w:contextualSpacing/>
              <w:rPr>
                <w:color w:val="000000" w:themeColor="text1"/>
                <w:lang w:val="en-US"/>
              </w:rPr>
            </w:pPr>
            <w:r w:rsidRPr="00D549EE">
              <w:rPr>
                <w:color w:val="000000" w:themeColor="text1"/>
                <w:lang w:val="en-US"/>
              </w:rPr>
              <w:t xml:space="preserve">Waqf projects and investment </w:t>
            </w:r>
          </w:p>
        </w:tc>
      </w:tr>
      <w:tr w:rsidR="00B00E68" w:rsidRPr="00FC685D" w14:paraId="7F2D0CD1" w14:textId="77777777" w:rsidTr="0040226A">
        <w:tc>
          <w:tcPr>
            <w:tcW w:w="562" w:type="dxa"/>
          </w:tcPr>
          <w:p w14:paraId="61DB9839" w14:textId="1CBA8EF2" w:rsidR="00B00E68" w:rsidRPr="00D549EE" w:rsidRDefault="00B00E68" w:rsidP="00C9582F">
            <w:pPr>
              <w:pStyle w:val="a5"/>
              <w:contextualSpacing/>
              <w:rPr>
                <w:color w:val="000000" w:themeColor="text1"/>
                <w:lang w:val="en-US"/>
              </w:rPr>
            </w:pPr>
            <w:r w:rsidRPr="00D549EE">
              <w:rPr>
                <w:color w:val="000000" w:themeColor="text1"/>
                <w:lang w:val="en-US"/>
              </w:rPr>
              <w:t>15</w:t>
            </w:r>
          </w:p>
        </w:tc>
        <w:tc>
          <w:tcPr>
            <w:tcW w:w="9061" w:type="dxa"/>
          </w:tcPr>
          <w:p w14:paraId="406BB5DF" w14:textId="2FF4E703" w:rsidR="00B00E68" w:rsidRPr="00D549EE" w:rsidRDefault="00B00E68" w:rsidP="00C9582F">
            <w:pPr>
              <w:pStyle w:val="a5"/>
              <w:contextualSpacing/>
              <w:rPr>
                <w:color w:val="000000" w:themeColor="text1"/>
                <w:lang w:val="en-US"/>
              </w:rPr>
            </w:pPr>
            <w:r w:rsidRPr="00D549EE">
              <w:rPr>
                <w:color w:val="000000" w:themeColor="text1"/>
                <w:lang w:val="en-US"/>
              </w:rPr>
              <w:t>Report of the realization social projects (submitted in the system)</w:t>
            </w:r>
          </w:p>
        </w:tc>
      </w:tr>
      <w:tr w:rsidR="00B00E68" w:rsidRPr="00FC685D" w14:paraId="37AD0B18" w14:textId="77777777" w:rsidTr="00B00E68">
        <w:tc>
          <w:tcPr>
            <w:tcW w:w="9623" w:type="dxa"/>
            <w:gridSpan w:val="2"/>
          </w:tcPr>
          <w:p w14:paraId="21EDB7B3" w14:textId="189766A2" w:rsidR="00B00E68" w:rsidRPr="00D549EE" w:rsidRDefault="00FF31AA" w:rsidP="00C9582F">
            <w:pPr>
              <w:pStyle w:val="a5"/>
              <w:contextualSpacing/>
              <w:rPr>
                <w:color w:val="000000" w:themeColor="text1"/>
                <w:lang w:val="en-US"/>
              </w:rPr>
            </w:pPr>
            <w:r w:rsidRPr="00D549EE">
              <w:rPr>
                <w:color w:val="000000" w:themeColor="text1"/>
                <w:lang w:val="en-US"/>
              </w:rPr>
              <w:t xml:space="preserve">      </w:t>
            </w:r>
            <w:r w:rsidR="00B00E68" w:rsidRPr="00D549EE">
              <w:rPr>
                <w:color w:val="000000" w:themeColor="text1"/>
                <w:lang w:val="en-US"/>
              </w:rPr>
              <w:t>Note – Compiled by the author</w:t>
            </w:r>
          </w:p>
        </w:tc>
      </w:tr>
    </w:tbl>
    <w:p w14:paraId="18BF4F5D" w14:textId="67AA2C2A" w:rsidR="00F65E29" w:rsidRPr="00F65E29" w:rsidRDefault="00D6097F" w:rsidP="00F65E29">
      <w:pPr>
        <w:pStyle w:val="a5"/>
        <w:shd w:val="clear" w:color="auto" w:fill="FFFFFF"/>
        <w:contextualSpacing/>
        <w:jc w:val="both"/>
        <w:rPr>
          <w:color w:val="000000" w:themeColor="text1"/>
          <w:sz w:val="28"/>
          <w:szCs w:val="28"/>
          <w:lang w:val="en-US"/>
        </w:rPr>
      </w:pPr>
      <w:r>
        <w:rPr>
          <w:color w:val="000000" w:themeColor="text1"/>
          <w:sz w:val="28"/>
          <w:szCs w:val="28"/>
          <w:lang w:val="en-US"/>
        </w:rPr>
        <w:tab/>
      </w:r>
      <w:r w:rsidR="00F65E29" w:rsidRPr="00F65E29">
        <w:rPr>
          <w:color w:val="000000" w:themeColor="text1"/>
          <w:sz w:val="28"/>
          <w:szCs w:val="28"/>
          <w:lang w:val="en-US"/>
        </w:rPr>
        <w:t>Financial Plan of the platform. The forecast of financial statements was drawn up for 5 years. Projected financial statements consist of:</w:t>
      </w:r>
    </w:p>
    <w:p w14:paraId="7E546CF6"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1. Income statement forecast</w:t>
      </w:r>
    </w:p>
    <w:p w14:paraId="07E512D4"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2. Cash-flow projections</w:t>
      </w:r>
    </w:p>
    <w:p w14:paraId="7A10136C"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 xml:space="preserve">3. Financial analysis of indicators </w:t>
      </w:r>
    </w:p>
    <w:p w14:paraId="55C61037"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4. Calculation of the socio-economic effects of the Crowdfunding platform</w:t>
      </w:r>
    </w:p>
    <w:p w14:paraId="2A690318"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 xml:space="preserve">The calculation of all forecasts and analysis of financial indicators are given for two variants of the crowd platform – first, without using blockchain technology, but with providing transparency in real-time for users, and second, crowdfunding platform with implementation of blockchain technology. The difference in the estimated costs for development and integration types of the platform is 13 times. The general expenditure for the platform without blockchain is 4.6 million tenge, while with blockchain is 60 million. Because blockchain technology is not actively developed and used in Kazakhstan, it needs more time and foreign experts and developers (IT companies). </w:t>
      </w:r>
    </w:p>
    <w:p w14:paraId="19A885E4"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 xml:space="preserve">The implementation of the platform is not a commercial project. It is a social project that will improve the collection of zakat and activity of the Zeket and charity foundation of the SAMK and will affect to increase population trust and awareness and amount of collection. The support and supply expenditure of the platform will be financed from the collected zakat and sadaqah, as according to Shariah, the one category (third) of the eight to whom zakat is distributed is zakat collectors and administrators. </w:t>
      </w:r>
    </w:p>
    <w:p w14:paraId="71252AF5"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 xml:space="preserve">Future forecasted revenues are based on the estimated total zakat collection by the foundation in 2020, 2 836 million tenge. (Chapter II, section 2.2) We assess the only impact and financial indicators from implementing the crowdfunding platform in the zakat collection. Thus, the revenue amount is used expected growth rate, and the spending expected additional costs for technical and administrative support of the platform. </w:t>
      </w:r>
    </w:p>
    <w:p w14:paraId="39EDDC82" w14:textId="77777777" w:rsidR="00F65E29" w:rsidRPr="00F65E29"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We assume that the crowdfunding platform integrated into the Zeket foundation activity can solve the issues with distrust and transparency. It is a technological tool that allows for tracking the final result. The targeting of the charity provided minimal people involved, which in turn excludes spending money for other purposes. This crowd platform can solve the issue of the absence centralized charitable system.</w:t>
      </w:r>
    </w:p>
    <w:p w14:paraId="267F7D1E" w14:textId="75314974" w:rsidR="00DC2481" w:rsidRPr="00D549EE" w:rsidRDefault="00F65E29" w:rsidP="00F65E29">
      <w:pPr>
        <w:pStyle w:val="a5"/>
        <w:shd w:val="clear" w:color="auto" w:fill="FFFFFF"/>
        <w:contextualSpacing/>
        <w:jc w:val="both"/>
        <w:rPr>
          <w:color w:val="000000" w:themeColor="text1"/>
          <w:sz w:val="28"/>
          <w:szCs w:val="28"/>
          <w:lang w:val="en-US"/>
        </w:rPr>
      </w:pPr>
      <w:r w:rsidRPr="00F65E29">
        <w:rPr>
          <w:color w:val="000000" w:themeColor="text1"/>
          <w:sz w:val="28"/>
          <w:szCs w:val="28"/>
          <w:lang w:val="en-US"/>
        </w:rPr>
        <w:tab/>
        <w:t>According to the results we reached above, to estimate the effectiveness and performance of the integration of the crowdfunding platform in zakat and charity collection by Zeket foundation in 2 forms of forecast: realistic and optimistic. Our realistic scenario revenue forecast is based on the assumption of a gradual increase in charity collection by 50% from benefactors who provide charity directly to people in need, 71% of unsatisfied potential donors.</w:t>
      </w:r>
      <w:r w:rsidR="001674EA" w:rsidRPr="00D549EE">
        <w:rPr>
          <w:color w:val="000000" w:themeColor="text1"/>
          <w:sz w:val="28"/>
          <w:szCs w:val="28"/>
          <w:lang w:val="en-US"/>
        </w:rPr>
        <w:t xml:space="preserve"> </w:t>
      </w:r>
    </w:p>
    <w:p w14:paraId="5B69570A" w14:textId="1AEC6887" w:rsidR="00C6246F" w:rsidRPr="00D549EE" w:rsidRDefault="00232CE2" w:rsidP="00C9582F">
      <w:pPr>
        <w:jc w:val="both"/>
        <w:rPr>
          <w:sz w:val="28"/>
          <w:szCs w:val="28"/>
          <w:lang w:val="en-US"/>
        </w:rPr>
      </w:pPr>
      <w:r w:rsidRPr="00D549EE">
        <w:rPr>
          <w:sz w:val="28"/>
          <w:szCs w:val="28"/>
          <w:lang w:val="en-US"/>
        </w:rPr>
        <w:t>Table 4</w:t>
      </w:r>
      <w:r w:rsidR="00C01F2E" w:rsidRPr="00D549EE">
        <w:rPr>
          <w:sz w:val="28"/>
          <w:szCs w:val="28"/>
          <w:lang w:val="en-US"/>
        </w:rPr>
        <w:t xml:space="preserve">9 – </w:t>
      </w:r>
      <w:r w:rsidRPr="00D549EE">
        <w:rPr>
          <w:sz w:val="28"/>
          <w:szCs w:val="28"/>
          <w:lang w:val="en-US"/>
        </w:rPr>
        <w:t xml:space="preserve">Statement of comprehensive revenues forecast for </w:t>
      </w:r>
      <w:r w:rsidR="00860335" w:rsidRPr="00D549EE">
        <w:rPr>
          <w:sz w:val="28"/>
          <w:szCs w:val="28"/>
          <w:lang w:val="en-US"/>
        </w:rPr>
        <w:t>5 years</w:t>
      </w:r>
      <w:r w:rsidR="007642A4" w:rsidRPr="00D549EE">
        <w:rPr>
          <w:sz w:val="28"/>
          <w:szCs w:val="28"/>
          <w:lang w:val="en-US"/>
        </w:rPr>
        <w:t xml:space="preserve">, realistic scenario </w:t>
      </w:r>
      <w:r w:rsidR="00DC1A47" w:rsidRPr="00D549EE">
        <w:rPr>
          <w:sz w:val="28"/>
          <w:szCs w:val="28"/>
          <w:lang w:val="en-US"/>
        </w:rPr>
        <w:t xml:space="preserve"> (million tenge)</w:t>
      </w:r>
    </w:p>
    <w:p w14:paraId="704E2323" w14:textId="4CFD13B7" w:rsidR="00C6246F" w:rsidRPr="00D549EE" w:rsidRDefault="00C6246F" w:rsidP="00C9582F">
      <w:pPr>
        <w:jc w:val="both"/>
        <w:rPr>
          <w:i/>
          <w:sz w:val="28"/>
          <w:szCs w:val="28"/>
          <w:lang w:val="en-US"/>
        </w:rPr>
      </w:pPr>
      <w:r w:rsidRPr="00D549EE">
        <w:rPr>
          <w:i/>
          <w:sz w:val="28"/>
          <w:szCs w:val="28"/>
          <w:lang w:val="en-US"/>
        </w:rPr>
        <w:tab/>
      </w:r>
    </w:p>
    <w:tbl>
      <w:tblPr>
        <w:tblStyle w:val="a9"/>
        <w:tblW w:w="0" w:type="auto"/>
        <w:tblLook w:val="04A0" w:firstRow="1" w:lastRow="0" w:firstColumn="1" w:lastColumn="0" w:noHBand="0" w:noVBand="1"/>
      </w:tblPr>
      <w:tblGrid>
        <w:gridCol w:w="2957"/>
        <w:gridCol w:w="1716"/>
        <w:gridCol w:w="1276"/>
        <w:gridCol w:w="1276"/>
        <w:gridCol w:w="1134"/>
        <w:gridCol w:w="1264"/>
      </w:tblGrid>
      <w:tr w:rsidR="006E7B4B" w:rsidRPr="00D549EE" w14:paraId="21104021" w14:textId="77777777" w:rsidTr="006E7B4B">
        <w:tc>
          <w:tcPr>
            <w:tcW w:w="0" w:type="auto"/>
          </w:tcPr>
          <w:p w14:paraId="683B1281" w14:textId="77777777" w:rsidR="006E7B4B" w:rsidRPr="00D549EE" w:rsidRDefault="006E7B4B" w:rsidP="00C9582F">
            <w:pPr>
              <w:rPr>
                <w:lang w:val="en-US"/>
              </w:rPr>
            </w:pPr>
            <w:r w:rsidRPr="00D549EE">
              <w:rPr>
                <w:lang w:val="en-US"/>
              </w:rPr>
              <w:t>Statement of comprehensive revenues forecast</w:t>
            </w:r>
          </w:p>
        </w:tc>
        <w:tc>
          <w:tcPr>
            <w:tcW w:w="1716" w:type="dxa"/>
          </w:tcPr>
          <w:p w14:paraId="3D41C9F0" w14:textId="022FDF20" w:rsidR="006E7B4B" w:rsidRPr="00D549EE" w:rsidRDefault="00860335" w:rsidP="00C9582F">
            <w:pPr>
              <w:rPr>
                <w:lang w:val="en-US"/>
              </w:rPr>
            </w:pPr>
            <w:r w:rsidRPr="00D549EE">
              <w:rPr>
                <w:lang w:val="en-US"/>
              </w:rPr>
              <w:t>Year 1</w:t>
            </w:r>
          </w:p>
        </w:tc>
        <w:tc>
          <w:tcPr>
            <w:tcW w:w="1276" w:type="dxa"/>
          </w:tcPr>
          <w:p w14:paraId="1FECC552" w14:textId="502A17AF" w:rsidR="006E7B4B" w:rsidRPr="00D549EE" w:rsidRDefault="00860335" w:rsidP="00C9582F">
            <w:pPr>
              <w:rPr>
                <w:lang w:val="en-US"/>
              </w:rPr>
            </w:pPr>
            <w:r w:rsidRPr="00D549EE">
              <w:rPr>
                <w:lang w:val="en-US"/>
              </w:rPr>
              <w:t>Year 2</w:t>
            </w:r>
          </w:p>
        </w:tc>
        <w:tc>
          <w:tcPr>
            <w:tcW w:w="1276" w:type="dxa"/>
          </w:tcPr>
          <w:p w14:paraId="595A990E" w14:textId="0324C259" w:rsidR="006E7B4B" w:rsidRPr="00D549EE" w:rsidRDefault="00860335" w:rsidP="00C9582F">
            <w:pPr>
              <w:rPr>
                <w:lang w:val="en-US"/>
              </w:rPr>
            </w:pPr>
            <w:r w:rsidRPr="00D549EE">
              <w:rPr>
                <w:lang w:val="en-US"/>
              </w:rPr>
              <w:t>Year 3</w:t>
            </w:r>
          </w:p>
        </w:tc>
        <w:tc>
          <w:tcPr>
            <w:tcW w:w="1134" w:type="dxa"/>
          </w:tcPr>
          <w:p w14:paraId="03AE85C2" w14:textId="4FD2382A" w:rsidR="006E7B4B" w:rsidRPr="00D549EE" w:rsidRDefault="00860335" w:rsidP="00C9582F">
            <w:pPr>
              <w:rPr>
                <w:lang w:val="en-US"/>
              </w:rPr>
            </w:pPr>
            <w:r w:rsidRPr="00D549EE">
              <w:rPr>
                <w:lang w:val="en-US"/>
              </w:rPr>
              <w:t>Year 4</w:t>
            </w:r>
          </w:p>
        </w:tc>
        <w:tc>
          <w:tcPr>
            <w:tcW w:w="1264" w:type="dxa"/>
          </w:tcPr>
          <w:p w14:paraId="594E0485" w14:textId="6CF2723B" w:rsidR="006E7B4B" w:rsidRPr="00D549EE" w:rsidRDefault="00860335" w:rsidP="00C9582F">
            <w:pPr>
              <w:rPr>
                <w:lang w:val="en-US"/>
              </w:rPr>
            </w:pPr>
            <w:r w:rsidRPr="00D549EE">
              <w:rPr>
                <w:lang w:val="en-US"/>
              </w:rPr>
              <w:t>Year 5</w:t>
            </w:r>
          </w:p>
        </w:tc>
      </w:tr>
      <w:tr w:rsidR="006E7B4B" w:rsidRPr="00D549EE" w14:paraId="191441C4" w14:textId="77777777" w:rsidTr="006E7B4B">
        <w:tc>
          <w:tcPr>
            <w:tcW w:w="0" w:type="auto"/>
          </w:tcPr>
          <w:p w14:paraId="0778F55A" w14:textId="77777777" w:rsidR="006E7B4B" w:rsidRPr="00D549EE" w:rsidRDefault="006E7B4B" w:rsidP="00C9582F">
            <w:pPr>
              <w:rPr>
                <w:lang w:val="en-US"/>
              </w:rPr>
            </w:pPr>
            <w:r w:rsidRPr="00D549EE">
              <w:rPr>
                <w:lang w:val="en-US"/>
              </w:rPr>
              <w:t>Revenue</w:t>
            </w:r>
          </w:p>
        </w:tc>
        <w:tc>
          <w:tcPr>
            <w:tcW w:w="1716" w:type="dxa"/>
          </w:tcPr>
          <w:p w14:paraId="46693C7C" w14:textId="77777777" w:rsidR="006E7B4B" w:rsidRPr="00D549EE" w:rsidRDefault="006E7B4B" w:rsidP="00C9582F">
            <w:pPr>
              <w:rPr>
                <w:lang w:val="en-US"/>
              </w:rPr>
            </w:pPr>
            <w:r w:rsidRPr="00D549EE">
              <w:rPr>
                <w:lang w:val="en-US"/>
              </w:rPr>
              <w:t>0</w:t>
            </w:r>
          </w:p>
        </w:tc>
        <w:tc>
          <w:tcPr>
            <w:tcW w:w="1276" w:type="dxa"/>
          </w:tcPr>
          <w:p w14:paraId="4E424321" w14:textId="77777777" w:rsidR="006E7B4B" w:rsidRPr="00D549EE" w:rsidRDefault="006E7B4B" w:rsidP="00C9582F">
            <w:pPr>
              <w:rPr>
                <w:lang w:val="en-US"/>
              </w:rPr>
            </w:pPr>
            <w:r w:rsidRPr="00D549EE">
              <w:rPr>
                <w:lang w:val="en-US"/>
              </w:rPr>
              <w:t>1 212.84</w:t>
            </w:r>
          </w:p>
        </w:tc>
        <w:tc>
          <w:tcPr>
            <w:tcW w:w="1276" w:type="dxa"/>
          </w:tcPr>
          <w:p w14:paraId="5F1619E9" w14:textId="77777777" w:rsidR="006E7B4B" w:rsidRPr="00D549EE" w:rsidRDefault="006E7B4B" w:rsidP="00C9582F">
            <w:pPr>
              <w:rPr>
                <w:lang w:val="en-US"/>
              </w:rPr>
            </w:pPr>
            <w:r w:rsidRPr="00D549EE">
              <w:rPr>
                <w:lang w:val="en-US"/>
              </w:rPr>
              <w:t>1 394.77</w:t>
            </w:r>
          </w:p>
        </w:tc>
        <w:tc>
          <w:tcPr>
            <w:tcW w:w="1134" w:type="dxa"/>
          </w:tcPr>
          <w:p w14:paraId="6DECE013" w14:textId="77777777" w:rsidR="006E7B4B" w:rsidRPr="00D549EE" w:rsidRDefault="006E7B4B" w:rsidP="00C9582F">
            <w:pPr>
              <w:rPr>
                <w:lang w:val="en-US"/>
              </w:rPr>
            </w:pPr>
            <w:r w:rsidRPr="00D549EE">
              <w:rPr>
                <w:lang w:val="en-US"/>
              </w:rPr>
              <w:t>1 745.78</w:t>
            </w:r>
          </w:p>
        </w:tc>
        <w:tc>
          <w:tcPr>
            <w:tcW w:w="1264" w:type="dxa"/>
          </w:tcPr>
          <w:p w14:paraId="335D3057" w14:textId="77777777" w:rsidR="006E7B4B" w:rsidRPr="00D549EE" w:rsidRDefault="006E7B4B" w:rsidP="00C9582F">
            <w:pPr>
              <w:rPr>
                <w:lang w:val="en-US"/>
              </w:rPr>
            </w:pPr>
            <w:r w:rsidRPr="00D549EE">
              <w:rPr>
                <w:lang w:val="en-US"/>
              </w:rPr>
              <w:t>2 062.17</w:t>
            </w:r>
          </w:p>
        </w:tc>
      </w:tr>
      <w:tr w:rsidR="006E7B4B" w:rsidRPr="00D549EE" w14:paraId="76E7E0E8" w14:textId="77777777" w:rsidTr="006E7B4B">
        <w:tc>
          <w:tcPr>
            <w:tcW w:w="0" w:type="auto"/>
          </w:tcPr>
          <w:p w14:paraId="392BAC9C" w14:textId="77777777" w:rsidR="006E7B4B" w:rsidRPr="00D549EE" w:rsidRDefault="006E7B4B" w:rsidP="00C9582F">
            <w:pPr>
              <w:rPr>
                <w:lang w:val="en-US"/>
              </w:rPr>
            </w:pPr>
            <w:r w:rsidRPr="00D549EE">
              <w:rPr>
                <w:lang w:val="en-US"/>
              </w:rPr>
              <w:t>Transfer fees</w:t>
            </w:r>
          </w:p>
        </w:tc>
        <w:tc>
          <w:tcPr>
            <w:tcW w:w="1716" w:type="dxa"/>
          </w:tcPr>
          <w:p w14:paraId="5B899D2F" w14:textId="77777777" w:rsidR="006E7B4B" w:rsidRPr="00D549EE" w:rsidRDefault="006E7B4B" w:rsidP="00C9582F">
            <w:pPr>
              <w:rPr>
                <w:lang w:val="en-US"/>
              </w:rPr>
            </w:pPr>
            <w:r w:rsidRPr="00D549EE">
              <w:rPr>
                <w:lang w:val="en-US"/>
              </w:rPr>
              <w:t>0</w:t>
            </w:r>
          </w:p>
        </w:tc>
        <w:tc>
          <w:tcPr>
            <w:tcW w:w="1276" w:type="dxa"/>
          </w:tcPr>
          <w:p w14:paraId="495FFCF9" w14:textId="77777777" w:rsidR="006E7B4B" w:rsidRPr="00D549EE" w:rsidRDefault="006E7B4B" w:rsidP="00C9582F">
            <w:pPr>
              <w:rPr>
                <w:lang w:val="en-US"/>
              </w:rPr>
            </w:pPr>
            <w:r w:rsidRPr="00D549EE">
              <w:rPr>
                <w:lang w:val="en-US"/>
              </w:rPr>
              <w:t>24.26</w:t>
            </w:r>
          </w:p>
        </w:tc>
        <w:tc>
          <w:tcPr>
            <w:tcW w:w="1276" w:type="dxa"/>
          </w:tcPr>
          <w:p w14:paraId="0278C1B0" w14:textId="77777777" w:rsidR="006E7B4B" w:rsidRPr="00D549EE" w:rsidRDefault="006E7B4B" w:rsidP="00C9582F">
            <w:pPr>
              <w:rPr>
                <w:lang w:val="en-US"/>
              </w:rPr>
            </w:pPr>
            <w:r w:rsidRPr="00D549EE">
              <w:rPr>
                <w:lang w:val="en-US"/>
              </w:rPr>
              <w:t>27.90</w:t>
            </w:r>
          </w:p>
        </w:tc>
        <w:tc>
          <w:tcPr>
            <w:tcW w:w="1134" w:type="dxa"/>
          </w:tcPr>
          <w:p w14:paraId="6DAB3F9F" w14:textId="77777777" w:rsidR="006E7B4B" w:rsidRPr="00D549EE" w:rsidRDefault="006E7B4B" w:rsidP="00C9582F">
            <w:pPr>
              <w:rPr>
                <w:lang w:val="en-US"/>
              </w:rPr>
            </w:pPr>
            <w:r w:rsidRPr="00D549EE">
              <w:rPr>
                <w:lang w:val="en-US"/>
              </w:rPr>
              <w:t>34.92</w:t>
            </w:r>
          </w:p>
        </w:tc>
        <w:tc>
          <w:tcPr>
            <w:tcW w:w="1264" w:type="dxa"/>
          </w:tcPr>
          <w:p w14:paraId="5DB4A9ED" w14:textId="77777777" w:rsidR="006E7B4B" w:rsidRPr="00D549EE" w:rsidRDefault="006E7B4B" w:rsidP="00C9582F">
            <w:pPr>
              <w:rPr>
                <w:lang w:val="en-US"/>
              </w:rPr>
            </w:pPr>
            <w:r w:rsidRPr="00D549EE">
              <w:rPr>
                <w:lang w:val="en-US"/>
              </w:rPr>
              <w:t>41.24</w:t>
            </w:r>
          </w:p>
        </w:tc>
      </w:tr>
      <w:tr w:rsidR="006E7B4B" w:rsidRPr="00D549EE" w14:paraId="6165FD9C" w14:textId="77777777" w:rsidTr="006E7B4B">
        <w:tc>
          <w:tcPr>
            <w:tcW w:w="0" w:type="auto"/>
          </w:tcPr>
          <w:p w14:paraId="38AC0F21" w14:textId="77777777" w:rsidR="006E7B4B" w:rsidRPr="00D549EE" w:rsidRDefault="006E7B4B" w:rsidP="00C9582F">
            <w:pPr>
              <w:rPr>
                <w:lang w:val="en-US"/>
              </w:rPr>
            </w:pPr>
            <w:r w:rsidRPr="00D549EE">
              <w:rPr>
                <w:lang w:val="en-US"/>
              </w:rPr>
              <w:t>Gross revenue</w:t>
            </w:r>
          </w:p>
        </w:tc>
        <w:tc>
          <w:tcPr>
            <w:tcW w:w="1716" w:type="dxa"/>
          </w:tcPr>
          <w:p w14:paraId="3BCD3FBA" w14:textId="77777777" w:rsidR="006E7B4B" w:rsidRPr="00D549EE" w:rsidRDefault="006E7B4B" w:rsidP="00C9582F">
            <w:pPr>
              <w:rPr>
                <w:lang w:val="en-US"/>
              </w:rPr>
            </w:pPr>
            <w:r w:rsidRPr="00D549EE">
              <w:rPr>
                <w:lang w:val="en-US"/>
              </w:rPr>
              <w:t>0</w:t>
            </w:r>
          </w:p>
        </w:tc>
        <w:tc>
          <w:tcPr>
            <w:tcW w:w="1276" w:type="dxa"/>
          </w:tcPr>
          <w:p w14:paraId="4C129B23" w14:textId="77777777" w:rsidR="006E7B4B" w:rsidRPr="00D549EE" w:rsidRDefault="006E7B4B" w:rsidP="00C9582F">
            <w:pPr>
              <w:rPr>
                <w:lang w:val="en-US"/>
              </w:rPr>
            </w:pPr>
            <w:r w:rsidRPr="00D549EE">
              <w:rPr>
                <w:lang w:val="en-US"/>
              </w:rPr>
              <w:t>1 188.58</w:t>
            </w:r>
          </w:p>
        </w:tc>
        <w:tc>
          <w:tcPr>
            <w:tcW w:w="1276" w:type="dxa"/>
          </w:tcPr>
          <w:p w14:paraId="00D65C05" w14:textId="77777777" w:rsidR="006E7B4B" w:rsidRPr="00D549EE" w:rsidRDefault="006E7B4B" w:rsidP="00C9582F">
            <w:pPr>
              <w:rPr>
                <w:lang w:val="en-US"/>
              </w:rPr>
            </w:pPr>
            <w:r w:rsidRPr="00D549EE">
              <w:rPr>
                <w:lang w:val="en-US"/>
              </w:rPr>
              <w:t>1 366.87</w:t>
            </w:r>
          </w:p>
        </w:tc>
        <w:tc>
          <w:tcPr>
            <w:tcW w:w="1134" w:type="dxa"/>
          </w:tcPr>
          <w:p w14:paraId="3A94D82D" w14:textId="77777777" w:rsidR="006E7B4B" w:rsidRPr="00D549EE" w:rsidRDefault="006E7B4B" w:rsidP="00C9582F">
            <w:pPr>
              <w:rPr>
                <w:lang w:val="en-US"/>
              </w:rPr>
            </w:pPr>
            <w:r w:rsidRPr="00D549EE">
              <w:rPr>
                <w:lang w:val="en-US"/>
              </w:rPr>
              <w:t>1 710.87</w:t>
            </w:r>
          </w:p>
        </w:tc>
        <w:tc>
          <w:tcPr>
            <w:tcW w:w="1264" w:type="dxa"/>
          </w:tcPr>
          <w:p w14:paraId="7B35FE34" w14:textId="77777777" w:rsidR="006E7B4B" w:rsidRPr="00D549EE" w:rsidRDefault="006E7B4B" w:rsidP="00C9582F">
            <w:pPr>
              <w:rPr>
                <w:lang w:val="en-US"/>
              </w:rPr>
            </w:pPr>
            <w:r w:rsidRPr="00D549EE">
              <w:rPr>
                <w:lang w:val="en-US"/>
              </w:rPr>
              <w:t>2 020.92</w:t>
            </w:r>
          </w:p>
        </w:tc>
      </w:tr>
      <w:tr w:rsidR="006E7B4B" w:rsidRPr="00D549EE" w14:paraId="79C1FC64" w14:textId="77777777" w:rsidTr="006E7B4B">
        <w:tc>
          <w:tcPr>
            <w:tcW w:w="0" w:type="auto"/>
          </w:tcPr>
          <w:p w14:paraId="20BF3918" w14:textId="77777777" w:rsidR="006E7B4B" w:rsidRPr="00D549EE" w:rsidRDefault="006E7B4B" w:rsidP="00C9582F">
            <w:pPr>
              <w:rPr>
                <w:lang w:val="en-US"/>
              </w:rPr>
            </w:pPr>
            <w:r w:rsidRPr="00D549EE">
              <w:rPr>
                <w:lang w:val="en-US"/>
              </w:rPr>
              <w:t>Distribution expenses</w:t>
            </w:r>
          </w:p>
        </w:tc>
        <w:tc>
          <w:tcPr>
            <w:tcW w:w="1716" w:type="dxa"/>
          </w:tcPr>
          <w:p w14:paraId="62FE0504" w14:textId="77777777" w:rsidR="006E7B4B" w:rsidRPr="00D549EE" w:rsidRDefault="006E7B4B" w:rsidP="00C9582F">
            <w:pPr>
              <w:rPr>
                <w:lang w:val="en-US"/>
              </w:rPr>
            </w:pPr>
            <w:r w:rsidRPr="00D549EE">
              <w:rPr>
                <w:lang w:val="en-US"/>
              </w:rPr>
              <w:t>1.30</w:t>
            </w:r>
          </w:p>
        </w:tc>
        <w:tc>
          <w:tcPr>
            <w:tcW w:w="1276" w:type="dxa"/>
          </w:tcPr>
          <w:p w14:paraId="4613463E" w14:textId="77777777" w:rsidR="006E7B4B" w:rsidRPr="00D549EE" w:rsidRDefault="006E7B4B" w:rsidP="00C9582F">
            <w:pPr>
              <w:rPr>
                <w:lang w:val="en-US"/>
              </w:rPr>
            </w:pPr>
            <w:r w:rsidRPr="00D549EE">
              <w:rPr>
                <w:lang w:val="en-US"/>
              </w:rPr>
              <w:t>1.30</w:t>
            </w:r>
          </w:p>
        </w:tc>
        <w:tc>
          <w:tcPr>
            <w:tcW w:w="1276" w:type="dxa"/>
          </w:tcPr>
          <w:p w14:paraId="6C7A7F8E" w14:textId="77777777" w:rsidR="006E7B4B" w:rsidRPr="00D549EE" w:rsidRDefault="006E7B4B" w:rsidP="00C9582F">
            <w:pPr>
              <w:rPr>
                <w:lang w:val="en-US"/>
              </w:rPr>
            </w:pPr>
            <w:r w:rsidRPr="00D549EE">
              <w:rPr>
                <w:lang w:val="en-US"/>
              </w:rPr>
              <w:t>1.30</w:t>
            </w:r>
          </w:p>
        </w:tc>
        <w:tc>
          <w:tcPr>
            <w:tcW w:w="1134" w:type="dxa"/>
          </w:tcPr>
          <w:p w14:paraId="327C4BEB" w14:textId="77777777" w:rsidR="006E7B4B" w:rsidRPr="00D549EE" w:rsidRDefault="006E7B4B" w:rsidP="00C9582F">
            <w:pPr>
              <w:rPr>
                <w:lang w:val="en-US"/>
              </w:rPr>
            </w:pPr>
            <w:r w:rsidRPr="00D549EE">
              <w:rPr>
                <w:lang w:val="en-US"/>
              </w:rPr>
              <w:t>1.30</w:t>
            </w:r>
          </w:p>
        </w:tc>
        <w:tc>
          <w:tcPr>
            <w:tcW w:w="1264" w:type="dxa"/>
          </w:tcPr>
          <w:p w14:paraId="65794E69" w14:textId="77777777" w:rsidR="006E7B4B" w:rsidRPr="00D549EE" w:rsidRDefault="006E7B4B" w:rsidP="00C9582F">
            <w:pPr>
              <w:rPr>
                <w:lang w:val="en-US"/>
              </w:rPr>
            </w:pPr>
            <w:r w:rsidRPr="00D549EE">
              <w:rPr>
                <w:lang w:val="en-US"/>
              </w:rPr>
              <w:t>1.3</w:t>
            </w:r>
          </w:p>
        </w:tc>
      </w:tr>
      <w:tr w:rsidR="006E7B4B" w:rsidRPr="00D549EE" w14:paraId="077A7E26" w14:textId="77777777" w:rsidTr="006E7B4B">
        <w:tc>
          <w:tcPr>
            <w:tcW w:w="0" w:type="auto"/>
          </w:tcPr>
          <w:p w14:paraId="21FC77E6" w14:textId="77777777" w:rsidR="006E7B4B" w:rsidRPr="00D549EE" w:rsidRDefault="006E7B4B" w:rsidP="00C9582F">
            <w:pPr>
              <w:rPr>
                <w:lang w:val="en-US"/>
              </w:rPr>
            </w:pPr>
            <w:r w:rsidRPr="00D549EE">
              <w:rPr>
                <w:lang w:val="en-US"/>
              </w:rPr>
              <w:t>Platform promotion and advertising</w:t>
            </w:r>
          </w:p>
        </w:tc>
        <w:tc>
          <w:tcPr>
            <w:tcW w:w="1716" w:type="dxa"/>
          </w:tcPr>
          <w:p w14:paraId="6D9077DC" w14:textId="77777777" w:rsidR="006E7B4B" w:rsidRPr="00D549EE" w:rsidRDefault="006E7B4B" w:rsidP="00C9582F">
            <w:pPr>
              <w:rPr>
                <w:lang w:val="en-US"/>
              </w:rPr>
            </w:pPr>
            <w:r w:rsidRPr="00D549EE">
              <w:rPr>
                <w:lang w:val="en-US"/>
              </w:rPr>
              <w:t>1.00</w:t>
            </w:r>
          </w:p>
        </w:tc>
        <w:tc>
          <w:tcPr>
            <w:tcW w:w="1276" w:type="dxa"/>
          </w:tcPr>
          <w:p w14:paraId="5A5333CC" w14:textId="77777777" w:rsidR="006E7B4B" w:rsidRPr="00D549EE" w:rsidRDefault="006E7B4B" w:rsidP="00C9582F">
            <w:pPr>
              <w:rPr>
                <w:lang w:val="en-US"/>
              </w:rPr>
            </w:pPr>
            <w:r w:rsidRPr="00D549EE">
              <w:rPr>
                <w:lang w:val="en-US"/>
              </w:rPr>
              <w:t>1.0</w:t>
            </w:r>
          </w:p>
        </w:tc>
        <w:tc>
          <w:tcPr>
            <w:tcW w:w="1276" w:type="dxa"/>
          </w:tcPr>
          <w:p w14:paraId="44F70322" w14:textId="77777777" w:rsidR="006E7B4B" w:rsidRPr="00D549EE" w:rsidRDefault="006E7B4B" w:rsidP="00C9582F">
            <w:pPr>
              <w:rPr>
                <w:lang w:val="en-US"/>
              </w:rPr>
            </w:pPr>
            <w:r w:rsidRPr="00D549EE">
              <w:rPr>
                <w:lang w:val="en-US"/>
              </w:rPr>
              <w:t>1.0</w:t>
            </w:r>
          </w:p>
        </w:tc>
        <w:tc>
          <w:tcPr>
            <w:tcW w:w="1134" w:type="dxa"/>
          </w:tcPr>
          <w:p w14:paraId="53400A04" w14:textId="77777777" w:rsidR="006E7B4B" w:rsidRPr="00D549EE" w:rsidRDefault="006E7B4B" w:rsidP="00C9582F">
            <w:pPr>
              <w:rPr>
                <w:lang w:val="en-US"/>
              </w:rPr>
            </w:pPr>
            <w:r w:rsidRPr="00D549EE">
              <w:rPr>
                <w:lang w:val="en-US"/>
              </w:rPr>
              <w:t>1.0</w:t>
            </w:r>
          </w:p>
        </w:tc>
        <w:tc>
          <w:tcPr>
            <w:tcW w:w="1264" w:type="dxa"/>
          </w:tcPr>
          <w:p w14:paraId="5ACD0D0C" w14:textId="77777777" w:rsidR="006E7B4B" w:rsidRPr="00D549EE" w:rsidRDefault="006E7B4B" w:rsidP="00C9582F">
            <w:pPr>
              <w:rPr>
                <w:lang w:val="en-US"/>
              </w:rPr>
            </w:pPr>
            <w:r w:rsidRPr="00D549EE">
              <w:rPr>
                <w:lang w:val="en-US"/>
              </w:rPr>
              <w:t>1.0</w:t>
            </w:r>
          </w:p>
        </w:tc>
      </w:tr>
      <w:tr w:rsidR="006E7B4B" w:rsidRPr="00D549EE" w14:paraId="165F0201" w14:textId="77777777" w:rsidTr="006E7B4B">
        <w:tc>
          <w:tcPr>
            <w:tcW w:w="0" w:type="auto"/>
          </w:tcPr>
          <w:p w14:paraId="014623CB" w14:textId="77777777" w:rsidR="006E7B4B" w:rsidRPr="00D549EE" w:rsidRDefault="006E7B4B" w:rsidP="00C9582F">
            <w:pPr>
              <w:pStyle w:val="a5"/>
            </w:pPr>
            <w:r w:rsidRPr="00D549EE">
              <w:rPr>
                <w:bCs/>
              </w:rPr>
              <w:t>Administrative expenses</w:t>
            </w:r>
          </w:p>
        </w:tc>
        <w:tc>
          <w:tcPr>
            <w:tcW w:w="1716" w:type="dxa"/>
          </w:tcPr>
          <w:p w14:paraId="7AD7C7C2" w14:textId="77777777" w:rsidR="006E7B4B" w:rsidRPr="00D549EE" w:rsidRDefault="006E7B4B" w:rsidP="00C9582F">
            <w:pPr>
              <w:rPr>
                <w:lang w:val="en-US"/>
              </w:rPr>
            </w:pPr>
            <w:r w:rsidRPr="00D549EE">
              <w:rPr>
                <w:lang w:val="en-US"/>
              </w:rPr>
              <w:t>4.74</w:t>
            </w:r>
          </w:p>
        </w:tc>
        <w:tc>
          <w:tcPr>
            <w:tcW w:w="1276" w:type="dxa"/>
          </w:tcPr>
          <w:p w14:paraId="43175357" w14:textId="77777777" w:rsidR="006E7B4B" w:rsidRPr="00D549EE" w:rsidRDefault="006E7B4B" w:rsidP="00C9582F">
            <w:pPr>
              <w:rPr>
                <w:lang w:val="en-US"/>
              </w:rPr>
            </w:pPr>
            <w:r w:rsidRPr="00D549EE">
              <w:rPr>
                <w:lang w:val="en-US"/>
              </w:rPr>
              <w:t>4.74</w:t>
            </w:r>
          </w:p>
        </w:tc>
        <w:tc>
          <w:tcPr>
            <w:tcW w:w="1276" w:type="dxa"/>
          </w:tcPr>
          <w:p w14:paraId="70E50B57" w14:textId="77777777" w:rsidR="006E7B4B" w:rsidRPr="00D549EE" w:rsidRDefault="006E7B4B" w:rsidP="00C9582F">
            <w:pPr>
              <w:rPr>
                <w:lang w:val="en-US"/>
              </w:rPr>
            </w:pPr>
            <w:r w:rsidRPr="00D549EE">
              <w:rPr>
                <w:lang w:val="en-US"/>
              </w:rPr>
              <w:t>4.74</w:t>
            </w:r>
          </w:p>
        </w:tc>
        <w:tc>
          <w:tcPr>
            <w:tcW w:w="1134" w:type="dxa"/>
          </w:tcPr>
          <w:p w14:paraId="1DF10789" w14:textId="77777777" w:rsidR="006E7B4B" w:rsidRPr="00D549EE" w:rsidRDefault="006E7B4B" w:rsidP="00C9582F">
            <w:pPr>
              <w:rPr>
                <w:lang w:val="en-US"/>
              </w:rPr>
            </w:pPr>
            <w:r w:rsidRPr="00D549EE">
              <w:rPr>
                <w:lang w:val="en-US"/>
              </w:rPr>
              <w:t>5.15</w:t>
            </w:r>
          </w:p>
        </w:tc>
        <w:tc>
          <w:tcPr>
            <w:tcW w:w="1264" w:type="dxa"/>
          </w:tcPr>
          <w:p w14:paraId="42BAE138" w14:textId="77777777" w:rsidR="006E7B4B" w:rsidRPr="00D549EE" w:rsidRDefault="006E7B4B" w:rsidP="00C9582F">
            <w:pPr>
              <w:rPr>
                <w:lang w:val="en-US"/>
              </w:rPr>
            </w:pPr>
            <w:r w:rsidRPr="00D549EE">
              <w:rPr>
                <w:lang w:val="en-US"/>
              </w:rPr>
              <w:t>5.15</w:t>
            </w:r>
          </w:p>
        </w:tc>
      </w:tr>
      <w:tr w:rsidR="006E7B4B" w:rsidRPr="00D549EE" w14:paraId="4C50C143" w14:textId="77777777" w:rsidTr="006E7B4B">
        <w:tc>
          <w:tcPr>
            <w:tcW w:w="0" w:type="auto"/>
          </w:tcPr>
          <w:p w14:paraId="55DC9FFA" w14:textId="77777777" w:rsidR="006E7B4B" w:rsidRPr="00D549EE" w:rsidRDefault="006E7B4B" w:rsidP="00C9582F">
            <w:pPr>
              <w:pStyle w:val="a5"/>
            </w:pPr>
            <w:r w:rsidRPr="00D549EE">
              <w:t>Internet and communication</w:t>
            </w:r>
          </w:p>
        </w:tc>
        <w:tc>
          <w:tcPr>
            <w:tcW w:w="1716" w:type="dxa"/>
          </w:tcPr>
          <w:p w14:paraId="0BF21BD4" w14:textId="77777777" w:rsidR="006E7B4B" w:rsidRPr="00D549EE" w:rsidRDefault="006E7B4B" w:rsidP="00C9582F">
            <w:pPr>
              <w:rPr>
                <w:lang w:val="en-US"/>
              </w:rPr>
            </w:pPr>
            <w:r w:rsidRPr="00D549EE">
              <w:rPr>
                <w:lang w:val="en-US"/>
              </w:rPr>
              <w:t>0.24</w:t>
            </w:r>
          </w:p>
        </w:tc>
        <w:tc>
          <w:tcPr>
            <w:tcW w:w="1276" w:type="dxa"/>
          </w:tcPr>
          <w:p w14:paraId="62225DF8" w14:textId="77777777" w:rsidR="006E7B4B" w:rsidRPr="00D549EE" w:rsidRDefault="006E7B4B" w:rsidP="00C9582F">
            <w:pPr>
              <w:rPr>
                <w:lang w:val="en-US"/>
              </w:rPr>
            </w:pPr>
            <w:r w:rsidRPr="00D549EE">
              <w:rPr>
                <w:lang w:val="en-US"/>
              </w:rPr>
              <w:t>0.24</w:t>
            </w:r>
          </w:p>
        </w:tc>
        <w:tc>
          <w:tcPr>
            <w:tcW w:w="1276" w:type="dxa"/>
          </w:tcPr>
          <w:p w14:paraId="5B7BD7A5" w14:textId="77777777" w:rsidR="006E7B4B" w:rsidRPr="00D549EE" w:rsidRDefault="006E7B4B" w:rsidP="00C9582F">
            <w:pPr>
              <w:rPr>
                <w:lang w:val="en-US"/>
              </w:rPr>
            </w:pPr>
            <w:r w:rsidRPr="00D549EE">
              <w:rPr>
                <w:lang w:val="en-US"/>
              </w:rPr>
              <w:t>0.24</w:t>
            </w:r>
          </w:p>
        </w:tc>
        <w:tc>
          <w:tcPr>
            <w:tcW w:w="1134" w:type="dxa"/>
          </w:tcPr>
          <w:p w14:paraId="390CCC01" w14:textId="77777777" w:rsidR="006E7B4B" w:rsidRPr="00D549EE" w:rsidRDefault="006E7B4B" w:rsidP="00C9582F">
            <w:pPr>
              <w:rPr>
                <w:lang w:val="en-US"/>
              </w:rPr>
            </w:pPr>
            <w:r w:rsidRPr="00D549EE">
              <w:rPr>
                <w:lang w:val="en-US"/>
              </w:rPr>
              <w:t>0.24</w:t>
            </w:r>
          </w:p>
        </w:tc>
        <w:tc>
          <w:tcPr>
            <w:tcW w:w="1264" w:type="dxa"/>
          </w:tcPr>
          <w:p w14:paraId="3AFB0DE4" w14:textId="77777777" w:rsidR="006E7B4B" w:rsidRPr="00D549EE" w:rsidRDefault="006E7B4B" w:rsidP="00C9582F">
            <w:pPr>
              <w:rPr>
                <w:lang w:val="en-US"/>
              </w:rPr>
            </w:pPr>
            <w:r w:rsidRPr="00D549EE">
              <w:rPr>
                <w:lang w:val="en-US"/>
              </w:rPr>
              <w:t>0.24</w:t>
            </w:r>
          </w:p>
        </w:tc>
      </w:tr>
      <w:tr w:rsidR="006E7B4B" w:rsidRPr="00D549EE" w14:paraId="5287EDBE" w14:textId="77777777" w:rsidTr="006E7B4B">
        <w:tc>
          <w:tcPr>
            <w:tcW w:w="0" w:type="auto"/>
          </w:tcPr>
          <w:p w14:paraId="51131496" w14:textId="77777777" w:rsidR="006E7B4B" w:rsidRPr="00D549EE" w:rsidRDefault="006E7B4B" w:rsidP="00C9582F">
            <w:pPr>
              <w:pStyle w:val="a5"/>
            </w:pPr>
            <w:r w:rsidRPr="00D549EE">
              <w:t>Unexpected expenses</w:t>
            </w:r>
          </w:p>
        </w:tc>
        <w:tc>
          <w:tcPr>
            <w:tcW w:w="1716" w:type="dxa"/>
          </w:tcPr>
          <w:p w14:paraId="640991E3" w14:textId="77777777" w:rsidR="006E7B4B" w:rsidRPr="00D549EE" w:rsidRDefault="006E7B4B" w:rsidP="00C9582F">
            <w:pPr>
              <w:rPr>
                <w:lang w:val="en-US"/>
              </w:rPr>
            </w:pPr>
            <w:r w:rsidRPr="00D549EE">
              <w:rPr>
                <w:lang w:val="en-US"/>
              </w:rPr>
              <w:t>0.45</w:t>
            </w:r>
          </w:p>
        </w:tc>
        <w:tc>
          <w:tcPr>
            <w:tcW w:w="1276" w:type="dxa"/>
          </w:tcPr>
          <w:p w14:paraId="5E2E91AC" w14:textId="77777777" w:rsidR="006E7B4B" w:rsidRPr="00D549EE" w:rsidRDefault="006E7B4B" w:rsidP="00C9582F">
            <w:pPr>
              <w:rPr>
                <w:lang w:val="en-US"/>
              </w:rPr>
            </w:pPr>
            <w:r w:rsidRPr="00D549EE">
              <w:rPr>
                <w:lang w:val="en-US"/>
              </w:rPr>
              <w:t>0.45</w:t>
            </w:r>
          </w:p>
        </w:tc>
        <w:tc>
          <w:tcPr>
            <w:tcW w:w="1276" w:type="dxa"/>
          </w:tcPr>
          <w:p w14:paraId="3B975604" w14:textId="77777777" w:rsidR="006E7B4B" w:rsidRPr="00D549EE" w:rsidRDefault="006E7B4B" w:rsidP="00C9582F">
            <w:pPr>
              <w:rPr>
                <w:lang w:val="en-US"/>
              </w:rPr>
            </w:pPr>
            <w:r w:rsidRPr="00D549EE">
              <w:rPr>
                <w:lang w:val="en-US"/>
              </w:rPr>
              <w:t>0.45</w:t>
            </w:r>
          </w:p>
        </w:tc>
        <w:tc>
          <w:tcPr>
            <w:tcW w:w="1134" w:type="dxa"/>
          </w:tcPr>
          <w:p w14:paraId="37CBABD3" w14:textId="77777777" w:rsidR="006E7B4B" w:rsidRPr="00D549EE" w:rsidRDefault="006E7B4B" w:rsidP="00C9582F">
            <w:pPr>
              <w:rPr>
                <w:lang w:val="en-US"/>
              </w:rPr>
            </w:pPr>
            <w:r w:rsidRPr="00D549EE">
              <w:rPr>
                <w:lang w:val="en-US"/>
              </w:rPr>
              <w:t>0.45</w:t>
            </w:r>
          </w:p>
        </w:tc>
        <w:tc>
          <w:tcPr>
            <w:tcW w:w="1264" w:type="dxa"/>
          </w:tcPr>
          <w:p w14:paraId="1B8B855C" w14:textId="77777777" w:rsidR="006E7B4B" w:rsidRPr="00D549EE" w:rsidRDefault="006E7B4B" w:rsidP="00C9582F">
            <w:pPr>
              <w:rPr>
                <w:lang w:val="en-US"/>
              </w:rPr>
            </w:pPr>
            <w:r w:rsidRPr="00D549EE">
              <w:rPr>
                <w:lang w:val="en-US"/>
              </w:rPr>
              <w:t>0.45</w:t>
            </w:r>
          </w:p>
        </w:tc>
      </w:tr>
      <w:tr w:rsidR="006E7B4B" w:rsidRPr="00D549EE" w14:paraId="711697E3" w14:textId="77777777" w:rsidTr="006E7B4B">
        <w:tc>
          <w:tcPr>
            <w:tcW w:w="0" w:type="auto"/>
          </w:tcPr>
          <w:p w14:paraId="43B86B43" w14:textId="77777777" w:rsidR="006E7B4B" w:rsidRPr="00D549EE" w:rsidRDefault="006E7B4B" w:rsidP="00C9582F">
            <w:pPr>
              <w:pStyle w:val="a5"/>
            </w:pPr>
            <w:r w:rsidRPr="00D549EE">
              <w:rPr>
                <w:lang w:val="en-US"/>
              </w:rPr>
              <w:t xml:space="preserve">Salary of fund representatives </w:t>
            </w:r>
          </w:p>
        </w:tc>
        <w:tc>
          <w:tcPr>
            <w:tcW w:w="1716" w:type="dxa"/>
          </w:tcPr>
          <w:p w14:paraId="14F7CFFF" w14:textId="77777777" w:rsidR="006E7B4B" w:rsidRPr="00D549EE" w:rsidRDefault="006E7B4B" w:rsidP="00C9582F">
            <w:pPr>
              <w:rPr>
                <w:lang w:val="en-US"/>
              </w:rPr>
            </w:pPr>
            <w:r w:rsidRPr="00D549EE">
              <w:rPr>
                <w:lang w:val="en-US"/>
              </w:rPr>
              <w:t>3.60</w:t>
            </w:r>
          </w:p>
        </w:tc>
        <w:tc>
          <w:tcPr>
            <w:tcW w:w="1276" w:type="dxa"/>
          </w:tcPr>
          <w:p w14:paraId="01F31746" w14:textId="77777777" w:rsidR="006E7B4B" w:rsidRPr="00D549EE" w:rsidRDefault="006E7B4B" w:rsidP="00C9582F">
            <w:pPr>
              <w:rPr>
                <w:lang w:val="en-US"/>
              </w:rPr>
            </w:pPr>
            <w:r w:rsidRPr="00D549EE">
              <w:rPr>
                <w:lang w:val="en-US"/>
              </w:rPr>
              <w:t>3.60</w:t>
            </w:r>
          </w:p>
        </w:tc>
        <w:tc>
          <w:tcPr>
            <w:tcW w:w="1276" w:type="dxa"/>
          </w:tcPr>
          <w:p w14:paraId="65D07D4B" w14:textId="77777777" w:rsidR="006E7B4B" w:rsidRPr="00D549EE" w:rsidRDefault="006E7B4B" w:rsidP="00C9582F">
            <w:pPr>
              <w:rPr>
                <w:lang w:val="en-US"/>
              </w:rPr>
            </w:pPr>
            <w:r w:rsidRPr="00D549EE">
              <w:rPr>
                <w:lang w:val="en-US"/>
              </w:rPr>
              <w:t>3.60</w:t>
            </w:r>
          </w:p>
        </w:tc>
        <w:tc>
          <w:tcPr>
            <w:tcW w:w="1134" w:type="dxa"/>
          </w:tcPr>
          <w:p w14:paraId="0A638E2D" w14:textId="77777777" w:rsidR="006E7B4B" w:rsidRPr="00D549EE" w:rsidRDefault="006E7B4B" w:rsidP="00C9582F">
            <w:pPr>
              <w:rPr>
                <w:lang w:val="en-US"/>
              </w:rPr>
            </w:pPr>
            <w:r w:rsidRPr="00D549EE">
              <w:rPr>
                <w:lang w:val="en-US"/>
              </w:rPr>
              <w:t>3.96</w:t>
            </w:r>
          </w:p>
        </w:tc>
        <w:tc>
          <w:tcPr>
            <w:tcW w:w="1264" w:type="dxa"/>
          </w:tcPr>
          <w:p w14:paraId="28521C5B" w14:textId="77777777" w:rsidR="006E7B4B" w:rsidRPr="00D549EE" w:rsidRDefault="006E7B4B" w:rsidP="00C9582F">
            <w:pPr>
              <w:rPr>
                <w:lang w:val="en-US"/>
              </w:rPr>
            </w:pPr>
            <w:r w:rsidRPr="00D549EE">
              <w:rPr>
                <w:lang w:val="en-US"/>
              </w:rPr>
              <w:t>4.96</w:t>
            </w:r>
          </w:p>
        </w:tc>
      </w:tr>
      <w:tr w:rsidR="006E7B4B" w:rsidRPr="00D549EE" w14:paraId="216AEFA3" w14:textId="77777777" w:rsidTr="006E7B4B">
        <w:tc>
          <w:tcPr>
            <w:tcW w:w="0" w:type="auto"/>
          </w:tcPr>
          <w:p w14:paraId="0ACDCE96" w14:textId="77777777" w:rsidR="006E7B4B" w:rsidRPr="00D549EE" w:rsidRDefault="006E7B4B" w:rsidP="00C9582F">
            <w:pPr>
              <w:pStyle w:val="a5"/>
            </w:pPr>
            <w:r w:rsidRPr="00D549EE">
              <w:t xml:space="preserve">Taxes on salary </w:t>
            </w:r>
          </w:p>
        </w:tc>
        <w:tc>
          <w:tcPr>
            <w:tcW w:w="1716" w:type="dxa"/>
          </w:tcPr>
          <w:p w14:paraId="147B125B" w14:textId="77777777" w:rsidR="006E7B4B" w:rsidRPr="00D549EE" w:rsidRDefault="006E7B4B" w:rsidP="00C9582F">
            <w:pPr>
              <w:rPr>
                <w:lang w:val="en-US"/>
              </w:rPr>
            </w:pPr>
            <w:r w:rsidRPr="00D549EE">
              <w:rPr>
                <w:lang w:val="en-US"/>
              </w:rPr>
              <w:t>0.45</w:t>
            </w:r>
          </w:p>
        </w:tc>
        <w:tc>
          <w:tcPr>
            <w:tcW w:w="1276" w:type="dxa"/>
          </w:tcPr>
          <w:p w14:paraId="507BF9EF" w14:textId="77777777" w:rsidR="006E7B4B" w:rsidRPr="00D549EE" w:rsidRDefault="006E7B4B" w:rsidP="00C9582F">
            <w:pPr>
              <w:rPr>
                <w:lang w:val="en-US"/>
              </w:rPr>
            </w:pPr>
            <w:r w:rsidRPr="00D549EE">
              <w:rPr>
                <w:lang w:val="en-US"/>
              </w:rPr>
              <w:t>0.45</w:t>
            </w:r>
          </w:p>
        </w:tc>
        <w:tc>
          <w:tcPr>
            <w:tcW w:w="1276" w:type="dxa"/>
          </w:tcPr>
          <w:p w14:paraId="3F302D9A" w14:textId="77777777" w:rsidR="006E7B4B" w:rsidRPr="00D549EE" w:rsidRDefault="006E7B4B" w:rsidP="00C9582F">
            <w:pPr>
              <w:rPr>
                <w:lang w:val="en-US"/>
              </w:rPr>
            </w:pPr>
            <w:r w:rsidRPr="00D549EE">
              <w:rPr>
                <w:lang w:val="en-US"/>
              </w:rPr>
              <w:t>0.45</w:t>
            </w:r>
          </w:p>
        </w:tc>
        <w:tc>
          <w:tcPr>
            <w:tcW w:w="1134" w:type="dxa"/>
          </w:tcPr>
          <w:p w14:paraId="36523660" w14:textId="77777777" w:rsidR="006E7B4B" w:rsidRPr="00D549EE" w:rsidRDefault="006E7B4B" w:rsidP="00C9582F">
            <w:pPr>
              <w:rPr>
                <w:lang w:val="en-US"/>
              </w:rPr>
            </w:pPr>
            <w:r w:rsidRPr="00D549EE">
              <w:rPr>
                <w:lang w:val="en-US"/>
              </w:rPr>
              <w:t>0.50</w:t>
            </w:r>
          </w:p>
        </w:tc>
        <w:tc>
          <w:tcPr>
            <w:tcW w:w="1264" w:type="dxa"/>
          </w:tcPr>
          <w:p w14:paraId="0AFCDB04" w14:textId="77777777" w:rsidR="006E7B4B" w:rsidRPr="00D549EE" w:rsidRDefault="006E7B4B" w:rsidP="00C9582F">
            <w:pPr>
              <w:rPr>
                <w:lang w:val="en-US"/>
              </w:rPr>
            </w:pPr>
            <w:r w:rsidRPr="00D549EE">
              <w:rPr>
                <w:lang w:val="en-US"/>
              </w:rPr>
              <w:t>0.50</w:t>
            </w:r>
          </w:p>
        </w:tc>
      </w:tr>
      <w:tr w:rsidR="006E7B4B" w:rsidRPr="00D549EE" w14:paraId="46FF60A6" w14:textId="77777777" w:rsidTr="006E7B4B">
        <w:trPr>
          <w:trHeight w:val="355"/>
        </w:trPr>
        <w:tc>
          <w:tcPr>
            <w:tcW w:w="0" w:type="auto"/>
          </w:tcPr>
          <w:p w14:paraId="1E78091F" w14:textId="77777777" w:rsidR="006E7B4B" w:rsidRPr="00D549EE" w:rsidRDefault="006E7B4B" w:rsidP="00C9582F">
            <w:pPr>
              <w:pStyle w:val="a5"/>
            </w:pPr>
            <w:r w:rsidRPr="00D549EE">
              <w:rPr>
                <w:bCs/>
                <w:lang w:val="en-US"/>
              </w:rPr>
              <w:t xml:space="preserve">Revenue </w:t>
            </w:r>
            <w:r w:rsidRPr="00D549EE">
              <w:rPr>
                <w:bCs/>
              </w:rPr>
              <w:t xml:space="preserve">before depreciation (EBITDA) </w:t>
            </w:r>
          </w:p>
        </w:tc>
        <w:tc>
          <w:tcPr>
            <w:tcW w:w="1716" w:type="dxa"/>
          </w:tcPr>
          <w:p w14:paraId="7E02B9FB" w14:textId="77777777" w:rsidR="006E7B4B" w:rsidRPr="00D549EE" w:rsidRDefault="006E7B4B" w:rsidP="00C9582F">
            <w:pPr>
              <w:rPr>
                <w:lang w:val="en-US"/>
              </w:rPr>
            </w:pPr>
            <w:r w:rsidRPr="00D549EE">
              <w:rPr>
                <w:lang w:val="en-US"/>
              </w:rPr>
              <w:t>-6.04</w:t>
            </w:r>
          </w:p>
        </w:tc>
        <w:tc>
          <w:tcPr>
            <w:tcW w:w="1276" w:type="dxa"/>
          </w:tcPr>
          <w:p w14:paraId="49A5DC93" w14:textId="77777777" w:rsidR="006E7B4B" w:rsidRPr="00D549EE" w:rsidRDefault="006E7B4B" w:rsidP="00C9582F">
            <w:pPr>
              <w:rPr>
                <w:lang w:val="en-US"/>
              </w:rPr>
            </w:pPr>
            <w:r w:rsidRPr="00D549EE">
              <w:rPr>
                <w:lang w:val="en-US"/>
              </w:rPr>
              <w:t>1 182.54</w:t>
            </w:r>
          </w:p>
        </w:tc>
        <w:tc>
          <w:tcPr>
            <w:tcW w:w="1276" w:type="dxa"/>
          </w:tcPr>
          <w:p w14:paraId="7B0BE01F" w14:textId="77777777" w:rsidR="006E7B4B" w:rsidRPr="00D549EE" w:rsidRDefault="006E7B4B" w:rsidP="00C9582F">
            <w:pPr>
              <w:rPr>
                <w:lang w:val="en-US"/>
              </w:rPr>
            </w:pPr>
            <w:r w:rsidRPr="00D549EE">
              <w:rPr>
                <w:lang w:val="en-US"/>
              </w:rPr>
              <w:t>1 360.83</w:t>
            </w:r>
          </w:p>
        </w:tc>
        <w:tc>
          <w:tcPr>
            <w:tcW w:w="1134" w:type="dxa"/>
          </w:tcPr>
          <w:p w14:paraId="11A1F49C" w14:textId="77777777" w:rsidR="006E7B4B" w:rsidRPr="00D549EE" w:rsidRDefault="006E7B4B" w:rsidP="00C9582F">
            <w:pPr>
              <w:rPr>
                <w:lang w:val="en-US"/>
              </w:rPr>
            </w:pPr>
            <w:r w:rsidRPr="00D549EE">
              <w:rPr>
                <w:lang w:val="en-US"/>
              </w:rPr>
              <w:t>1 704.42</w:t>
            </w:r>
          </w:p>
        </w:tc>
        <w:tc>
          <w:tcPr>
            <w:tcW w:w="1264" w:type="dxa"/>
          </w:tcPr>
          <w:p w14:paraId="0D31B527" w14:textId="77777777" w:rsidR="006E7B4B" w:rsidRPr="00D549EE" w:rsidRDefault="006E7B4B" w:rsidP="00C9582F">
            <w:pPr>
              <w:rPr>
                <w:lang w:val="en-US"/>
              </w:rPr>
            </w:pPr>
            <w:r w:rsidRPr="00D549EE">
              <w:rPr>
                <w:lang w:val="en-US"/>
              </w:rPr>
              <w:t>2 014.48</w:t>
            </w:r>
          </w:p>
        </w:tc>
      </w:tr>
      <w:tr w:rsidR="006E7B4B" w:rsidRPr="00D549EE" w14:paraId="01AE0C9E" w14:textId="77777777" w:rsidTr="006E7B4B">
        <w:tc>
          <w:tcPr>
            <w:tcW w:w="0" w:type="auto"/>
          </w:tcPr>
          <w:p w14:paraId="4E2BA515" w14:textId="77777777" w:rsidR="006E7B4B" w:rsidRPr="00D549EE" w:rsidRDefault="006E7B4B" w:rsidP="00C9582F">
            <w:pPr>
              <w:pStyle w:val="a5"/>
              <w:rPr>
                <w:bCs/>
                <w:lang w:val="en-US"/>
              </w:rPr>
            </w:pPr>
            <w:r w:rsidRPr="00D549EE">
              <w:rPr>
                <w:bCs/>
                <w:lang w:val="en-US"/>
              </w:rPr>
              <w:t>Depreciation and amortization</w:t>
            </w:r>
          </w:p>
        </w:tc>
        <w:tc>
          <w:tcPr>
            <w:tcW w:w="1716" w:type="dxa"/>
          </w:tcPr>
          <w:p w14:paraId="7B68FC3A" w14:textId="77777777" w:rsidR="006E7B4B" w:rsidRPr="00D549EE" w:rsidRDefault="006E7B4B" w:rsidP="00C9582F">
            <w:pPr>
              <w:rPr>
                <w:lang w:val="en-US"/>
              </w:rPr>
            </w:pPr>
            <w:r w:rsidRPr="00D549EE">
              <w:rPr>
                <w:lang w:val="en-US"/>
              </w:rPr>
              <w:t>0.46</w:t>
            </w:r>
          </w:p>
        </w:tc>
        <w:tc>
          <w:tcPr>
            <w:tcW w:w="1276" w:type="dxa"/>
          </w:tcPr>
          <w:p w14:paraId="05A148F7" w14:textId="77777777" w:rsidR="006E7B4B" w:rsidRPr="00D549EE" w:rsidRDefault="006E7B4B" w:rsidP="00C9582F">
            <w:pPr>
              <w:rPr>
                <w:lang w:val="en-US"/>
              </w:rPr>
            </w:pPr>
            <w:r w:rsidRPr="00D549EE">
              <w:rPr>
                <w:lang w:val="en-US"/>
              </w:rPr>
              <w:t>0.46</w:t>
            </w:r>
          </w:p>
        </w:tc>
        <w:tc>
          <w:tcPr>
            <w:tcW w:w="1276" w:type="dxa"/>
          </w:tcPr>
          <w:p w14:paraId="1778E401" w14:textId="77777777" w:rsidR="006E7B4B" w:rsidRPr="00D549EE" w:rsidRDefault="006E7B4B" w:rsidP="00C9582F">
            <w:pPr>
              <w:rPr>
                <w:lang w:val="en-US"/>
              </w:rPr>
            </w:pPr>
            <w:r w:rsidRPr="00D549EE">
              <w:rPr>
                <w:lang w:val="en-US"/>
              </w:rPr>
              <w:t>0.46</w:t>
            </w:r>
          </w:p>
        </w:tc>
        <w:tc>
          <w:tcPr>
            <w:tcW w:w="1134" w:type="dxa"/>
          </w:tcPr>
          <w:p w14:paraId="13CFBDA7" w14:textId="77777777" w:rsidR="006E7B4B" w:rsidRPr="00D549EE" w:rsidRDefault="006E7B4B" w:rsidP="00C9582F">
            <w:pPr>
              <w:rPr>
                <w:lang w:val="en-US"/>
              </w:rPr>
            </w:pPr>
            <w:r w:rsidRPr="00D549EE">
              <w:rPr>
                <w:lang w:val="en-US"/>
              </w:rPr>
              <w:t>0.46</w:t>
            </w:r>
          </w:p>
        </w:tc>
        <w:tc>
          <w:tcPr>
            <w:tcW w:w="1264" w:type="dxa"/>
          </w:tcPr>
          <w:p w14:paraId="23AB677E" w14:textId="77777777" w:rsidR="006E7B4B" w:rsidRPr="00D549EE" w:rsidRDefault="006E7B4B" w:rsidP="00C9582F">
            <w:pPr>
              <w:rPr>
                <w:lang w:val="en-US"/>
              </w:rPr>
            </w:pPr>
            <w:r w:rsidRPr="00D549EE">
              <w:rPr>
                <w:lang w:val="en-US"/>
              </w:rPr>
              <w:t>0.46</w:t>
            </w:r>
          </w:p>
        </w:tc>
      </w:tr>
      <w:tr w:rsidR="006E7B4B" w:rsidRPr="00D549EE" w14:paraId="52E06C3C" w14:textId="77777777" w:rsidTr="006E7B4B">
        <w:tc>
          <w:tcPr>
            <w:tcW w:w="0" w:type="auto"/>
          </w:tcPr>
          <w:p w14:paraId="0D26B396" w14:textId="77777777" w:rsidR="006E7B4B" w:rsidRPr="00D549EE" w:rsidRDefault="006E7B4B" w:rsidP="00C9582F">
            <w:pPr>
              <w:pStyle w:val="a5"/>
            </w:pPr>
            <w:r w:rsidRPr="00D549EE">
              <w:rPr>
                <w:bCs/>
                <w:lang w:val="en-US"/>
              </w:rPr>
              <w:t xml:space="preserve">Revenue </w:t>
            </w:r>
            <w:r w:rsidRPr="00D549EE">
              <w:rPr>
                <w:bCs/>
              </w:rPr>
              <w:t xml:space="preserve">before tax </w:t>
            </w:r>
          </w:p>
        </w:tc>
        <w:tc>
          <w:tcPr>
            <w:tcW w:w="1716" w:type="dxa"/>
          </w:tcPr>
          <w:p w14:paraId="20C43F16" w14:textId="77777777" w:rsidR="006E7B4B" w:rsidRPr="00D549EE" w:rsidRDefault="006E7B4B" w:rsidP="00C9582F">
            <w:pPr>
              <w:rPr>
                <w:lang w:val="en-US"/>
              </w:rPr>
            </w:pPr>
            <w:r w:rsidRPr="00D549EE">
              <w:rPr>
                <w:lang w:val="en-US"/>
              </w:rPr>
              <w:t>-6.5</w:t>
            </w:r>
          </w:p>
        </w:tc>
        <w:tc>
          <w:tcPr>
            <w:tcW w:w="1276" w:type="dxa"/>
          </w:tcPr>
          <w:p w14:paraId="23B5054D" w14:textId="77777777" w:rsidR="006E7B4B" w:rsidRPr="00D549EE" w:rsidRDefault="006E7B4B" w:rsidP="00C9582F">
            <w:pPr>
              <w:rPr>
                <w:lang w:val="en-US"/>
              </w:rPr>
            </w:pPr>
            <w:r w:rsidRPr="00D549EE">
              <w:rPr>
                <w:lang w:val="en-US"/>
              </w:rPr>
              <w:t>1 182.08</w:t>
            </w:r>
          </w:p>
        </w:tc>
        <w:tc>
          <w:tcPr>
            <w:tcW w:w="1276" w:type="dxa"/>
          </w:tcPr>
          <w:p w14:paraId="72992F27" w14:textId="77777777" w:rsidR="006E7B4B" w:rsidRPr="00D549EE" w:rsidRDefault="006E7B4B" w:rsidP="00C9582F">
            <w:pPr>
              <w:rPr>
                <w:lang w:val="en-US"/>
              </w:rPr>
            </w:pPr>
            <w:r w:rsidRPr="00D549EE">
              <w:rPr>
                <w:lang w:val="en-US"/>
              </w:rPr>
              <w:t>1 360.37</w:t>
            </w:r>
          </w:p>
        </w:tc>
        <w:tc>
          <w:tcPr>
            <w:tcW w:w="1134" w:type="dxa"/>
          </w:tcPr>
          <w:p w14:paraId="79B2DAFF" w14:textId="77777777" w:rsidR="006E7B4B" w:rsidRPr="00D549EE" w:rsidRDefault="006E7B4B" w:rsidP="00C9582F">
            <w:pPr>
              <w:rPr>
                <w:lang w:val="en-US"/>
              </w:rPr>
            </w:pPr>
            <w:r w:rsidRPr="00D549EE">
              <w:rPr>
                <w:lang w:val="en-US"/>
              </w:rPr>
              <w:t>1 703.96</w:t>
            </w:r>
          </w:p>
        </w:tc>
        <w:tc>
          <w:tcPr>
            <w:tcW w:w="1264" w:type="dxa"/>
          </w:tcPr>
          <w:p w14:paraId="5D88598D" w14:textId="77777777" w:rsidR="006E7B4B" w:rsidRPr="00D549EE" w:rsidRDefault="006E7B4B" w:rsidP="00C9582F">
            <w:pPr>
              <w:rPr>
                <w:lang w:val="en-US"/>
              </w:rPr>
            </w:pPr>
            <w:r w:rsidRPr="00D549EE">
              <w:rPr>
                <w:lang w:val="en-US"/>
              </w:rPr>
              <w:t>2 014.02</w:t>
            </w:r>
          </w:p>
        </w:tc>
      </w:tr>
      <w:tr w:rsidR="006E7B4B" w:rsidRPr="00D549EE" w14:paraId="3611A9CE" w14:textId="77777777" w:rsidTr="006E7B4B">
        <w:tc>
          <w:tcPr>
            <w:tcW w:w="0" w:type="auto"/>
          </w:tcPr>
          <w:p w14:paraId="06A516DD" w14:textId="77777777" w:rsidR="006E7B4B" w:rsidRPr="00D549EE" w:rsidRDefault="006E7B4B" w:rsidP="00C9582F">
            <w:pPr>
              <w:pStyle w:val="a5"/>
              <w:rPr>
                <w:lang w:val="en-US"/>
              </w:rPr>
            </w:pPr>
            <w:r w:rsidRPr="00D549EE">
              <w:t xml:space="preserve">Tax </w:t>
            </w:r>
          </w:p>
        </w:tc>
        <w:tc>
          <w:tcPr>
            <w:tcW w:w="1716" w:type="dxa"/>
            <w:tcBorders>
              <w:bottom w:val="single" w:sz="4" w:space="0" w:color="auto"/>
            </w:tcBorders>
          </w:tcPr>
          <w:p w14:paraId="066AC054" w14:textId="77777777" w:rsidR="006E7B4B" w:rsidRPr="00D549EE" w:rsidRDefault="006E7B4B" w:rsidP="00C9582F">
            <w:pPr>
              <w:rPr>
                <w:lang w:val="en-US"/>
              </w:rPr>
            </w:pPr>
            <w:r w:rsidRPr="00D549EE">
              <w:rPr>
                <w:lang w:val="en-US"/>
              </w:rPr>
              <w:t>0</w:t>
            </w:r>
          </w:p>
        </w:tc>
        <w:tc>
          <w:tcPr>
            <w:tcW w:w="1276" w:type="dxa"/>
          </w:tcPr>
          <w:p w14:paraId="48611827" w14:textId="77777777" w:rsidR="006E7B4B" w:rsidRPr="00D549EE" w:rsidRDefault="006E7B4B" w:rsidP="00C9582F">
            <w:pPr>
              <w:rPr>
                <w:lang w:val="en-US"/>
              </w:rPr>
            </w:pPr>
            <w:r w:rsidRPr="00D549EE">
              <w:rPr>
                <w:lang w:val="en-US"/>
              </w:rPr>
              <w:t>0</w:t>
            </w:r>
          </w:p>
        </w:tc>
        <w:tc>
          <w:tcPr>
            <w:tcW w:w="1276" w:type="dxa"/>
          </w:tcPr>
          <w:p w14:paraId="4FE86E81" w14:textId="77777777" w:rsidR="006E7B4B" w:rsidRPr="00D549EE" w:rsidRDefault="006E7B4B" w:rsidP="00C9582F">
            <w:pPr>
              <w:rPr>
                <w:lang w:val="en-US"/>
              </w:rPr>
            </w:pPr>
            <w:r w:rsidRPr="00D549EE">
              <w:rPr>
                <w:lang w:val="en-US"/>
              </w:rPr>
              <w:t>0</w:t>
            </w:r>
          </w:p>
        </w:tc>
        <w:tc>
          <w:tcPr>
            <w:tcW w:w="1134" w:type="dxa"/>
          </w:tcPr>
          <w:p w14:paraId="22E418A4" w14:textId="77777777" w:rsidR="006E7B4B" w:rsidRPr="00D549EE" w:rsidRDefault="006E7B4B" w:rsidP="00C9582F">
            <w:pPr>
              <w:rPr>
                <w:lang w:val="en-US"/>
              </w:rPr>
            </w:pPr>
            <w:r w:rsidRPr="00D549EE">
              <w:rPr>
                <w:lang w:val="en-US"/>
              </w:rPr>
              <w:t>18.43</w:t>
            </w:r>
          </w:p>
        </w:tc>
        <w:tc>
          <w:tcPr>
            <w:tcW w:w="1264" w:type="dxa"/>
          </w:tcPr>
          <w:p w14:paraId="239213E3" w14:textId="77777777" w:rsidR="006E7B4B" w:rsidRPr="00D549EE" w:rsidRDefault="006E7B4B" w:rsidP="00C9582F">
            <w:pPr>
              <w:rPr>
                <w:lang w:val="en-US"/>
              </w:rPr>
            </w:pPr>
            <w:r w:rsidRPr="00D549EE">
              <w:rPr>
                <w:lang w:val="en-US"/>
              </w:rPr>
              <w:t>28.36</w:t>
            </w:r>
          </w:p>
        </w:tc>
      </w:tr>
      <w:tr w:rsidR="006E7B4B" w:rsidRPr="00D549EE" w14:paraId="4ECF8806" w14:textId="77777777" w:rsidTr="006E7B4B">
        <w:tc>
          <w:tcPr>
            <w:tcW w:w="0" w:type="auto"/>
            <w:tcBorders>
              <w:right w:val="nil"/>
            </w:tcBorders>
          </w:tcPr>
          <w:p w14:paraId="5EAC2278" w14:textId="77777777" w:rsidR="006E7B4B" w:rsidRPr="00D549EE" w:rsidRDefault="006E7B4B" w:rsidP="00C9582F">
            <w:pPr>
              <w:pStyle w:val="a5"/>
              <w:rPr>
                <w:lang w:val="en-US"/>
              </w:rPr>
            </w:pPr>
            <w:r w:rsidRPr="00D549EE">
              <w:rPr>
                <w:bCs/>
              </w:rPr>
              <w:t xml:space="preserve">Net </w:t>
            </w:r>
            <w:r w:rsidRPr="00D549EE">
              <w:rPr>
                <w:bCs/>
                <w:lang w:val="en-US"/>
              </w:rPr>
              <w:t xml:space="preserve">revenue </w:t>
            </w:r>
            <w:r w:rsidRPr="00D549EE">
              <w:rPr>
                <w:bCs/>
              </w:rPr>
              <w:t xml:space="preserve"> </w:t>
            </w:r>
          </w:p>
        </w:tc>
        <w:tc>
          <w:tcPr>
            <w:tcW w:w="1716" w:type="dxa"/>
            <w:tcBorders>
              <w:left w:val="nil"/>
            </w:tcBorders>
          </w:tcPr>
          <w:p w14:paraId="0CB33F3F" w14:textId="1298E172" w:rsidR="006E7B4B" w:rsidRPr="00D549EE" w:rsidRDefault="00A45163" w:rsidP="00C9582F">
            <w:pPr>
              <w:ind w:left="1080"/>
              <w:rPr>
                <w:lang w:val="en-US"/>
              </w:rPr>
            </w:pPr>
            <w:r w:rsidRPr="00D549EE">
              <w:rPr>
                <w:lang w:val="en-US"/>
              </w:rPr>
              <w:t>-6.5</w:t>
            </w:r>
          </w:p>
        </w:tc>
        <w:tc>
          <w:tcPr>
            <w:tcW w:w="1276" w:type="dxa"/>
          </w:tcPr>
          <w:p w14:paraId="538E0BB5" w14:textId="77777777" w:rsidR="006E7B4B" w:rsidRPr="00D549EE" w:rsidRDefault="006E7B4B" w:rsidP="00C9582F">
            <w:pPr>
              <w:rPr>
                <w:lang w:val="en-US"/>
              </w:rPr>
            </w:pPr>
            <w:r w:rsidRPr="00D549EE">
              <w:rPr>
                <w:lang w:val="en-US"/>
              </w:rPr>
              <w:t>1 182.08</w:t>
            </w:r>
          </w:p>
        </w:tc>
        <w:tc>
          <w:tcPr>
            <w:tcW w:w="1276" w:type="dxa"/>
          </w:tcPr>
          <w:p w14:paraId="0B6404F6" w14:textId="77777777" w:rsidR="006E7B4B" w:rsidRPr="00D549EE" w:rsidRDefault="006E7B4B" w:rsidP="00C9582F">
            <w:pPr>
              <w:rPr>
                <w:lang w:val="en-US"/>
              </w:rPr>
            </w:pPr>
            <w:r w:rsidRPr="00D549EE">
              <w:rPr>
                <w:lang w:val="en-US"/>
              </w:rPr>
              <w:t>1 360.37</w:t>
            </w:r>
          </w:p>
        </w:tc>
        <w:tc>
          <w:tcPr>
            <w:tcW w:w="1134" w:type="dxa"/>
          </w:tcPr>
          <w:p w14:paraId="171EFB8E" w14:textId="77777777" w:rsidR="006E7B4B" w:rsidRPr="00D549EE" w:rsidRDefault="006E7B4B" w:rsidP="00C9582F">
            <w:pPr>
              <w:rPr>
                <w:lang w:val="en-US"/>
              </w:rPr>
            </w:pPr>
            <w:r w:rsidRPr="00D549EE">
              <w:rPr>
                <w:lang w:val="en-US"/>
              </w:rPr>
              <w:t>1 685.53</w:t>
            </w:r>
          </w:p>
        </w:tc>
        <w:tc>
          <w:tcPr>
            <w:tcW w:w="1264" w:type="dxa"/>
          </w:tcPr>
          <w:p w14:paraId="1AA5342E" w14:textId="77777777" w:rsidR="006E7B4B" w:rsidRPr="00D549EE" w:rsidRDefault="006E7B4B" w:rsidP="00C9582F">
            <w:pPr>
              <w:rPr>
                <w:lang w:val="en-US"/>
              </w:rPr>
            </w:pPr>
            <w:r w:rsidRPr="00D549EE">
              <w:rPr>
                <w:lang w:val="en-US"/>
              </w:rPr>
              <w:t>1 985.66</w:t>
            </w:r>
          </w:p>
        </w:tc>
      </w:tr>
      <w:tr w:rsidR="00171B07" w:rsidRPr="00FC685D" w14:paraId="3D43BDA8" w14:textId="77777777" w:rsidTr="0073537E">
        <w:tc>
          <w:tcPr>
            <w:tcW w:w="9623" w:type="dxa"/>
            <w:gridSpan w:val="6"/>
          </w:tcPr>
          <w:p w14:paraId="41DFAEDA" w14:textId="3894786D" w:rsidR="00171B07" w:rsidRPr="00D549EE" w:rsidRDefault="00171B07" w:rsidP="00C9582F">
            <w:pPr>
              <w:rPr>
                <w:lang w:val="en-US"/>
              </w:rPr>
            </w:pPr>
            <w:r w:rsidRPr="00D549EE">
              <w:rPr>
                <w:lang w:val="en-US"/>
              </w:rPr>
              <w:t xml:space="preserve">      Note – Compiled by the author </w:t>
            </w:r>
          </w:p>
        </w:tc>
      </w:tr>
    </w:tbl>
    <w:p w14:paraId="51972B32" w14:textId="3DFFC889" w:rsidR="0053692B" w:rsidRPr="00D549EE" w:rsidRDefault="0053692B" w:rsidP="00C9582F">
      <w:pPr>
        <w:jc w:val="both"/>
        <w:rPr>
          <w:sz w:val="28"/>
          <w:szCs w:val="28"/>
          <w:lang w:val="en-US"/>
        </w:rPr>
      </w:pPr>
    </w:p>
    <w:p w14:paraId="27444D71" w14:textId="77777777" w:rsidR="00CC4E14" w:rsidRPr="00CC4E14" w:rsidRDefault="0053692B" w:rsidP="00CC4E14">
      <w:pPr>
        <w:jc w:val="both"/>
        <w:rPr>
          <w:sz w:val="28"/>
          <w:szCs w:val="28"/>
          <w:lang w:val="en-US"/>
        </w:rPr>
      </w:pPr>
      <w:r w:rsidRPr="00D549EE">
        <w:rPr>
          <w:sz w:val="28"/>
          <w:szCs w:val="28"/>
          <w:lang w:val="en-US"/>
        </w:rPr>
        <w:tab/>
      </w:r>
      <w:r w:rsidR="00CC4E14" w:rsidRPr="00CC4E14">
        <w:rPr>
          <w:sz w:val="28"/>
          <w:szCs w:val="28"/>
          <w:lang w:val="en-US"/>
        </w:rPr>
        <w:t xml:space="preserve">he platform financial flow forecast feature is spending all generated cash for the social projects and servicing and supplying the platform activity. The income planned generated from the 4th year will also be used for the charity within the year.  </w:t>
      </w:r>
    </w:p>
    <w:p w14:paraId="35CC5BD2" w14:textId="14E23CBC" w:rsidR="004E5987" w:rsidRDefault="00CC4E14" w:rsidP="00CC4E14">
      <w:pPr>
        <w:jc w:val="both"/>
        <w:rPr>
          <w:sz w:val="28"/>
          <w:szCs w:val="28"/>
          <w:lang w:val="en-US"/>
        </w:rPr>
      </w:pPr>
      <w:r w:rsidRPr="00CC4E14">
        <w:rPr>
          <w:sz w:val="28"/>
          <w:szCs w:val="28"/>
          <w:lang w:val="en-US"/>
        </w:rPr>
        <w:tab/>
        <w:t>The following table illustrates the cash flow forecast for 5 years for a realistic scenario.</w:t>
      </w:r>
    </w:p>
    <w:p w14:paraId="4640C5A0" w14:textId="2BDC79C5" w:rsidR="00CC4E14" w:rsidRDefault="00CC4E14" w:rsidP="00CC4E14">
      <w:pPr>
        <w:jc w:val="both"/>
        <w:rPr>
          <w:sz w:val="28"/>
          <w:szCs w:val="28"/>
          <w:lang w:val="en-US"/>
        </w:rPr>
      </w:pPr>
    </w:p>
    <w:p w14:paraId="44384844" w14:textId="3E394068" w:rsidR="00F933D3" w:rsidRDefault="00F933D3" w:rsidP="00CC4E14">
      <w:pPr>
        <w:jc w:val="both"/>
        <w:rPr>
          <w:sz w:val="28"/>
          <w:szCs w:val="28"/>
          <w:lang w:val="en-US"/>
        </w:rPr>
      </w:pPr>
    </w:p>
    <w:p w14:paraId="7176F012" w14:textId="4CDCFFDD" w:rsidR="00080EBF" w:rsidRPr="00D549EE" w:rsidRDefault="00080EBF" w:rsidP="00C9582F">
      <w:pPr>
        <w:jc w:val="both"/>
        <w:rPr>
          <w:sz w:val="28"/>
          <w:szCs w:val="28"/>
          <w:lang w:val="en-US"/>
        </w:rPr>
      </w:pPr>
      <w:r w:rsidRPr="00D549EE">
        <w:rPr>
          <w:sz w:val="28"/>
          <w:szCs w:val="28"/>
          <w:lang w:val="en-US"/>
        </w:rPr>
        <w:t xml:space="preserve">Table </w:t>
      </w:r>
      <w:r w:rsidR="00A45163" w:rsidRPr="00D549EE">
        <w:rPr>
          <w:sz w:val="28"/>
          <w:szCs w:val="28"/>
          <w:lang w:val="en-US"/>
        </w:rPr>
        <w:t>50</w:t>
      </w:r>
      <w:r w:rsidRPr="00D549EE">
        <w:rPr>
          <w:sz w:val="28"/>
          <w:szCs w:val="28"/>
          <w:lang w:val="en-US"/>
        </w:rPr>
        <w:t xml:space="preserve"> </w:t>
      </w:r>
      <w:r w:rsidR="00A45163" w:rsidRPr="00D549EE">
        <w:rPr>
          <w:sz w:val="28"/>
          <w:szCs w:val="28"/>
          <w:lang w:val="en-US"/>
        </w:rPr>
        <w:t xml:space="preserve">– </w:t>
      </w:r>
      <w:r w:rsidRPr="00D549EE">
        <w:rPr>
          <w:sz w:val="28"/>
          <w:szCs w:val="28"/>
          <w:lang w:val="en-US"/>
        </w:rPr>
        <w:t xml:space="preserve">Cash flow forecast for the </w:t>
      </w:r>
      <w:r w:rsidR="00860335" w:rsidRPr="00D549EE">
        <w:rPr>
          <w:sz w:val="28"/>
          <w:szCs w:val="28"/>
          <w:lang w:val="en-US"/>
        </w:rPr>
        <w:t xml:space="preserve">5 </w:t>
      </w:r>
      <w:r w:rsidRPr="00D549EE">
        <w:rPr>
          <w:sz w:val="28"/>
          <w:szCs w:val="28"/>
          <w:lang w:val="en-US"/>
        </w:rPr>
        <w:t>years (million tenge)</w:t>
      </w:r>
    </w:p>
    <w:p w14:paraId="53A28EA7" w14:textId="38D5D077" w:rsidR="00C6246F" w:rsidRPr="00D549EE" w:rsidRDefault="00C6246F" w:rsidP="00C9582F">
      <w:pPr>
        <w:jc w:val="both"/>
        <w:rPr>
          <w:sz w:val="28"/>
          <w:szCs w:val="28"/>
          <w:lang w:val="en-US"/>
        </w:rPr>
      </w:pPr>
    </w:p>
    <w:tbl>
      <w:tblPr>
        <w:tblStyle w:val="a9"/>
        <w:tblW w:w="0" w:type="auto"/>
        <w:tblLayout w:type="fixed"/>
        <w:tblLook w:val="04A0" w:firstRow="1" w:lastRow="0" w:firstColumn="1" w:lastColumn="0" w:noHBand="0" w:noVBand="1"/>
      </w:tblPr>
      <w:tblGrid>
        <w:gridCol w:w="3886"/>
        <w:gridCol w:w="1071"/>
        <w:gridCol w:w="1018"/>
        <w:gridCol w:w="1216"/>
        <w:gridCol w:w="1216"/>
        <w:gridCol w:w="1216"/>
      </w:tblGrid>
      <w:tr w:rsidR="00FD22B5" w:rsidRPr="00D549EE" w14:paraId="679B443C" w14:textId="786D3206" w:rsidTr="00860335">
        <w:tc>
          <w:tcPr>
            <w:tcW w:w="3886" w:type="dxa"/>
          </w:tcPr>
          <w:p w14:paraId="4DE65EFF" w14:textId="7BEB47BC" w:rsidR="00FD22B5" w:rsidRPr="00D549EE" w:rsidRDefault="00FD22B5" w:rsidP="00C9582F">
            <w:pPr>
              <w:rPr>
                <w:lang w:val="en-US"/>
              </w:rPr>
            </w:pPr>
            <w:r w:rsidRPr="00D549EE">
              <w:rPr>
                <w:lang w:val="en-US"/>
              </w:rPr>
              <w:t>Cash flow forecast</w:t>
            </w:r>
          </w:p>
        </w:tc>
        <w:tc>
          <w:tcPr>
            <w:tcW w:w="1071" w:type="dxa"/>
          </w:tcPr>
          <w:p w14:paraId="72D2BB26" w14:textId="3091383E" w:rsidR="00FD22B5" w:rsidRPr="00D549EE" w:rsidRDefault="00860335" w:rsidP="00C9582F">
            <w:pPr>
              <w:rPr>
                <w:lang w:val="en-US"/>
              </w:rPr>
            </w:pPr>
            <w:r w:rsidRPr="00D549EE">
              <w:rPr>
                <w:lang w:val="en-US"/>
              </w:rPr>
              <w:t>Year 1</w:t>
            </w:r>
          </w:p>
        </w:tc>
        <w:tc>
          <w:tcPr>
            <w:tcW w:w="1018" w:type="dxa"/>
          </w:tcPr>
          <w:p w14:paraId="1962A249" w14:textId="14F0D14F" w:rsidR="00FD22B5" w:rsidRPr="00D549EE" w:rsidRDefault="00860335" w:rsidP="00C9582F">
            <w:pPr>
              <w:rPr>
                <w:lang w:val="en-US"/>
              </w:rPr>
            </w:pPr>
            <w:r w:rsidRPr="00D549EE">
              <w:rPr>
                <w:lang w:val="en-US"/>
              </w:rPr>
              <w:t>Year 2</w:t>
            </w:r>
          </w:p>
        </w:tc>
        <w:tc>
          <w:tcPr>
            <w:tcW w:w="1216" w:type="dxa"/>
          </w:tcPr>
          <w:p w14:paraId="77F87932" w14:textId="60421F82" w:rsidR="00FD22B5" w:rsidRPr="00D549EE" w:rsidRDefault="00860335" w:rsidP="00C9582F">
            <w:pPr>
              <w:rPr>
                <w:lang w:val="en-US"/>
              </w:rPr>
            </w:pPr>
            <w:r w:rsidRPr="00D549EE">
              <w:rPr>
                <w:lang w:val="en-US"/>
              </w:rPr>
              <w:t>Year 3</w:t>
            </w:r>
          </w:p>
        </w:tc>
        <w:tc>
          <w:tcPr>
            <w:tcW w:w="1216" w:type="dxa"/>
          </w:tcPr>
          <w:p w14:paraId="124E7997" w14:textId="502038CD" w:rsidR="00FD22B5" w:rsidRPr="00D549EE" w:rsidRDefault="00860335" w:rsidP="00C9582F">
            <w:pPr>
              <w:rPr>
                <w:lang w:val="en-US"/>
              </w:rPr>
            </w:pPr>
            <w:r w:rsidRPr="00D549EE">
              <w:rPr>
                <w:lang w:val="en-US"/>
              </w:rPr>
              <w:t>Year 4</w:t>
            </w:r>
          </w:p>
        </w:tc>
        <w:tc>
          <w:tcPr>
            <w:tcW w:w="1216" w:type="dxa"/>
          </w:tcPr>
          <w:p w14:paraId="1024F6E9" w14:textId="39C7F7D4" w:rsidR="00FD22B5" w:rsidRPr="00D549EE" w:rsidRDefault="00860335" w:rsidP="00C9582F">
            <w:pPr>
              <w:rPr>
                <w:lang w:val="en-US"/>
              </w:rPr>
            </w:pPr>
            <w:r w:rsidRPr="00D549EE">
              <w:rPr>
                <w:lang w:val="en-US"/>
              </w:rPr>
              <w:t>Year 5</w:t>
            </w:r>
          </w:p>
        </w:tc>
      </w:tr>
      <w:tr w:rsidR="00FD22B5" w:rsidRPr="00D549EE" w14:paraId="1CA47D9C" w14:textId="7520FD51" w:rsidTr="00860335">
        <w:tc>
          <w:tcPr>
            <w:tcW w:w="3886" w:type="dxa"/>
          </w:tcPr>
          <w:p w14:paraId="4A959C58" w14:textId="56023848" w:rsidR="00FD22B5" w:rsidRPr="00D549EE" w:rsidRDefault="00FD22B5" w:rsidP="00C9582F">
            <w:pPr>
              <w:rPr>
                <w:lang w:val="en-US"/>
              </w:rPr>
            </w:pPr>
            <w:r w:rsidRPr="00D549EE">
              <w:rPr>
                <w:lang w:val="en-US"/>
              </w:rPr>
              <w:t>Operating Activities</w:t>
            </w:r>
            <w:r w:rsidR="00D97620" w:rsidRPr="00D549EE">
              <w:rPr>
                <w:lang w:val="kk-KZ"/>
              </w:rPr>
              <w:t xml:space="preserve"> (CFO)</w:t>
            </w:r>
          </w:p>
        </w:tc>
        <w:tc>
          <w:tcPr>
            <w:tcW w:w="1071" w:type="dxa"/>
          </w:tcPr>
          <w:p w14:paraId="3A49C479" w14:textId="77777777" w:rsidR="00FD22B5" w:rsidRPr="00D549EE" w:rsidRDefault="00FD22B5" w:rsidP="00C9582F">
            <w:pPr>
              <w:rPr>
                <w:lang w:val="en-US"/>
              </w:rPr>
            </w:pPr>
          </w:p>
        </w:tc>
        <w:tc>
          <w:tcPr>
            <w:tcW w:w="1018" w:type="dxa"/>
          </w:tcPr>
          <w:p w14:paraId="3B032B00" w14:textId="77777777" w:rsidR="00FD22B5" w:rsidRPr="00D549EE" w:rsidRDefault="00FD22B5" w:rsidP="00C9582F">
            <w:pPr>
              <w:rPr>
                <w:lang w:val="en-US"/>
              </w:rPr>
            </w:pPr>
          </w:p>
        </w:tc>
        <w:tc>
          <w:tcPr>
            <w:tcW w:w="1216" w:type="dxa"/>
          </w:tcPr>
          <w:p w14:paraId="03957F10" w14:textId="77777777" w:rsidR="00FD22B5" w:rsidRPr="00D549EE" w:rsidRDefault="00FD22B5" w:rsidP="00C9582F">
            <w:pPr>
              <w:rPr>
                <w:lang w:val="en-US"/>
              </w:rPr>
            </w:pPr>
          </w:p>
        </w:tc>
        <w:tc>
          <w:tcPr>
            <w:tcW w:w="1216" w:type="dxa"/>
          </w:tcPr>
          <w:p w14:paraId="1938370C" w14:textId="77777777" w:rsidR="00FD22B5" w:rsidRPr="00D549EE" w:rsidRDefault="00FD22B5" w:rsidP="00C9582F">
            <w:pPr>
              <w:rPr>
                <w:lang w:val="en-US"/>
              </w:rPr>
            </w:pPr>
          </w:p>
        </w:tc>
        <w:tc>
          <w:tcPr>
            <w:tcW w:w="1216" w:type="dxa"/>
          </w:tcPr>
          <w:p w14:paraId="0DA300DE" w14:textId="77777777" w:rsidR="00FD22B5" w:rsidRPr="00D549EE" w:rsidRDefault="00FD22B5" w:rsidP="00C9582F">
            <w:pPr>
              <w:rPr>
                <w:lang w:val="en-US"/>
              </w:rPr>
            </w:pPr>
          </w:p>
        </w:tc>
      </w:tr>
      <w:tr w:rsidR="00FD22B5" w:rsidRPr="00D549EE" w14:paraId="0CDED7BA" w14:textId="4165029D" w:rsidTr="00860335">
        <w:tc>
          <w:tcPr>
            <w:tcW w:w="3886" w:type="dxa"/>
          </w:tcPr>
          <w:p w14:paraId="6D7390A0" w14:textId="05D5BF59" w:rsidR="00FD22B5" w:rsidRPr="00D549EE" w:rsidRDefault="00FD22B5" w:rsidP="00C9582F">
            <w:pPr>
              <w:rPr>
                <w:lang w:val="en-US"/>
              </w:rPr>
            </w:pPr>
            <w:r w:rsidRPr="00D549EE">
              <w:rPr>
                <w:lang w:val="en-US"/>
              </w:rPr>
              <w:t>Transaction income</w:t>
            </w:r>
          </w:p>
        </w:tc>
        <w:tc>
          <w:tcPr>
            <w:tcW w:w="1071" w:type="dxa"/>
          </w:tcPr>
          <w:p w14:paraId="25C4696F" w14:textId="53E0D63D" w:rsidR="00FD22B5" w:rsidRPr="00D549EE" w:rsidRDefault="00FD22B5" w:rsidP="00C9582F">
            <w:pPr>
              <w:rPr>
                <w:lang w:val="en-US"/>
              </w:rPr>
            </w:pPr>
            <w:r w:rsidRPr="00D549EE">
              <w:rPr>
                <w:lang w:val="en-US"/>
              </w:rPr>
              <w:t>0</w:t>
            </w:r>
          </w:p>
        </w:tc>
        <w:tc>
          <w:tcPr>
            <w:tcW w:w="1018" w:type="dxa"/>
          </w:tcPr>
          <w:p w14:paraId="7B0D91CD" w14:textId="7387BE9E" w:rsidR="00FD22B5" w:rsidRPr="00D549EE" w:rsidRDefault="00FD22B5" w:rsidP="00C9582F">
            <w:pPr>
              <w:rPr>
                <w:lang w:val="en-US"/>
              </w:rPr>
            </w:pPr>
            <w:r w:rsidRPr="00D549EE">
              <w:rPr>
                <w:lang w:val="en-US"/>
              </w:rPr>
              <w:t>0</w:t>
            </w:r>
          </w:p>
        </w:tc>
        <w:tc>
          <w:tcPr>
            <w:tcW w:w="1216" w:type="dxa"/>
          </w:tcPr>
          <w:p w14:paraId="529F5471" w14:textId="39A8B925" w:rsidR="00FD22B5" w:rsidRPr="00D549EE" w:rsidRDefault="00FD22B5" w:rsidP="00C9582F">
            <w:pPr>
              <w:rPr>
                <w:lang w:val="en-US"/>
              </w:rPr>
            </w:pPr>
            <w:r w:rsidRPr="00D549EE">
              <w:rPr>
                <w:lang w:val="en-US"/>
              </w:rPr>
              <w:t>0</w:t>
            </w:r>
          </w:p>
        </w:tc>
        <w:tc>
          <w:tcPr>
            <w:tcW w:w="1216" w:type="dxa"/>
          </w:tcPr>
          <w:p w14:paraId="45774D57" w14:textId="18D3A320" w:rsidR="00FD22B5" w:rsidRPr="00D549EE" w:rsidRDefault="00FD22B5" w:rsidP="00C9582F">
            <w:pPr>
              <w:rPr>
                <w:lang w:val="en-US"/>
              </w:rPr>
            </w:pPr>
            <w:r w:rsidRPr="00D549EE">
              <w:rPr>
                <w:lang w:val="en-US"/>
              </w:rPr>
              <w:t>0</w:t>
            </w:r>
          </w:p>
        </w:tc>
        <w:tc>
          <w:tcPr>
            <w:tcW w:w="1216" w:type="dxa"/>
          </w:tcPr>
          <w:p w14:paraId="5B222331" w14:textId="0A25BE92" w:rsidR="00FD22B5" w:rsidRPr="00D549EE" w:rsidRDefault="00FD22B5" w:rsidP="00C9582F">
            <w:pPr>
              <w:rPr>
                <w:lang w:val="en-US"/>
              </w:rPr>
            </w:pPr>
            <w:r w:rsidRPr="00D549EE">
              <w:rPr>
                <w:lang w:val="en-US"/>
              </w:rPr>
              <w:t>0</w:t>
            </w:r>
          </w:p>
        </w:tc>
      </w:tr>
      <w:tr w:rsidR="00FD22B5" w:rsidRPr="00D549EE" w14:paraId="3063E29A" w14:textId="47ACE6B1" w:rsidTr="00860335">
        <w:tc>
          <w:tcPr>
            <w:tcW w:w="3886" w:type="dxa"/>
          </w:tcPr>
          <w:p w14:paraId="5C06BB3B" w14:textId="1BE86BA5" w:rsidR="00FD22B5" w:rsidRPr="00D549EE" w:rsidRDefault="00FD22B5" w:rsidP="00C9582F">
            <w:pPr>
              <w:rPr>
                <w:lang w:val="en-US"/>
              </w:rPr>
            </w:pPr>
            <w:r w:rsidRPr="00D549EE">
              <w:rPr>
                <w:lang w:val="en-US"/>
              </w:rPr>
              <w:t>Additional services</w:t>
            </w:r>
          </w:p>
        </w:tc>
        <w:tc>
          <w:tcPr>
            <w:tcW w:w="1071" w:type="dxa"/>
          </w:tcPr>
          <w:p w14:paraId="6CEEDD0D" w14:textId="315C76EF" w:rsidR="00FD22B5" w:rsidRPr="00D549EE" w:rsidRDefault="00FD22B5" w:rsidP="00C9582F">
            <w:pPr>
              <w:rPr>
                <w:lang w:val="en-US"/>
              </w:rPr>
            </w:pPr>
            <w:r w:rsidRPr="00D549EE">
              <w:rPr>
                <w:lang w:val="en-US"/>
              </w:rPr>
              <w:t>0</w:t>
            </w:r>
          </w:p>
        </w:tc>
        <w:tc>
          <w:tcPr>
            <w:tcW w:w="1018" w:type="dxa"/>
          </w:tcPr>
          <w:p w14:paraId="22A32586" w14:textId="434B8105" w:rsidR="00FD22B5" w:rsidRPr="00D549EE" w:rsidRDefault="00FD22B5" w:rsidP="00C9582F">
            <w:pPr>
              <w:rPr>
                <w:lang w:val="en-US"/>
              </w:rPr>
            </w:pPr>
            <w:r w:rsidRPr="00D549EE">
              <w:rPr>
                <w:lang w:val="en-US"/>
              </w:rPr>
              <w:t>0</w:t>
            </w:r>
          </w:p>
        </w:tc>
        <w:tc>
          <w:tcPr>
            <w:tcW w:w="1216" w:type="dxa"/>
          </w:tcPr>
          <w:p w14:paraId="67E34B70" w14:textId="3B80F644" w:rsidR="00FD22B5" w:rsidRPr="00D549EE" w:rsidRDefault="00B864A4" w:rsidP="00C9582F">
            <w:pPr>
              <w:rPr>
                <w:lang w:val="en-US"/>
              </w:rPr>
            </w:pPr>
            <w:r w:rsidRPr="00D549EE">
              <w:rPr>
                <w:lang w:val="en-US"/>
              </w:rPr>
              <w:t>0</w:t>
            </w:r>
          </w:p>
        </w:tc>
        <w:tc>
          <w:tcPr>
            <w:tcW w:w="1216" w:type="dxa"/>
          </w:tcPr>
          <w:p w14:paraId="15D1E5A7" w14:textId="75767654" w:rsidR="00FD22B5" w:rsidRPr="00D549EE" w:rsidRDefault="00B864A4" w:rsidP="00C9582F">
            <w:pPr>
              <w:rPr>
                <w:lang w:val="en-US"/>
              </w:rPr>
            </w:pPr>
            <w:r w:rsidRPr="00D549EE">
              <w:rPr>
                <w:lang w:val="en-US"/>
              </w:rPr>
              <w:t>141.80</w:t>
            </w:r>
          </w:p>
        </w:tc>
        <w:tc>
          <w:tcPr>
            <w:tcW w:w="1216" w:type="dxa"/>
          </w:tcPr>
          <w:p w14:paraId="4F1AF09D" w14:textId="7E5E7D33" w:rsidR="00FD22B5" w:rsidRPr="00D549EE" w:rsidRDefault="00B864A4" w:rsidP="00C9582F">
            <w:pPr>
              <w:rPr>
                <w:lang w:val="en-US"/>
              </w:rPr>
            </w:pPr>
            <w:r w:rsidRPr="00D549EE">
              <w:rPr>
                <w:lang w:val="en-US"/>
              </w:rPr>
              <w:t>141.80</w:t>
            </w:r>
          </w:p>
        </w:tc>
      </w:tr>
      <w:tr w:rsidR="00FD22B5" w:rsidRPr="00D549EE" w14:paraId="2EBC0F75" w14:textId="578D887B" w:rsidTr="00860335">
        <w:tc>
          <w:tcPr>
            <w:tcW w:w="3886" w:type="dxa"/>
          </w:tcPr>
          <w:p w14:paraId="02F90ADC" w14:textId="2B4BEBEC" w:rsidR="00FD22B5" w:rsidRPr="00D549EE" w:rsidRDefault="00FD22B5" w:rsidP="00C9582F">
            <w:pPr>
              <w:pStyle w:val="a5"/>
              <w:rPr>
                <w:lang w:val="en-US"/>
              </w:rPr>
            </w:pPr>
            <w:r w:rsidRPr="00D549EE">
              <w:rPr>
                <w:lang w:val="en-US"/>
              </w:rPr>
              <w:t xml:space="preserve">Income from the sale of the fund's share </w:t>
            </w:r>
          </w:p>
        </w:tc>
        <w:tc>
          <w:tcPr>
            <w:tcW w:w="1071" w:type="dxa"/>
          </w:tcPr>
          <w:p w14:paraId="6B590435" w14:textId="043333D8" w:rsidR="00FD22B5" w:rsidRPr="00D549EE" w:rsidRDefault="00FD22B5" w:rsidP="00C9582F">
            <w:pPr>
              <w:rPr>
                <w:lang w:val="en-US"/>
              </w:rPr>
            </w:pPr>
            <w:r w:rsidRPr="00D549EE">
              <w:rPr>
                <w:lang w:val="en-US"/>
              </w:rPr>
              <w:t>0</w:t>
            </w:r>
          </w:p>
        </w:tc>
        <w:tc>
          <w:tcPr>
            <w:tcW w:w="1018" w:type="dxa"/>
          </w:tcPr>
          <w:p w14:paraId="510359D7" w14:textId="3B58A48F" w:rsidR="00FD22B5" w:rsidRPr="00D549EE" w:rsidRDefault="00FD22B5" w:rsidP="00C9582F">
            <w:pPr>
              <w:rPr>
                <w:lang w:val="en-US"/>
              </w:rPr>
            </w:pPr>
            <w:r w:rsidRPr="00D549EE">
              <w:rPr>
                <w:lang w:val="en-US"/>
              </w:rPr>
              <w:t>0</w:t>
            </w:r>
          </w:p>
        </w:tc>
        <w:tc>
          <w:tcPr>
            <w:tcW w:w="1216" w:type="dxa"/>
          </w:tcPr>
          <w:p w14:paraId="089A7F3A" w14:textId="1D0FD7C2" w:rsidR="00FD22B5" w:rsidRPr="00D549EE" w:rsidRDefault="00FD22B5" w:rsidP="00C9582F">
            <w:pPr>
              <w:rPr>
                <w:lang w:val="en-US"/>
              </w:rPr>
            </w:pPr>
            <w:r w:rsidRPr="00D549EE">
              <w:rPr>
                <w:lang w:val="en-US"/>
              </w:rPr>
              <w:t>0</w:t>
            </w:r>
          </w:p>
        </w:tc>
        <w:tc>
          <w:tcPr>
            <w:tcW w:w="1216" w:type="dxa"/>
          </w:tcPr>
          <w:p w14:paraId="2A0F79B0" w14:textId="03D4F08B" w:rsidR="00FD22B5" w:rsidRPr="00D549EE" w:rsidRDefault="00FD22B5" w:rsidP="00C9582F">
            <w:pPr>
              <w:rPr>
                <w:lang w:val="en-US"/>
              </w:rPr>
            </w:pPr>
            <w:r w:rsidRPr="00D549EE">
              <w:rPr>
                <w:lang w:val="en-US"/>
              </w:rPr>
              <w:t>0</w:t>
            </w:r>
          </w:p>
        </w:tc>
        <w:tc>
          <w:tcPr>
            <w:tcW w:w="1216" w:type="dxa"/>
          </w:tcPr>
          <w:p w14:paraId="6BB9C187" w14:textId="1B1CA76A" w:rsidR="00FD22B5" w:rsidRPr="00D549EE" w:rsidRDefault="00FD22B5" w:rsidP="00C9582F">
            <w:pPr>
              <w:rPr>
                <w:lang w:val="en-US"/>
              </w:rPr>
            </w:pPr>
            <w:r w:rsidRPr="00D549EE">
              <w:rPr>
                <w:lang w:val="en-US"/>
              </w:rPr>
              <w:t>0</w:t>
            </w:r>
          </w:p>
        </w:tc>
      </w:tr>
      <w:tr w:rsidR="00FD22B5" w:rsidRPr="00D549EE" w14:paraId="7B57EA3D" w14:textId="504258FE" w:rsidTr="00860335">
        <w:tc>
          <w:tcPr>
            <w:tcW w:w="3886" w:type="dxa"/>
          </w:tcPr>
          <w:p w14:paraId="7FA9D005" w14:textId="52755E28" w:rsidR="00FD22B5" w:rsidRPr="00D549EE" w:rsidRDefault="00FD22B5" w:rsidP="00C9582F">
            <w:pPr>
              <w:pStyle w:val="a5"/>
            </w:pPr>
            <w:r w:rsidRPr="00D549EE">
              <w:t xml:space="preserve">Payment to suppliers </w:t>
            </w:r>
          </w:p>
        </w:tc>
        <w:tc>
          <w:tcPr>
            <w:tcW w:w="1071" w:type="dxa"/>
          </w:tcPr>
          <w:p w14:paraId="43CFA8CE" w14:textId="3BF2FFEB" w:rsidR="00FD22B5" w:rsidRPr="00D549EE" w:rsidRDefault="00FD22B5" w:rsidP="00C9582F">
            <w:pPr>
              <w:rPr>
                <w:color w:val="000000" w:themeColor="text1"/>
                <w:lang w:val="en-US"/>
              </w:rPr>
            </w:pPr>
            <w:r w:rsidRPr="00D549EE">
              <w:rPr>
                <w:color w:val="000000" w:themeColor="text1"/>
                <w:lang w:val="en-US"/>
              </w:rPr>
              <w:t>(</w:t>
            </w:r>
            <w:r w:rsidR="00B864A4" w:rsidRPr="00D549EE">
              <w:rPr>
                <w:color w:val="000000" w:themeColor="text1"/>
                <w:lang w:val="en-US"/>
              </w:rPr>
              <w:t>1.99</w:t>
            </w:r>
            <w:r w:rsidRPr="00D549EE">
              <w:rPr>
                <w:color w:val="000000" w:themeColor="text1"/>
                <w:lang w:val="en-US"/>
              </w:rPr>
              <w:t>)</w:t>
            </w:r>
          </w:p>
        </w:tc>
        <w:tc>
          <w:tcPr>
            <w:tcW w:w="1018" w:type="dxa"/>
          </w:tcPr>
          <w:p w14:paraId="108BC7CC" w14:textId="73F4E744" w:rsidR="00FD22B5" w:rsidRPr="00D549EE" w:rsidRDefault="00FD22B5" w:rsidP="00C9582F">
            <w:pPr>
              <w:rPr>
                <w:color w:val="000000" w:themeColor="text1"/>
                <w:lang w:val="en-US"/>
              </w:rPr>
            </w:pPr>
            <w:r w:rsidRPr="00D549EE">
              <w:rPr>
                <w:color w:val="000000" w:themeColor="text1"/>
                <w:lang w:val="en-US"/>
              </w:rPr>
              <w:t>(</w:t>
            </w:r>
            <w:r w:rsidR="00B864A4" w:rsidRPr="00D549EE">
              <w:rPr>
                <w:color w:val="000000" w:themeColor="text1"/>
                <w:lang w:val="en-US"/>
              </w:rPr>
              <w:t>2</w:t>
            </w:r>
            <w:r w:rsidR="006E7B4B" w:rsidRPr="00D549EE">
              <w:rPr>
                <w:color w:val="000000" w:themeColor="text1"/>
                <w:lang w:val="en-US"/>
              </w:rPr>
              <w:t>6.25</w:t>
            </w:r>
            <w:r w:rsidRPr="00D549EE">
              <w:rPr>
                <w:color w:val="000000" w:themeColor="text1"/>
                <w:lang w:val="en-US"/>
              </w:rPr>
              <w:t>)</w:t>
            </w:r>
          </w:p>
        </w:tc>
        <w:tc>
          <w:tcPr>
            <w:tcW w:w="1216" w:type="dxa"/>
          </w:tcPr>
          <w:p w14:paraId="5D7C923B" w14:textId="070C3687" w:rsidR="00FD22B5" w:rsidRPr="00D549EE" w:rsidRDefault="00FD22B5" w:rsidP="00C9582F">
            <w:pPr>
              <w:rPr>
                <w:color w:val="000000" w:themeColor="text1"/>
                <w:lang w:val="en-US"/>
              </w:rPr>
            </w:pPr>
            <w:r w:rsidRPr="00D549EE">
              <w:rPr>
                <w:color w:val="000000" w:themeColor="text1"/>
                <w:lang w:val="en-US"/>
              </w:rPr>
              <w:t>(</w:t>
            </w:r>
            <w:r w:rsidR="006E7B4B" w:rsidRPr="00D549EE">
              <w:rPr>
                <w:color w:val="000000" w:themeColor="text1"/>
                <w:lang w:val="en-US"/>
              </w:rPr>
              <w:t>29.89</w:t>
            </w:r>
            <w:r w:rsidRPr="00D549EE">
              <w:rPr>
                <w:color w:val="000000" w:themeColor="text1"/>
                <w:lang w:val="en-US"/>
              </w:rPr>
              <w:t>)</w:t>
            </w:r>
          </w:p>
        </w:tc>
        <w:tc>
          <w:tcPr>
            <w:tcW w:w="1216" w:type="dxa"/>
          </w:tcPr>
          <w:p w14:paraId="0F02D952" w14:textId="3D1C4E1E" w:rsidR="00FD22B5" w:rsidRPr="00D549EE" w:rsidRDefault="00FD22B5" w:rsidP="00C9582F">
            <w:pPr>
              <w:rPr>
                <w:color w:val="000000" w:themeColor="text1"/>
                <w:lang w:val="en-US"/>
              </w:rPr>
            </w:pPr>
            <w:r w:rsidRPr="00D549EE">
              <w:rPr>
                <w:color w:val="000000" w:themeColor="text1"/>
                <w:lang w:val="en-US"/>
              </w:rPr>
              <w:t>(</w:t>
            </w:r>
            <w:r w:rsidR="006E7B4B" w:rsidRPr="00D549EE">
              <w:rPr>
                <w:color w:val="000000" w:themeColor="text1"/>
                <w:lang w:val="en-US"/>
              </w:rPr>
              <w:t>36.91</w:t>
            </w:r>
            <w:r w:rsidRPr="00D549EE">
              <w:rPr>
                <w:color w:val="000000" w:themeColor="text1"/>
                <w:lang w:val="en-US"/>
              </w:rPr>
              <w:t>)</w:t>
            </w:r>
          </w:p>
        </w:tc>
        <w:tc>
          <w:tcPr>
            <w:tcW w:w="1216" w:type="dxa"/>
          </w:tcPr>
          <w:p w14:paraId="1C5CF958" w14:textId="42A862D1" w:rsidR="00FD22B5" w:rsidRPr="00D549EE" w:rsidRDefault="00FD22B5" w:rsidP="00C9582F">
            <w:pPr>
              <w:rPr>
                <w:color w:val="000000" w:themeColor="text1"/>
                <w:lang w:val="en-US"/>
              </w:rPr>
            </w:pPr>
            <w:r w:rsidRPr="00D549EE">
              <w:rPr>
                <w:color w:val="000000" w:themeColor="text1"/>
                <w:lang w:val="en-US"/>
              </w:rPr>
              <w:t>(</w:t>
            </w:r>
            <w:r w:rsidR="006E7B4B" w:rsidRPr="00D549EE">
              <w:rPr>
                <w:color w:val="000000" w:themeColor="text1"/>
                <w:lang w:val="en-US"/>
              </w:rPr>
              <w:t>43.23</w:t>
            </w:r>
            <w:r w:rsidRPr="00D549EE">
              <w:rPr>
                <w:color w:val="000000" w:themeColor="text1"/>
                <w:lang w:val="en-US"/>
              </w:rPr>
              <w:t>)</w:t>
            </w:r>
          </w:p>
        </w:tc>
      </w:tr>
      <w:tr w:rsidR="00FD22B5" w:rsidRPr="00D549EE" w14:paraId="5F99C157" w14:textId="35D65C1E" w:rsidTr="00860335">
        <w:tc>
          <w:tcPr>
            <w:tcW w:w="3886" w:type="dxa"/>
          </w:tcPr>
          <w:p w14:paraId="76C222FD" w14:textId="7AA46821" w:rsidR="00FD22B5" w:rsidRPr="00D549EE" w:rsidRDefault="00FD22B5" w:rsidP="00C9582F">
            <w:pPr>
              <w:rPr>
                <w:lang w:val="en-US"/>
              </w:rPr>
            </w:pPr>
            <w:r w:rsidRPr="00D549EE">
              <w:rPr>
                <w:lang w:val="en-US"/>
              </w:rPr>
              <w:t>Salary</w:t>
            </w:r>
          </w:p>
        </w:tc>
        <w:tc>
          <w:tcPr>
            <w:tcW w:w="1071" w:type="dxa"/>
          </w:tcPr>
          <w:p w14:paraId="789F77A0" w14:textId="1BFB7115" w:rsidR="00FD22B5" w:rsidRPr="00D549EE" w:rsidRDefault="00FD22B5" w:rsidP="00C9582F">
            <w:pPr>
              <w:rPr>
                <w:lang w:val="en-US"/>
              </w:rPr>
            </w:pPr>
            <w:r w:rsidRPr="00D549EE">
              <w:rPr>
                <w:lang w:val="en-US"/>
              </w:rPr>
              <w:t>(3.6)</w:t>
            </w:r>
          </w:p>
        </w:tc>
        <w:tc>
          <w:tcPr>
            <w:tcW w:w="1018" w:type="dxa"/>
          </w:tcPr>
          <w:p w14:paraId="18BD3DF2" w14:textId="3500DE8D" w:rsidR="00FD22B5" w:rsidRPr="00D549EE" w:rsidRDefault="00FD22B5" w:rsidP="00C9582F">
            <w:pPr>
              <w:rPr>
                <w:lang w:val="en-US"/>
              </w:rPr>
            </w:pPr>
            <w:r w:rsidRPr="00D549EE">
              <w:rPr>
                <w:lang w:val="en-US"/>
              </w:rPr>
              <w:t>(3.6)</w:t>
            </w:r>
          </w:p>
        </w:tc>
        <w:tc>
          <w:tcPr>
            <w:tcW w:w="1216" w:type="dxa"/>
          </w:tcPr>
          <w:p w14:paraId="2EFE3A77" w14:textId="27165347" w:rsidR="00FD22B5" w:rsidRPr="00D549EE" w:rsidRDefault="00FD22B5" w:rsidP="00C9582F">
            <w:pPr>
              <w:rPr>
                <w:lang w:val="en-US"/>
              </w:rPr>
            </w:pPr>
            <w:r w:rsidRPr="00D549EE">
              <w:rPr>
                <w:lang w:val="en-US"/>
              </w:rPr>
              <w:t>(3.</w:t>
            </w:r>
            <w:r w:rsidR="00B864A4" w:rsidRPr="00D549EE">
              <w:rPr>
                <w:lang w:val="en-US"/>
              </w:rPr>
              <w:t>6</w:t>
            </w:r>
            <w:r w:rsidRPr="00D549EE">
              <w:rPr>
                <w:lang w:val="en-US"/>
              </w:rPr>
              <w:t>)</w:t>
            </w:r>
          </w:p>
        </w:tc>
        <w:tc>
          <w:tcPr>
            <w:tcW w:w="1216" w:type="dxa"/>
          </w:tcPr>
          <w:p w14:paraId="6A15C0FE" w14:textId="7E21F2A4" w:rsidR="00FD22B5" w:rsidRPr="00D549EE" w:rsidRDefault="00FD22B5" w:rsidP="00C9582F">
            <w:pPr>
              <w:rPr>
                <w:lang w:val="en-US"/>
              </w:rPr>
            </w:pPr>
            <w:r w:rsidRPr="00D549EE">
              <w:rPr>
                <w:lang w:val="en-US"/>
              </w:rPr>
              <w:t>(3.96)</w:t>
            </w:r>
          </w:p>
        </w:tc>
        <w:tc>
          <w:tcPr>
            <w:tcW w:w="1216" w:type="dxa"/>
          </w:tcPr>
          <w:p w14:paraId="7B98B8BF" w14:textId="5C01DFD5" w:rsidR="00FD22B5" w:rsidRPr="00D549EE" w:rsidRDefault="00FD22B5" w:rsidP="00C9582F">
            <w:pPr>
              <w:rPr>
                <w:lang w:val="en-US"/>
              </w:rPr>
            </w:pPr>
            <w:r w:rsidRPr="00D549EE">
              <w:rPr>
                <w:lang w:val="en-US"/>
              </w:rPr>
              <w:t>(4.</w:t>
            </w:r>
            <w:r w:rsidR="00B864A4" w:rsidRPr="00D549EE">
              <w:rPr>
                <w:lang w:val="en-US"/>
              </w:rPr>
              <w:t>96</w:t>
            </w:r>
            <w:r w:rsidRPr="00D549EE">
              <w:rPr>
                <w:lang w:val="en-US"/>
              </w:rPr>
              <w:t>)</w:t>
            </w:r>
          </w:p>
        </w:tc>
      </w:tr>
      <w:tr w:rsidR="00FD22B5" w:rsidRPr="00D549EE" w14:paraId="35857AF3" w14:textId="2CF46D07" w:rsidTr="00860335">
        <w:tc>
          <w:tcPr>
            <w:tcW w:w="3886" w:type="dxa"/>
          </w:tcPr>
          <w:p w14:paraId="289B041E" w14:textId="1A6C594F" w:rsidR="00FD22B5" w:rsidRPr="00D549EE" w:rsidRDefault="00FD22B5" w:rsidP="00C9582F">
            <w:pPr>
              <w:pStyle w:val="a5"/>
            </w:pPr>
            <w:r w:rsidRPr="00D549EE">
              <w:t xml:space="preserve">Taxes for the Salary </w:t>
            </w:r>
          </w:p>
        </w:tc>
        <w:tc>
          <w:tcPr>
            <w:tcW w:w="1071" w:type="dxa"/>
          </w:tcPr>
          <w:p w14:paraId="51645506" w14:textId="508509E0" w:rsidR="00FD22B5" w:rsidRPr="00D549EE" w:rsidRDefault="00FD22B5" w:rsidP="00C9582F">
            <w:pPr>
              <w:rPr>
                <w:lang w:val="en-US"/>
              </w:rPr>
            </w:pPr>
            <w:r w:rsidRPr="00D549EE">
              <w:rPr>
                <w:lang w:val="en-US"/>
              </w:rPr>
              <w:t>(0.45)</w:t>
            </w:r>
          </w:p>
        </w:tc>
        <w:tc>
          <w:tcPr>
            <w:tcW w:w="1018" w:type="dxa"/>
          </w:tcPr>
          <w:p w14:paraId="111EA7C4" w14:textId="355EAAC2" w:rsidR="00FD22B5" w:rsidRPr="00D549EE" w:rsidRDefault="00FD22B5" w:rsidP="00C9582F">
            <w:pPr>
              <w:rPr>
                <w:lang w:val="en-US"/>
              </w:rPr>
            </w:pPr>
            <w:r w:rsidRPr="00D549EE">
              <w:rPr>
                <w:lang w:val="en-US"/>
              </w:rPr>
              <w:t>(0.45)</w:t>
            </w:r>
          </w:p>
        </w:tc>
        <w:tc>
          <w:tcPr>
            <w:tcW w:w="1216" w:type="dxa"/>
          </w:tcPr>
          <w:p w14:paraId="6016C2D9" w14:textId="6FA96725" w:rsidR="00FD22B5" w:rsidRPr="00D549EE" w:rsidRDefault="00FD22B5" w:rsidP="00C9582F">
            <w:pPr>
              <w:rPr>
                <w:lang w:val="en-US"/>
              </w:rPr>
            </w:pPr>
            <w:r w:rsidRPr="00D549EE">
              <w:rPr>
                <w:lang w:val="en-US"/>
              </w:rPr>
              <w:t>(0.</w:t>
            </w:r>
            <w:r w:rsidR="00B864A4" w:rsidRPr="00D549EE">
              <w:rPr>
                <w:lang w:val="en-US"/>
              </w:rPr>
              <w:t>45</w:t>
            </w:r>
            <w:r w:rsidRPr="00D549EE">
              <w:rPr>
                <w:lang w:val="en-US"/>
              </w:rPr>
              <w:t>)</w:t>
            </w:r>
          </w:p>
        </w:tc>
        <w:tc>
          <w:tcPr>
            <w:tcW w:w="1216" w:type="dxa"/>
          </w:tcPr>
          <w:p w14:paraId="643DE4F5" w14:textId="091D5AED" w:rsidR="00FD22B5" w:rsidRPr="00D549EE" w:rsidRDefault="00FD22B5" w:rsidP="00C9582F">
            <w:pPr>
              <w:rPr>
                <w:lang w:val="en-US"/>
              </w:rPr>
            </w:pPr>
            <w:r w:rsidRPr="00D549EE">
              <w:rPr>
                <w:lang w:val="en-US"/>
              </w:rPr>
              <w:t>(0.50)</w:t>
            </w:r>
          </w:p>
        </w:tc>
        <w:tc>
          <w:tcPr>
            <w:tcW w:w="1216" w:type="dxa"/>
          </w:tcPr>
          <w:p w14:paraId="38075FEA" w14:textId="436C397C" w:rsidR="00FD22B5" w:rsidRPr="00D549EE" w:rsidRDefault="00FD22B5" w:rsidP="00C9582F">
            <w:pPr>
              <w:rPr>
                <w:lang w:val="en-US"/>
              </w:rPr>
            </w:pPr>
            <w:r w:rsidRPr="00D549EE">
              <w:rPr>
                <w:lang w:val="en-US"/>
              </w:rPr>
              <w:t>(0.5</w:t>
            </w:r>
            <w:r w:rsidR="00B864A4" w:rsidRPr="00D549EE">
              <w:rPr>
                <w:lang w:val="en-US"/>
              </w:rPr>
              <w:t>0</w:t>
            </w:r>
            <w:r w:rsidRPr="00D549EE">
              <w:rPr>
                <w:lang w:val="en-US"/>
              </w:rPr>
              <w:t>)</w:t>
            </w:r>
          </w:p>
        </w:tc>
      </w:tr>
      <w:tr w:rsidR="00FD22B5" w:rsidRPr="00D549EE" w14:paraId="6B105F70" w14:textId="0DF75A98" w:rsidTr="00860335">
        <w:tc>
          <w:tcPr>
            <w:tcW w:w="3886" w:type="dxa"/>
          </w:tcPr>
          <w:p w14:paraId="5CCA7DFD" w14:textId="43120E37" w:rsidR="00FD22B5" w:rsidRPr="00D549EE" w:rsidRDefault="00FD22B5" w:rsidP="00C9582F">
            <w:pPr>
              <w:rPr>
                <w:lang w:val="en-US"/>
              </w:rPr>
            </w:pPr>
            <w:r w:rsidRPr="00D549EE">
              <w:rPr>
                <w:lang w:val="en-US"/>
              </w:rPr>
              <w:t>Income Tax</w:t>
            </w:r>
          </w:p>
        </w:tc>
        <w:tc>
          <w:tcPr>
            <w:tcW w:w="1071" w:type="dxa"/>
          </w:tcPr>
          <w:p w14:paraId="23895FA3" w14:textId="1695BAAB" w:rsidR="00FD22B5" w:rsidRPr="00D549EE" w:rsidRDefault="00FD22B5" w:rsidP="00C9582F">
            <w:pPr>
              <w:rPr>
                <w:lang w:val="en-US"/>
              </w:rPr>
            </w:pPr>
            <w:r w:rsidRPr="00D549EE">
              <w:rPr>
                <w:lang w:val="en-US"/>
              </w:rPr>
              <w:t>0</w:t>
            </w:r>
          </w:p>
        </w:tc>
        <w:tc>
          <w:tcPr>
            <w:tcW w:w="1018" w:type="dxa"/>
          </w:tcPr>
          <w:p w14:paraId="6826B8E5" w14:textId="0926FB68" w:rsidR="00FD22B5" w:rsidRPr="00D549EE" w:rsidRDefault="00FD22B5" w:rsidP="00C9582F">
            <w:pPr>
              <w:rPr>
                <w:lang w:val="en-US"/>
              </w:rPr>
            </w:pPr>
            <w:r w:rsidRPr="00D549EE">
              <w:rPr>
                <w:lang w:val="en-US"/>
              </w:rPr>
              <w:t>0</w:t>
            </w:r>
          </w:p>
        </w:tc>
        <w:tc>
          <w:tcPr>
            <w:tcW w:w="1216" w:type="dxa"/>
          </w:tcPr>
          <w:p w14:paraId="30900A60" w14:textId="471093A0" w:rsidR="00FD22B5" w:rsidRPr="00D549EE" w:rsidRDefault="00FD22B5" w:rsidP="00C9582F">
            <w:pPr>
              <w:rPr>
                <w:lang w:val="en-US"/>
              </w:rPr>
            </w:pPr>
            <w:r w:rsidRPr="00D549EE">
              <w:rPr>
                <w:lang w:val="en-US"/>
              </w:rPr>
              <w:t>(</w:t>
            </w:r>
            <w:r w:rsidR="00B864A4" w:rsidRPr="00D549EE">
              <w:rPr>
                <w:lang w:val="en-US"/>
              </w:rPr>
              <w:t>0</w:t>
            </w:r>
            <w:r w:rsidRPr="00D549EE">
              <w:rPr>
                <w:lang w:val="en-US"/>
              </w:rPr>
              <w:t>)</w:t>
            </w:r>
          </w:p>
        </w:tc>
        <w:tc>
          <w:tcPr>
            <w:tcW w:w="1216" w:type="dxa"/>
          </w:tcPr>
          <w:p w14:paraId="20EACEE8" w14:textId="69F0987A" w:rsidR="00FD22B5" w:rsidRPr="00D549EE" w:rsidRDefault="00FD22B5" w:rsidP="00C9582F">
            <w:pPr>
              <w:rPr>
                <w:lang w:val="en-US"/>
              </w:rPr>
            </w:pPr>
            <w:r w:rsidRPr="00D549EE">
              <w:rPr>
                <w:lang w:val="en-US"/>
              </w:rPr>
              <w:t>(</w:t>
            </w:r>
            <w:r w:rsidR="00B864A4" w:rsidRPr="00D549EE">
              <w:rPr>
                <w:lang w:val="en-US"/>
              </w:rPr>
              <w:t>18.43</w:t>
            </w:r>
            <w:r w:rsidRPr="00D549EE">
              <w:rPr>
                <w:lang w:val="en-US"/>
              </w:rPr>
              <w:t>)</w:t>
            </w:r>
          </w:p>
        </w:tc>
        <w:tc>
          <w:tcPr>
            <w:tcW w:w="1216" w:type="dxa"/>
          </w:tcPr>
          <w:p w14:paraId="655B30BD" w14:textId="3501B978" w:rsidR="00FD22B5" w:rsidRPr="00D549EE" w:rsidRDefault="00FD22B5" w:rsidP="00C9582F">
            <w:pPr>
              <w:rPr>
                <w:lang w:val="en-US"/>
              </w:rPr>
            </w:pPr>
            <w:r w:rsidRPr="00D549EE">
              <w:rPr>
                <w:lang w:val="en-US"/>
              </w:rPr>
              <w:t>(</w:t>
            </w:r>
            <w:r w:rsidR="00B864A4" w:rsidRPr="00D549EE">
              <w:rPr>
                <w:lang w:val="en-US"/>
              </w:rPr>
              <w:t>28.36</w:t>
            </w:r>
            <w:r w:rsidRPr="00D549EE">
              <w:rPr>
                <w:lang w:val="en-US"/>
              </w:rPr>
              <w:t>)</w:t>
            </w:r>
          </w:p>
        </w:tc>
      </w:tr>
      <w:tr w:rsidR="00FD22B5" w:rsidRPr="00D549EE" w14:paraId="6726335A" w14:textId="7669B359" w:rsidTr="00860335">
        <w:tc>
          <w:tcPr>
            <w:tcW w:w="3886" w:type="dxa"/>
          </w:tcPr>
          <w:p w14:paraId="6E2A3EA0" w14:textId="11266D24" w:rsidR="00FD22B5" w:rsidRPr="00D549EE" w:rsidRDefault="00FD22B5" w:rsidP="00C9582F">
            <w:pPr>
              <w:pStyle w:val="a5"/>
            </w:pPr>
            <w:r w:rsidRPr="00D549EE">
              <w:t xml:space="preserve">VAT </w:t>
            </w:r>
          </w:p>
        </w:tc>
        <w:tc>
          <w:tcPr>
            <w:tcW w:w="1071" w:type="dxa"/>
          </w:tcPr>
          <w:p w14:paraId="6384000E" w14:textId="5647FFCD" w:rsidR="00FD22B5" w:rsidRPr="00D549EE" w:rsidRDefault="00FD22B5" w:rsidP="00C9582F">
            <w:pPr>
              <w:rPr>
                <w:lang w:val="en-US"/>
              </w:rPr>
            </w:pPr>
            <w:r w:rsidRPr="00D549EE">
              <w:rPr>
                <w:lang w:val="en-US"/>
              </w:rPr>
              <w:t>0</w:t>
            </w:r>
          </w:p>
        </w:tc>
        <w:tc>
          <w:tcPr>
            <w:tcW w:w="1018" w:type="dxa"/>
          </w:tcPr>
          <w:p w14:paraId="5A0316D0" w14:textId="232D4DE4" w:rsidR="00FD22B5" w:rsidRPr="00D549EE" w:rsidRDefault="00FD22B5" w:rsidP="00C9582F">
            <w:pPr>
              <w:rPr>
                <w:lang w:val="en-US"/>
              </w:rPr>
            </w:pPr>
            <w:r w:rsidRPr="00D549EE">
              <w:rPr>
                <w:lang w:val="en-US"/>
              </w:rPr>
              <w:t>0</w:t>
            </w:r>
          </w:p>
        </w:tc>
        <w:tc>
          <w:tcPr>
            <w:tcW w:w="1216" w:type="dxa"/>
          </w:tcPr>
          <w:p w14:paraId="438F21D3" w14:textId="1C11E551" w:rsidR="00FD22B5" w:rsidRPr="00D549EE" w:rsidRDefault="00FD22B5" w:rsidP="00C9582F">
            <w:pPr>
              <w:rPr>
                <w:lang w:val="en-US"/>
              </w:rPr>
            </w:pPr>
            <w:r w:rsidRPr="00D549EE">
              <w:rPr>
                <w:lang w:val="en-US"/>
              </w:rPr>
              <w:t>0</w:t>
            </w:r>
          </w:p>
        </w:tc>
        <w:tc>
          <w:tcPr>
            <w:tcW w:w="1216" w:type="dxa"/>
          </w:tcPr>
          <w:p w14:paraId="65116395" w14:textId="759724D2" w:rsidR="00FD22B5" w:rsidRPr="00D549EE" w:rsidRDefault="00FD22B5" w:rsidP="00C9582F">
            <w:pPr>
              <w:rPr>
                <w:lang w:val="en-US"/>
              </w:rPr>
            </w:pPr>
            <w:r w:rsidRPr="00D549EE">
              <w:rPr>
                <w:lang w:val="en-US"/>
              </w:rPr>
              <w:t>0</w:t>
            </w:r>
          </w:p>
        </w:tc>
        <w:tc>
          <w:tcPr>
            <w:tcW w:w="1216" w:type="dxa"/>
          </w:tcPr>
          <w:p w14:paraId="501264BA" w14:textId="426C88AC" w:rsidR="00FD22B5" w:rsidRPr="00D549EE" w:rsidRDefault="00FD22B5" w:rsidP="00C9582F">
            <w:pPr>
              <w:rPr>
                <w:lang w:val="en-US"/>
              </w:rPr>
            </w:pPr>
            <w:r w:rsidRPr="00D549EE">
              <w:rPr>
                <w:lang w:val="en-US"/>
              </w:rPr>
              <w:t>0</w:t>
            </w:r>
          </w:p>
        </w:tc>
      </w:tr>
      <w:tr w:rsidR="00FD22B5" w:rsidRPr="00D549EE" w14:paraId="368C112B" w14:textId="77777777" w:rsidTr="00860335">
        <w:tc>
          <w:tcPr>
            <w:tcW w:w="3886" w:type="dxa"/>
          </w:tcPr>
          <w:p w14:paraId="17EFB429" w14:textId="797184D7" w:rsidR="00FD22B5" w:rsidRPr="00D549EE" w:rsidRDefault="00FD22B5" w:rsidP="00C9582F">
            <w:pPr>
              <w:pStyle w:val="a5"/>
              <w:rPr>
                <w:lang w:val="en-US"/>
              </w:rPr>
            </w:pPr>
            <w:r w:rsidRPr="00D549EE">
              <w:rPr>
                <w:bCs/>
                <w:lang w:val="en-US"/>
              </w:rPr>
              <w:t xml:space="preserve">Net cash from operating activities </w:t>
            </w:r>
          </w:p>
        </w:tc>
        <w:tc>
          <w:tcPr>
            <w:tcW w:w="1071" w:type="dxa"/>
          </w:tcPr>
          <w:p w14:paraId="4B35E487" w14:textId="45ABC85C" w:rsidR="00FD22B5" w:rsidRPr="00D549EE" w:rsidRDefault="00FD22B5" w:rsidP="00C9582F">
            <w:pPr>
              <w:rPr>
                <w:lang w:val="en-US"/>
              </w:rPr>
            </w:pPr>
            <w:r w:rsidRPr="00D549EE">
              <w:rPr>
                <w:lang w:val="en-US"/>
              </w:rPr>
              <w:t>(</w:t>
            </w:r>
            <w:r w:rsidR="00B864A4" w:rsidRPr="00D549EE">
              <w:rPr>
                <w:lang w:val="en-US"/>
              </w:rPr>
              <w:t>6.04</w:t>
            </w:r>
            <w:r w:rsidRPr="00D549EE">
              <w:rPr>
                <w:lang w:val="en-US"/>
              </w:rPr>
              <w:t>)</w:t>
            </w:r>
          </w:p>
        </w:tc>
        <w:tc>
          <w:tcPr>
            <w:tcW w:w="1018" w:type="dxa"/>
          </w:tcPr>
          <w:p w14:paraId="6D8CFF35" w14:textId="59961ADC" w:rsidR="00FD22B5" w:rsidRPr="00D549EE" w:rsidRDefault="00FD22B5" w:rsidP="00C9582F">
            <w:pPr>
              <w:rPr>
                <w:lang w:val="en-US"/>
              </w:rPr>
            </w:pPr>
            <w:r w:rsidRPr="00D549EE">
              <w:rPr>
                <w:lang w:val="en-US"/>
              </w:rPr>
              <w:t>(</w:t>
            </w:r>
            <w:r w:rsidR="0071039D" w:rsidRPr="00D549EE">
              <w:rPr>
                <w:lang w:val="en-US"/>
              </w:rPr>
              <w:t>30.30</w:t>
            </w:r>
            <w:r w:rsidRPr="00D549EE">
              <w:rPr>
                <w:lang w:val="en-US"/>
              </w:rPr>
              <w:t>)</w:t>
            </w:r>
          </w:p>
        </w:tc>
        <w:tc>
          <w:tcPr>
            <w:tcW w:w="1216" w:type="dxa"/>
          </w:tcPr>
          <w:p w14:paraId="5527913C" w14:textId="70B46F56" w:rsidR="00FD22B5" w:rsidRPr="00D549EE" w:rsidRDefault="00B864A4" w:rsidP="00C9582F">
            <w:pPr>
              <w:rPr>
                <w:lang w:val="en-US"/>
              </w:rPr>
            </w:pPr>
            <w:r w:rsidRPr="00D549EE">
              <w:rPr>
                <w:lang w:val="en-US"/>
              </w:rPr>
              <w:t>(</w:t>
            </w:r>
            <w:r w:rsidR="0071039D" w:rsidRPr="00D549EE">
              <w:rPr>
                <w:lang w:val="en-US"/>
              </w:rPr>
              <w:t>33.94</w:t>
            </w:r>
            <w:r w:rsidRPr="00D549EE">
              <w:rPr>
                <w:lang w:val="en-US"/>
              </w:rPr>
              <w:t>)</w:t>
            </w:r>
          </w:p>
        </w:tc>
        <w:tc>
          <w:tcPr>
            <w:tcW w:w="1216" w:type="dxa"/>
          </w:tcPr>
          <w:p w14:paraId="69FB83BC" w14:textId="67CB2D93" w:rsidR="00FD22B5" w:rsidRPr="00D549EE" w:rsidRDefault="0071039D" w:rsidP="00C9582F">
            <w:pPr>
              <w:rPr>
                <w:lang w:val="en-US"/>
              </w:rPr>
            </w:pPr>
            <w:r w:rsidRPr="00D549EE">
              <w:rPr>
                <w:lang w:val="en-US"/>
              </w:rPr>
              <w:t>82.01</w:t>
            </w:r>
          </w:p>
        </w:tc>
        <w:tc>
          <w:tcPr>
            <w:tcW w:w="1216" w:type="dxa"/>
          </w:tcPr>
          <w:p w14:paraId="70F9B470" w14:textId="54E7BFBE" w:rsidR="00FD22B5" w:rsidRPr="00D549EE" w:rsidRDefault="0071039D" w:rsidP="00C9582F">
            <w:pPr>
              <w:rPr>
                <w:lang w:val="en-US"/>
              </w:rPr>
            </w:pPr>
            <w:r w:rsidRPr="00D549EE">
              <w:rPr>
                <w:lang w:val="en-US"/>
              </w:rPr>
              <w:t>65.75</w:t>
            </w:r>
          </w:p>
        </w:tc>
      </w:tr>
      <w:tr w:rsidR="00FD22B5" w:rsidRPr="00D549EE" w14:paraId="267CB63A" w14:textId="77777777" w:rsidTr="00860335">
        <w:tc>
          <w:tcPr>
            <w:tcW w:w="3886" w:type="dxa"/>
          </w:tcPr>
          <w:p w14:paraId="63F31141" w14:textId="671A6E67" w:rsidR="00FD22B5" w:rsidRPr="00D549EE" w:rsidRDefault="00FD22B5" w:rsidP="00C9582F">
            <w:pPr>
              <w:pStyle w:val="a5"/>
              <w:rPr>
                <w:bCs/>
                <w:lang w:val="en-US"/>
              </w:rPr>
            </w:pPr>
            <w:r w:rsidRPr="00D549EE">
              <w:rPr>
                <w:bCs/>
                <w:lang w:val="en-US"/>
              </w:rPr>
              <w:t xml:space="preserve">Investing Activities </w:t>
            </w:r>
            <w:r w:rsidR="00D97620" w:rsidRPr="00D549EE">
              <w:rPr>
                <w:bCs/>
                <w:lang w:val="en-US"/>
              </w:rPr>
              <w:t>(CFI)</w:t>
            </w:r>
          </w:p>
        </w:tc>
        <w:tc>
          <w:tcPr>
            <w:tcW w:w="1071" w:type="dxa"/>
          </w:tcPr>
          <w:p w14:paraId="6DC2B287" w14:textId="77777777" w:rsidR="00FD22B5" w:rsidRPr="00D549EE" w:rsidRDefault="00FD22B5" w:rsidP="00C9582F">
            <w:pPr>
              <w:rPr>
                <w:lang w:val="en-US"/>
              </w:rPr>
            </w:pPr>
          </w:p>
        </w:tc>
        <w:tc>
          <w:tcPr>
            <w:tcW w:w="1018" w:type="dxa"/>
          </w:tcPr>
          <w:p w14:paraId="6147DB0E" w14:textId="77777777" w:rsidR="00FD22B5" w:rsidRPr="00D549EE" w:rsidRDefault="00FD22B5" w:rsidP="00C9582F">
            <w:pPr>
              <w:rPr>
                <w:lang w:val="en-US"/>
              </w:rPr>
            </w:pPr>
          </w:p>
        </w:tc>
        <w:tc>
          <w:tcPr>
            <w:tcW w:w="1216" w:type="dxa"/>
          </w:tcPr>
          <w:p w14:paraId="1CAB8539" w14:textId="77777777" w:rsidR="00FD22B5" w:rsidRPr="00D549EE" w:rsidRDefault="00FD22B5" w:rsidP="00C9582F">
            <w:pPr>
              <w:rPr>
                <w:lang w:val="en-US"/>
              </w:rPr>
            </w:pPr>
          </w:p>
        </w:tc>
        <w:tc>
          <w:tcPr>
            <w:tcW w:w="1216" w:type="dxa"/>
          </w:tcPr>
          <w:p w14:paraId="7B22AD13" w14:textId="77777777" w:rsidR="00FD22B5" w:rsidRPr="00D549EE" w:rsidRDefault="00FD22B5" w:rsidP="00C9582F">
            <w:pPr>
              <w:rPr>
                <w:lang w:val="en-US"/>
              </w:rPr>
            </w:pPr>
          </w:p>
        </w:tc>
        <w:tc>
          <w:tcPr>
            <w:tcW w:w="1216" w:type="dxa"/>
          </w:tcPr>
          <w:p w14:paraId="7C56BC24" w14:textId="77777777" w:rsidR="00FD22B5" w:rsidRPr="00D549EE" w:rsidRDefault="00FD22B5" w:rsidP="00C9582F">
            <w:pPr>
              <w:rPr>
                <w:lang w:val="en-US"/>
              </w:rPr>
            </w:pPr>
          </w:p>
        </w:tc>
      </w:tr>
      <w:tr w:rsidR="00FD22B5" w:rsidRPr="00D549EE" w14:paraId="0506CC82" w14:textId="77777777" w:rsidTr="00860335">
        <w:tc>
          <w:tcPr>
            <w:tcW w:w="3886" w:type="dxa"/>
          </w:tcPr>
          <w:p w14:paraId="335C582D" w14:textId="1D4FC196" w:rsidR="00FD22B5" w:rsidRPr="00D549EE" w:rsidRDefault="00FD22B5" w:rsidP="00C9582F">
            <w:pPr>
              <w:pStyle w:val="a5"/>
              <w:rPr>
                <w:bCs/>
                <w:lang w:val="en-US"/>
              </w:rPr>
            </w:pPr>
            <w:r w:rsidRPr="00D549EE">
              <w:rPr>
                <w:bCs/>
                <w:lang w:val="en-US"/>
              </w:rPr>
              <w:t>Computers</w:t>
            </w:r>
          </w:p>
        </w:tc>
        <w:tc>
          <w:tcPr>
            <w:tcW w:w="1071" w:type="dxa"/>
          </w:tcPr>
          <w:p w14:paraId="028BCF7E" w14:textId="59C3BDD5" w:rsidR="00FD22B5" w:rsidRPr="00D549EE" w:rsidRDefault="00FD22B5" w:rsidP="00C9582F">
            <w:pPr>
              <w:rPr>
                <w:lang w:val="en-US"/>
              </w:rPr>
            </w:pPr>
            <w:r w:rsidRPr="00D549EE">
              <w:rPr>
                <w:lang w:val="en-US"/>
              </w:rPr>
              <w:t>(0.36)</w:t>
            </w:r>
          </w:p>
        </w:tc>
        <w:tc>
          <w:tcPr>
            <w:tcW w:w="1018" w:type="dxa"/>
          </w:tcPr>
          <w:p w14:paraId="48A3C7A6" w14:textId="4149D2CD" w:rsidR="00FD22B5" w:rsidRPr="00D549EE" w:rsidRDefault="00FD22B5" w:rsidP="00C9582F">
            <w:pPr>
              <w:rPr>
                <w:lang w:val="en-US"/>
              </w:rPr>
            </w:pPr>
            <w:r w:rsidRPr="00D549EE">
              <w:rPr>
                <w:lang w:val="en-US"/>
              </w:rPr>
              <w:t>0</w:t>
            </w:r>
          </w:p>
        </w:tc>
        <w:tc>
          <w:tcPr>
            <w:tcW w:w="1216" w:type="dxa"/>
          </w:tcPr>
          <w:p w14:paraId="4E2F11F5" w14:textId="6499A727" w:rsidR="00FD22B5" w:rsidRPr="00D549EE" w:rsidRDefault="00FD22B5" w:rsidP="00C9582F">
            <w:pPr>
              <w:rPr>
                <w:lang w:val="en-US"/>
              </w:rPr>
            </w:pPr>
            <w:r w:rsidRPr="00D549EE">
              <w:rPr>
                <w:lang w:val="en-US"/>
              </w:rPr>
              <w:t>0</w:t>
            </w:r>
          </w:p>
        </w:tc>
        <w:tc>
          <w:tcPr>
            <w:tcW w:w="1216" w:type="dxa"/>
          </w:tcPr>
          <w:p w14:paraId="7ED0CEFF" w14:textId="2D7909E8" w:rsidR="00FD22B5" w:rsidRPr="00D549EE" w:rsidRDefault="00FD22B5" w:rsidP="00C9582F">
            <w:pPr>
              <w:rPr>
                <w:lang w:val="en-US"/>
              </w:rPr>
            </w:pPr>
            <w:r w:rsidRPr="00D549EE">
              <w:rPr>
                <w:lang w:val="en-US"/>
              </w:rPr>
              <w:t>0</w:t>
            </w:r>
          </w:p>
        </w:tc>
        <w:tc>
          <w:tcPr>
            <w:tcW w:w="1216" w:type="dxa"/>
          </w:tcPr>
          <w:p w14:paraId="2BA21B87" w14:textId="177DD051" w:rsidR="00FD22B5" w:rsidRPr="00D549EE" w:rsidRDefault="00FD22B5" w:rsidP="00C9582F">
            <w:pPr>
              <w:rPr>
                <w:lang w:val="en-US"/>
              </w:rPr>
            </w:pPr>
            <w:r w:rsidRPr="00D549EE">
              <w:rPr>
                <w:lang w:val="en-US"/>
              </w:rPr>
              <w:t>0</w:t>
            </w:r>
          </w:p>
        </w:tc>
      </w:tr>
      <w:tr w:rsidR="00FD22B5" w:rsidRPr="00D549EE" w14:paraId="6609097C" w14:textId="77777777" w:rsidTr="00860335">
        <w:tc>
          <w:tcPr>
            <w:tcW w:w="3886" w:type="dxa"/>
          </w:tcPr>
          <w:p w14:paraId="1666F78B" w14:textId="5402F4FB" w:rsidR="00FD22B5" w:rsidRPr="00D549EE" w:rsidRDefault="00FD22B5" w:rsidP="00C9582F">
            <w:pPr>
              <w:pStyle w:val="a5"/>
              <w:rPr>
                <w:bCs/>
                <w:lang w:val="en-US"/>
              </w:rPr>
            </w:pPr>
            <w:r w:rsidRPr="00D549EE">
              <w:rPr>
                <w:bCs/>
                <w:lang w:val="en-US"/>
              </w:rPr>
              <w:t>Software</w:t>
            </w:r>
          </w:p>
        </w:tc>
        <w:tc>
          <w:tcPr>
            <w:tcW w:w="1071" w:type="dxa"/>
          </w:tcPr>
          <w:p w14:paraId="57717B8A" w14:textId="05680D88" w:rsidR="00FD22B5" w:rsidRPr="00D549EE" w:rsidRDefault="00FD22B5" w:rsidP="00C9582F">
            <w:pPr>
              <w:rPr>
                <w:lang w:val="en-US"/>
              </w:rPr>
            </w:pPr>
            <w:r w:rsidRPr="00D549EE">
              <w:rPr>
                <w:lang w:val="en-US"/>
              </w:rPr>
              <w:t>(0.19)</w:t>
            </w:r>
          </w:p>
        </w:tc>
        <w:tc>
          <w:tcPr>
            <w:tcW w:w="1018" w:type="dxa"/>
          </w:tcPr>
          <w:p w14:paraId="379D33D3" w14:textId="4828E17B" w:rsidR="00FD22B5" w:rsidRPr="00D549EE" w:rsidRDefault="00FD22B5" w:rsidP="00C9582F">
            <w:pPr>
              <w:rPr>
                <w:lang w:val="en-US"/>
              </w:rPr>
            </w:pPr>
            <w:r w:rsidRPr="00D549EE">
              <w:rPr>
                <w:lang w:val="en-US"/>
              </w:rPr>
              <w:t>0</w:t>
            </w:r>
          </w:p>
        </w:tc>
        <w:tc>
          <w:tcPr>
            <w:tcW w:w="1216" w:type="dxa"/>
          </w:tcPr>
          <w:p w14:paraId="24DA0590" w14:textId="75AE6878" w:rsidR="00FD22B5" w:rsidRPr="00D549EE" w:rsidRDefault="00FD22B5" w:rsidP="00C9582F">
            <w:pPr>
              <w:rPr>
                <w:lang w:val="en-US"/>
              </w:rPr>
            </w:pPr>
            <w:r w:rsidRPr="00D549EE">
              <w:rPr>
                <w:lang w:val="en-US"/>
              </w:rPr>
              <w:t>0</w:t>
            </w:r>
          </w:p>
        </w:tc>
        <w:tc>
          <w:tcPr>
            <w:tcW w:w="1216" w:type="dxa"/>
          </w:tcPr>
          <w:p w14:paraId="5B142BF8" w14:textId="47B608B6" w:rsidR="00FD22B5" w:rsidRPr="00D549EE" w:rsidRDefault="00FD22B5" w:rsidP="00C9582F">
            <w:pPr>
              <w:rPr>
                <w:lang w:val="en-US"/>
              </w:rPr>
            </w:pPr>
            <w:r w:rsidRPr="00D549EE">
              <w:rPr>
                <w:lang w:val="en-US"/>
              </w:rPr>
              <w:t>0</w:t>
            </w:r>
          </w:p>
        </w:tc>
        <w:tc>
          <w:tcPr>
            <w:tcW w:w="1216" w:type="dxa"/>
          </w:tcPr>
          <w:p w14:paraId="2FE7ADF3" w14:textId="50AD6E65" w:rsidR="00FD22B5" w:rsidRPr="00D549EE" w:rsidRDefault="00FD22B5" w:rsidP="00C9582F">
            <w:pPr>
              <w:rPr>
                <w:lang w:val="en-US"/>
              </w:rPr>
            </w:pPr>
            <w:r w:rsidRPr="00D549EE">
              <w:rPr>
                <w:lang w:val="en-US"/>
              </w:rPr>
              <w:t>0</w:t>
            </w:r>
          </w:p>
        </w:tc>
      </w:tr>
      <w:tr w:rsidR="00FD22B5" w:rsidRPr="00D549EE" w14:paraId="5A705FE3" w14:textId="77777777" w:rsidTr="00860335">
        <w:tc>
          <w:tcPr>
            <w:tcW w:w="3886" w:type="dxa"/>
          </w:tcPr>
          <w:p w14:paraId="5E3EAEF2" w14:textId="641767EE" w:rsidR="00FD22B5" w:rsidRPr="00D549EE" w:rsidRDefault="00FD22B5" w:rsidP="00C9582F">
            <w:pPr>
              <w:pStyle w:val="a5"/>
              <w:rPr>
                <w:lang w:val="en-US"/>
              </w:rPr>
            </w:pPr>
            <w:r w:rsidRPr="00D549EE">
              <w:rPr>
                <w:lang w:val="en-US"/>
              </w:rPr>
              <w:t>C</w:t>
            </w:r>
            <w:r w:rsidRPr="00D549EE">
              <w:t xml:space="preserve">rowdfunding platform </w:t>
            </w:r>
            <w:r w:rsidRPr="00D549EE">
              <w:rPr>
                <w:lang w:val="en-US"/>
              </w:rPr>
              <w:t>development</w:t>
            </w:r>
          </w:p>
        </w:tc>
        <w:tc>
          <w:tcPr>
            <w:tcW w:w="1071" w:type="dxa"/>
          </w:tcPr>
          <w:p w14:paraId="5FDBEF30" w14:textId="597F902C" w:rsidR="00FD22B5" w:rsidRPr="00D549EE" w:rsidRDefault="00FD22B5" w:rsidP="00C9582F">
            <w:pPr>
              <w:rPr>
                <w:lang w:val="en-US"/>
              </w:rPr>
            </w:pPr>
            <w:r w:rsidRPr="00D549EE">
              <w:rPr>
                <w:lang w:val="en-US"/>
              </w:rPr>
              <w:t>(4.05)</w:t>
            </w:r>
          </w:p>
        </w:tc>
        <w:tc>
          <w:tcPr>
            <w:tcW w:w="1018" w:type="dxa"/>
          </w:tcPr>
          <w:p w14:paraId="1373E027" w14:textId="635F11CF" w:rsidR="00FD22B5" w:rsidRPr="00D549EE" w:rsidRDefault="00FD22B5" w:rsidP="00C9582F">
            <w:pPr>
              <w:rPr>
                <w:lang w:val="en-US"/>
              </w:rPr>
            </w:pPr>
            <w:r w:rsidRPr="00D549EE">
              <w:rPr>
                <w:lang w:val="en-US"/>
              </w:rPr>
              <w:t>0</w:t>
            </w:r>
          </w:p>
        </w:tc>
        <w:tc>
          <w:tcPr>
            <w:tcW w:w="1216" w:type="dxa"/>
          </w:tcPr>
          <w:p w14:paraId="5F6AF83B" w14:textId="14836B89" w:rsidR="00FD22B5" w:rsidRPr="00D549EE" w:rsidRDefault="00FD22B5" w:rsidP="00C9582F">
            <w:pPr>
              <w:rPr>
                <w:lang w:val="en-US"/>
              </w:rPr>
            </w:pPr>
            <w:r w:rsidRPr="00D549EE">
              <w:rPr>
                <w:lang w:val="en-US"/>
              </w:rPr>
              <w:t>0</w:t>
            </w:r>
          </w:p>
        </w:tc>
        <w:tc>
          <w:tcPr>
            <w:tcW w:w="1216" w:type="dxa"/>
          </w:tcPr>
          <w:p w14:paraId="25C1D4E3" w14:textId="557D6C71" w:rsidR="00FD22B5" w:rsidRPr="00D549EE" w:rsidRDefault="00FD22B5" w:rsidP="00C9582F">
            <w:pPr>
              <w:rPr>
                <w:lang w:val="en-US"/>
              </w:rPr>
            </w:pPr>
            <w:r w:rsidRPr="00D549EE">
              <w:rPr>
                <w:lang w:val="en-US"/>
              </w:rPr>
              <w:t>0</w:t>
            </w:r>
          </w:p>
        </w:tc>
        <w:tc>
          <w:tcPr>
            <w:tcW w:w="1216" w:type="dxa"/>
          </w:tcPr>
          <w:p w14:paraId="1810E00F" w14:textId="2870F0A9" w:rsidR="00FD22B5" w:rsidRPr="00D549EE" w:rsidRDefault="00FD22B5" w:rsidP="00C9582F">
            <w:pPr>
              <w:rPr>
                <w:lang w:val="en-US"/>
              </w:rPr>
            </w:pPr>
            <w:r w:rsidRPr="00D549EE">
              <w:rPr>
                <w:lang w:val="en-US"/>
              </w:rPr>
              <w:t>0</w:t>
            </w:r>
          </w:p>
        </w:tc>
      </w:tr>
      <w:tr w:rsidR="00FD22B5" w:rsidRPr="00D549EE" w14:paraId="642C28FF" w14:textId="77777777" w:rsidTr="00860335">
        <w:trPr>
          <w:trHeight w:val="224"/>
        </w:trPr>
        <w:tc>
          <w:tcPr>
            <w:tcW w:w="3886" w:type="dxa"/>
          </w:tcPr>
          <w:p w14:paraId="2C907CCE" w14:textId="70DE3158" w:rsidR="00FD22B5" w:rsidRPr="00D549EE" w:rsidRDefault="00FD22B5" w:rsidP="00C9582F">
            <w:pPr>
              <w:pStyle w:val="a5"/>
              <w:rPr>
                <w:lang w:val="en-US"/>
              </w:rPr>
            </w:pPr>
            <w:r w:rsidRPr="00D549EE">
              <w:rPr>
                <w:bCs/>
                <w:lang w:val="en-US"/>
              </w:rPr>
              <w:t xml:space="preserve">Net cash used in investing activities </w:t>
            </w:r>
          </w:p>
        </w:tc>
        <w:tc>
          <w:tcPr>
            <w:tcW w:w="1071" w:type="dxa"/>
          </w:tcPr>
          <w:p w14:paraId="21B550C9" w14:textId="1312507B" w:rsidR="00FD22B5" w:rsidRPr="00D549EE" w:rsidRDefault="00FD22B5" w:rsidP="00C9582F">
            <w:pPr>
              <w:rPr>
                <w:lang w:val="en-US"/>
              </w:rPr>
            </w:pPr>
            <w:r w:rsidRPr="00D549EE">
              <w:rPr>
                <w:lang w:val="en-US"/>
              </w:rPr>
              <w:t>(4.6)</w:t>
            </w:r>
          </w:p>
        </w:tc>
        <w:tc>
          <w:tcPr>
            <w:tcW w:w="1018" w:type="dxa"/>
          </w:tcPr>
          <w:p w14:paraId="43E8E74A" w14:textId="513B2224" w:rsidR="00FD22B5" w:rsidRPr="00D549EE" w:rsidRDefault="00FD22B5" w:rsidP="00C9582F">
            <w:pPr>
              <w:rPr>
                <w:lang w:val="en-US"/>
              </w:rPr>
            </w:pPr>
            <w:r w:rsidRPr="00D549EE">
              <w:rPr>
                <w:lang w:val="en-US"/>
              </w:rPr>
              <w:t>0</w:t>
            </w:r>
          </w:p>
        </w:tc>
        <w:tc>
          <w:tcPr>
            <w:tcW w:w="1216" w:type="dxa"/>
          </w:tcPr>
          <w:p w14:paraId="58FDEB88" w14:textId="10C12CAE" w:rsidR="00FD22B5" w:rsidRPr="00D549EE" w:rsidRDefault="00FD22B5" w:rsidP="00C9582F">
            <w:pPr>
              <w:rPr>
                <w:lang w:val="en-US"/>
              </w:rPr>
            </w:pPr>
            <w:r w:rsidRPr="00D549EE">
              <w:rPr>
                <w:lang w:val="en-US"/>
              </w:rPr>
              <w:t>0</w:t>
            </w:r>
          </w:p>
        </w:tc>
        <w:tc>
          <w:tcPr>
            <w:tcW w:w="1216" w:type="dxa"/>
          </w:tcPr>
          <w:p w14:paraId="20419E98" w14:textId="5DDBD4BE" w:rsidR="00FD22B5" w:rsidRPr="00D549EE" w:rsidRDefault="00FD22B5" w:rsidP="00C9582F">
            <w:pPr>
              <w:rPr>
                <w:lang w:val="en-US"/>
              </w:rPr>
            </w:pPr>
            <w:r w:rsidRPr="00D549EE">
              <w:rPr>
                <w:lang w:val="en-US"/>
              </w:rPr>
              <w:t>0</w:t>
            </w:r>
          </w:p>
        </w:tc>
        <w:tc>
          <w:tcPr>
            <w:tcW w:w="1216" w:type="dxa"/>
          </w:tcPr>
          <w:p w14:paraId="106DED10" w14:textId="0FCD4051" w:rsidR="00FD22B5" w:rsidRPr="00D549EE" w:rsidRDefault="00FD22B5" w:rsidP="00C9582F">
            <w:pPr>
              <w:rPr>
                <w:lang w:val="en-US"/>
              </w:rPr>
            </w:pPr>
            <w:r w:rsidRPr="00D549EE">
              <w:rPr>
                <w:lang w:val="en-US"/>
              </w:rPr>
              <w:t>0</w:t>
            </w:r>
          </w:p>
        </w:tc>
      </w:tr>
      <w:tr w:rsidR="00FD22B5" w:rsidRPr="00D549EE" w14:paraId="73C48625" w14:textId="77777777" w:rsidTr="00860335">
        <w:trPr>
          <w:trHeight w:val="224"/>
        </w:trPr>
        <w:tc>
          <w:tcPr>
            <w:tcW w:w="3886" w:type="dxa"/>
          </w:tcPr>
          <w:p w14:paraId="0BED1744" w14:textId="39F32608" w:rsidR="00FD22B5" w:rsidRPr="00D549EE" w:rsidRDefault="00FD22B5" w:rsidP="00C9582F">
            <w:pPr>
              <w:pStyle w:val="a5"/>
              <w:rPr>
                <w:bCs/>
                <w:lang w:val="en-US"/>
              </w:rPr>
            </w:pPr>
            <w:r w:rsidRPr="00D549EE">
              <w:rPr>
                <w:bCs/>
                <w:lang w:val="en-US"/>
              </w:rPr>
              <w:t xml:space="preserve">Financing Activities </w:t>
            </w:r>
            <w:r w:rsidR="00D97620" w:rsidRPr="00D549EE">
              <w:rPr>
                <w:bCs/>
                <w:lang w:val="en-US"/>
              </w:rPr>
              <w:t>(CFF)</w:t>
            </w:r>
          </w:p>
        </w:tc>
        <w:tc>
          <w:tcPr>
            <w:tcW w:w="1071" w:type="dxa"/>
          </w:tcPr>
          <w:p w14:paraId="6761A4C3" w14:textId="77777777" w:rsidR="00FD22B5" w:rsidRPr="00D549EE" w:rsidRDefault="00FD22B5" w:rsidP="00C9582F">
            <w:pPr>
              <w:rPr>
                <w:lang w:val="en-US"/>
              </w:rPr>
            </w:pPr>
          </w:p>
        </w:tc>
        <w:tc>
          <w:tcPr>
            <w:tcW w:w="1018" w:type="dxa"/>
          </w:tcPr>
          <w:p w14:paraId="27FAB79D" w14:textId="77777777" w:rsidR="00FD22B5" w:rsidRPr="00D549EE" w:rsidRDefault="00FD22B5" w:rsidP="00C9582F">
            <w:pPr>
              <w:rPr>
                <w:lang w:val="en-US"/>
              </w:rPr>
            </w:pPr>
          </w:p>
        </w:tc>
        <w:tc>
          <w:tcPr>
            <w:tcW w:w="1216" w:type="dxa"/>
          </w:tcPr>
          <w:p w14:paraId="5862D5A7" w14:textId="77777777" w:rsidR="00FD22B5" w:rsidRPr="00D549EE" w:rsidRDefault="00FD22B5" w:rsidP="00C9582F">
            <w:pPr>
              <w:rPr>
                <w:lang w:val="en-US"/>
              </w:rPr>
            </w:pPr>
          </w:p>
        </w:tc>
        <w:tc>
          <w:tcPr>
            <w:tcW w:w="1216" w:type="dxa"/>
          </w:tcPr>
          <w:p w14:paraId="62AB5CC7" w14:textId="77777777" w:rsidR="00FD22B5" w:rsidRPr="00D549EE" w:rsidRDefault="00FD22B5" w:rsidP="00C9582F">
            <w:pPr>
              <w:rPr>
                <w:lang w:val="en-US"/>
              </w:rPr>
            </w:pPr>
          </w:p>
        </w:tc>
        <w:tc>
          <w:tcPr>
            <w:tcW w:w="1216" w:type="dxa"/>
          </w:tcPr>
          <w:p w14:paraId="63133AD2" w14:textId="77777777" w:rsidR="00FD22B5" w:rsidRPr="00D549EE" w:rsidRDefault="00FD22B5" w:rsidP="00C9582F">
            <w:pPr>
              <w:rPr>
                <w:lang w:val="en-US"/>
              </w:rPr>
            </w:pPr>
          </w:p>
        </w:tc>
      </w:tr>
      <w:tr w:rsidR="00FD22B5" w:rsidRPr="00D549EE" w14:paraId="36E5C929" w14:textId="77777777" w:rsidTr="00860335">
        <w:trPr>
          <w:trHeight w:val="224"/>
        </w:trPr>
        <w:tc>
          <w:tcPr>
            <w:tcW w:w="3886" w:type="dxa"/>
          </w:tcPr>
          <w:p w14:paraId="5AA583D1" w14:textId="20723CF6" w:rsidR="00FD22B5" w:rsidRPr="00D549EE" w:rsidRDefault="00FD22B5" w:rsidP="00C9582F">
            <w:pPr>
              <w:pStyle w:val="a5"/>
              <w:rPr>
                <w:bCs/>
                <w:lang w:val="en-US"/>
              </w:rPr>
            </w:pPr>
            <w:r w:rsidRPr="00D549EE">
              <w:rPr>
                <w:bCs/>
                <w:lang w:val="en-US"/>
              </w:rPr>
              <w:t>Contribution to equity</w:t>
            </w:r>
          </w:p>
        </w:tc>
        <w:tc>
          <w:tcPr>
            <w:tcW w:w="1071" w:type="dxa"/>
          </w:tcPr>
          <w:p w14:paraId="279B18D4" w14:textId="103EECD2" w:rsidR="00FD22B5" w:rsidRPr="00D549EE" w:rsidRDefault="00FD22B5" w:rsidP="00C9582F">
            <w:pPr>
              <w:rPr>
                <w:lang w:val="en-US"/>
              </w:rPr>
            </w:pPr>
            <w:r w:rsidRPr="00D549EE">
              <w:rPr>
                <w:lang w:val="en-US"/>
              </w:rPr>
              <w:t>0</w:t>
            </w:r>
          </w:p>
        </w:tc>
        <w:tc>
          <w:tcPr>
            <w:tcW w:w="1018" w:type="dxa"/>
          </w:tcPr>
          <w:p w14:paraId="04144074" w14:textId="7DAF8A8E" w:rsidR="00FD22B5" w:rsidRPr="00D549EE" w:rsidRDefault="00FD22B5" w:rsidP="00C9582F">
            <w:pPr>
              <w:rPr>
                <w:lang w:val="en-US"/>
              </w:rPr>
            </w:pPr>
            <w:r w:rsidRPr="00D549EE">
              <w:rPr>
                <w:lang w:val="en-US"/>
              </w:rPr>
              <w:t>0</w:t>
            </w:r>
          </w:p>
        </w:tc>
        <w:tc>
          <w:tcPr>
            <w:tcW w:w="1216" w:type="dxa"/>
          </w:tcPr>
          <w:p w14:paraId="17F967E7" w14:textId="5263666A" w:rsidR="00FD22B5" w:rsidRPr="00D549EE" w:rsidRDefault="00FD22B5" w:rsidP="00C9582F">
            <w:pPr>
              <w:rPr>
                <w:lang w:val="en-US"/>
              </w:rPr>
            </w:pPr>
            <w:r w:rsidRPr="00D549EE">
              <w:rPr>
                <w:lang w:val="en-US"/>
              </w:rPr>
              <w:t>0</w:t>
            </w:r>
          </w:p>
        </w:tc>
        <w:tc>
          <w:tcPr>
            <w:tcW w:w="1216" w:type="dxa"/>
          </w:tcPr>
          <w:p w14:paraId="5613C084" w14:textId="4A5CE206" w:rsidR="00FD22B5" w:rsidRPr="00D549EE" w:rsidRDefault="00FD22B5" w:rsidP="00C9582F">
            <w:pPr>
              <w:rPr>
                <w:lang w:val="en-US"/>
              </w:rPr>
            </w:pPr>
            <w:r w:rsidRPr="00D549EE">
              <w:rPr>
                <w:lang w:val="en-US"/>
              </w:rPr>
              <w:t>0</w:t>
            </w:r>
          </w:p>
        </w:tc>
        <w:tc>
          <w:tcPr>
            <w:tcW w:w="1216" w:type="dxa"/>
          </w:tcPr>
          <w:p w14:paraId="4ECD5940" w14:textId="6857E122" w:rsidR="00FD22B5" w:rsidRPr="00D549EE" w:rsidRDefault="00FD22B5" w:rsidP="00C9582F">
            <w:pPr>
              <w:rPr>
                <w:lang w:val="en-US"/>
              </w:rPr>
            </w:pPr>
            <w:r w:rsidRPr="00D549EE">
              <w:rPr>
                <w:lang w:val="en-US"/>
              </w:rPr>
              <w:t>0</w:t>
            </w:r>
          </w:p>
        </w:tc>
      </w:tr>
      <w:tr w:rsidR="00FD22B5" w:rsidRPr="00D549EE" w14:paraId="232172E0" w14:textId="77777777" w:rsidTr="00860335">
        <w:trPr>
          <w:trHeight w:val="224"/>
        </w:trPr>
        <w:tc>
          <w:tcPr>
            <w:tcW w:w="3886" w:type="dxa"/>
          </w:tcPr>
          <w:p w14:paraId="68307178" w14:textId="706E02F9" w:rsidR="00FD22B5" w:rsidRPr="00D549EE" w:rsidRDefault="00FD22B5" w:rsidP="00C9582F">
            <w:pPr>
              <w:pStyle w:val="a5"/>
              <w:rPr>
                <w:lang w:val="en-US"/>
              </w:rPr>
            </w:pPr>
            <w:r w:rsidRPr="00D549EE">
              <w:rPr>
                <w:lang w:val="en-US"/>
              </w:rPr>
              <w:t xml:space="preserve">Contributions from donors and investors </w:t>
            </w:r>
          </w:p>
        </w:tc>
        <w:tc>
          <w:tcPr>
            <w:tcW w:w="1071" w:type="dxa"/>
          </w:tcPr>
          <w:p w14:paraId="6C17DEDA" w14:textId="5BCB8162" w:rsidR="00FD22B5" w:rsidRPr="00D549EE" w:rsidRDefault="001F7A62" w:rsidP="00C9582F">
            <w:pPr>
              <w:rPr>
                <w:lang w:val="en-US"/>
              </w:rPr>
            </w:pPr>
            <w:r w:rsidRPr="00D549EE">
              <w:rPr>
                <w:lang w:val="en-US"/>
              </w:rPr>
              <w:t>0</w:t>
            </w:r>
          </w:p>
        </w:tc>
        <w:tc>
          <w:tcPr>
            <w:tcW w:w="1018" w:type="dxa"/>
          </w:tcPr>
          <w:p w14:paraId="6ACD53CB" w14:textId="4F08FA70" w:rsidR="00FD22B5" w:rsidRPr="00D549EE" w:rsidRDefault="0071039D" w:rsidP="00C9582F">
            <w:pPr>
              <w:rPr>
                <w:lang w:val="en-US"/>
              </w:rPr>
            </w:pPr>
            <w:r w:rsidRPr="00D549EE">
              <w:rPr>
                <w:lang w:val="en-US"/>
              </w:rPr>
              <w:t>1 212.84</w:t>
            </w:r>
          </w:p>
        </w:tc>
        <w:tc>
          <w:tcPr>
            <w:tcW w:w="1216" w:type="dxa"/>
          </w:tcPr>
          <w:p w14:paraId="621483A9" w14:textId="295E20C8" w:rsidR="00FD22B5" w:rsidRPr="00D549EE" w:rsidRDefault="0071039D" w:rsidP="00C9582F">
            <w:pPr>
              <w:rPr>
                <w:lang w:val="en-US"/>
              </w:rPr>
            </w:pPr>
            <w:r w:rsidRPr="00D549EE">
              <w:rPr>
                <w:lang w:val="en-US"/>
              </w:rPr>
              <w:t>1 394.77</w:t>
            </w:r>
          </w:p>
        </w:tc>
        <w:tc>
          <w:tcPr>
            <w:tcW w:w="1216" w:type="dxa"/>
          </w:tcPr>
          <w:p w14:paraId="480BE068" w14:textId="34240BBD" w:rsidR="00FD22B5" w:rsidRPr="00D549EE" w:rsidRDefault="0071039D" w:rsidP="00C9582F">
            <w:pPr>
              <w:rPr>
                <w:lang w:val="en-US"/>
              </w:rPr>
            </w:pPr>
            <w:r w:rsidRPr="00D549EE">
              <w:rPr>
                <w:lang w:val="en-US"/>
              </w:rPr>
              <w:t>1 603.98</w:t>
            </w:r>
          </w:p>
        </w:tc>
        <w:tc>
          <w:tcPr>
            <w:tcW w:w="1216" w:type="dxa"/>
          </w:tcPr>
          <w:p w14:paraId="0AACD2D9" w14:textId="3FDD4FE4" w:rsidR="00FD22B5" w:rsidRPr="00D549EE" w:rsidRDefault="0071039D" w:rsidP="00C9582F">
            <w:pPr>
              <w:rPr>
                <w:lang w:val="en-US"/>
              </w:rPr>
            </w:pPr>
            <w:r w:rsidRPr="00D549EE">
              <w:rPr>
                <w:lang w:val="en-US"/>
              </w:rPr>
              <w:t>1 920.36</w:t>
            </w:r>
          </w:p>
        </w:tc>
      </w:tr>
      <w:tr w:rsidR="00875AF5" w:rsidRPr="00D549EE" w14:paraId="51E73853" w14:textId="77777777" w:rsidTr="00860335">
        <w:trPr>
          <w:trHeight w:val="224"/>
        </w:trPr>
        <w:tc>
          <w:tcPr>
            <w:tcW w:w="3886" w:type="dxa"/>
          </w:tcPr>
          <w:p w14:paraId="59E5C46A" w14:textId="1D548E17" w:rsidR="00875AF5" w:rsidRPr="00D549EE" w:rsidRDefault="00875AF5" w:rsidP="00C9582F">
            <w:pPr>
              <w:pStyle w:val="a5"/>
              <w:rPr>
                <w:lang w:val="en-US"/>
              </w:rPr>
            </w:pPr>
            <w:r w:rsidRPr="00D549EE">
              <w:rPr>
                <w:bCs/>
                <w:lang w:val="en-US"/>
              </w:rPr>
              <w:t xml:space="preserve">Cash outflow of financing activities </w:t>
            </w:r>
          </w:p>
        </w:tc>
        <w:tc>
          <w:tcPr>
            <w:tcW w:w="1071" w:type="dxa"/>
          </w:tcPr>
          <w:p w14:paraId="2E6A5707" w14:textId="395C7EAE" w:rsidR="00875AF5" w:rsidRPr="00D549EE" w:rsidRDefault="00875AF5" w:rsidP="00C9582F">
            <w:pPr>
              <w:rPr>
                <w:lang w:val="en-US"/>
              </w:rPr>
            </w:pPr>
            <w:r w:rsidRPr="00D549EE">
              <w:rPr>
                <w:lang w:val="en-US"/>
              </w:rPr>
              <w:t>0</w:t>
            </w:r>
          </w:p>
        </w:tc>
        <w:tc>
          <w:tcPr>
            <w:tcW w:w="1018" w:type="dxa"/>
          </w:tcPr>
          <w:p w14:paraId="409971DF" w14:textId="5C75DD14" w:rsidR="00875AF5" w:rsidRPr="00D549EE" w:rsidRDefault="00875AF5" w:rsidP="00C9582F">
            <w:pPr>
              <w:rPr>
                <w:lang w:val="en-US"/>
              </w:rPr>
            </w:pPr>
            <w:r w:rsidRPr="00D549EE">
              <w:rPr>
                <w:lang w:val="en-US"/>
              </w:rPr>
              <w:t>(2</w:t>
            </w:r>
            <w:r w:rsidR="00BB0D25" w:rsidRPr="00D549EE">
              <w:rPr>
                <w:lang w:val="en-US"/>
              </w:rPr>
              <w:t>5.70</w:t>
            </w:r>
            <w:r w:rsidRPr="00D549EE">
              <w:rPr>
                <w:lang w:val="en-US"/>
              </w:rPr>
              <w:t>)</w:t>
            </w:r>
          </w:p>
        </w:tc>
        <w:tc>
          <w:tcPr>
            <w:tcW w:w="1216" w:type="dxa"/>
          </w:tcPr>
          <w:p w14:paraId="59B2590B" w14:textId="59DB852E" w:rsidR="00875AF5" w:rsidRPr="00D549EE" w:rsidRDefault="00875AF5" w:rsidP="00C9582F">
            <w:pPr>
              <w:rPr>
                <w:lang w:val="en-US"/>
              </w:rPr>
            </w:pPr>
            <w:r w:rsidRPr="00D549EE">
              <w:rPr>
                <w:lang w:val="en-US"/>
              </w:rPr>
              <w:t>(</w:t>
            </w:r>
            <w:r w:rsidR="00BB0D25" w:rsidRPr="00D549EE">
              <w:rPr>
                <w:lang w:val="en-US"/>
              </w:rPr>
              <w:t>33.94</w:t>
            </w:r>
            <w:r w:rsidRPr="00D549EE">
              <w:rPr>
                <w:lang w:val="en-US"/>
              </w:rPr>
              <w:t>)</w:t>
            </w:r>
          </w:p>
        </w:tc>
        <w:tc>
          <w:tcPr>
            <w:tcW w:w="1216" w:type="dxa"/>
          </w:tcPr>
          <w:p w14:paraId="2A0EDD74" w14:textId="2459B30E" w:rsidR="00875AF5" w:rsidRPr="00D549EE" w:rsidRDefault="00875AF5" w:rsidP="00C9582F">
            <w:pPr>
              <w:rPr>
                <w:lang w:val="en-US"/>
              </w:rPr>
            </w:pPr>
            <w:r w:rsidRPr="00D549EE">
              <w:rPr>
                <w:lang w:val="en-US"/>
              </w:rPr>
              <w:t xml:space="preserve"> </w:t>
            </w:r>
            <w:r w:rsidR="00BB0D25" w:rsidRPr="00D549EE">
              <w:rPr>
                <w:lang w:val="en-US"/>
              </w:rPr>
              <w:t>82.01</w:t>
            </w:r>
          </w:p>
        </w:tc>
        <w:tc>
          <w:tcPr>
            <w:tcW w:w="1216" w:type="dxa"/>
          </w:tcPr>
          <w:p w14:paraId="1752788B" w14:textId="245F23B4" w:rsidR="00875AF5" w:rsidRPr="00D549EE" w:rsidRDefault="00BB0D25" w:rsidP="00C9582F">
            <w:pPr>
              <w:rPr>
                <w:lang w:val="en-US"/>
              </w:rPr>
            </w:pPr>
            <w:r w:rsidRPr="00D549EE">
              <w:rPr>
                <w:lang w:val="en-US"/>
              </w:rPr>
              <w:t>65.75</w:t>
            </w:r>
          </w:p>
        </w:tc>
      </w:tr>
      <w:tr w:rsidR="00FD22B5" w:rsidRPr="00D549EE" w14:paraId="5A32C66C" w14:textId="77777777" w:rsidTr="00860335">
        <w:trPr>
          <w:trHeight w:val="206"/>
        </w:trPr>
        <w:tc>
          <w:tcPr>
            <w:tcW w:w="3886" w:type="dxa"/>
          </w:tcPr>
          <w:p w14:paraId="37ACE7A9" w14:textId="7F5690B7" w:rsidR="00FD22B5" w:rsidRPr="00D549EE" w:rsidRDefault="00FD22B5" w:rsidP="00C9582F">
            <w:pPr>
              <w:pStyle w:val="a5"/>
            </w:pPr>
            <w:r w:rsidRPr="00D549EE">
              <w:t xml:space="preserve">Financing in projects </w:t>
            </w:r>
          </w:p>
        </w:tc>
        <w:tc>
          <w:tcPr>
            <w:tcW w:w="1071" w:type="dxa"/>
          </w:tcPr>
          <w:p w14:paraId="57E8F33C" w14:textId="5858D3D3" w:rsidR="00FD22B5" w:rsidRPr="00D549EE" w:rsidRDefault="001F7A62" w:rsidP="00C9582F">
            <w:pPr>
              <w:rPr>
                <w:color w:val="000000" w:themeColor="text1"/>
                <w:lang w:val="en-US"/>
              </w:rPr>
            </w:pPr>
            <w:r w:rsidRPr="00D549EE">
              <w:rPr>
                <w:color w:val="000000" w:themeColor="text1"/>
                <w:lang w:val="en-US"/>
              </w:rPr>
              <w:t>0</w:t>
            </w:r>
          </w:p>
        </w:tc>
        <w:tc>
          <w:tcPr>
            <w:tcW w:w="1018" w:type="dxa"/>
          </w:tcPr>
          <w:p w14:paraId="1EC83C03" w14:textId="78F58ACF" w:rsidR="00FD22B5" w:rsidRPr="00D549EE" w:rsidRDefault="00FD22B5" w:rsidP="00C9582F">
            <w:pPr>
              <w:rPr>
                <w:color w:val="000000" w:themeColor="text1"/>
                <w:lang w:val="en-US"/>
              </w:rPr>
            </w:pPr>
            <w:r w:rsidRPr="00D549EE">
              <w:rPr>
                <w:color w:val="000000" w:themeColor="text1"/>
                <w:lang w:val="en-US"/>
              </w:rPr>
              <w:t>(</w:t>
            </w:r>
            <w:r w:rsidR="0071039D" w:rsidRPr="00D549EE">
              <w:rPr>
                <w:color w:val="000000" w:themeColor="text1"/>
                <w:lang w:val="en-US"/>
              </w:rPr>
              <w:t>1 187.14</w:t>
            </w:r>
            <w:r w:rsidRPr="00D549EE">
              <w:rPr>
                <w:color w:val="000000" w:themeColor="text1"/>
                <w:lang w:val="en-US"/>
              </w:rPr>
              <w:t>)</w:t>
            </w:r>
          </w:p>
        </w:tc>
        <w:tc>
          <w:tcPr>
            <w:tcW w:w="1216" w:type="dxa"/>
          </w:tcPr>
          <w:p w14:paraId="02B2F232" w14:textId="7CB8812A" w:rsidR="00FD22B5" w:rsidRPr="00D549EE" w:rsidRDefault="00FD22B5" w:rsidP="00C9582F">
            <w:pPr>
              <w:rPr>
                <w:color w:val="000000" w:themeColor="text1"/>
                <w:lang w:val="en-US"/>
              </w:rPr>
            </w:pPr>
            <w:r w:rsidRPr="00D549EE">
              <w:rPr>
                <w:color w:val="000000" w:themeColor="text1"/>
                <w:lang w:val="en-US"/>
              </w:rPr>
              <w:t>(</w:t>
            </w:r>
            <w:r w:rsidR="0071039D" w:rsidRPr="00D549EE">
              <w:rPr>
                <w:color w:val="000000" w:themeColor="text1"/>
                <w:lang w:val="en-US"/>
              </w:rPr>
              <w:t>1 360.83</w:t>
            </w:r>
            <w:r w:rsidRPr="00D549EE">
              <w:rPr>
                <w:color w:val="000000" w:themeColor="text1"/>
                <w:lang w:val="en-US"/>
              </w:rPr>
              <w:t>)</w:t>
            </w:r>
          </w:p>
        </w:tc>
        <w:tc>
          <w:tcPr>
            <w:tcW w:w="1216" w:type="dxa"/>
          </w:tcPr>
          <w:p w14:paraId="260216FF" w14:textId="55E39AC6" w:rsidR="00FD22B5" w:rsidRPr="00D549EE" w:rsidRDefault="00FD22B5" w:rsidP="00C9582F">
            <w:pPr>
              <w:rPr>
                <w:color w:val="000000" w:themeColor="text1"/>
                <w:lang w:val="en-US"/>
              </w:rPr>
            </w:pPr>
            <w:r w:rsidRPr="00D549EE">
              <w:rPr>
                <w:color w:val="000000" w:themeColor="text1"/>
                <w:lang w:val="en-US"/>
              </w:rPr>
              <w:t>(</w:t>
            </w:r>
            <w:r w:rsidR="0071039D" w:rsidRPr="00D549EE">
              <w:rPr>
                <w:color w:val="000000" w:themeColor="text1"/>
                <w:lang w:val="en-US"/>
              </w:rPr>
              <w:t>1 685.99</w:t>
            </w:r>
            <w:r w:rsidR="002412E4" w:rsidRPr="00D549EE">
              <w:rPr>
                <w:color w:val="000000" w:themeColor="text1"/>
                <w:lang w:val="en-US"/>
              </w:rPr>
              <w:t>)</w:t>
            </w:r>
          </w:p>
        </w:tc>
        <w:tc>
          <w:tcPr>
            <w:tcW w:w="1216" w:type="dxa"/>
          </w:tcPr>
          <w:p w14:paraId="3938FC45" w14:textId="2DB2D39B" w:rsidR="00FD22B5" w:rsidRPr="00D549EE" w:rsidRDefault="00FD22B5" w:rsidP="00C9582F">
            <w:pPr>
              <w:rPr>
                <w:color w:val="000000" w:themeColor="text1"/>
                <w:lang w:val="en-US"/>
              </w:rPr>
            </w:pPr>
            <w:r w:rsidRPr="00D549EE">
              <w:rPr>
                <w:color w:val="000000" w:themeColor="text1"/>
                <w:lang w:val="en-US"/>
              </w:rPr>
              <w:t>(</w:t>
            </w:r>
            <w:r w:rsidR="0071039D" w:rsidRPr="00D549EE">
              <w:rPr>
                <w:color w:val="000000" w:themeColor="text1"/>
                <w:lang w:val="en-US"/>
              </w:rPr>
              <w:t>1 986.12</w:t>
            </w:r>
            <w:r w:rsidRPr="00D549EE">
              <w:rPr>
                <w:color w:val="000000" w:themeColor="text1"/>
                <w:lang w:val="en-US"/>
              </w:rPr>
              <w:t>)</w:t>
            </w:r>
          </w:p>
        </w:tc>
      </w:tr>
      <w:tr w:rsidR="00FD22B5" w:rsidRPr="00D549EE" w14:paraId="56B4B212" w14:textId="77777777" w:rsidTr="00860335">
        <w:trPr>
          <w:trHeight w:val="224"/>
        </w:trPr>
        <w:tc>
          <w:tcPr>
            <w:tcW w:w="3886" w:type="dxa"/>
          </w:tcPr>
          <w:p w14:paraId="58ADF30F" w14:textId="16702D49" w:rsidR="00FD22B5" w:rsidRPr="00D549EE" w:rsidRDefault="00FD22B5" w:rsidP="00C9582F">
            <w:pPr>
              <w:pStyle w:val="a5"/>
              <w:rPr>
                <w:lang w:val="en-US"/>
              </w:rPr>
            </w:pPr>
            <w:r w:rsidRPr="00D549EE">
              <w:rPr>
                <w:bCs/>
                <w:lang w:val="en-US"/>
              </w:rPr>
              <w:t xml:space="preserve">Net cash used in financing activities </w:t>
            </w:r>
          </w:p>
        </w:tc>
        <w:tc>
          <w:tcPr>
            <w:tcW w:w="1071" w:type="dxa"/>
          </w:tcPr>
          <w:p w14:paraId="09C8AB97" w14:textId="37FCEA52" w:rsidR="00FD22B5" w:rsidRPr="00D549EE" w:rsidRDefault="007642A4" w:rsidP="00C9582F">
            <w:pPr>
              <w:rPr>
                <w:lang w:val="en-US"/>
              </w:rPr>
            </w:pPr>
            <w:r w:rsidRPr="00D549EE">
              <w:rPr>
                <w:lang w:val="en-US"/>
              </w:rPr>
              <w:t>0</w:t>
            </w:r>
          </w:p>
        </w:tc>
        <w:tc>
          <w:tcPr>
            <w:tcW w:w="1018" w:type="dxa"/>
          </w:tcPr>
          <w:p w14:paraId="726B707B" w14:textId="3F8226D1" w:rsidR="00FD22B5" w:rsidRPr="00D549EE" w:rsidRDefault="00FD22B5" w:rsidP="00C9582F">
            <w:pPr>
              <w:rPr>
                <w:lang w:val="en-US"/>
              </w:rPr>
            </w:pPr>
            <w:r w:rsidRPr="00D549EE">
              <w:rPr>
                <w:lang w:val="en-US"/>
              </w:rPr>
              <w:t>0</w:t>
            </w:r>
          </w:p>
        </w:tc>
        <w:tc>
          <w:tcPr>
            <w:tcW w:w="1216" w:type="dxa"/>
          </w:tcPr>
          <w:p w14:paraId="1EC71A78" w14:textId="7F18085F" w:rsidR="00FD22B5" w:rsidRPr="00D549EE" w:rsidRDefault="00FD22B5" w:rsidP="00C9582F">
            <w:pPr>
              <w:rPr>
                <w:lang w:val="en-US"/>
              </w:rPr>
            </w:pPr>
            <w:r w:rsidRPr="00D549EE">
              <w:rPr>
                <w:lang w:val="en-US"/>
              </w:rPr>
              <w:t>0</w:t>
            </w:r>
          </w:p>
        </w:tc>
        <w:tc>
          <w:tcPr>
            <w:tcW w:w="1216" w:type="dxa"/>
          </w:tcPr>
          <w:p w14:paraId="574F23C4" w14:textId="58062CA8" w:rsidR="00FD22B5" w:rsidRPr="00D549EE" w:rsidRDefault="00FD22B5" w:rsidP="00C9582F">
            <w:pPr>
              <w:rPr>
                <w:lang w:val="en-US"/>
              </w:rPr>
            </w:pPr>
            <w:r w:rsidRPr="00D549EE">
              <w:rPr>
                <w:lang w:val="en-US"/>
              </w:rPr>
              <w:t>0</w:t>
            </w:r>
          </w:p>
        </w:tc>
        <w:tc>
          <w:tcPr>
            <w:tcW w:w="1216" w:type="dxa"/>
          </w:tcPr>
          <w:p w14:paraId="121BFC8F" w14:textId="7FEC0484" w:rsidR="00FD22B5" w:rsidRPr="00D549EE" w:rsidRDefault="00FD22B5" w:rsidP="00C9582F">
            <w:pPr>
              <w:rPr>
                <w:lang w:val="en-US"/>
              </w:rPr>
            </w:pPr>
            <w:r w:rsidRPr="00D549EE">
              <w:rPr>
                <w:lang w:val="en-US"/>
              </w:rPr>
              <w:t>0</w:t>
            </w:r>
          </w:p>
        </w:tc>
      </w:tr>
      <w:tr w:rsidR="00261C94" w:rsidRPr="00D549EE" w14:paraId="5AC99547" w14:textId="77777777" w:rsidTr="00860335">
        <w:trPr>
          <w:trHeight w:val="224"/>
        </w:trPr>
        <w:tc>
          <w:tcPr>
            <w:tcW w:w="9623" w:type="dxa"/>
            <w:gridSpan w:val="6"/>
          </w:tcPr>
          <w:p w14:paraId="685688C3" w14:textId="77777777" w:rsidR="00261C94" w:rsidRPr="00D549EE" w:rsidRDefault="00261C94" w:rsidP="00C9582F">
            <w:pPr>
              <w:rPr>
                <w:lang w:val="en-US"/>
              </w:rPr>
            </w:pPr>
          </w:p>
        </w:tc>
      </w:tr>
      <w:tr w:rsidR="00FD22B5" w:rsidRPr="00D549EE" w14:paraId="229AA8E7" w14:textId="77777777" w:rsidTr="00860335">
        <w:trPr>
          <w:trHeight w:val="224"/>
        </w:trPr>
        <w:tc>
          <w:tcPr>
            <w:tcW w:w="3886" w:type="dxa"/>
          </w:tcPr>
          <w:p w14:paraId="2F9588CC" w14:textId="6C9549D0" w:rsidR="00FD22B5" w:rsidRPr="00D549EE" w:rsidRDefault="00FD22B5" w:rsidP="00C9582F">
            <w:pPr>
              <w:pStyle w:val="a5"/>
              <w:rPr>
                <w:lang w:val="en-US"/>
              </w:rPr>
            </w:pPr>
            <w:r w:rsidRPr="00D549EE">
              <w:rPr>
                <w:i/>
                <w:iCs/>
                <w:lang w:val="en-US"/>
              </w:rPr>
              <w:t xml:space="preserve">Net increase (decrease) in cash </w:t>
            </w:r>
          </w:p>
        </w:tc>
        <w:tc>
          <w:tcPr>
            <w:tcW w:w="1071" w:type="dxa"/>
          </w:tcPr>
          <w:p w14:paraId="241F202C" w14:textId="22BAE4EC" w:rsidR="00FD22B5" w:rsidRPr="00D549EE" w:rsidRDefault="00FD22B5" w:rsidP="00C9582F">
            <w:pPr>
              <w:rPr>
                <w:lang w:val="en-US"/>
              </w:rPr>
            </w:pPr>
            <w:r w:rsidRPr="00D549EE">
              <w:rPr>
                <w:lang w:val="en-US"/>
              </w:rPr>
              <w:t>(4.6)</w:t>
            </w:r>
          </w:p>
        </w:tc>
        <w:tc>
          <w:tcPr>
            <w:tcW w:w="1018" w:type="dxa"/>
          </w:tcPr>
          <w:p w14:paraId="5921EECB" w14:textId="76ED080C" w:rsidR="00FD22B5" w:rsidRPr="00D549EE" w:rsidRDefault="00FD22B5" w:rsidP="00C9582F">
            <w:pPr>
              <w:rPr>
                <w:lang w:val="en-US"/>
              </w:rPr>
            </w:pPr>
            <w:r w:rsidRPr="00D549EE">
              <w:rPr>
                <w:lang w:val="en-US"/>
              </w:rPr>
              <w:t>0</w:t>
            </w:r>
          </w:p>
        </w:tc>
        <w:tc>
          <w:tcPr>
            <w:tcW w:w="1216" w:type="dxa"/>
          </w:tcPr>
          <w:p w14:paraId="05D2C9CA" w14:textId="6308F174" w:rsidR="00FD22B5" w:rsidRPr="00D549EE" w:rsidRDefault="00FD22B5" w:rsidP="00C9582F">
            <w:pPr>
              <w:rPr>
                <w:lang w:val="en-US"/>
              </w:rPr>
            </w:pPr>
            <w:r w:rsidRPr="00D549EE">
              <w:rPr>
                <w:lang w:val="en-US"/>
              </w:rPr>
              <w:t>0</w:t>
            </w:r>
          </w:p>
        </w:tc>
        <w:tc>
          <w:tcPr>
            <w:tcW w:w="1216" w:type="dxa"/>
          </w:tcPr>
          <w:p w14:paraId="0293F2B3" w14:textId="6923E3CD" w:rsidR="00FD22B5" w:rsidRPr="00D549EE" w:rsidRDefault="00FD22B5" w:rsidP="00C9582F">
            <w:pPr>
              <w:rPr>
                <w:lang w:val="en-US"/>
              </w:rPr>
            </w:pPr>
            <w:r w:rsidRPr="00D549EE">
              <w:rPr>
                <w:lang w:val="en-US"/>
              </w:rPr>
              <w:t>0</w:t>
            </w:r>
          </w:p>
        </w:tc>
        <w:tc>
          <w:tcPr>
            <w:tcW w:w="1216" w:type="dxa"/>
          </w:tcPr>
          <w:p w14:paraId="00D265DE" w14:textId="0FB0E9E3" w:rsidR="00FD22B5" w:rsidRPr="00D549EE" w:rsidRDefault="00FD22B5" w:rsidP="00C9582F">
            <w:pPr>
              <w:rPr>
                <w:lang w:val="en-US"/>
              </w:rPr>
            </w:pPr>
            <w:r w:rsidRPr="00D549EE">
              <w:rPr>
                <w:lang w:val="en-US"/>
              </w:rPr>
              <w:t>0</w:t>
            </w:r>
          </w:p>
        </w:tc>
      </w:tr>
      <w:tr w:rsidR="00FD22B5" w:rsidRPr="00D549EE" w14:paraId="5E374A80" w14:textId="77777777" w:rsidTr="00860335">
        <w:trPr>
          <w:trHeight w:val="224"/>
        </w:trPr>
        <w:tc>
          <w:tcPr>
            <w:tcW w:w="3886" w:type="dxa"/>
          </w:tcPr>
          <w:p w14:paraId="197224B1" w14:textId="0DC8DA1D" w:rsidR="00FD22B5" w:rsidRPr="00D549EE" w:rsidRDefault="00FD22B5" w:rsidP="00C9582F">
            <w:pPr>
              <w:pStyle w:val="a5"/>
              <w:rPr>
                <w:lang w:val="en-US"/>
              </w:rPr>
            </w:pPr>
            <w:r w:rsidRPr="00D549EE">
              <w:rPr>
                <w:lang w:val="en-US"/>
              </w:rPr>
              <w:t xml:space="preserve">Cash and cash equivalents, beginning of period </w:t>
            </w:r>
          </w:p>
        </w:tc>
        <w:tc>
          <w:tcPr>
            <w:tcW w:w="1071" w:type="dxa"/>
          </w:tcPr>
          <w:p w14:paraId="659FA223" w14:textId="012AFA30" w:rsidR="00FD22B5" w:rsidRPr="00D549EE" w:rsidRDefault="00FD22B5" w:rsidP="00C9582F">
            <w:pPr>
              <w:rPr>
                <w:lang w:val="en-US"/>
              </w:rPr>
            </w:pPr>
            <w:r w:rsidRPr="00D549EE">
              <w:rPr>
                <w:lang w:val="en-US"/>
              </w:rPr>
              <w:t>4.6</w:t>
            </w:r>
          </w:p>
        </w:tc>
        <w:tc>
          <w:tcPr>
            <w:tcW w:w="1018" w:type="dxa"/>
          </w:tcPr>
          <w:p w14:paraId="381BFD7F" w14:textId="7E5ABE26" w:rsidR="00FD22B5" w:rsidRPr="00D549EE" w:rsidRDefault="00FD22B5" w:rsidP="00C9582F">
            <w:pPr>
              <w:rPr>
                <w:lang w:val="en-US"/>
              </w:rPr>
            </w:pPr>
            <w:r w:rsidRPr="00D549EE">
              <w:rPr>
                <w:lang w:val="en-US"/>
              </w:rPr>
              <w:t>0</w:t>
            </w:r>
          </w:p>
        </w:tc>
        <w:tc>
          <w:tcPr>
            <w:tcW w:w="1216" w:type="dxa"/>
          </w:tcPr>
          <w:p w14:paraId="24D8B061" w14:textId="5224A634" w:rsidR="00FD22B5" w:rsidRPr="00D549EE" w:rsidRDefault="00FD22B5" w:rsidP="00C9582F">
            <w:pPr>
              <w:rPr>
                <w:lang w:val="en-US"/>
              </w:rPr>
            </w:pPr>
            <w:r w:rsidRPr="00D549EE">
              <w:rPr>
                <w:lang w:val="en-US"/>
              </w:rPr>
              <w:t>0</w:t>
            </w:r>
          </w:p>
        </w:tc>
        <w:tc>
          <w:tcPr>
            <w:tcW w:w="1216" w:type="dxa"/>
          </w:tcPr>
          <w:p w14:paraId="27F33868" w14:textId="20E7288F" w:rsidR="00FD22B5" w:rsidRPr="00D549EE" w:rsidRDefault="00FD22B5" w:rsidP="00C9582F">
            <w:pPr>
              <w:rPr>
                <w:lang w:val="en-US"/>
              </w:rPr>
            </w:pPr>
            <w:r w:rsidRPr="00D549EE">
              <w:rPr>
                <w:lang w:val="en-US"/>
              </w:rPr>
              <w:t>0</w:t>
            </w:r>
          </w:p>
        </w:tc>
        <w:tc>
          <w:tcPr>
            <w:tcW w:w="1216" w:type="dxa"/>
          </w:tcPr>
          <w:p w14:paraId="38C7A5FA" w14:textId="46358EB7" w:rsidR="00FD22B5" w:rsidRPr="00D549EE" w:rsidRDefault="00FD22B5" w:rsidP="00C9582F">
            <w:pPr>
              <w:rPr>
                <w:lang w:val="en-US"/>
              </w:rPr>
            </w:pPr>
            <w:r w:rsidRPr="00D549EE">
              <w:rPr>
                <w:lang w:val="en-US"/>
              </w:rPr>
              <w:t>0</w:t>
            </w:r>
          </w:p>
        </w:tc>
      </w:tr>
      <w:tr w:rsidR="00FD22B5" w:rsidRPr="00D549EE" w14:paraId="1F04E147" w14:textId="77777777" w:rsidTr="00860335">
        <w:trPr>
          <w:trHeight w:val="224"/>
        </w:trPr>
        <w:tc>
          <w:tcPr>
            <w:tcW w:w="3886" w:type="dxa"/>
          </w:tcPr>
          <w:p w14:paraId="6FB26CF7" w14:textId="566DAFEC" w:rsidR="00FD22B5" w:rsidRPr="00D549EE" w:rsidRDefault="00FD22B5" w:rsidP="00C9582F">
            <w:pPr>
              <w:pStyle w:val="a5"/>
              <w:rPr>
                <w:lang w:val="en-US"/>
              </w:rPr>
            </w:pPr>
            <w:r w:rsidRPr="00D549EE">
              <w:rPr>
                <w:lang w:val="en-US"/>
              </w:rPr>
              <w:t xml:space="preserve">Cash and cash equivalents, end of period </w:t>
            </w:r>
          </w:p>
        </w:tc>
        <w:tc>
          <w:tcPr>
            <w:tcW w:w="1071" w:type="dxa"/>
          </w:tcPr>
          <w:p w14:paraId="64D23CEC" w14:textId="0EDA3479" w:rsidR="00FD22B5" w:rsidRPr="00D549EE" w:rsidRDefault="00FD22B5" w:rsidP="00C9582F">
            <w:pPr>
              <w:rPr>
                <w:lang w:val="en-US"/>
              </w:rPr>
            </w:pPr>
            <w:r w:rsidRPr="00D549EE">
              <w:rPr>
                <w:lang w:val="en-US"/>
              </w:rPr>
              <w:t>0</w:t>
            </w:r>
          </w:p>
        </w:tc>
        <w:tc>
          <w:tcPr>
            <w:tcW w:w="1018" w:type="dxa"/>
          </w:tcPr>
          <w:p w14:paraId="70780931" w14:textId="7A3DB981" w:rsidR="00FD22B5" w:rsidRPr="00D549EE" w:rsidRDefault="00FD22B5" w:rsidP="00C9582F">
            <w:pPr>
              <w:rPr>
                <w:lang w:val="en-US"/>
              </w:rPr>
            </w:pPr>
            <w:r w:rsidRPr="00D549EE">
              <w:rPr>
                <w:lang w:val="en-US"/>
              </w:rPr>
              <w:t>0</w:t>
            </w:r>
          </w:p>
        </w:tc>
        <w:tc>
          <w:tcPr>
            <w:tcW w:w="1216" w:type="dxa"/>
          </w:tcPr>
          <w:p w14:paraId="48058660" w14:textId="2D0273E3" w:rsidR="00FD22B5" w:rsidRPr="00D549EE" w:rsidRDefault="00FD22B5" w:rsidP="00C9582F">
            <w:pPr>
              <w:rPr>
                <w:lang w:val="en-US"/>
              </w:rPr>
            </w:pPr>
            <w:r w:rsidRPr="00D549EE">
              <w:rPr>
                <w:lang w:val="en-US"/>
              </w:rPr>
              <w:t>0</w:t>
            </w:r>
          </w:p>
        </w:tc>
        <w:tc>
          <w:tcPr>
            <w:tcW w:w="1216" w:type="dxa"/>
          </w:tcPr>
          <w:p w14:paraId="1700E82B" w14:textId="5F0BBDCE" w:rsidR="00FD22B5" w:rsidRPr="00D549EE" w:rsidRDefault="00FD22B5" w:rsidP="00C9582F">
            <w:pPr>
              <w:rPr>
                <w:lang w:val="en-US"/>
              </w:rPr>
            </w:pPr>
            <w:r w:rsidRPr="00D549EE">
              <w:rPr>
                <w:lang w:val="en-US"/>
              </w:rPr>
              <w:t>0</w:t>
            </w:r>
          </w:p>
        </w:tc>
        <w:tc>
          <w:tcPr>
            <w:tcW w:w="1216" w:type="dxa"/>
          </w:tcPr>
          <w:p w14:paraId="18D7848D" w14:textId="607D6917" w:rsidR="00FD22B5" w:rsidRPr="00D549EE" w:rsidRDefault="00FD22B5" w:rsidP="00C9582F">
            <w:pPr>
              <w:rPr>
                <w:lang w:val="en-US"/>
              </w:rPr>
            </w:pPr>
            <w:r w:rsidRPr="00D549EE">
              <w:rPr>
                <w:lang w:val="en-US"/>
              </w:rPr>
              <w:t>0</w:t>
            </w:r>
          </w:p>
        </w:tc>
      </w:tr>
      <w:tr w:rsidR="00171B07" w:rsidRPr="00FC685D" w14:paraId="65190A62" w14:textId="77777777" w:rsidTr="0073537E">
        <w:trPr>
          <w:trHeight w:val="224"/>
        </w:trPr>
        <w:tc>
          <w:tcPr>
            <w:tcW w:w="9623" w:type="dxa"/>
            <w:gridSpan w:val="6"/>
          </w:tcPr>
          <w:p w14:paraId="212D6219" w14:textId="26AD933A" w:rsidR="00171B07" w:rsidRPr="00D549EE" w:rsidRDefault="00171B07" w:rsidP="00C9582F">
            <w:pPr>
              <w:rPr>
                <w:lang w:val="en-US"/>
              </w:rPr>
            </w:pPr>
            <w:r w:rsidRPr="00D549EE">
              <w:rPr>
                <w:lang w:val="en-US"/>
              </w:rPr>
              <w:t xml:space="preserve">     Note – Compiled by the author </w:t>
            </w:r>
          </w:p>
        </w:tc>
      </w:tr>
    </w:tbl>
    <w:p w14:paraId="18963D96" w14:textId="79FDE711" w:rsidR="00417037" w:rsidRPr="00D549EE" w:rsidRDefault="00417037" w:rsidP="00C9582F">
      <w:pPr>
        <w:jc w:val="both"/>
        <w:rPr>
          <w:sz w:val="28"/>
          <w:szCs w:val="28"/>
          <w:lang w:val="en-US"/>
        </w:rPr>
      </w:pPr>
      <w:r w:rsidRPr="00D549EE">
        <w:rPr>
          <w:sz w:val="28"/>
          <w:szCs w:val="28"/>
          <w:lang w:val="en-US"/>
        </w:rPr>
        <w:t xml:space="preserve"> </w:t>
      </w:r>
    </w:p>
    <w:p w14:paraId="26965233" w14:textId="77777777" w:rsidR="00CC4E14" w:rsidRPr="00CC4E14" w:rsidRDefault="00830640" w:rsidP="00CC4E14">
      <w:pPr>
        <w:jc w:val="both"/>
        <w:rPr>
          <w:sz w:val="28"/>
          <w:szCs w:val="28"/>
          <w:lang w:val="en-US"/>
        </w:rPr>
      </w:pPr>
      <w:r w:rsidRPr="00D549EE">
        <w:rPr>
          <w:sz w:val="28"/>
          <w:szCs w:val="28"/>
          <w:lang w:val="en-US"/>
        </w:rPr>
        <w:tab/>
      </w:r>
      <w:r w:rsidR="00CC4E14" w:rsidRPr="00CC4E14">
        <w:rPr>
          <w:sz w:val="28"/>
          <w:szCs w:val="28"/>
          <w:lang w:val="en-US"/>
        </w:rPr>
        <w:t>Projected financial statements are prepared following international financial reporting standards. According to the financial report, we observe an increase in assets and a gradual increase in income, which positively affects the fund’s stability. From this, we can conclude that this project is financially stable.</w:t>
      </w:r>
    </w:p>
    <w:p w14:paraId="5D5EE120" w14:textId="6C5063AD" w:rsidR="00830640" w:rsidRDefault="00CC4E14" w:rsidP="00CC4E14">
      <w:pPr>
        <w:jc w:val="both"/>
        <w:rPr>
          <w:sz w:val="28"/>
          <w:szCs w:val="28"/>
          <w:lang w:val="en-US"/>
        </w:rPr>
      </w:pPr>
      <w:r w:rsidRPr="00CC4E14">
        <w:rPr>
          <w:sz w:val="28"/>
          <w:szCs w:val="28"/>
          <w:lang w:val="en-US"/>
        </w:rPr>
        <w:tab/>
        <w:t>The estimated financial indicators approve the probability of integration of the crowdfunding platform in the Zeket foundation’s zakat collection. The number of general expenditures without using blockchain technology, which is underdeveloped in the country at this stage, will be affected by the rapid growth of collection and applications of needy covering.</w:t>
      </w:r>
    </w:p>
    <w:p w14:paraId="630CE699" w14:textId="77777777" w:rsidR="00CC4E14" w:rsidRPr="00D549EE" w:rsidRDefault="00CC4E14" w:rsidP="00CC4E14">
      <w:pPr>
        <w:jc w:val="both"/>
        <w:rPr>
          <w:sz w:val="28"/>
          <w:szCs w:val="28"/>
          <w:lang w:val="en-US"/>
        </w:rPr>
      </w:pPr>
    </w:p>
    <w:p w14:paraId="595C74DF" w14:textId="77777777" w:rsidR="00F933D3" w:rsidRDefault="00F933D3" w:rsidP="00C9582F">
      <w:pPr>
        <w:jc w:val="both"/>
        <w:rPr>
          <w:sz w:val="28"/>
          <w:szCs w:val="28"/>
          <w:lang w:val="en-US"/>
        </w:rPr>
      </w:pPr>
    </w:p>
    <w:p w14:paraId="535A41D2" w14:textId="77777777" w:rsidR="00F933D3" w:rsidRDefault="00F933D3" w:rsidP="00C9582F">
      <w:pPr>
        <w:jc w:val="both"/>
        <w:rPr>
          <w:sz w:val="28"/>
          <w:szCs w:val="28"/>
          <w:lang w:val="en-US"/>
        </w:rPr>
      </w:pPr>
    </w:p>
    <w:p w14:paraId="4E868884" w14:textId="4AFC7D28" w:rsidR="00830640" w:rsidRPr="00D549EE" w:rsidRDefault="00830640" w:rsidP="00C9582F">
      <w:pPr>
        <w:jc w:val="both"/>
        <w:rPr>
          <w:sz w:val="28"/>
          <w:szCs w:val="28"/>
          <w:lang w:val="en-US"/>
        </w:rPr>
      </w:pPr>
      <w:r w:rsidRPr="00D549EE">
        <w:rPr>
          <w:sz w:val="28"/>
          <w:szCs w:val="28"/>
          <w:lang w:val="en-US"/>
        </w:rPr>
        <w:t xml:space="preserve">Table </w:t>
      </w:r>
      <w:r w:rsidR="00DC71CB" w:rsidRPr="00D549EE">
        <w:rPr>
          <w:sz w:val="28"/>
          <w:szCs w:val="28"/>
          <w:lang w:val="en-US"/>
        </w:rPr>
        <w:t>51 –</w:t>
      </w:r>
      <w:r w:rsidRPr="00D549EE">
        <w:rPr>
          <w:sz w:val="28"/>
          <w:szCs w:val="28"/>
          <w:lang w:val="en-US"/>
        </w:rPr>
        <w:t xml:space="preserve"> Financial analysis of the crowdfunding platform </w:t>
      </w:r>
      <w:r w:rsidR="0012136B" w:rsidRPr="00D549EE">
        <w:rPr>
          <w:sz w:val="28"/>
          <w:szCs w:val="28"/>
          <w:lang w:val="en-US"/>
        </w:rPr>
        <w:t>integration</w:t>
      </w:r>
      <w:r w:rsidR="00393598" w:rsidRPr="00D549EE">
        <w:rPr>
          <w:sz w:val="28"/>
          <w:szCs w:val="28"/>
          <w:lang w:val="en-US"/>
        </w:rPr>
        <w:t>, realistic scenario</w:t>
      </w:r>
    </w:p>
    <w:p w14:paraId="1E478499" w14:textId="77777777" w:rsidR="00451552" w:rsidRPr="00D549EE" w:rsidRDefault="00451552" w:rsidP="00C9582F">
      <w:pPr>
        <w:snapToGrid w:val="0"/>
        <w:contextualSpacing/>
        <w:jc w:val="both"/>
        <w:rPr>
          <w:b/>
          <w:color w:val="000000" w:themeColor="text1"/>
          <w:sz w:val="28"/>
          <w:szCs w:val="28"/>
          <w:lang w:val="en-US"/>
        </w:rPr>
      </w:pPr>
    </w:p>
    <w:tbl>
      <w:tblPr>
        <w:tblStyle w:val="a9"/>
        <w:tblW w:w="0" w:type="auto"/>
        <w:tblLook w:val="04A0" w:firstRow="1" w:lastRow="0" w:firstColumn="1" w:lastColumn="0" w:noHBand="0" w:noVBand="1"/>
      </w:tblPr>
      <w:tblGrid>
        <w:gridCol w:w="7083"/>
        <w:gridCol w:w="2540"/>
      </w:tblGrid>
      <w:tr w:rsidR="00E648B3" w:rsidRPr="00D549EE" w14:paraId="12068316" w14:textId="77777777" w:rsidTr="00E648B3">
        <w:tc>
          <w:tcPr>
            <w:tcW w:w="7083" w:type="dxa"/>
          </w:tcPr>
          <w:p w14:paraId="520573B2" w14:textId="79790509" w:rsidR="00E648B3" w:rsidRPr="00D549EE" w:rsidRDefault="00715B6B" w:rsidP="00C9582F">
            <w:pPr>
              <w:snapToGrid w:val="0"/>
              <w:contextualSpacing/>
              <w:rPr>
                <w:color w:val="000000" w:themeColor="text1"/>
                <w:lang w:val="en-US"/>
              </w:rPr>
            </w:pPr>
            <w:r w:rsidRPr="00D549EE">
              <w:rPr>
                <w:color w:val="000000" w:themeColor="text1"/>
                <w:lang w:val="en-US"/>
              </w:rPr>
              <w:t>Indicators</w:t>
            </w:r>
          </w:p>
        </w:tc>
        <w:tc>
          <w:tcPr>
            <w:tcW w:w="2540" w:type="dxa"/>
          </w:tcPr>
          <w:p w14:paraId="36345DFD" w14:textId="4286B046" w:rsidR="00E648B3" w:rsidRPr="00D549EE" w:rsidRDefault="00715B6B" w:rsidP="00C9582F">
            <w:pPr>
              <w:snapToGrid w:val="0"/>
              <w:contextualSpacing/>
              <w:rPr>
                <w:color w:val="000000" w:themeColor="text1"/>
                <w:lang w:val="en-US"/>
              </w:rPr>
            </w:pPr>
            <w:r w:rsidRPr="00D549EE">
              <w:rPr>
                <w:color w:val="000000" w:themeColor="text1"/>
                <w:lang w:val="en-US"/>
              </w:rPr>
              <w:t xml:space="preserve">Value, </w:t>
            </w:r>
            <w:r w:rsidR="00BB0D25" w:rsidRPr="00D549EE">
              <w:rPr>
                <w:color w:val="000000" w:themeColor="text1"/>
                <w:lang w:val="en-US"/>
              </w:rPr>
              <w:t>million</w:t>
            </w:r>
            <w:r w:rsidRPr="00D549EE">
              <w:rPr>
                <w:color w:val="000000" w:themeColor="text1"/>
                <w:lang w:val="en-US"/>
              </w:rPr>
              <w:t xml:space="preserve"> tenge</w:t>
            </w:r>
          </w:p>
        </w:tc>
      </w:tr>
      <w:tr w:rsidR="00E648B3" w:rsidRPr="00D549EE" w14:paraId="270F9132" w14:textId="77777777" w:rsidTr="00E648B3">
        <w:tc>
          <w:tcPr>
            <w:tcW w:w="7083" w:type="dxa"/>
          </w:tcPr>
          <w:p w14:paraId="1EDFA41B" w14:textId="654BA7E3" w:rsidR="00E648B3" w:rsidRPr="00D549EE" w:rsidRDefault="00715B6B" w:rsidP="00C9582F">
            <w:pPr>
              <w:snapToGrid w:val="0"/>
              <w:contextualSpacing/>
              <w:rPr>
                <w:color w:val="000000" w:themeColor="text1"/>
                <w:lang w:val="en-US"/>
              </w:rPr>
            </w:pPr>
            <w:r w:rsidRPr="00D549EE">
              <w:rPr>
                <w:color w:val="000000" w:themeColor="text1"/>
                <w:lang w:val="en-US"/>
              </w:rPr>
              <w:t xml:space="preserve">Contributing to equity </w:t>
            </w:r>
          </w:p>
        </w:tc>
        <w:tc>
          <w:tcPr>
            <w:tcW w:w="2540" w:type="dxa"/>
          </w:tcPr>
          <w:p w14:paraId="04A773BB" w14:textId="2001EC3C" w:rsidR="00E648B3" w:rsidRPr="00D549EE" w:rsidRDefault="00715B6B" w:rsidP="00C9582F">
            <w:pPr>
              <w:snapToGrid w:val="0"/>
              <w:contextualSpacing/>
              <w:rPr>
                <w:color w:val="000000" w:themeColor="text1"/>
                <w:lang w:val="en-US"/>
              </w:rPr>
            </w:pPr>
            <w:r w:rsidRPr="00D549EE">
              <w:rPr>
                <w:color w:val="000000" w:themeColor="text1"/>
                <w:lang w:val="en-US"/>
              </w:rPr>
              <w:t>4</w:t>
            </w:r>
            <w:r w:rsidR="00BB0D25" w:rsidRPr="00D549EE">
              <w:rPr>
                <w:color w:val="000000" w:themeColor="text1"/>
                <w:lang w:val="en-US"/>
              </w:rPr>
              <w:t>.6</w:t>
            </w:r>
          </w:p>
        </w:tc>
      </w:tr>
      <w:tr w:rsidR="00E648B3" w:rsidRPr="00D549EE" w14:paraId="5B1DF312" w14:textId="77777777" w:rsidTr="00E648B3">
        <w:tc>
          <w:tcPr>
            <w:tcW w:w="7083" w:type="dxa"/>
          </w:tcPr>
          <w:p w14:paraId="1B41F0DA" w14:textId="6D872DCC" w:rsidR="00E648B3" w:rsidRPr="00D549EE" w:rsidRDefault="00715B6B" w:rsidP="00C9582F">
            <w:pPr>
              <w:snapToGrid w:val="0"/>
              <w:contextualSpacing/>
              <w:rPr>
                <w:color w:val="000000" w:themeColor="text1"/>
                <w:lang w:val="en-US"/>
              </w:rPr>
            </w:pPr>
            <w:r w:rsidRPr="00D549EE">
              <w:rPr>
                <w:color w:val="000000" w:themeColor="text1"/>
                <w:lang w:val="en-US"/>
              </w:rPr>
              <w:t>including:</w:t>
            </w:r>
          </w:p>
        </w:tc>
        <w:tc>
          <w:tcPr>
            <w:tcW w:w="2540" w:type="dxa"/>
          </w:tcPr>
          <w:p w14:paraId="4BC18BD3" w14:textId="7A568F93" w:rsidR="00E648B3" w:rsidRPr="00D549EE" w:rsidRDefault="00E648B3" w:rsidP="00C9582F">
            <w:pPr>
              <w:snapToGrid w:val="0"/>
              <w:contextualSpacing/>
              <w:rPr>
                <w:color w:val="000000" w:themeColor="text1"/>
                <w:lang w:val="en-US"/>
              </w:rPr>
            </w:pPr>
          </w:p>
        </w:tc>
      </w:tr>
      <w:tr w:rsidR="00E648B3" w:rsidRPr="00D549EE" w14:paraId="29610519" w14:textId="77777777" w:rsidTr="00E648B3">
        <w:tc>
          <w:tcPr>
            <w:tcW w:w="7083" w:type="dxa"/>
          </w:tcPr>
          <w:p w14:paraId="2702D614" w14:textId="344EA1B9" w:rsidR="00E648B3" w:rsidRPr="00D549EE" w:rsidRDefault="00715B6B" w:rsidP="00C9582F">
            <w:pPr>
              <w:pStyle w:val="a5"/>
              <w:shd w:val="clear" w:color="auto" w:fill="FFFFFF"/>
            </w:pPr>
            <w:r w:rsidRPr="00D549EE">
              <w:t xml:space="preserve">Capital expenditures </w:t>
            </w:r>
          </w:p>
        </w:tc>
        <w:tc>
          <w:tcPr>
            <w:tcW w:w="2540" w:type="dxa"/>
          </w:tcPr>
          <w:p w14:paraId="32DB7D41" w14:textId="0EF1D640" w:rsidR="00E648B3" w:rsidRPr="00D549EE" w:rsidRDefault="00715B6B" w:rsidP="00C9582F">
            <w:pPr>
              <w:snapToGrid w:val="0"/>
              <w:contextualSpacing/>
              <w:rPr>
                <w:color w:val="000000" w:themeColor="text1"/>
                <w:lang w:val="en-US"/>
              </w:rPr>
            </w:pPr>
            <w:r w:rsidRPr="00D549EE">
              <w:rPr>
                <w:color w:val="000000" w:themeColor="text1"/>
                <w:lang w:val="en-US"/>
              </w:rPr>
              <w:t>4</w:t>
            </w:r>
            <w:r w:rsidR="00BB0D25" w:rsidRPr="00D549EE">
              <w:rPr>
                <w:color w:val="000000" w:themeColor="text1"/>
                <w:lang w:val="en-US"/>
              </w:rPr>
              <w:t>.6</w:t>
            </w:r>
          </w:p>
        </w:tc>
      </w:tr>
      <w:tr w:rsidR="00E648B3" w:rsidRPr="00D549EE" w14:paraId="09844A71" w14:textId="77777777" w:rsidTr="00E648B3">
        <w:tc>
          <w:tcPr>
            <w:tcW w:w="7083" w:type="dxa"/>
          </w:tcPr>
          <w:p w14:paraId="0A0D6BCC" w14:textId="782CB896" w:rsidR="00E648B3" w:rsidRPr="00D549EE" w:rsidRDefault="00715B6B" w:rsidP="00C9582F">
            <w:pPr>
              <w:pStyle w:val="a5"/>
              <w:shd w:val="clear" w:color="auto" w:fill="FFFFFF"/>
            </w:pPr>
            <w:r w:rsidRPr="00D549EE">
              <w:t xml:space="preserve">Operating expenses </w:t>
            </w:r>
          </w:p>
        </w:tc>
        <w:tc>
          <w:tcPr>
            <w:tcW w:w="2540" w:type="dxa"/>
          </w:tcPr>
          <w:p w14:paraId="3FED312C" w14:textId="76FFF166" w:rsidR="00E648B3" w:rsidRPr="00D549EE" w:rsidRDefault="00715B6B" w:rsidP="00C9582F">
            <w:pPr>
              <w:snapToGrid w:val="0"/>
              <w:contextualSpacing/>
              <w:rPr>
                <w:color w:val="000000" w:themeColor="text1"/>
                <w:lang w:val="en-US"/>
              </w:rPr>
            </w:pPr>
            <w:r w:rsidRPr="00D549EE">
              <w:rPr>
                <w:color w:val="000000" w:themeColor="text1"/>
                <w:lang w:val="en-US"/>
              </w:rPr>
              <w:t>0</w:t>
            </w:r>
          </w:p>
        </w:tc>
      </w:tr>
      <w:tr w:rsidR="00715B6B" w:rsidRPr="00D549EE" w14:paraId="0E2C992B" w14:textId="77777777" w:rsidTr="00E648B3">
        <w:tc>
          <w:tcPr>
            <w:tcW w:w="7083" w:type="dxa"/>
          </w:tcPr>
          <w:p w14:paraId="39751E4E" w14:textId="04364880" w:rsidR="00715B6B" w:rsidRPr="00D549EE" w:rsidRDefault="00715B6B" w:rsidP="00C9582F">
            <w:pPr>
              <w:pStyle w:val="a5"/>
              <w:shd w:val="clear" w:color="auto" w:fill="FFFFFF"/>
            </w:pPr>
            <w:r w:rsidRPr="00D549EE">
              <w:t>Revenue (</w:t>
            </w:r>
            <w:r w:rsidR="00C35108" w:rsidRPr="00D549EE">
              <w:rPr>
                <w:lang w:val="en-US"/>
              </w:rPr>
              <w:t xml:space="preserve">for </w:t>
            </w:r>
            <w:r w:rsidRPr="00D549EE">
              <w:rPr>
                <w:lang w:val="en-US"/>
              </w:rPr>
              <w:t>5</w:t>
            </w:r>
            <w:r w:rsidRPr="00D549EE">
              <w:t xml:space="preserve"> years)</w:t>
            </w:r>
          </w:p>
        </w:tc>
        <w:tc>
          <w:tcPr>
            <w:tcW w:w="2540" w:type="dxa"/>
          </w:tcPr>
          <w:p w14:paraId="5D187425" w14:textId="59CF9C94" w:rsidR="00715B6B" w:rsidRPr="00D549EE" w:rsidRDefault="00393598" w:rsidP="00C9582F">
            <w:pPr>
              <w:snapToGrid w:val="0"/>
              <w:contextualSpacing/>
              <w:rPr>
                <w:color w:val="000000" w:themeColor="text1"/>
                <w:lang w:val="en-US"/>
              </w:rPr>
            </w:pPr>
            <w:r w:rsidRPr="00D549EE">
              <w:rPr>
                <w:color w:val="000000" w:themeColor="text1"/>
              </w:rPr>
              <w:t>6</w:t>
            </w:r>
            <w:r w:rsidR="00BB0D25" w:rsidRPr="00D549EE">
              <w:rPr>
                <w:color w:val="000000" w:themeColor="text1"/>
                <w:lang w:val="en-US"/>
              </w:rPr>
              <w:t> 415.56</w:t>
            </w:r>
          </w:p>
        </w:tc>
      </w:tr>
      <w:tr w:rsidR="00715B6B" w:rsidRPr="00D549EE" w14:paraId="28E37643" w14:textId="77777777" w:rsidTr="00E648B3">
        <w:tc>
          <w:tcPr>
            <w:tcW w:w="7083" w:type="dxa"/>
          </w:tcPr>
          <w:p w14:paraId="16C20821" w14:textId="49D1127C" w:rsidR="00715B6B" w:rsidRPr="00D549EE" w:rsidRDefault="00715B6B" w:rsidP="00C9582F">
            <w:pPr>
              <w:pStyle w:val="a5"/>
              <w:shd w:val="clear" w:color="auto" w:fill="FFFFFF"/>
            </w:pPr>
            <w:r w:rsidRPr="00D549EE">
              <w:t>EBITDA (</w:t>
            </w:r>
            <w:r w:rsidR="00A3321F" w:rsidRPr="00D549EE">
              <w:t xml:space="preserve">for </w:t>
            </w:r>
            <w:r w:rsidRPr="00D549EE">
              <w:rPr>
                <w:lang w:val="en-US"/>
              </w:rPr>
              <w:t>5</w:t>
            </w:r>
            <w:r w:rsidRPr="00D549EE">
              <w:t xml:space="preserve"> years)</w:t>
            </w:r>
          </w:p>
        </w:tc>
        <w:tc>
          <w:tcPr>
            <w:tcW w:w="2540" w:type="dxa"/>
          </w:tcPr>
          <w:p w14:paraId="2CBEA598" w14:textId="45FA6049" w:rsidR="00715B6B" w:rsidRPr="00D549EE" w:rsidRDefault="00BB0D25" w:rsidP="00C9582F">
            <w:pPr>
              <w:snapToGrid w:val="0"/>
              <w:contextualSpacing/>
              <w:rPr>
                <w:color w:val="000000" w:themeColor="text1"/>
                <w:lang w:val="en-US"/>
              </w:rPr>
            </w:pPr>
            <w:r w:rsidRPr="00D549EE">
              <w:rPr>
                <w:color w:val="000000" w:themeColor="text1"/>
                <w:lang w:val="en-US"/>
              </w:rPr>
              <w:t>6 262.27</w:t>
            </w:r>
          </w:p>
        </w:tc>
      </w:tr>
      <w:tr w:rsidR="00A46B26" w:rsidRPr="00D549EE" w14:paraId="405B1240" w14:textId="77777777" w:rsidTr="00E648B3">
        <w:tc>
          <w:tcPr>
            <w:tcW w:w="7083" w:type="dxa"/>
          </w:tcPr>
          <w:p w14:paraId="66732EB7" w14:textId="2D76A041" w:rsidR="00A46B26" w:rsidRPr="00D549EE" w:rsidRDefault="00A46B26" w:rsidP="00C9582F">
            <w:pPr>
              <w:pStyle w:val="a5"/>
              <w:shd w:val="clear" w:color="auto" w:fill="FFFFFF"/>
              <w:rPr>
                <w:lang w:val="en-US"/>
              </w:rPr>
            </w:pPr>
            <w:r w:rsidRPr="00D549EE">
              <w:rPr>
                <w:lang w:val="en-US"/>
              </w:rPr>
              <w:t>EBIT operating profit</w:t>
            </w:r>
            <w:r w:rsidR="001C4D64" w:rsidRPr="00D549EE">
              <w:rPr>
                <w:lang w:val="en-US"/>
              </w:rPr>
              <w:t xml:space="preserve">* </w:t>
            </w:r>
            <w:r w:rsidRPr="00D549EE">
              <w:rPr>
                <w:lang w:val="en-US"/>
              </w:rPr>
              <w:t xml:space="preserve"> (</w:t>
            </w:r>
            <w:r w:rsidR="00A3321F" w:rsidRPr="00D549EE">
              <w:rPr>
                <w:lang w:val="en-US"/>
              </w:rPr>
              <w:t xml:space="preserve">for </w:t>
            </w:r>
            <w:r w:rsidRPr="00D549EE">
              <w:rPr>
                <w:lang w:val="en-US"/>
              </w:rPr>
              <w:t>5 years)</w:t>
            </w:r>
          </w:p>
        </w:tc>
        <w:tc>
          <w:tcPr>
            <w:tcW w:w="2540" w:type="dxa"/>
          </w:tcPr>
          <w:p w14:paraId="6BD4089B" w14:textId="40D22129" w:rsidR="00A46B26" w:rsidRPr="00D549EE" w:rsidRDefault="00BB0D25" w:rsidP="00C9582F">
            <w:pPr>
              <w:snapToGrid w:val="0"/>
              <w:contextualSpacing/>
              <w:rPr>
                <w:color w:val="000000" w:themeColor="text1"/>
                <w:lang w:val="en-US"/>
              </w:rPr>
            </w:pPr>
            <w:r w:rsidRPr="00D549EE">
              <w:rPr>
                <w:color w:val="000000" w:themeColor="text1"/>
                <w:lang w:val="en-US"/>
              </w:rPr>
              <w:t>6 260.43</w:t>
            </w:r>
          </w:p>
        </w:tc>
      </w:tr>
      <w:tr w:rsidR="00707C46" w:rsidRPr="00D549EE" w14:paraId="5BCCBAE4" w14:textId="77777777" w:rsidTr="00E648B3">
        <w:tc>
          <w:tcPr>
            <w:tcW w:w="7083" w:type="dxa"/>
          </w:tcPr>
          <w:p w14:paraId="1FCAAD96" w14:textId="042EE14C" w:rsidR="00707C46" w:rsidRPr="00D549EE" w:rsidRDefault="00707C46" w:rsidP="00C9582F">
            <w:pPr>
              <w:pStyle w:val="a5"/>
              <w:shd w:val="clear" w:color="auto" w:fill="FFFFFF"/>
            </w:pPr>
            <w:r w:rsidRPr="00D549EE">
              <w:t xml:space="preserve">Net </w:t>
            </w:r>
            <w:r w:rsidRPr="00D549EE">
              <w:rPr>
                <w:lang w:val="en-US"/>
              </w:rPr>
              <w:t>profit</w:t>
            </w:r>
            <w:r w:rsidR="001C4D64" w:rsidRPr="00D549EE">
              <w:rPr>
                <w:lang w:val="en-US"/>
              </w:rPr>
              <w:t xml:space="preserve">* </w:t>
            </w:r>
            <w:r w:rsidRPr="00D549EE">
              <w:t>(</w:t>
            </w:r>
            <w:r w:rsidR="00A3321F" w:rsidRPr="00D549EE">
              <w:rPr>
                <w:lang w:val="en-US"/>
              </w:rPr>
              <w:t xml:space="preserve">for </w:t>
            </w:r>
            <w:r w:rsidRPr="00D549EE">
              <w:rPr>
                <w:lang w:val="en-US"/>
              </w:rPr>
              <w:t>5</w:t>
            </w:r>
            <w:r w:rsidRPr="00D549EE">
              <w:t xml:space="preserve"> years)</w:t>
            </w:r>
          </w:p>
        </w:tc>
        <w:tc>
          <w:tcPr>
            <w:tcW w:w="2540" w:type="dxa"/>
          </w:tcPr>
          <w:p w14:paraId="3D720F96" w14:textId="0610AE7B" w:rsidR="00707C46" w:rsidRPr="00D549EE" w:rsidRDefault="00BB0D25" w:rsidP="00C9582F">
            <w:pPr>
              <w:snapToGrid w:val="0"/>
              <w:contextualSpacing/>
              <w:rPr>
                <w:color w:val="000000" w:themeColor="text1"/>
                <w:lang w:val="en-US"/>
              </w:rPr>
            </w:pPr>
            <w:r w:rsidRPr="00D549EE">
              <w:rPr>
                <w:color w:val="000000" w:themeColor="text1"/>
                <w:lang w:val="en-US"/>
              </w:rPr>
              <w:t>6 2</w:t>
            </w:r>
            <w:r w:rsidR="0017600E" w:rsidRPr="00D549EE">
              <w:rPr>
                <w:color w:val="000000" w:themeColor="text1"/>
                <w:lang w:val="en-US"/>
              </w:rPr>
              <w:t>02</w:t>
            </w:r>
            <w:r w:rsidRPr="00D549EE">
              <w:rPr>
                <w:color w:val="000000" w:themeColor="text1"/>
                <w:lang w:val="en-US"/>
              </w:rPr>
              <w:t>.</w:t>
            </w:r>
            <w:r w:rsidR="0017600E" w:rsidRPr="00D549EE">
              <w:rPr>
                <w:color w:val="000000" w:themeColor="text1"/>
                <w:lang w:val="en-US"/>
              </w:rPr>
              <w:t>53</w:t>
            </w:r>
          </w:p>
        </w:tc>
      </w:tr>
      <w:tr w:rsidR="00707C46" w:rsidRPr="00D549EE" w14:paraId="37F9386D" w14:textId="77777777" w:rsidTr="00E648B3">
        <w:tc>
          <w:tcPr>
            <w:tcW w:w="7083" w:type="dxa"/>
          </w:tcPr>
          <w:p w14:paraId="7DBF6358" w14:textId="245E1C0E" w:rsidR="00707C46" w:rsidRPr="00D549EE" w:rsidRDefault="00707C46" w:rsidP="00C9582F">
            <w:pPr>
              <w:pStyle w:val="a5"/>
              <w:shd w:val="clear" w:color="auto" w:fill="FFFFFF"/>
            </w:pPr>
            <w:r w:rsidRPr="00D549EE">
              <w:t>Project payback period</w:t>
            </w:r>
          </w:p>
        </w:tc>
        <w:tc>
          <w:tcPr>
            <w:tcW w:w="2540" w:type="dxa"/>
          </w:tcPr>
          <w:p w14:paraId="3253127E" w14:textId="19F5156C" w:rsidR="00707C46" w:rsidRPr="00D549EE" w:rsidRDefault="009C4D25" w:rsidP="00C9582F">
            <w:pPr>
              <w:snapToGrid w:val="0"/>
              <w:contextualSpacing/>
              <w:rPr>
                <w:color w:val="000000" w:themeColor="text1"/>
                <w:lang w:val="en-US"/>
              </w:rPr>
            </w:pPr>
            <w:r w:rsidRPr="00D549EE">
              <w:rPr>
                <w:color w:val="000000" w:themeColor="text1"/>
                <w:lang w:val="en-US"/>
              </w:rPr>
              <w:t>Less than 1 month</w:t>
            </w:r>
          </w:p>
        </w:tc>
      </w:tr>
      <w:tr w:rsidR="00707C46" w:rsidRPr="00D549EE" w14:paraId="7383FD2C" w14:textId="77777777" w:rsidTr="00E648B3">
        <w:tc>
          <w:tcPr>
            <w:tcW w:w="7083" w:type="dxa"/>
          </w:tcPr>
          <w:p w14:paraId="7BA9479E" w14:textId="62B9CF45" w:rsidR="00707C46" w:rsidRPr="00D549EE" w:rsidRDefault="00707C46" w:rsidP="00C9582F">
            <w:pPr>
              <w:pStyle w:val="a5"/>
              <w:shd w:val="clear" w:color="auto" w:fill="FFFFFF"/>
            </w:pPr>
            <w:r w:rsidRPr="00D549EE">
              <w:t>PV (</w:t>
            </w:r>
            <w:r w:rsidR="00BA2C6D" w:rsidRPr="00D549EE">
              <w:rPr>
                <w:lang w:val="en-US"/>
              </w:rPr>
              <w:t xml:space="preserve">for </w:t>
            </w:r>
            <w:r w:rsidRPr="00D549EE">
              <w:rPr>
                <w:lang w:val="en-US"/>
              </w:rPr>
              <w:t>5</w:t>
            </w:r>
            <w:r w:rsidRPr="00D549EE">
              <w:t xml:space="preserve"> years)</w:t>
            </w:r>
          </w:p>
        </w:tc>
        <w:tc>
          <w:tcPr>
            <w:tcW w:w="2540" w:type="dxa"/>
          </w:tcPr>
          <w:p w14:paraId="282D78E7" w14:textId="0D3275AC" w:rsidR="00707C46" w:rsidRPr="00D549EE" w:rsidRDefault="00393598" w:rsidP="00C9582F">
            <w:pPr>
              <w:snapToGrid w:val="0"/>
              <w:contextualSpacing/>
              <w:rPr>
                <w:color w:val="000000" w:themeColor="text1"/>
                <w:lang w:val="en-US"/>
              </w:rPr>
            </w:pPr>
            <w:r w:rsidRPr="00D549EE">
              <w:rPr>
                <w:color w:val="000000" w:themeColor="text1"/>
                <w:lang w:val="en-US"/>
              </w:rPr>
              <w:t>4</w:t>
            </w:r>
            <w:r w:rsidR="0017600E" w:rsidRPr="00D549EE">
              <w:rPr>
                <w:color w:val="000000" w:themeColor="text1"/>
                <w:lang w:val="en-US"/>
              </w:rPr>
              <w:t> 931.74</w:t>
            </w:r>
          </w:p>
        </w:tc>
      </w:tr>
      <w:tr w:rsidR="00707C46" w:rsidRPr="00D549EE" w14:paraId="4FB732A8" w14:textId="77777777" w:rsidTr="00E648B3">
        <w:tc>
          <w:tcPr>
            <w:tcW w:w="7083" w:type="dxa"/>
          </w:tcPr>
          <w:p w14:paraId="08FC7A5A" w14:textId="028F8DAB" w:rsidR="00707C46" w:rsidRPr="00D549EE" w:rsidRDefault="00BA7092" w:rsidP="00C9582F">
            <w:pPr>
              <w:pStyle w:val="a5"/>
              <w:shd w:val="clear" w:color="auto" w:fill="FFFFFF"/>
              <w:rPr>
                <w:lang w:val="en-US"/>
              </w:rPr>
            </w:pPr>
            <w:r w:rsidRPr="00D549EE">
              <w:t>NPV (</w:t>
            </w:r>
            <w:r w:rsidRPr="00D549EE">
              <w:rPr>
                <w:lang w:val="en-US"/>
              </w:rPr>
              <w:t>for 5</w:t>
            </w:r>
            <w:r w:rsidRPr="00D549EE">
              <w:t xml:space="preserve"> years)</w:t>
            </w:r>
          </w:p>
        </w:tc>
        <w:tc>
          <w:tcPr>
            <w:tcW w:w="2540" w:type="dxa"/>
          </w:tcPr>
          <w:p w14:paraId="58EE797A" w14:textId="497411BE" w:rsidR="00707C46" w:rsidRPr="00D549EE" w:rsidRDefault="0017600E" w:rsidP="00C9582F">
            <w:pPr>
              <w:snapToGrid w:val="0"/>
              <w:contextualSpacing/>
              <w:rPr>
                <w:color w:val="000000" w:themeColor="text1"/>
                <w:lang w:val="en-US"/>
              </w:rPr>
            </w:pPr>
            <w:r w:rsidRPr="00D549EE">
              <w:rPr>
                <w:color w:val="000000" w:themeColor="text1"/>
                <w:lang w:val="en-US"/>
              </w:rPr>
              <w:t>4 927.14</w:t>
            </w:r>
          </w:p>
        </w:tc>
      </w:tr>
      <w:tr w:rsidR="00707C46" w:rsidRPr="00D549EE" w14:paraId="36E21E2C" w14:textId="77777777" w:rsidTr="00E648B3">
        <w:tc>
          <w:tcPr>
            <w:tcW w:w="7083" w:type="dxa"/>
          </w:tcPr>
          <w:p w14:paraId="2513A18D" w14:textId="040BD766" w:rsidR="00707C46" w:rsidRPr="00D549EE" w:rsidRDefault="00BA7092" w:rsidP="00C9582F">
            <w:pPr>
              <w:pStyle w:val="a5"/>
              <w:shd w:val="clear" w:color="auto" w:fill="FFFFFF"/>
            </w:pPr>
            <w:r w:rsidRPr="00D549EE">
              <w:t xml:space="preserve">PI Profitability Index </w:t>
            </w:r>
          </w:p>
        </w:tc>
        <w:tc>
          <w:tcPr>
            <w:tcW w:w="2540" w:type="dxa"/>
          </w:tcPr>
          <w:p w14:paraId="7D295D02" w14:textId="26953843" w:rsidR="00707C46" w:rsidRPr="00D549EE" w:rsidRDefault="00BB0D25" w:rsidP="00C9582F">
            <w:pPr>
              <w:snapToGrid w:val="0"/>
              <w:contextualSpacing/>
              <w:rPr>
                <w:color w:val="000000" w:themeColor="text1"/>
                <w:lang w:val="en-US"/>
              </w:rPr>
            </w:pPr>
            <w:r w:rsidRPr="00D549EE">
              <w:rPr>
                <w:color w:val="000000" w:themeColor="text1"/>
                <w:lang w:val="en-US"/>
              </w:rPr>
              <w:t>107</w:t>
            </w:r>
            <w:r w:rsidR="0017600E" w:rsidRPr="00D549EE">
              <w:rPr>
                <w:color w:val="000000" w:themeColor="text1"/>
                <w:lang w:val="en-US"/>
              </w:rPr>
              <w:t>2</w:t>
            </w:r>
          </w:p>
        </w:tc>
      </w:tr>
      <w:tr w:rsidR="0012273F" w:rsidRPr="00D549EE" w14:paraId="2B7EECFB" w14:textId="77777777" w:rsidTr="00E648B3">
        <w:tc>
          <w:tcPr>
            <w:tcW w:w="7083" w:type="dxa"/>
          </w:tcPr>
          <w:p w14:paraId="0B171A78" w14:textId="43DF7A05" w:rsidR="0012273F" w:rsidRPr="00D549EE" w:rsidRDefault="0012273F" w:rsidP="00C9582F">
            <w:pPr>
              <w:pStyle w:val="a5"/>
              <w:shd w:val="clear" w:color="auto" w:fill="FFFFFF"/>
            </w:pPr>
            <w:r w:rsidRPr="00D549EE">
              <w:t>IRR (</w:t>
            </w:r>
            <w:r w:rsidR="00BA7092" w:rsidRPr="00D549EE">
              <w:rPr>
                <w:lang w:val="en-US"/>
              </w:rPr>
              <w:t xml:space="preserve">for </w:t>
            </w:r>
            <w:r w:rsidRPr="00D549EE">
              <w:rPr>
                <w:lang w:val="en-US"/>
              </w:rPr>
              <w:t>5</w:t>
            </w:r>
            <w:r w:rsidRPr="00D549EE">
              <w:t xml:space="preserve"> years) </w:t>
            </w:r>
          </w:p>
        </w:tc>
        <w:tc>
          <w:tcPr>
            <w:tcW w:w="2540" w:type="dxa"/>
          </w:tcPr>
          <w:p w14:paraId="105F1A41" w14:textId="4EF29D50" w:rsidR="0012273F" w:rsidRPr="00D549EE" w:rsidRDefault="00BB0D25" w:rsidP="00C9582F">
            <w:pPr>
              <w:snapToGrid w:val="0"/>
              <w:contextualSpacing/>
              <w:rPr>
                <w:color w:val="000000" w:themeColor="text1"/>
                <w:lang w:val="en-US"/>
              </w:rPr>
            </w:pPr>
            <w:r w:rsidRPr="00D549EE">
              <w:rPr>
                <w:color w:val="000000" w:themeColor="text1"/>
                <w:lang w:val="en-US"/>
              </w:rPr>
              <w:t>1495</w:t>
            </w:r>
          </w:p>
        </w:tc>
      </w:tr>
      <w:tr w:rsidR="001C4D64" w:rsidRPr="00FC685D" w14:paraId="1103040A" w14:textId="77777777" w:rsidTr="00D214C1">
        <w:tc>
          <w:tcPr>
            <w:tcW w:w="9623" w:type="dxa"/>
            <w:gridSpan w:val="2"/>
          </w:tcPr>
          <w:p w14:paraId="7DC0C510" w14:textId="77777777" w:rsidR="00171B07" w:rsidRPr="00D549EE" w:rsidRDefault="00DC71CB" w:rsidP="00C9582F">
            <w:pPr>
              <w:snapToGrid w:val="0"/>
              <w:contextualSpacing/>
              <w:rPr>
                <w:color w:val="000000" w:themeColor="text1"/>
                <w:lang w:val="en-US"/>
              </w:rPr>
            </w:pPr>
            <w:r w:rsidRPr="00D549EE">
              <w:rPr>
                <w:color w:val="000000" w:themeColor="text1"/>
                <w:lang w:val="en-US"/>
              </w:rPr>
              <w:t xml:space="preserve">    </w:t>
            </w:r>
            <w:r w:rsidR="00171B07" w:rsidRPr="00D549EE">
              <w:rPr>
                <w:color w:val="000000" w:themeColor="text1"/>
                <w:lang w:val="en-US"/>
              </w:rPr>
              <w:t xml:space="preserve">Notes </w:t>
            </w:r>
          </w:p>
          <w:p w14:paraId="675500D4" w14:textId="69F0855D" w:rsidR="00171B07" w:rsidRPr="00D549EE" w:rsidRDefault="00171B07" w:rsidP="00C9582F">
            <w:pPr>
              <w:snapToGrid w:val="0"/>
              <w:contextualSpacing/>
              <w:rPr>
                <w:color w:val="000000" w:themeColor="text1"/>
                <w:lang w:val="en-US"/>
              </w:rPr>
            </w:pPr>
            <w:r w:rsidRPr="00D549EE">
              <w:rPr>
                <w:color w:val="000000" w:themeColor="text1"/>
                <w:lang w:val="en-US"/>
              </w:rPr>
              <w:t xml:space="preserve">    1 Compiled by the author</w:t>
            </w:r>
          </w:p>
          <w:p w14:paraId="3E1399E0" w14:textId="64E52E6C" w:rsidR="001C4D64" w:rsidRPr="00D549EE" w:rsidRDefault="00171B07" w:rsidP="00C9582F">
            <w:pPr>
              <w:snapToGrid w:val="0"/>
              <w:contextualSpacing/>
              <w:rPr>
                <w:color w:val="000000" w:themeColor="text1"/>
                <w:lang w:val="kk-KZ"/>
              </w:rPr>
            </w:pPr>
            <w:r w:rsidRPr="00D549EE">
              <w:rPr>
                <w:color w:val="000000" w:themeColor="text1"/>
                <w:lang w:val="en-US"/>
              </w:rPr>
              <w:t xml:space="preserve">    2</w:t>
            </w:r>
            <w:r w:rsidR="008041CD" w:rsidRPr="00D549EE">
              <w:rPr>
                <w:color w:val="000000" w:themeColor="text1"/>
                <w:lang w:val="en-US"/>
              </w:rPr>
              <w:t xml:space="preserve"> </w:t>
            </w:r>
            <w:r w:rsidRPr="00D549EE">
              <w:rPr>
                <w:color w:val="000000" w:themeColor="text1"/>
                <w:lang w:val="en-US"/>
              </w:rPr>
              <w:t>Profit is considered as revenue from donors</w:t>
            </w:r>
          </w:p>
        </w:tc>
      </w:tr>
    </w:tbl>
    <w:p w14:paraId="41B5098C" w14:textId="77777777" w:rsidR="00CC4E14" w:rsidRPr="00CC4E14" w:rsidRDefault="000C6E3C" w:rsidP="00CC4E14">
      <w:pPr>
        <w:pStyle w:val="a5"/>
        <w:shd w:val="clear" w:color="auto" w:fill="FFFFFF"/>
        <w:contextualSpacing/>
        <w:jc w:val="both"/>
        <w:rPr>
          <w:color w:val="000000" w:themeColor="text1"/>
          <w:sz w:val="28"/>
          <w:szCs w:val="28"/>
          <w:lang w:val="en-US"/>
        </w:rPr>
      </w:pPr>
      <w:r w:rsidRPr="00D549EE">
        <w:rPr>
          <w:color w:val="000000" w:themeColor="text1"/>
          <w:sz w:val="28"/>
          <w:szCs w:val="28"/>
          <w:lang w:val="en-US"/>
        </w:rPr>
        <w:tab/>
      </w:r>
      <w:r w:rsidR="00CC4E14" w:rsidRPr="00CC4E14">
        <w:rPr>
          <w:color w:val="000000" w:themeColor="text1"/>
          <w:sz w:val="28"/>
          <w:szCs w:val="28"/>
          <w:lang w:val="en-US"/>
        </w:rPr>
        <w:t xml:space="preserve">The following scenario is optimistic when we assume that the integration of the crowdfunding platform will affect the amount of collection from the first year of implementation, with the peak growth in the second year. In this case, we forecast the increase not only from 71% of donators directly provided assistance but also attract philanthropists who use other non-governmental charitable organizations (7%), as using the technological solutions for doing charity, which is transparent and targeted, is convenient to use and saves time of donators. </w:t>
      </w:r>
    </w:p>
    <w:p w14:paraId="06C9B4B7" w14:textId="593C2563" w:rsidR="00DC0601" w:rsidRPr="00D549EE" w:rsidRDefault="00CC4E14" w:rsidP="00CC4E14">
      <w:pPr>
        <w:pStyle w:val="a5"/>
        <w:shd w:val="clear" w:color="auto" w:fill="FFFFFF"/>
        <w:contextualSpacing/>
        <w:jc w:val="both"/>
        <w:rPr>
          <w:lang w:val="en-US"/>
        </w:rPr>
      </w:pPr>
      <w:r w:rsidRPr="00CC4E14">
        <w:rPr>
          <w:color w:val="000000" w:themeColor="text1"/>
          <w:sz w:val="28"/>
          <w:szCs w:val="28"/>
          <w:lang w:val="en-US"/>
        </w:rPr>
        <w:tab/>
        <w:t>The optimistic scenario of the implementation crowdfunding platform is based on assuming that from the second year, using the platform will bring 40% more funding from the charity than in 1 year (2 836 million tenge) and also 40% of the funding from 71% of the donators, who do charity directly without intermediaries. In the following forecasted years, it is expected by attracting financing by 20% every year, and it must be noted that from the 4th year, it is planned to invest half of the collected finance to the Islamic projects through Islamic financial institutions, as in the realistic plan of the platform developing. The following table shows financial indicators of the platform for 5 years.</w:t>
      </w:r>
      <w:r w:rsidR="00DC0601" w:rsidRPr="00D549EE">
        <w:rPr>
          <w:sz w:val="28"/>
          <w:szCs w:val="28"/>
          <w:lang w:val="en-US"/>
        </w:rPr>
        <w:t xml:space="preserve"> </w:t>
      </w:r>
    </w:p>
    <w:p w14:paraId="2590CBE9" w14:textId="4D80A547" w:rsidR="00832D1F" w:rsidRPr="00D549EE" w:rsidRDefault="00832D1F" w:rsidP="00C9582F">
      <w:pPr>
        <w:jc w:val="both"/>
        <w:rPr>
          <w:sz w:val="28"/>
          <w:szCs w:val="28"/>
          <w:lang w:val="en-US"/>
        </w:rPr>
      </w:pPr>
      <w:r w:rsidRPr="00D549EE">
        <w:rPr>
          <w:sz w:val="28"/>
          <w:szCs w:val="28"/>
          <w:lang w:val="en-US"/>
        </w:rPr>
        <w:t xml:space="preserve">Table </w:t>
      </w:r>
      <w:r w:rsidR="00A27DD4" w:rsidRPr="00D549EE">
        <w:rPr>
          <w:sz w:val="28"/>
          <w:szCs w:val="28"/>
          <w:lang w:val="en-US"/>
        </w:rPr>
        <w:t xml:space="preserve">52 – </w:t>
      </w:r>
      <w:r w:rsidRPr="00D549EE">
        <w:rPr>
          <w:sz w:val="28"/>
          <w:szCs w:val="28"/>
          <w:lang w:val="en-US"/>
        </w:rPr>
        <w:t>Financial analysis of the crowdfunding platform integration, optimistic scenario</w:t>
      </w:r>
    </w:p>
    <w:p w14:paraId="757F0932" w14:textId="77777777" w:rsidR="00832D1F" w:rsidRPr="00D549EE" w:rsidRDefault="00832D1F" w:rsidP="00C9582F">
      <w:pPr>
        <w:rPr>
          <w:lang w:val="en-US"/>
        </w:rPr>
      </w:pPr>
    </w:p>
    <w:tbl>
      <w:tblPr>
        <w:tblStyle w:val="a9"/>
        <w:tblW w:w="0" w:type="auto"/>
        <w:tblLook w:val="04A0" w:firstRow="1" w:lastRow="0" w:firstColumn="1" w:lastColumn="0" w:noHBand="0" w:noVBand="1"/>
      </w:tblPr>
      <w:tblGrid>
        <w:gridCol w:w="5949"/>
        <w:gridCol w:w="3674"/>
      </w:tblGrid>
      <w:tr w:rsidR="00832D1F" w:rsidRPr="00D549EE" w14:paraId="408D9C05" w14:textId="77777777" w:rsidTr="00832D1F">
        <w:tc>
          <w:tcPr>
            <w:tcW w:w="5949" w:type="dxa"/>
          </w:tcPr>
          <w:p w14:paraId="0368F2D2" w14:textId="77777777" w:rsidR="00832D1F" w:rsidRPr="00D549EE" w:rsidRDefault="00832D1F" w:rsidP="00C9582F">
            <w:pPr>
              <w:snapToGrid w:val="0"/>
              <w:contextualSpacing/>
              <w:rPr>
                <w:color w:val="000000" w:themeColor="text1"/>
                <w:lang w:val="en-US"/>
              </w:rPr>
            </w:pPr>
            <w:r w:rsidRPr="00D549EE">
              <w:rPr>
                <w:color w:val="000000" w:themeColor="text1"/>
                <w:lang w:val="en-US"/>
              </w:rPr>
              <w:t>Indicators</w:t>
            </w:r>
          </w:p>
        </w:tc>
        <w:tc>
          <w:tcPr>
            <w:tcW w:w="3674" w:type="dxa"/>
          </w:tcPr>
          <w:p w14:paraId="6C38226D" w14:textId="77777777" w:rsidR="00832D1F" w:rsidRPr="00D549EE" w:rsidRDefault="00832D1F" w:rsidP="00C9582F">
            <w:pPr>
              <w:snapToGrid w:val="0"/>
              <w:contextualSpacing/>
              <w:rPr>
                <w:color w:val="000000" w:themeColor="text1"/>
                <w:lang w:val="en-US"/>
              </w:rPr>
            </w:pPr>
            <w:r w:rsidRPr="00D549EE">
              <w:rPr>
                <w:color w:val="000000" w:themeColor="text1"/>
                <w:lang w:val="en-US"/>
              </w:rPr>
              <w:t>Value, million tenge</w:t>
            </w:r>
          </w:p>
        </w:tc>
      </w:tr>
      <w:tr w:rsidR="00832D1F" w:rsidRPr="00D549EE" w14:paraId="53D486F7" w14:textId="77777777" w:rsidTr="00832D1F">
        <w:tc>
          <w:tcPr>
            <w:tcW w:w="5949" w:type="dxa"/>
          </w:tcPr>
          <w:p w14:paraId="13A73F5D" w14:textId="77777777" w:rsidR="00832D1F" w:rsidRPr="00D549EE" w:rsidRDefault="00832D1F" w:rsidP="00C9582F">
            <w:pPr>
              <w:snapToGrid w:val="0"/>
              <w:contextualSpacing/>
              <w:rPr>
                <w:color w:val="000000" w:themeColor="text1"/>
                <w:lang w:val="en-US"/>
              </w:rPr>
            </w:pPr>
            <w:r w:rsidRPr="00D549EE">
              <w:rPr>
                <w:color w:val="000000" w:themeColor="text1"/>
                <w:lang w:val="en-US"/>
              </w:rPr>
              <w:t xml:space="preserve">Contributing to equity </w:t>
            </w:r>
          </w:p>
        </w:tc>
        <w:tc>
          <w:tcPr>
            <w:tcW w:w="3674" w:type="dxa"/>
          </w:tcPr>
          <w:p w14:paraId="12369A92" w14:textId="77777777" w:rsidR="00832D1F" w:rsidRPr="00D549EE" w:rsidRDefault="00832D1F" w:rsidP="00C9582F">
            <w:pPr>
              <w:snapToGrid w:val="0"/>
              <w:contextualSpacing/>
              <w:rPr>
                <w:color w:val="000000" w:themeColor="text1"/>
                <w:lang w:val="en-US"/>
              </w:rPr>
            </w:pPr>
            <w:r w:rsidRPr="00D549EE">
              <w:rPr>
                <w:color w:val="000000" w:themeColor="text1"/>
                <w:lang w:val="en-US"/>
              </w:rPr>
              <w:t>4.6</w:t>
            </w:r>
          </w:p>
        </w:tc>
      </w:tr>
      <w:tr w:rsidR="00832D1F" w:rsidRPr="00D549EE" w14:paraId="2500DD66" w14:textId="77777777" w:rsidTr="00832D1F">
        <w:tc>
          <w:tcPr>
            <w:tcW w:w="5949" w:type="dxa"/>
          </w:tcPr>
          <w:p w14:paraId="1B4A86DA" w14:textId="77777777" w:rsidR="00832D1F" w:rsidRPr="00D549EE" w:rsidRDefault="00832D1F" w:rsidP="00C9582F">
            <w:pPr>
              <w:snapToGrid w:val="0"/>
              <w:contextualSpacing/>
              <w:rPr>
                <w:color w:val="000000" w:themeColor="text1"/>
                <w:lang w:val="en-US"/>
              </w:rPr>
            </w:pPr>
            <w:r w:rsidRPr="00D549EE">
              <w:rPr>
                <w:color w:val="000000" w:themeColor="text1"/>
                <w:lang w:val="en-US"/>
              </w:rPr>
              <w:t>including:</w:t>
            </w:r>
          </w:p>
        </w:tc>
        <w:tc>
          <w:tcPr>
            <w:tcW w:w="3674" w:type="dxa"/>
          </w:tcPr>
          <w:p w14:paraId="152419DD" w14:textId="77777777" w:rsidR="00832D1F" w:rsidRPr="00D549EE" w:rsidRDefault="00832D1F" w:rsidP="00C9582F">
            <w:pPr>
              <w:snapToGrid w:val="0"/>
              <w:contextualSpacing/>
              <w:rPr>
                <w:color w:val="000000" w:themeColor="text1"/>
                <w:lang w:val="en-US"/>
              </w:rPr>
            </w:pPr>
          </w:p>
        </w:tc>
      </w:tr>
      <w:tr w:rsidR="00832D1F" w:rsidRPr="00D549EE" w14:paraId="7DEFEC0F" w14:textId="77777777" w:rsidTr="00832D1F">
        <w:tc>
          <w:tcPr>
            <w:tcW w:w="5949" w:type="dxa"/>
          </w:tcPr>
          <w:p w14:paraId="2D3A48AE" w14:textId="77777777" w:rsidR="00832D1F" w:rsidRPr="00D549EE" w:rsidRDefault="00832D1F" w:rsidP="00C9582F">
            <w:pPr>
              <w:pStyle w:val="a5"/>
              <w:shd w:val="clear" w:color="auto" w:fill="FFFFFF"/>
            </w:pPr>
            <w:r w:rsidRPr="00D549EE">
              <w:t xml:space="preserve">Capital expenditures </w:t>
            </w:r>
          </w:p>
        </w:tc>
        <w:tc>
          <w:tcPr>
            <w:tcW w:w="3674" w:type="dxa"/>
          </w:tcPr>
          <w:p w14:paraId="3002FEA6" w14:textId="77777777" w:rsidR="00832D1F" w:rsidRPr="00D549EE" w:rsidRDefault="00832D1F" w:rsidP="00C9582F">
            <w:pPr>
              <w:snapToGrid w:val="0"/>
              <w:contextualSpacing/>
              <w:rPr>
                <w:color w:val="000000" w:themeColor="text1"/>
                <w:lang w:val="en-US"/>
              </w:rPr>
            </w:pPr>
            <w:r w:rsidRPr="00D549EE">
              <w:rPr>
                <w:color w:val="000000" w:themeColor="text1"/>
                <w:lang w:val="en-US"/>
              </w:rPr>
              <w:t>4.6</w:t>
            </w:r>
          </w:p>
        </w:tc>
      </w:tr>
      <w:tr w:rsidR="00832D1F" w:rsidRPr="00D549EE" w14:paraId="329AEDCC" w14:textId="77777777" w:rsidTr="00832D1F">
        <w:tc>
          <w:tcPr>
            <w:tcW w:w="5949" w:type="dxa"/>
          </w:tcPr>
          <w:p w14:paraId="783FFFC5" w14:textId="77777777" w:rsidR="00832D1F" w:rsidRPr="00D549EE" w:rsidRDefault="00832D1F" w:rsidP="00C9582F">
            <w:pPr>
              <w:pStyle w:val="a5"/>
              <w:shd w:val="clear" w:color="auto" w:fill="FFFFFF"/>
            </w:pPr>
            <w:r w:rsidRPr="00D549EE">
              <w:t xml:space="preserve">Operating expenses </w:t>
            </w:r>
          </w:p>
        </w:tc>
        <w:tc>
          <w:tcPr>
            <w:tcW w:w="3674" w:type="dxa"/>
          </w:tcPr>
          <w:p w14:paraId="4A442060" w14:textId="77777777" w:rsidR="00832D1F" w:rsidRPr="00D549EE" w:rsidRDefault="00832D1F" w:rsidP="00C9582F">
            <w:pPr>
              <w:snapToGrid w:val="0"/>
              <w:contextualSpacing/>
              <w:rPr>
                <w:color w:val="000000" w:themeColor="text1"/>
                <w:lang w:val="en-US"/>
              </w:rPr>
            </w:pPr>
            <w:r w:rsidRPr="00D549EE">
              <w:rPr>
                <w:color w:val="000000" w:themeColor="text1"/>
                <w:lang w:val="en-US"/>
              </w:rPr>
              <w:t>0</w:t>
            </w:r>
          </w:p>
        </w:tc>
      </w:tr>
      <w:tr w:rsidR="00832D1F" w:rsidRPr="00D549EE" w14:paraId="3E6EF17B" w14:textId="77777777" w:rsidTr="00C67F4D">
        <w:tc>
          <w:tcPr>
            <w:tcW w:w="5949" w:type="dxa"/>
            <w:tcBorders>
              <w:bottom w:val="single" w:sz="4" w:space="0" w:color="auto"/>
            </w:tcBorders>
          </w:tcPr>
          <w:p w14:paraId="7CA18CAA" w14:textId="77777777" w:rsidR="00832D1F" w:rsidRPr="00D549EE" w:rsidRDefault="00832D1F" w:rsidP="00C9582F">
            <w:pPr>
              <w:pStyle w:val="a5"/>
              <w:shd w:val="clear" w:color="auto" w:fill="FFFFFF"/>
            </w:pPr>
            <w:r w:rsidRPr="00D549EE">
              <w:t>Revenue (</w:t>
            </w:r>
            <w:r w:rsidRPr="00D549EE">
              <w:rPr>
                <w:lang w:val="en-US"/>
              </w:rPr>
              <w:t>for 5</w:t>
            </w:r>
            <w:r w:rsidRPr="00D549EE">
              <w:t xml:space="preserve"> years)</w:t>
            </w:r>
          </w:p>
        </w:tc>
        <w:tc>
          <w:tcPr>
            <w:tcW w:w="3674" w:type="dxa"/>
            <w:tcBorders>
              <w:bottom w:val="single" w:sz="4" w:space="0" w:color="auto"/>
            </w:tcBorders>
          </w:tcPr>
          <w:p w14:paraId="5C9E42A1" w14:textId="091A5868" w:rsidR="00832D1F" w:rsidRPr="00D549EE" w:rsidRDefault="00DC0601" w:rsidP="00C9582F">
            <w:pPr>
              <w:snapToGrid w:val="0"/>
              <w:contextualSpacing/>
              <w:rPr>
                <w:color w:val="000000" w:themeColor="text1"/>
                <w:lang w:val="en-US"/>
              </w:rPr>
            </w:pPr>
            <w:r w:rsidRPr="00D549EE">
              <w:rPr>
                <w:color w:val="000000" w:themeColor="text1"/>
                <w:lang w:val="en-US"/>
              </w:rPr>
              <w:t>16 274.07</w:t>
            </w:r>
          </w:p>
        </w:tc>
      </w:tr>
      <w:tr w:rsidR="00832D1F" w:rsidRPr="00D549EE" w14:paraId="1121B98A" w14:textId="77777777" w:rsidTr="00C67F4D">
        <w:tc>
          <w:tcPr>
            <w:tcW w:w="5949" w:type="dxa"/>
            <w:tcBorders>
              <w:bottom w:val="nil"/>
            </w:tcBorders>
          </w:tcPr>
          <w:p w14:paraId="4132D11A" w14:textId="77777777" w:rsidR="00832D1F" w:rsidRPr="00D549EE" w:rsidRDefault="00832D1F" w:rsidP="00C9582F">
            <w:pPr>
              <w:pStyle w:val="a5"/>
              <w:shd w:val="clear" w:color="auto" w:fill="FFFFFF"/>
            </w:pPr>
            <w:r w:rsidRPr="00D549EE">
              <w:t xml:space="preserve">EBITDA (for </w:t>
            </w:r>
            <w:r w:rsidRPr="00D549EE">
              <w:rPr>
                <w:lang w:val="en-US"/>
              </w:rPr>
              <w:t>5</w:t>
            </w:r>
            <w:r w:rsidRPr="00D549EE">
              <w:t xml:space="preserve"> years)</w:t>
            </w:r>
          </w:p>
        </w:tc>
        <w:tc>
          <w:tcPr>
            <w:tcW w:w="3674" w:type="dxa"/>
            <w:tcBorders>
              <w:bottom w:val="nil"/>
            </w:tcBorders>
          </w:tcPr>
          <w:p w14:paraId="558CAEFB" w14:textId="0B34814D" w:rsidR="00832D1F" w:rsidRPr="00D549EE" w:rsidRDefault="00DC0601" w:rsidP="00C9582F">
            <w:pPr>
              <w:snapToGrid w:val="0"/>
              <w:contextualSpacing/>
              <w:rPr>
                <w:color w:val="000000" w:themeColor="text1"/>
                <w:lang w:val="en-US"/>
              </w:rPr>
            </w:pPr>
            <w:r w:rsidRPr="00D549EE">
              <w:rPr>
                <w:color w:val="000000" w:themeColor="text1"/>
                <w:lang w:val="en-US"/>
              </w:rPr>
              <w:t>15 923.62</w:t>
            </w:r>
          </w:p>
        </w:tc>
      </w:tr>
    </w:tbl>
    <w:p w14:paraId="55BA7998" w14:textId="5C532FB7" w:rsidR="0053692B" w:rsidRDefault="00C67F4D">
      <w:r w:rsidRPr="00C67F4D">
        <w:t>Continuation of table 1</w:t>
      </w:r>
    </w:p>
    <w:p w14:paraId="7E5A7557" w14:textId="77777777" w:rsidR="00C67F4D" w:rsidRPr="00D549EE" w:rsidRDefault="00C67F4D"/>
    <w:tbl>
      <w:tblPr>
        <w:tblStyle w:val="a9"/>
        <w:tblW w:w="0" w:type="auto"/>
        <w:tblLook w:val="04A0" w:firstRow="1" w:lastRow="0" w:firstColumn="1" w:lastColumn="0" w:noHBand="0" w:noVBand="1"/>
      </w:tblPr>
      <w:tblGrid>
        <w:gridCol w:w="5949"/>
        <w:gridCol w:w="3674"/>
      </w:tblGrid>
      <w:tr w:rsidR="0053692B" w:rsidRPr="00D549EE" w14:paraId="6837CF2A" w14:textId="77777777" w:rsidTr="00832D1F">
        <w:tc>
          <w:tcPr>
            <w:tcW w:w="5949" w:type="dxa"/>
          </w:tcPr>
          <w:p w14:paraId="4A511F09" w14:textId="40135A1F" w:rsidR="0053692B" w:rsidRPr="00D549EE" w:rsidRDefault="0053692B" w:rsidP="00C9582F">
            <w:pPr>
              <w:pStyle w:val="a5"/>
              <w:shd w:val="clear" w:color="auto" w:fill="FFFFFF"/>
              <w:rPr>
                <w:lang w:val="en-US"/>
              </w:rPr>
            </w:pPr>
            <w:r w:rsidRPr="00D549EE">
              <w:rPr>
                <w:lang w:val="en-US"/>
              </w:rPr>
              <w:t>1</w:t>
            </w:r>
          </w:p>
        </w:tc>
        <w:tc>
          <w:tcPr>
            <w:tcW w:w="3674" w:type="dxa"/>
          </w:tcPr>
          <w:p w14:paraId="25206E65" w14:textId="41752543" w:rsidR="0053692B" w:rsidRPr="00D549EE" w:rsidRDefault="0053692B" w:rsidP="00C9582F">
            <w:pPr>
              <w:snapToGrid w:val="0"/>
              <w:contextualSpacing/>
              <w:rPr>
                <w:color w:val="000000" w:themeColor="text1"/>
                <w:lang w:val="en-US"/>
              </w:rPr>
            </w:pPr>
            <w:r w:rsidRPr="00D549EE">
              <w:rPr>
                <w:color w:val="000000" w:themeColor="text1"/>
                <w:lang w:val="en-US"/>
              </w:rPr>
              <w:t>2</w:t>
            </w:r>
          </w:p>
        </w:tc>
      </w:tr>
      <w:tr w:rsidR="00832D1F" w:rsidRPr="00D549EE" w14:paraId="05BC9E95" w14:textId="77777777" w:rsidTr="00832D1F">
        <w:tc>
          <w:tcPr>
            <w:tcW w:w="5949" w:type="dxa"/>
          </w:tcPr>
          <w:p w14:paraId="55D79B41" w14:textId="77777777" w:rsidR="00832D1F" w:rsidRPr="00D549EE" w:rsidRDefault="00832D1F" w:rsidP="00C9582F">
            <w:pPr>
              <w:pStyle w:val="a5"/>
              <w:shd w:val="clear" w:color="auto" w:fill="FFFFFF"/>
              <w:rPr>
                <w:lang w:val="en-US"/>
              </w:rPr>
            </w:pPr>
            <w:r w:rsidRPr="00D549EE">
              <w:rPr>
                <w:lang w:val="en-US"/>
              </w:rPr>
              <w:t>EBIT operating profit*  (for 5 years)</w:t>
            </w:r>
          </w:p>
        </w:tc>
        <w:tc>
          <w:tcPr>
            <w:tcW w:w="3674" w:type="dxa"/>
          </w:tcPr>
          <w:p w14:paraId="4B6BE853" w14:textId="371C75DE" w:rsidR="00832D1F" w:rsidRPr="00D549EE" w:rsidRDefault="00DC0601" w:rsidP="00C9582F">
            <w:pPr>
              <w:snapToGrid w:val="0"/>
              <w:contextualSpacing/>
              <w:rPr>
                <w:color w:val="000000" w:themeColor="text1"/>
                <w:lang w:val="en-US"/>
              </w:rPr>
            </w:pPr>
            <w:r w:rsidRPr="00D549EE">
              <w:rPr>
                <w:color w:val="000000" w:themeColor="text1"/>
                <w:lang w:val="en-US"/>
              </w:rPr>
              <w:t>15 921.78</w:t>
            </w:r>
          </w:p>
        </w:tc>
      </w:tr>
      <w:tr w:rsidR="00832D1F" w:rsidRPr="00D549EE" w14:paraId="2B5927A1" w14:textId="77777777" w:rsidTr="00832D1F">
        <w:tc>
          <w:tcPr>
            <w:tcW w:w="5949" w:type="dxa"/>
          </w:tcPr>
          <w:p w14:paraId="301C7938" w14:textId="77777777" w:rsidR="00832D1F" w:rsidRPr="00D549EE" w:rsidRDefault="00832D1F" w:rsidP="00C9582F">
            <w:pPr>
              <w:pStyle w:val="a5"/>
              <w:shd w:val="clear" w:color="auto" w:fill="FFFFFF"/>
            </w:pPr>
            <w:r w:rsidRPr="00D549EE">
              <w:t xml:space="preserve">Net </w:t>
            </w:r>
            <w:r w:rsidRPr="00D549EE">
              <w:rPr>
                <w:lang w:val="en-US"/>
              </w:rPr>
              <w:t xml:space="preserve">profit* </w:t>
            </w:r>
            <w:r w:rsidRPr="00D549EE">
              <w:t>(</w:t>
            </w:r>
            <w:r w:rsidRPr="00D549EE">
              <w:rPr>
                <w:lang w:val="en-US"/>
              </w:rPr>
              <w:t>for 5</w:t>
            </w:r>
            <w:r w:rsidRPr="00D549EE">
              <w:t xml:space="preserve"> years)</w:t>
            </w:r>
          </w:p>
        </w:tc>
        <w:tc>
          <w:tcPr>
            <w:tcW w:w="3674" w:type="dxa"/>
          </w:tcPr>
          <w:p w14:paraId="4F6330EF" w14:textId="16A7527F" w:rsidR="00832D1F" w:rsidRPr="00D549EE" w:rsidRDefault="00DC0601" w:rsidP="00C9582F">
            <w:pPr>
              <w:snapToGrid w:val="0"/>
              <w:contextualSpacing/>
              <w:rPr>
                <w:color w:val="000000" w:themeColor="text1"/>
                <w:lang w:val="en-US"/>
              </w:rPr>
            </w:pPr>
            <w:r w:rsidRPr="00D549EE">
              <w:rPr>
                <w:color w:val="000000" w:themeColor="text1"/>
                <w:lang w:val="en-US"/>
              </w:rPr>
              <w:t>15</w:t>
            </w:r>
            <w:r w:rsidR="00743F03" w:rsidRPr="00D549EE">
              <w:rPr>
                <w:color w:val="000000" w:themeColor="text1"/>
                <w:lang w:val="en-US"/>
              </w:rPr>
              <w:t> </w:t>
            </w:r>
            <w:r w:rsidRPr="00D549EE">
              <w:rPr>
                <w:color w:val="000000" w:themeColor="text1"/>
                <w:lang w:val="en-US"/>
              </w:rPr>
              <w:t>8</w:t>
            </w:r>
            <w:r w:rsidR="00743F03" w:rsidRPr="00D549EE">
              <w:rPr>
                <w:color w:val="000000" w:themeColor="text1"/>
                <w:lang w:val="en-US"/>
              </w:rPr>
              <w:t>63.88</w:t>
            </w:r>
          </w:p>
        </w:tc>
      </w:tr>
      <w:tr w:rsidR="00832D1F" w:rsidRPr="00D549EE" w14:paraId="786FC3FF" w14:textId="77777777" w:rsidTr="00832D1F">
        <w:tc>
          <w:tcPr>
            <w:tcW w:w="5949" w:type="dxa"/>
          </w:tcPr>
          <w:p w14:paraId="1652070F" w14:textId="77777777" w:rsidR="00832D1F" w:rsidRPr="00D549EE" w:rsidRDefault="00832D1F" w:rsidP="00C9582F">
            <w:pPr>
              <w:pStyle w:val="a5"/>
              <w:shd w:val="clear" w:color="auto" w:fill="FFFFFF"/>
            </w:pPr>
            <w:r w:rsidRPr="00D549EE">
              <w:t>Project payback period</w:t>
            </w:r>
          </w:p>
        </w:tc>
        <w:tc>
          <w:tcPr>
            <w:tcW w:w="3674" w:type="dxa"/>
          </w:tcPr>
          <w:p w14:paraId="63E58D6F" w14:textId="77777777" w:rsidR="00832D1F" w:rsidRPr="00D549EE" w:rsidRDefault="00832D1F" w:rsidP="00C9582F">
            <w:pPr>
              <w:snapToGrid w:val="0"/>
              <w:contextualSpacing/>
              <w:rPr>
                <w:color w:val="000000" w:themeColor="text1"/>
                <w:lang w:val="en-US"/>
              </w:rPr>
            </w:pPr>
            <w:r w:rsidRPr="00D549EE">
              <w:rPr>
                <w:color w:val="000000" w:themeColor="text1"/>
                <w:lang w:val="en-US"/>
              </w:rPr>
              <w:t>Less than 1 month</w:t>
            </w:r>
          </w:p>
        </w:tc>
      </w:tr>
      <w:tr w:rsidR="00832D1F" w:rsidRPr="00D549EE" w14:paraId="4C889DA5" w14:textId="77777777" w:rsidTr="00832D1F">
        <w:tc>
          <w:tcPr>
            <w:tcW w:w="5949" w:type="dxa"/>
          </w:tcPr>
          <w:p w14:paraId="72BF0452" w14:textId="77777777" w:rsidR="00832D1F" w:rsidRPr="00D549EE" w:rsidRDefault="00832D1F" w:rsidP="00C9582F">
            <w:pPr>
              <w:pStyle w:val="a5"/>
              <w:shd w:val="clear" w:color="auto" w:fill="FFFFFF"/>
            </w:pPr>
            <w:r w:rsidRPr="00D549EE">
              <w:t>PV (</w:t>
            </w:r>
            <w:r w:rsidRPr="00D549EE">
              <w:rPr>
                <w:lang w:val="en-US"/>
              </w:rPr>
              <w:t>for 5</w:t>
            </w:r>
            <w:r w:rsidRPr="00D549EE">
              <w:t xml:space="preserve"> years)</w:t>
            </w:r>
          </w:p>
        </w:tc>
        <w:tc>
          <w:tcPr>
            <w:tcW w:w="3674" w:type="dxa"/>
          </w:tcPr>
          <w:p w14:paraId="2515B334" w14:textId="0D35FD29" w:rsidR="00832D1F" w:rsidRPr="00D549EE" w:rsidRDefault="00DC0601" w:rsidP="00C9582F">
            <w:pPr>
              <w:snapToGrid w:val="0"/>
              <w:contextualSpacing/>
              <w:rPr>
                <w:color w:val="000000" w:themeColor="text1"/>
                <w:lang w:val="en-US"/>
              </w:rPr>
            </w:pPr>
            <w:r w:rsidRPr="00D549EE">
              <w:rPr>
                <w:color w:val="000000" w:themeColor="text1"/>
                <w:lang w:val="en-US"/>
              </w:rPr>
              <w:t>13</w:t>
            </w:r>
            <w:r w:rsidR="00743F03" w:rsidRPr="00D549EE">
              <w:rPr>
                <w:color w:val="000000" w:themeColor="text1"/>
                <w:lang w:val="en-US"/>
              </w:rPr>
              <w:t> </w:t>
            </w:r>
            <w:r w:rsidRPr="00D549EE">
              <w:rPr>
                <w:color w:val="000000" w:themeColor="text1"/>
                <w:lang w:val="en-US"/>
              </w:rPr>
              <w:t>1</w:t>
            </w:r>
            <w:r w:rsidR="00743F03" w:rsidRPr="00D549EE">
              <w:rPr>
                <w:color w:val="000000" w:themeColor="text1"/>
                <w:lang w:val="en-US"/>
              </w:rPr>
              <w:t>55.77</w:t>
            </w:r>
          </w:p>
        </w:tc>
      </w:tr>
      <w:tr w:rsidR="00832D1F" w:rsidRPr="00D549EE" w14:paraId="7E18C821" w14:textId="77777777" w:rsidTr="00832D1F">
        <w:tc>
          <w:tcPr>
            <w:tcW w:w="5949" w:type="dxa"/>
          </w:tcPr>
          <w:p w14:paraId="30148EEC" w14:textId="77777777" w:rsidR="00832D1F" w:rsidRPr="00D549EE" w:rsidRDefault="00832D1F" w:rsidP="00C9582F">
            <w:pPr>
              <w:pStyle w:val="a5"/>
              <w:shd w:val="clear" w:color="auto" w:fill="FFFFFF"/>
              <w:rPr>
                <w:lang w:val="en-US"/>
              </w:rPr>
            </w:pPr>
            <w:r w:rsidRPr="00D549EE">
              <w:t>NPV (</w:t>
            </w:r>
            <w:r w:rsidRPr="00D549EE">
              <w:rPr>
                <w:lang w:val="en-US"/>
              </w:rPr>
              <w:t>for 5</w:t>
            </w:r>
            <w:r w:rsidRPr="00D549EE">
              <w:t xml:space="preserve"> years)</w:t>
            </w:r>
          </w:p>
        </w:tc>
        <w:tc>
          <w:tcPr>
            <w:tcW w:w="3674" w:type="dxa"/>
          </w:tcPr>
          <w:p w14:paraId="1FBBAE41" w14:textId="32F00DB8" w:rsidR="00832D1F" w:rsidRPr="00D549EE" w:rsidRDefault="00DC0601" w:rsidP="00C9582F">
            <w:pPr>
              <w:snapToGrid w:val="0"/>
              <w:contextualSpacing/>
              <w:rPr>
                <w:color w:val="000000" w:themeColor="text1"/>
                <w:lang w:val="en-US"/>
              </w:rPr>
            </w:pPr>
            <w:r w:rsidRPr="00D549EE">
              <w:rPr>
                <w:color w:val="000000" w:themeColor="text1"/>
                <w:lang w:val="en-US"/>
              </w:rPr>
              <w:t>13</w:t>
            </w:r>
            <w:r w:rsidR="00743F03" w:rsidRPr="00D549EE">
              <w:rPr>
                <w:color w:val="000000" w:themeColor="text1"/>
                <w:lang w:val="en-US"/>
              </w:rPr>
              <w:t> </w:t>
            </w:r>
            <w:r w:rsidRPr="00D549EE">
              <w:rPr>
                <w:color w:val="000000" w:themeColor="text1"/>
                <w:lang w:val="en-US"/>
              </w:rPr>
              <w:t>15</w:t>
            </w:r>
            <w:r w:rsidR="00743F03" w:rsidRPr="00D549EE">
              <w:rPr>
                <w:color w:val="000000" w:themeColor="text1"/>
                <w:lang w:val="en-US"/>
              </w:rPr>
              <w:t>1.17</w:t>
            </w:r>
          </w:p>
        </w:tc>
      </w:tr>
      <w:tr w:rsidR="00832D1F" w:rsidRPr="00D549EE" w14:paraId="09A08058" w14:textId="77777777" w:rsidTr="00832D1F">
        <w:tc>
          <w:tcPr>
            <w:tcW w:w="5949" w:type="dxa"/>
          </w:tcPr>
          <w:p w14:paraId="17C295FF" w14:textId="77777777" w:rsidR="00832D1F" w:rsidRPr="00D549EE" w:rsidRDefault="00832D1F" w:rsidP="00C9582F">
            <w:pPr>
              <w:pStyle w:val="a5"/>
              <w:shd w:val="clear" w:color="auto" w:fill="FFFFFF"/>
            </w:pPr>
            <w:r w:rsidRPr="00D549EE">
              <w:t xml:space="preserve">PI Profitability Index </w:t>
            </w:r>
          </w:p>
        </w:tc>
        <w:tc>
          <w:tcPr>
            <w:tcW w:w="3674" w:type="dxa"/>
          </w:tcPr>
          <w:p w14:paraId="1F0122CB" w14:textId="72DF4020" w:rsidR="00832D1F" w:rsidRPr="00D549EE" w:rsidRDefault="00DC0601" w:rsidP="00C9582F">
            <w:pPr>
              <w:snapToGrid w:val="0"/>
              <w:contextualSpacing/>
              <w:rPr>
                <w:color w:val="000000" w:themeColor="text1"/>
                <w:lang w:val="en-US"/>
              </w:rPr>
            </w:pPr>
            <w:r w:rsidRPr="00D549EE">
              <w:rPr>
                <w:color w:val="000000" w:themeColor="text1"/>
                <w:lang w:val="en-US"/>
              </w:rPr>
              <w:t>28</w:t>
            </w:r>
            <w:r w:rsidR="00743F03" w:rsidRPr="00D549EE">
              <w:rPr>
                <w:color w:val="000000" w:themeColor="text1"/>
                <w:lang w:val="en-US"/>
              </w:rPr>
              <w:t>59</w:t>
            </w:r>
          </w:p>
        </w:tc>
      </w:tr>
      <w:tr w:rsidR="00832D1F" w:rsidRPr="00D549EE" w14:paraId="3450E4FA" w14:textId="77777777" w:rsidTr="00832D1F">
        <w:tc>
          <w:tcPr>
            <w:tcW w:w="5949" w:type="dxa"/>
          </w:tcPr>
          <w:p w14:paraId="6D686517" w14:textId="77777777" w:rsidR="00832D1F" w:rsidRPr="00D549EE" w:rsidRDefault="00832D1F" w:rsidP="00C9582F">
            <w:pPr>
              <w:pStyle w:val="a5"/>
              <w:shd w:val="clear" w:color="auto" w:fill="FFFFFF"/>
            </w:pPr>
            <w:r w:rsidRPr="00D549EE">
              <w:t>IRR (</w:t>
            </w:r>
            <w:r w:rsidRPr="00D549EE">
              <w:rPr>
                <w:lang w:val="en-US"/>
              </w:rPr>
              <w:t>for 5</w:t>
            </w:r>
            <w:r w:rsidRPr="00D549EE">
              <w:t xml:space="preserve"> years) </w:t>
            </w:r>
          </w:p>
        </w:tc>
        <w:tc>
          <w:tcPr>
            <w:tcW w:w="3674" w:type="dxa"/>
          </w:tcPr>
          <w:p w14:paraId="58FB1B3D" w14:textId="01F36BA6" w:rsidR="00832D1F" w:rsidRPr="00D549EE" w:rsidRDefault="00DC0601" w:rsidP="00C9582F">
            <w:pPr>
              <w:snapToGrid w:val="0"/>
              <w:contextualSpacing/>
              <w:rPr>
                <w:color w:val="000000" w:themeColor="text1"/>
                <w:lang w:val="en-US"/>
              </w:rPr>
            </w:pPr>
            <w:r w:rsidRPr="00D549EE">
              <w:rPr>
                <w:color w:val="000000" w:themeColor="text1"/>
                <w:lang w:val="en-US"/>
              </w:rPr>
              <w:t>3529</w:t>
            </w:r>
          </w:p>
        </w:tc>
      </w:tr>
      <w:tr w:rsidR="00832D1F" w:rsidRPr="00FC685D" w14:paraId="124D7D7D" w14:textId="77777777" w:rsidTr="00CA6727">
        <w:tc>
          <w:tcPr>
            <w:tcW w:w="9623" w:type="dxa"/>
            <w:gridSpan w:val="2"/>
          </w:tcPr>
          <w:p w14:paraId="62F0721A" w14:textId="77777777" w:rsidR="00171B07" w:rsidRPr="00D549EE" w:rsidRDefault="00221E41" w:rsidP="00C9582F">
            <w:pPr>
              <w:snapToGrid w:val="0"/>
              <w:contextualSpacing/>
              <w:rPr>
                <w:color w:val="000000" w:themeColor="text1"/>
                <w:lang w:val="en-US"/>
              </w:rPr>
            </w:pPr>
            <w:r w:rsidRPr="00D549EE">
              <w:rPr>
                <w:color w:val="000000" w:themeColor="text1"/>
                <w:lang w:val="en-US"/>
              </w:rPr>
              <w:t xml:space="preserve">    </w:t>
            </w:r>
            <w:r w:rsidR="00171B07" w:rsidRPr="00D549EE">
              <w:rPr>
                <w:color w:val="000000" w:themeColor="text1"/>
                <w:lang w:val="en-US"/>
              </w:rPr>
              <w:t xml:space="preserve">Notes </w:t>
            </w:r>
          </w:p>
          <w:p w14:paraId="3D562A69" w14:textId="4732CE5C" w:rsidR="00171B07" w:rsidRPr="00D549EE" w:rsidRDefault="00171B07" w:rsidP="00C9582F">
            <w:pPr>
              <w:snapToGrid w:val="0"/>
              <w:contextualSpacing/>
              <w:rPr>
                <w:color w:val="000000" w:themeColor="text1"/>
                <w:lang w:val="en-US"/>
              </w:rPr>
            </w:pPr>
            <w:r w:rsidRPr="00D549EE">
              <w:rPr>
                <w:color w:val="000000" w:themeColor="text1"/>
                <w:lang w:val="en-US"/>
              </w:rPr>
              <w:t xml:space="preserve">    1 Compiled by the author</w:t>
            </w:r>
          </w:p>
          <w:p w14:paraId="5BA2DEE2" w14:textId="03237332" w:rsidR="00832D1F" w:rsidRPr="00D549EE" w:rsidRDefault="00171B07" w:rsidP="00C9582F">
            <w:pPr>
              <w:snapToGrid w:val="0"/>
              <w:contextualSpacing/>
              <w:rPr>
                <w:color w:val="000000" w:themeColor="text1"/>
                <w:lang w:val="kk-KZ"/>
              </w:rPr>
            </w:pPr>
            <w:r w:rsidRPr="00D549EE">
              <w:rPr>
                <w:color w:val="000000" w:themeColor="text1"/>
                <w:lang w:val="en-US"/>
              </w:rPr>
              <w:t xml:space="preserve">    2 Profit is considered as revenue from donors</w:t>
            </w:r>
          </w:p>
        </w:tc>
      </w:tr>
    </w:tbl>
    <w:p w14:paraId="5DE58115" w14:textId="007ABD77" w:rsidR="0003452F" w:rsidRPr="00D549EE" w:rsidRDefault="0003452F" w:rsidP="00C9582F">
      <w:pPr>
        <w:pStyle w:val="a5"/>
        <w:shd w:val="clear" w:color="auto" w:fill="FFFFFF"/>
        <w:contextualSpacing/>
        <w:jc w:val="both"/>
        <w:rPr>
          <w:lang w:val="en-US"/>
        </w:rPr>
      </w:pPr>
      <w:r w:rsidRPr="00D549EE">
        <w:rPr>
          <w:lang w:val="en-US"/>
        </w:rPr>
        <w:t xml:space="preserve"> </w:t>
      </w:r>
      <w:r w:rsidR="00221E41" w:rsidRPr="00D549EE">
        <w:rPr>
          <w:lang w:val="en-US"/>
        </w:rPr>
        <w:tab/>
      </w:r>
      <w:r w:rsidR="00CC4E14" w:rsidRPr="00CC4E14">
        <w:rPr>
          <w:sz w:val="28"/>
          <w:szCs w:val="28"/>
          <w:lang w:val="en-US"/>
        </w:rPr>
        <w:t>There is another scenario of implementing a crowdfunding platform using blockchain technology, which requires attracting foreign IT development companies. According to the commercial offer, the platform's development will cost 60 million tenge, which is 13 times more than without using blockchain.</w:t>
      </w:r>
    </w:p>
    <w:p w14:paraId="0DDCDE9C" w14:textId="70EEB081" w:rsidR="006F1CCA" w:rsidRPr="00D549EE" w:rsidRDefault="006F1CCA" w:rsidP="00C9582F">
      <w:pPr>
        <w:jc w:val="both"/>
        <w:rPr>
          <w:sz w:val="28"/>
          <w:szCs w:val="28"/>
          <w:lang w:val="en-US"/>
        </w:rPr>
      </w:pPr>
      <w:r w:rsidRPr="00D549EE">
        <w:rPr>
          <w:sz w:val="28"/>
          <w:szCs w:val="28"/>
          <w:lang w:val="en-US"/>
        </w:rPr>
        <w:t xml:space="preserve">Table </w:t>
      </w:r>
      <w:r w:rsidR="00221E41" w:rsidRPr="00D549EE">
        <w:rPr>
          <w:sz w:val="28"/>
          <w:szCs w:val="28"/>
          <w:lang w:val="en-US"/>
        </w:rPr>
        <w:t xml:space="preserve">53 – </w:t>
      </w:r>
      <w:r w:rsidRPr="00D549EE">
        <w:rPr>
          <w:sz w:val="28"/>
          <w:szCs w:val="28"/>
          <w:lang w:val="en-US"/>
        </w:rPr>
        <w:t xml:space="preserve">Financial analysis of the crowdfunding platform with blockchain implementation </w:t>
      </w:r>
    </w:p>
    <w:p w14:paraId="56E25051" w14:textId="77777777" w:rsidR="006F1CCA" w:rsidRPr="00D549EE" w:rsidRDefault="006F1CCA" w:rsidP="00C9582F">
      <w:pPr>
        <w:jc w:val="both"/>
        <w:rPr>
          <w:sz w:val="28"/>
          <w:szCs w:val="28"/>
          <w:lang w:val="en-US"/>
        </w:rPr>
      </w:pPr>
    </w:p>
    <w:tbl>
      <w:tblPr>
        <w:tblStyle w:val="a9"/>
        <w:tblW w:w="0" w:type="auto"/>
        <w:tblLook w:val="04A0" w:firstRow="1" w:lastRow="0" w:firstColumn="1" w:lastColumn="0" w:noHBand="0" w:noVBand="1"/>
      </w:tblPr>
      <w:tblGrid>
        <w:gridCol w:w="7083"/>
        <w:gridCol w:w="2540"/>
      </w:tblGrid>
      <w:tr w:rsidR="006F1CCA" w:rsidRPr="00D549EE" w14:paraId="4A640F5A" w14:textId="77777777" w:rsidTr="006B27DB">
        <w:tc>
          <w:tcPr>
            <w:tcW w:w="7083" w:type="dxa"/>
          </w:tcPr>
          <w:p w14:paraId="40F1A557" w14:textId="77777777" w:rsidR="006F1CCA" w:rsidRPr="00D549EE" w:rsidRDefault="006F1CCA" w:rsidP="00C9582F">
            <w:pPr>
              <w:snapToGrid w:val="0"/>
              <w:contextualSpacing/>
              <w:rPr>
                <w:color w:val="000000" w:themeColor="text1"/>
                <w:lang w:val="en-US"/>
              </w:rPr>
            </w:pPr>
            <w:r w:rsidRPr="00D549EE">
              <w:rPr>
                <w:color w:val="000000" w:themeColor="text1"/>
                <w:lang w:val="en-US"/>
              </w:rPr>
              <w:t>Indicators</w:t>
            </w:r>
          </w:p>
        </w:tc>
        <w:tc>
          <w:tcPr>
            <w:tcW w:w="2540" w:type="dxa"/>
          </w:tcPr>
          <w:p w14:paraId="1160D1FA" w14:textId="37652887" w:rsidR="006F1CCA" w:rsidRPr="00D549EE" w:rsidRDefault="006F1CCA" w:rsidP="00C9582F">
            <w:pPr>
              <w:snapToGrid w:val="0"/>
              <w:contextualSpacing/>
              <w:rPr>
                <w:color w:val="000000" w:themeColor="text1"/>
                <w:lang w:val="en-US"/>
              </w:rPr>
            </w:pPr>
            <w:r w:rsidRPr="00D549EE">
              <w:rPr>
                <w:color w:val="000000" w:themeColor="text1"/>
                <w:lang w:val="en-US"/>
              </w:rPr>
              <w:t xml:space="preserve">Value, </w:t>
            </w:r>
            <w:r w:rsidR="0017600E" w:rsidRPr="00D549EE">
              <w:rPr>
                <w:color w:val="000000" w:themeColor="text1"/>
                <w:lang w:val="en-US"/>
              </w:rPr>
              <w:t>million</w:t>
            </w:r>
            <w:r w:rsidRPr="00D549EE">
              <w:rPr>
                <w:color w:val="000000" w:themeColor="text1"/>
                <w:lang w:val="en-US"/>
              </w:rPr>
              <w:t xml:space="preserve"> tenge</w:t>
            </w:r>
          </w:p>
        </w:tc>
      </w:tr>
      <w:tr w:rsidR="006F1CCA" w:rsidRPr="00D549EE" w14:paraId="625FDAAA" w14:textId="77777777" w:rsidTr="006B27DB">
        <w:tc>
          <w:tcPr>
            <w:tcW w:w="7083" w:type="dxa"/>
          </w:tcPr>
          <w:p w14:paraId="7BADDDFD" w14:textId="77777777" w:rsidR="006F1CCA" w:rsidRPr="00D549EE" w:rsidRDefault="006F1CCA" w:rsidP="00C9582F">
            <w:pPr>
              <w:snapToGrid w:val="0"/>
              <w:contextualSpacing/>
              <w:rPr>
                <w:color w:val="000000" w:themeColor="text1"/>
                <w:lang w:val="en-US"/>
              </w:rPr>
            </w:pPr>
            <w:r w:rsidRPr="00D549EE">
              <w:rPr>
                <w:color w:val="000000" w:themeColor="text1"/>
                <w:lang w:val="en-US"/>
              </w:rPr>
              <w:t xml:space="preserve">Contributing to equity </w:t>
            </w:r>
          </w:p>
        </w:tc>
        <w:tc>
          <w:tcPr>
            <w:tcW w:w="2540" w:type="dxa"/>
          </w:tcPr>
          <w:p w14:paraId="582A1B22" w14:textId="31837DED" w:rsidR="006F1CCA" w:rsidRPr="00D549EE" w:rsidRDefault="0017600E" w:rsidP="00C9582F">
            <w:pPr>
              <w:snapToGrid w:val="0"/>
              <w:contextualSpacing/>
              <w:rPr>
                <w:color w:val="000000" w:themeColor="text1"/>
                <w:lang w:val="en-US"/>
              </w:rPr>
            </w:pPr>
            <w:r w:rsidRPr="00D549EE">
              <w:rPr>
                <w:color w:val="000000" w:themeColor="text1"/>
                <w:lang w:val="en-US"/>
              </w:rPr>
              <w:t>66 500</w:t>
            </w:r>
          </w:p>
        </w:tc>
      </w:tr>
      <w:tr w:rsidR="006F1CCA" w:rsidRPr="00D549EE" w14:paraId="79B7CE7F" w14:textId="77777777" w:rsidTr="006B27DB">
        <w:tc>
          <w:tcPr>
            <w:tcW w:w="7083" w:type="dxa"/>
          </w:tcPr>
          <w:p w14:paraId="12549A81" w14:textId="77777777" w:rsidR="006F1CCA" w:rsidRPr="00D549EE" w:rsidRDefault="006F1CCA" w:rsidP="00C9582F">
            <w:pPr>
              <w:snapToGrid w:val="0"/>
              <w:contextualSpacing/>
              <w:rPr>
                <w:color w:val="000000" w:themeColor="text1"/>
                <w:lang w:val="en-US"/>
              </w:rPr>
            </w:pPr>
            <w:r w:rsidRPr="00D549EE">
              <w:rPr>
                <w:color w:val="000000" w:themeColor="text1"/>
                <w:lang w:val="en-US"/>
              </w:rPr>
              <w:t>including:</w:t>
            </w:r>
          </w:p>
        </w:tc>
        <w:tc>
          <w:tcPr>
            <w:tcW w:w="2540" w:type="dxa"/>
          </w:tcPr>
          <w:p w14:paraId="52B80C2C" w14:textId="77777777" w:rsidR="006F1CCA" w:rsidRPr="00D549EE" w:rsidRDefault="006F1CCA" w:rsidP="00C9582F">
            <w:pPr>
              <w:snapToGrid w:val="0"/>
              <w:contextualSpacing/>
              <w:rPr>
                <w:color w:val="000000" w:themeColor="text1"/>
                <w:lang w:val="en-US"/>
              </w:rPr>
            </w:pPr>
          </w:p>
        </w:tc>
      </w:tr>
      <w:tr w:rsidR="006F1CCA" w:rsidRPr="00D549EE" w14:paraId="762BCA6A" w14:textId="77777777" w:rsidTr="006B27DB">
        <w:tc>
          <w:tcPr>
            <w:tcW w:w="7083" w:type="dxa"/>
          </w:tcPr>
          <w:p w14:paraId="1B79C82A" w14:textId="77777777" w:rsidR="006F1CCA" w:rsidRPr="00D549EE" w:rsidRDefault="006F1CCA" w:rsidP="00C9582F">
            <w:pPr>
              <w:pStyle w:val="a5"/>
              <w:shd w:val="clear" w:color="auto" w:fill="FFFFFF"/>
            </w:pPr>
            <w:r w:rsidRPr="00D549EE">
              <w:t xml:space="preserve">Capital expenditures </w:t>
            </w:r>
          </w:p>
        </w:tc>
        <w:tc>
          <w:tcPr>
            <w:tcW w:w="2540" w:type="dxa"/>
          </w:tcPr>
          <w:p w14:paraId="2A00A7A2" w14:textId="34CFFA11" w:rsidR="006F1CCA" w:rsidRPr="00D549EE" w:rsidRDefault="006F1CCA" w:rsidP="00C9582F">
            <w:pPr>
              <w:snapToGrid w:val="0"/>
              <w:contextualSpacing/>
              <w:rPr>
                <w:color w:val="000000" w:themeColor="text1"/>
                <w:lang w:val="en-US"/>
              </w:rPr>
            </w:pPr>
            <w:r w:rsidRPr="00D549EE">
              <w:rPr>
                <w:color w:val="000000" w:themeColor="text1"/>
                <w:lang w:val="en-US"/>
              </w:rPr>
              <w:t xml:space="preserve">60 000 </w:t>
            </w:r>
          </w:p>
        </w:tc>
      </w:tr>
      <w:tr w:rsidR="006F1CCA" w:rsidRPr="00D549EE" w14:paraId="52FF0A7B" w14:textId="77777777" w:rsidTr="006B27DB">
        <w:tc>
          <w:tcPr>
            <w:tcW w:w="7083" w:type="dxa"/>
          </w:tcPr>
          <w:p w14:paraId="0901392D" w14:textId="77777777" w:rsidR="006F1CCA" w:rsidRPr="00D549EE" w:rsidRDefault="006F1CCA" w:rsidP="00C9582F">
            <w:pPr>
              <w:pStyle w:val="a5"/>
              <w:shd w:val="clear" w:color="auto" w:fill="FFFFFF"/>
            </w:pPr>
            <w:r w:rsidRPr="00D549EE">
              <w:t xml:space="preserve">Operating expenses </w:t>
            </w:r>
          </w:p>
        </w:tc>
        <w:tc>
          <w:tcPr>
            <w:tcW w:w="2540" w:type="dxa"/>
          </w:tcPr>
          <w:p w14:paraId="0EFB1FC9" w14:textId="06DAB37F" w:rsidR="006F1CCA" w:rsidRPr="00D549EE" w:rsidRDefault="00DC0601" w:rsidP="00C9582F">
            <w:pPr>
              <w:snapToGrid w:val="0"/>
              <w:contextualSpacing/>
              <w:rPr>
                <w:color w:val="000000" w:themeColor="text1"/>
                <w:lang w:val="en-US"/>
              </w:rPr>
            </w:pPr>
            <w:r w:rsidRPr="00D549EE">
              <w:rPr>
                <w:color w:val="000000" w:themeColor="text1"/>
                <w:lang w:val="en-US"/>
              </w:rPr>
              <w:t>6</w:t>
            </w:r>
            <w:r w:rsidR="0017600E" w:rsidRPr="00D549EE">
              <w:rPr>
                <w:color w:val="000000" w:themeColor="text1"/>
                <w:lang w:val="en-US"/>
              </w:rPr>
              <w:t>.5</w:t>
            </w:r>
          </w:p>
        </w:tc>
      </w:tr>
      <w:tr w:rsidR="006F1CCA" w:rsidRPr="00D549EE" w14:paraId="04CED147" w14:textId="77777777" w:rsidTr="006B27DB">
        <w:tc>
          <w:tcPr>
            <w:tcW w:w="7083" w:type="dxa"/>
          </w:tcPr>
          <w:p w14:paraId="1D41EDD2" w14:textId="77777777" w:rsidR="006F1CCA" w:rsidRPr="00D549EE" w:rsidRDefault="006F1CCA" w:rsidP="00C9582F">
            <w:pPr>
              <w:pStyle w:val="a5"/>
              <w:shd w:val="clear" w:color="auto" w:fill="FFFFFF"/>
            </w:pPr>
            <w:r w:rsidRPr="00D549EE">
              <w:t>Revenue (</w:t>
            </w:r>
            <w:r w:rsidRPr="00D549EE">
              <w:rPr>
                <w:lang w:val="en-US"/>
              </w:rPr>
              <w:t>for 5</w:t>
            </w:r>
            <w:r w:rsidRPr="00D549EE">
              <w:t xml:space="preserve"> years)</w:t>
            </w:r>
          </w:p>
        </w:tc>
        <w:tc>
          <w:tcPr>
            <w:tcW w:w="2540" w:type="dxa"/>
          </w:tcPr>
          <w:p w14:paraId="054D62AA" w14:textId="567E46FA" w:rsidR="006F1CCA" w:rsidRPr="00D549EE" w:rsidRDefault="0017600E" w:rsidP="00C9582F">
            <w:pPr>
              <w:rPr>
                <w:color w:val="000000"/>
                <w:lang w:val="en-US"/>
              </w:rPr>
            </w:pPr>
            <w:r w:rsidRPr="00D549EE">
              <w:rPr>
                <w:color w:val="000000"/>
                <w:lang w:val="en-US"/>
              </w:rPr>
              <w:t>6 415</w:t>
            </w:r>
          </w:p>
        </w:tc>
      </w:tr>
      <w:tr w:rsidR="006F1CCA" w:rsidRPr="00D549EE" w14:paraId="3A43FAF2" w14:textId="77777777" w:rsidTr="006B27DB">
        <w:tc>
          <w:tcPr>
            <w:tcW w:w="7083" w:type="dxa"/>
          </w:tcPr>
          <w:p w14:paraId="0D3F4924" w14:textId="77777777" w:rsidR="006F1CCA" w:rsidRPr="00D549EE" w:rsidRDefault="006F1CCA" w:rsidP="00C9582F">
            <w:pPr>
              <w:pStyle w:val="a5"/>
              <w:shd w:val="clear" w:color="auto" w:fill="FFFFFF"/>
            </w:pPr>
            <w:r w:rsidRPr="00D549EE">
              <w:t xml:space="preserve">EBITDA (for </w:t>
            </w:r>
            <w:r w:rsidRPr="00D549EE">
              <w:rPr>
                <w:lang w:val="en-US"/>
              </w:rPr>
              <w:t>5</w:t>
            </w:r>
            <w:r w:rsidRPr="00D549EE">
              <w:t xml:space="preserve"> years)</w:t>
            </w:r>
          </w:p>
        </w:tc>
        <w:tc>
          <w:tcPr>
            <w:tcW w:w="2540" w:type="dxa"/>
          </w:tcPr>
          <w:p w14:paraId="4FE5B455" w14:textId="7000F672" w:rsidR="006F1CCA" w:rsidRPr="00D549EE" w:rsidRDefault="0017600E" w:rsidP="00C9582F">
            <w:pPr>
              <w:rPr>
                <w:color w:val="000000"/>
                <w:lang w:val="en-US"/>
              </w:rPr>
            </w:pPr>
            <w:r w:rsidRPr="00D549EE">
              <w:rPr>
                <w:color w:val="000000"/>
                <w:lang w:val="en-US"/>
              </w:rPr>
              <w:t>6 262</w:t>
            </w:r>
          </w:p>
        </w:tc>
      </w:tr>
      <w:tr w:rsidR="006F1CCA" w:rsidRPr="00D549EE" w14:paraId="64EDD1CD" w14:textId="77777777" w:rsidTr="006B27DB">
        <w:tc>
          <w:tcPr>
            <w:tcW w:w="7083" w:type="dxa"/>
          </w:tcPr>
          <w:p w14:paraId="5CFED620" w14:textId="77777777" w:rsidR="006F1CCA" w:rsidRPr="00D549EE" w:rsidRDefault="006F1CCA" w:rsidP="00C9582F">
            <w:pPr>
              <w:pStyle w:val="a5"/>
              <w:shd w:val="clear" w:color="auto" w:fill="FFFFFF"/>
              <w:rPr>
                <w:lang w:val="en-US"/>
              </w:rPr>
            </w:pPr>
            <w:r w:rsidRPr="00D549EE">
              <w:rPr>
                <w:lang w:val="en-US"/>
              </w:rPr>
              <w:t>EBIT operating profit*  (for 5 years)</w:t>
            </w:r>
          </w:p>
        </w:tc>
        <w:tc>
          <w:tcPr>
            <w:tcW w:w="2540" w:type="dxa"/>
          </w:tcPr>
          <w:p w14:paraId="37697D04" w14:textId="3F45F66C" w:rsidR="006F1CCA" w:rsidRPr="00D549EE" w:rsidRDefault="0017600E" w:rsidP="00C9582F">
            <w:pPr>
              <w:rPr>
                <w:color w:val="000000"/>
              </w:rPr>
            </w:pPr>
            <w:r w:rsidRPr="00D549EE">
              <w:rPr>
                <w:color w:val="000000"/>
                <w:lang w:val="en-US"/>
              </w:rPr>
              <w:t>6 260</w:t>
            </w:r>
            <w:r w:rsidR="006F1CCA" w:rsidRPr="00D549EE">
              <w:rPr>
                <w:color w:val="000000"/>
              </w:rPr>
              <w:t xml:space="preserve"> </w:t>
            </w:r>
          </w:p>
        </w:tc>
      </w:tr>
      <w:tr w:rsidR="006F1CCA" w:rsidRPr="00D549EE" w14:paraId="6B0244AD" w14:textId="77777777" w:rsidTr="006B27DB">
        <w:tc>
          <w:tcPr>
            <w:tcW w:w="7083" w:type="dxa"/>
          </w:tcPr>
          <w:p w14:paraId="12968D07" w14:textId="77777777" w:rsidR="006F1CCA" w:rsidRPr="00D549EE" w:rsidRDefault="006F1CCA" w:rsidP="00C9582F">
            <w:pPr>
              <w:pStyle w:val="a5"/>
              <w:shd w:val="clear" w:color="auto" w:fill="FFFFFF"/>
            </w:pPr>
            <w:r w:rsidRPr="00D549EE">
              <w:t xml:space="preserve">Net </w:t>
            </w:r>
            <w:r w:rsidRPr="00D549EE">
              <w:rPr>
                <w:lang w:val="en-US"/>
              </w:rPr>
              <w:t xml:space="preserve">profit* </w:t>
            </w:r>
            <w:r w:rsidRPr="00D549EE">
              <w:t>(</w:t>
            </w:r>
            <w:r w:rsidRPr="00D549EE">
              <w:rPr>
                <w:lang w:val="en-US"/>
              </w:rPr>
              <w:t>for 5</w:t>
            </w:r>
            <w:r w:rsidRPr="00D549EE">
              <w:t xml:space="preserve"> years)</w:t>
            </w:r>
          </w:p>
        </w:tc>
        <w:tc>
          <w:tcPr>
            <w:tcW w:w="2540" w:type="dxa"/>
          </w:tcPr>
          <w:p w14:paraId="34ACFA12" w14:textId="21AF9AAC" w:rsidR="006F1CCA" w:rsidRPr="00D549EE" w:rsidRDefault="0017600E" w:rsidP="00C9582F">
            <w:pPr>
              <w:rPr>
                <w:color w:val="000000"/>
                <w:lang w:val="en-US"/>
              </w:rPr>
            </w:pPr>
            <w:r w:rsidRPr="00D549EE">
              <w:rPr>
                <w:color w:val="000000"/>
                <w:lang w:val="en-US"/>
              </w:rPr>
              <w:t>6 147</w:t>
            </w:r>
          </w:p>
        </w:tc>
      </w:tr>
      <w:tr w:rsidR="006F1CCA" w:rsidRPr="00D549EE" w14:paraId="31AB45D1" w14:textId="77777777" w:rsidTr="006B27DB">
        <w:tc>
          <w:tcPr>
            <w:tcW w:w="7083" w:type="dxa"/>
          </w:tcPr>
          <w:p w14:paraId="51118D45" w14:textId="77777777" w:rsidR="006F1CCA" w:rsidRPr="00D549EE" w:rsidRDefault="006F1CCA" w:rsidP="00C9582F">
            <w:pPr>
              <w:pStyle w:val="a5"/>
              <w:shd w:val="clear" w:color="auto" w:fill="FFFFFF"/>
              <w:rPr>
                <w:lang w:val="en-US"/>
              </w:rPr>
            </w:pPr>
            <w:r w:rsidRPr="00D549EE">
              <w:t>Project payback period</w:t>
            </w:r>
          </w:p>
        </w:tc>
        <w:tc>
          <w:tcPr>
            <w:tcW w:w="2540" w:type="dxa"/>
          </w:tcPr>
          <w:p w14:paraId="2965639D" w14:textId="721690C8" w:rsidR="006F1CCA" w:rsidRPr="00D549EE" w:rsidRDefault="0017600E" w:rsidP="00C9582F">
            <w:pPr>
              <w:snapToGrid w:val="0"/>
              <w:contextualSpacing/>
              <w:rPr>
                <w:color w:val="000000" w:themeColor="text1"/>
                <w:lang w:val="en-US"/>
              </w:rPr>
            </w:pPr>
            <w:r w:rsidRPr="00D549EE">
              <w:rPr>
                <w:color w:val="000000" w:themeColor="text1"/>
                <w:lang w:val="en-US"/>
              </w:rPr>
              <w:t>1</w:t>
            </w:r>
            <w:r w:rsidR="00B30B09" w:rsidRPr="00D549EE">
              <w:rPr>
                <w:color w:val="000000" w:themeColor="text1"/>
                <w:lang w:val="en-US"/>
              </w:rPr>
              <w:t xml:space="preserve"> </w:t>
            </w:r>
            <w:r w:rsidRPr="00D549EE">
              <w:rPr>
                <w:color w:val="000000" w:themeColor="text1"/>
                <w:lang w:val="en-US"/>
              </w:rPr>
              <w:t>year 1 month</w:t>
            </w:r>
          </w:p>
        </w:tc>
      </w:tr>
      <w:tr w:rsidR="006F1CCA" w:rsidRPr="00D549EE" w14:paraId="7DF5721B" w14:textId="77777777" w:rsidTr="006B27DB">
        <w:tc>
          <w:tcPr>
            <w:tcW w:w="7083" w:type="dxa"/>
          </w:tcPr>
          <w:p w14:paraId="12A23D38" w14:textId="77777777" w:rsidR="006F1CCA" w:rsidRPr="00D549EE" w:rsidRDefault="006F1CCA" w:rsidP="00C9582F">
            <w:pPr>
              <w:pStyle w:val="a5"/>
              <w:shd w:val="clear" w:color="auto" w:fill="FFFFFF"/>
            </w:pPr>
            <w:r w:rsidRPr="00D549EE">
              <w:t>PV (</w:t>
            </w:r>
            <w:r w:rsidRPr="00D549EE">
              <w:rPr>
                <w:lang w:val="en-US"/>
              </w:rPr>
              <w:t>for 5</w:t>
            </w:r>
            <w:r w:rsidRPr="00D549EE">
              <w:t xml:space="preserve"> years)</w:t>
            </w:r>
          </w:p>
        </w:tc>
        <w:tc>
          <w:tcPr>
            <w:tcW w:w="2540" w:type="dxa"/>
          </w:tcPr>
          <w:p w14:paraId="75133C19" w14:textId="49673257" w:rsidR="006F1CCA" w:rsidRPr="00D549EE" w:rsidRDefault="0017600E" w:rsidP="00C9582F">
            <w:pPr>
              <w:rPr>
                <w:color w:val="000000"/>
                <w:lang w:val="en-US"/>
              </w:rPr>
            </w:pPr>
            <w:r w:rsidRPr="00D549EE">
              <w:rPr>
                <w:color w:val="000000"/>
                <w:lang w:val="en-US"/>
              </w:rPr>
              <w:t>4 932</w:t>
            </w:r>
          </w:p>
        </w:tc>
      </w:tr>
      <w:tr w:rsidR="006F1CCA" w:rsidRPr="00D549EE" w14:paraId="741501A8" w14:textId="77777777" w:rsidTr="006B27DB">
        <w:tc>
          <w:tcPr>
            <w:tcW w:w="7083" w:type="dxa"/>
          </w:tcPr>
          <w:p w14:paraId="4C276CB8" w14:textId="77777777" w:rsidR="006F1CCA" w:rsidRPr="00D549EE" w:rsidRDefault="006F1CCA" w:rsidP="00C9582F">
            <w:pPr>
              <w:pStyle w:val="a5"/>
              <w:shd w:val="clear" w:color="auto" w:fill="FFFFFF"/>
              <w:rPr>
                <w:lang w:val="en-US"/>
              </w:rPr>
            </w:pPr>
            <w:r w:rsidRPr="00D549EE">
              <w:t>NPV (</w:t>
            </w:r>
            <w:r w:rsidRPr="00D549EE">
              <w:rPr>
                <w:lang w:val="en-US"/>
              </w:rPr>
              <w:t>for 5</w:t>
            </w:r>
            <w:r w:rsidRPr="00D549EE">
              <w:t xml:space="preserve"> years)</w:t>
            </w:r>
          </w:p>
        </w:tc>
        <w:tc>
          <w:tcPr>
            <w:tcW w:w="2540" w:type="dxa"/>
          </w:tcPr>
          <w:p w14:paraId="1F82B2E0" w14:textId="518C09AA" w:rsidR="006F1CCA" w:rsidRPr="00D549EE" w:rsidRDefault="0017600E" w:rsidP="00C9582F">
            <w:pPr>
              <w:rPr>
                <w:color w:val="000000"/>
                <w:lang w:val="en-US"/>
              </w:rPr>
            </w:pPr>
            <w:r w:rsidRPr="00D549EE">
              <w:rPr>
                <w:color w:val="000000"/>
                <w:lang w:val="en-US"/>
              </w:rPr>
              <w:t>4 872</w:t>
            </w:r>
          </w:p>
        </w:tc>
      </w:tr>
      <w:tr w:rsidR="006F1CCA" w:rsidRPr="00D549EE" w14:paraId="46B3B89F" w14:textId="77777777" w:rsidTr="006B27DB">
        <w:tc>
          <w:tcPr>
            <w:tcW w:w="7083" w:type="dxa"/>
          </w:tcPr>
          <w:p w14:paraId="64ED7268" w14:textId="77777777" w:rsidR="006F1CCA" w:rsidRPr="00D549EE" w:rsidRDefault="006F1CCA" w:rsidP="00C9582F">
            <w:pPr>
              <w:pStyle w:val="a5"/>
              <w:shd w:val="clear" w:color="auto" w:fill="FFFFFF"/>
            </w:pPr>
            <w:r w:rsidRPr="00D549EE">
              <w:t xml:space="preserve">PI Profitability Index </w:t>
            </w:r>
          </w:p>
        </w:tc>
        <w:tc>
          <w:tcPr>
            <w:tcW w:w="2540" w:type="dxa"/>
          </w:tcPr>
          <w:p w14:paraId="044ADAAC" w14:textId="7A648517" w:rsidR="006F1CCA" w:rsidRPr="00D549EE" w:rsidRDefault="0017600E" w:rsidP="00C9582F">
            <w:pPr>
              <w:snapToGrid w:val="0"/>
              <w:contextualSpacing/>
              <w:rPr>
                <w:color w:val="000000" w:themeColor="text1"/>
                <w:lang w:val="en-US"/>
              </w:rPr>
            </w:pPr>
            <w:r w:rsidRPr="00D549EE">
              <w:rPr>
                <w:color w:val="000000" w:themeColor="text1"/>
                <w:lang w:val="en-US"/>
              </w:rPr>
              <w:t>82</w:t>
            </w:r>
            <w:r w:rsidR="006F1CCA" w:rsidRPr="00D549EE">
              <w:rPr>
                <w:color w:val="000000" w:themeColor="text1"/>
                <w:lang w:val="en-US"/>
              </w:rPr>
              <w:t>.2</w:t>
            </w:r>
          </w:p>
        </w:tc>
      </w:tr>
      <w:tr w:rsidR="006F1CCA" w:rsidRPr="00D549EE" w14:paraId="072AB9D3" w14:textId="77777777" w:rsidTr="006B27DB">
        <w:tc>
          <w:tcPr>
            <w:tcW w:w="7083" w:type="dxa"/>
          </w:tcPr>
          <w:p w14:paraId="77BE982E" w14:textId="77777777" w:rsidR="006F1CCA" w:rsidRPr="00D549EE" w:rsidRDefault="006F1CCA" w:rsidP="00C9582F">
            <w:pPr>
              <w:pStyle w:val="a5"/>
              <w:shd w:val="clear" w:color="auto" w:fill="FFFFFF"/>
            </w:pPr>
            <w:r w:rsidRPr="00D549EE">
              <w:t>IRR (</w:t>
            </w:r>
            <w:r w:rsidRPr="00D549EE">
              <w:rPr>
                <w:lang w:val="en-US"/>
              </w:rPr>
              <w:t>for 5</w:t>
            </w:r>
            <w:r w:rsidRPr="00D549EE">
              <w:t xml:space="preserve"> years) </w:t>
            </w:r>
          </w:p>
        </w:tc>
        <w:tc>
          <w:tcPr>
            <w:tcW w:w="2540" w:type="dxa"/>
          </w:tcPr>
          <w:p w14:paraId="65E1168B" w14:textId="551AECC9" w:rsidR="006F1CCA" w:rsidRPr="00D549EE" w:rsidRDefault="0017600E" w:rsidP="00C9582F">
            <w:pPr>
              <w:snapToGrid w:val="0"/>
              <w:contextualSpacing/>
              <w:rPr>
                <w:color w:val="000000" w:themeColor="text1"/>
                <w:lang w:val="en-US"/>
              </w:rPr>
            </w:pPr>
            <w:r w:rsidRPr="00D549EE">
              <w:rPr>
                <w:color w:val="000000" w:themeColor="text1"/>
                <w:lang w:val="en-US"/>
              </w:rPr>
              <w:t>401</w:t>
            </w:r>
          </w:p>
        </w:tc>
      </w:tr>
      <w:tr w:rsidR="006F1CCA" w:rsidRPr="00FC685D" w14:paraId="433DCEB7" w14:textId="77777777" w:rsidTr="006B27DB">
        <w:tc>
          <w:tcPr>
            <w:tcW w:w="9623" w:type="dxa"/>
            <w:gridSpan w:val="2"/>
          </w:tcPr>
          <w:p w14:paraId="68124A2D" w14:textId="77777777" w:rsidR="00171B07" w:rsidRPr="00D549EE" w:rsidRDefault="00221E41" w:rsidP="00C9582F">
            <w:pPr>
              <w:snapToGrid w:val="0"/>
              <w:contextualSpacing/>
              <w:rPr>
                <w:color w:val="000000" w:themeColor="text1"/>
                <w:lang w:val="en-US"/>
              </w:rPr>
            </w:pPr>
            <w:r w:rsidRPr="00D549EE">
              <w:rPr>
                <w:color w:val="000000" w:themeColor="text1"/>
                <w:lang w:val="en-US"/>
              </w:rPr>
              <w:t xml:space="preserve">    </w:t>
            </w:r>
            <w:r w:rsidR="006F1CCA" w:rsidRPr="00D549EE">
              <w:rPr>
                <w:color w:val="000000" w:themeColor="text1"/>
                <w:lang w:val="en-US"/>
              </w:rPr>
              <w:t>Note</w:t>
            </w:r>
            <w:r w:rsidR="00171B07" w:rsidRPr="00D549EE">
              <w:rPr>
                <w:color w:val="000000" w:themeColor="text1"/>
                <w:lang w:val="en-US"/>
              </w:rPr>
              <w:t>s</w:t>
            </w:r>
            <w:r w:rsidR="006F1CCA" w:rsidRPr="00D549EE">
              <w:rPr>
                <w:color w:val="000000" w:themeColor="text1"/>
                <w:lang w:val="en-US"/>
              </w:rPr>
              <w:t xml:space="preserve"> </w:t>
            </w:r>
          </w:p>
          <w:p w14:paraId="36C7B3C8" w14:textId="0206FB7E" w:rsidR="006F1CCA" w:rsidRPr="00D549EE" w:rsidRDefault="00171B07" w:rsidP="00C9582F">
            <w:pPr>
              <w:snapToGrid w:val="0"/>
              <w:contextualSpacing/>
              <w:rPr>
                <w:color w:val="000000" w:themeColor="text1"/>
                <w:lang w:val="en-US"/>
              </w:rPr>
            </w:pPr>
            <w:r w:rsidRPr="00D549EE">
              <w:rPr>
                <w:color w:val="000000" w:themeColor="text1"/>
                <w:lang w:val="en-US"/>
              </w:rPr>
              <w:t xml:space="preserve">    1 </w:t>
            </w:r>
            <w:r w:rsidR="006F1CCA" w:rsidRPr="00D549EE">
              <w:rPr>
                <w:color w:val="000000" w:themeColor="text1"/>
                <w:lang w:val="en-US"/>
              </w:rPr>
              <w:t>Compiled by the author</w:t>
            </w:r>
          </w:p>
          <w:p w14:paraId="0D2799A4" w14:textId="728268CC" w:rsidR="006F1CCA" w:rsidRPr="00D549EE" w:rsidRDefault="00221E41" w:rsidP="00C9582F">
            <w:pPr>
              <w:snapToGrid w:val="0"/>
              <w:contextualSpacing/>
              <w:rPr>
                <w:color w:val="000000" w:themeColor="text1"/>
                <w:lang w:val="kk-KZ"/>
              </w:rPr>
            </w:pPr>
            <w:r w:rsidRPr="00D549EE">
              <w:rPr>
                <w:color w:val="000000" w:themeColor="text1"/>
                <w:lang w:val="en-US"/>
              </w:rPr>
              <w:t xml:space="preserve">   </w:t>
            </w:r>
            <w:r w:rsidR="00171B07" w:rsidRPr="00D549EE">
              <w:rPr>
                <w:color w:val="000000" w:themeColor="text1"/>
                <w:lang w:val="en-US"/>
              </w:rPr>
              <w:t xml:space="preserve"> 2</w:t>
            </w:r>
            <w:r w:rsidR="008041CD" w:rsidRPr="00D549EE">
              <w:rPr>
                <w:color w:val="000000" w:themeColor="text1"/>
                <w:lang w:val="en-US"/>
              </w:rPr>
              <w:t xml:space="preserve"> </w:t>
            </w:r>
            <w:r w:rsidR="00171B07" w:rsidRPr="00D549EE">
              <w:rPr>
                <w:color w:val="000000" w:themeColor="text1"/>
                <w:lang w:val="en-US"/>
              </w:rPr>
              <w:t>P</w:t>
            </w:r>
            <w:r w:rsidR="006F1CCA" w:rsidRPr="00D549EE">
              <w:rPr>
                <w:color w:val="000000" w:themeColor="text1"/>
                <w:lang w:val="en-US"/>
              </w:rPr>
              <w:t>rofit is considered as revenue from donors</w:t>
            </w:r>
          </w:p>
        </w:tc>
      </w:tr>
    </w:tbl>
    <w:p w14:paraId="1397C873" w14:textId="77777777" w:rsidR="006F1CCA" w:rsidRPr="00D549EE" w:rsidRDefault="006F1CCA" w:rsidP="00C9582F">
      <w:pPr>
        <w:jc w:val="both"/>
        <w:rPr>
          <w:sz w:val="28"/>
          <w:szCs w:val="28"/>
          <w:lang w:val="en-US"/>
        </w:rPr>
      </w:pPr>
    </w:p>
    <w:p w14:paraId="0C336A67" w14:textId="77777777" w:rsidR="00CC4E14" w:rsidRPr="00CC4E14" w:rsidRDefault="007A4FE2" w:rsidP="00CC4E14">
      <w:pPr>
        <w:shd w:val="clear" w:color="auto" w:fill="FFFFFF"/>
        <w:spacing w:before="100" w:beforeAutospacing="1" w:after="100" w:afterAutospacing="1"/>
        <w:contextualSpacing/>
        <w:jc w:val="both"/>
        <w:rPr>
          <w:sz w:val="28"/>
          <w:szCs w:val="28"/>
          <w:lang w:val="en-US"/>
        </w:rPr>
      </w:pPr>
      <w:r w:rsidRPr="00D549EE">
        <w:rPr>
          <w:sz w:val="28"/>
          <w:szCs w:val="28"/>
          <w:lang w:val="en-US"/>
        </w:rPr>
        <w:tab/>
      </w:r>
      <w:r w:rsidR="00CC4E14" w:rsidRPr="00CC4E14">
        <w:rPr>
          <w:sz w:val="28"/>
          <w:szCs w:val="28"/>
          <w:lang w:val="en-US"/>
        </w:rPr>
        <w:t xml:space="preserve">The development crowdfunding platform based on blockchain technology required more capital and operating expenses than the first scenario. It is expected that the system will pay off in 1 year and 1 month. During the execution of the planned indicators, it is expected that the NPV figures for 5 years are positive and exceed the initial investment, with a discount rate of 9%, which is equal to the average annual base rate of the Central Bank of the country. This indicates the financial stability of the project. IRR shows a high value for 5 years period, which means that the project is ready to withstand a higher risk of loss of profitability. </w:t>
      </w:r>
    </w:p>
    <w:p w14:paraId="77525482" w14:textId="42EB21A7" w:rsidR="0003452F" w:rsidRDefault="00CC4E14" w:rsidP="00CC4E14">
      <w:pPr>
        <w:shd w:val="clear" w:color="auto" w:fill="FFFFFF"/>
        <w:spacing w:before="100" w:beforeAutospacing="1" w:after="100" w:afterAutospacing="1"/>
        <w:contextualSpacing/>
        <w:jc w:val="both"/>
        <w:rPr>
          <w:sz w:val="28"/>
          <w:szCs w:val="28"/>
          <w:lang w:val="en-US"/>
        </w:rPr>
      </w:pPr>
      <w:r w:rsidRPr="00CC4E14">
        <w:rPr>
          <w:sz w:val="28"/>
          <w:szCs w:val="28"/>
          <w:lang w:val="en-US"/>
        </w:rPr>
        <w:tab/>
        <w:t>For evaluating the effectiveness of the integration crowdfunding platform for zakat and charity collection, the following method of estimation has been used using inputs and outputs of the platform.</w:t>
      </w:r>
    </w:p>
    <w:p w14:paraId="5176EBBE" w14:textId="77777777" w:rsidR="00CC4E14" w:rsidRPr="00D549EE" w:rsidRDefault="00CC4E14" w:rsidP="00CC4E14">
      <w:pPr>
        <w:shd w:val="clear" w:color="auto" w:fill="FFFFFF"/>
        <w:spacing w:before="100" w:beforeAutospacing="1" w:after="100" w:afterAutospacing="1"/>
        <w:contextualSpacing/>
        <w:jc w:val="both"/>
        <w:rPr>
          <w:color w:val="000000" w:themeColor="text1"/>
          <w:sz w:val="28"/>
          <w:szCs w:val="28"/>
          <w:lang w:val="en-US"/>
        </w:rPr>
      </w:pPr>
    </w:p>
    <w:p w14:paraId="34BB1889" w14:textId="5B47F5C3" w:rsidR="00032632" w:rsidRPr="00D549EE" w:rsidRDefault="00716598" w:rsidP="00C9582F">
      <w:pPr>
        <w:jc w:val="both"/>
        <w:rPr>
          <w:sz w:val="28"/>
          <w:szCs w:val="28"/>
          <w:lang w:val="en-US"/>
        </w:rPr>
      </w:pPr>
      <w:r w:rsidRPr="00D549EE">
        <w:rPr>
          <w:sz w:val="28"/>
          <w:szCs w:val="28"/>
          <w:lang w:val="en-US"/>
        </w:rPr>
        <w:t xml:space="preserve">Table </w:t>
      </w:r>
      <w:r w:rsidR="00221E41" w:rsidRPr="00D549EE">
        <w:rPr>
          <w:sz w:val="28"/>
          <w:szCs w:val="28"/>
          <w:lang w:val="en-US"/>
        </w:rPr>
        <w:t>54</w:t>
      </w:r>
      <w:r w:rsidRPr="00D549EE">
        <w:rPr>
          <w:sz w:val="28"/>
          <w:szCs w:val="28"/>
          <w:lang w:val="en-US"/>
        </w:rPr>
        <w:t xml:space="preserve"> </w:t>
      </w:r>
      <w:r w:rsidR="00221E41" w:rsidRPr="00D549EE">
        <w:rPr>
          <w:sz w:val="28"/>
          <w:szCs w:val="28"/>
          <w:lang w:val="en-US"/>
        </w:rPr>
        <w:t>–</w:t>
      </w:r>
      <w:r w:rsidRPr="00D549EE">
        <w:rPr>
          <w:sz w:val="28"/>
          <w:szCs w:val="28"/>
          <w:lang w:val="en-US"/>
        </w:rPr>
        <w:t xml:space="preserve"> </w:t>
      </w:r>
      <w:r w:rsidR="00032632" w:rsidRPr="00D549EE">
        <w:rPr>
          <w:sz w:val="28"/>
          <w:szCs w:val="28"/>
          <w:lang w:val="en-US"/>
        </w:rPr>
        <w:t xml:space="preserve">Calculation of the socio-economic </w:t>
      </w:r>
      <w:r w:rsidR="005C51FB" w:rsidRPr="00D549EE">
        <w:rPr>
          <w:color w:val="000000" w:themeColor="text1"/>
          <w:sz w:val="28"/>
          <w:szCs w:val="28"/>
          <w:lang w:val="en-US"/>
        </w:rPr>
        <w:t>effectiveness</w:t>
      </w:r>
      <w:r w:rsidR="00032632" w:rsidRPr="00D549EE">
        <w:rPr>
          <w:sz w:val="28"/>
          <w:szCs w:val="28"/>
          <w:lang w:val="en-US"/>
        </w:rPr>
        <w:t xml:space="preserve"> of the Crowdfunding platform</w:t>
      </w:r>
      <w:r w:rsidR="007D570C" w:rsidRPr="00D549EE">
        <w:rPr>
          <w:sz w:val="28"/>
          <w:szCs w:val="28"/>
          <w:lang w:val="en-US"/>
        </w:rPr>
        <w:t>, realistic scenario</w:t>
      </w:r>
    </w:p>
    <w:p w14:paraId="565194FF" w14:textId="77777777" w:rsidR="00032632" w:rsidRPr="00D549EE" w:rsidRDefault="00032632" w:rsidP="00C9582F">
      <w:pPr>
        <w:jc w:val="both"/>
        <w:rPr>
          <w:sz w:val="28"/>
          <w:szCs w:val="28"/>
          <w:lang w:val="en-US"/>
        </w:rPr>
      </w:pPr>
    </w:p>
    <w:tbl>
      <w:tblPr>
        <w:tblStyle w:val="a9"/>
        <w:tblW w:w="0" w:type="auto"/>
        <w:tblLook w:val="04A0" w:firstRow="1" w:lastRow="0" w:firstColumn="1" w:lastColumn="0" w:noHBand="0" w:noVBand="1"/>
      </w:tblPr>
      <w:tblGrid>
        <w:gridCol w:w="436"/>
        <w:gridCol w:w="2417"/>
        <w:gridCol w:w="974"/>
        <w:gridCol w:w="1252"/>
        <w:gridCol w:w="1137"/>
        <w:gridCol w:w="1133"/>
        <w:gridCol w:w="1137"/>
        <w:gridCol w:w="1137"/>
      </w:tblGrid>
      <w:tr w:rsidR="005B67C5" w:rsidRPr="00D549EE" w14:paraId="46A02E3D" w14:textId="77777777" w:rsidTr="005B67C5">
        <w:tc>
          <w:tcPr>
            <w:tcW w:w="0" w:type="auto"/>
          </w:tcPr>
          <w:p w14:paraId="28ECAA78" w14:textId="77777777" w:rsidR="00032632" w:rsidRPr="00D549EE" w:rsidRDefault="00032632" w:rsidP="00C9582F">
            <w:pPr>
              <w:rPr>
                <w:sz w:val="22"/>
                <w:szCs w:val="22"/>
                <w:lang w:val="en-US"/>
              </w:rPr>
            </w:pPr>
          </w:p>
        </w:tc>
        <w:tc>
          <w:tcPr>
            <w:tcW w:w="0" w:type="auto"/>
          </w:tcPr>
          <w:p w14:paraId="1A547A5D" w14:textId="1AE9D964" w:rsidR="00032632" w:rsidRPr="00D549EE" w:rsidRDefault="00032632" w:rsidP="00C9582F">
            <w:pPr>
              <w:rPr>
                <w:sz w:val="22"/>
                <w:szCs w:val="22"/>
                <w:lang w:val="en-US"/>
              </w:rPr>
            </w:pPr>
            <w:r w:rsidRPr="00D549EE">
              <w:rPr>
                <w:sz w:val="22"/>
                <w:szCs w:val="22"/>
                <w:lang w:val="en-US"/>
              </w:rPr>
              <w:t>Indicator</w:t>
            </w:r>
          </w:p>
        </w:tc>
        <w:tc>
          <w:tcPr>
            <w:tcW w:w="923" w:type="dxa"/>
          </w:tcPr>
          <w:p w14:paraId="35E7012D" w14:textId="7921A5FD" w:rsidR="00032632" w:rsidRPr="00D549EE" w:rsidRDefault="00032632" w:rsidP="00C9582F">
            <w:pPr>
              <w:rPr>
                <w:sz w:val="22"/>
                <w:szCs w:val="22"/>
                <w:lang w:val="kk-KZ"/>
              </w:rPr>
            </w:pPr>
          </w:p>
        </w:tc>
        <w:tc>
          <w:tcPr>
            <w:tcW w:w="1252" w:type="dxa"/>
          </w:tcPr>
          <w:p w14:paraId="7A24E872" w14:textId="6FA44FAA" w:rsidR="00032632" w:rsidRPr="00D549EE" w:rsidRDefault="00032632" w:rsidP="00C9582F">
            <w:pPr>
              <w:rPr>
                <w:sz w:val="22"/>
                <w:szCs w:val="22"/>
                <w:lang w:val="en-US"/>
              </w:rPr>
            </w:pPr>
            <w:r w:rsidRPr="00D549EE">
              <w:rPr>
                <w:sz w:val="22"/>
                <w:szCs w:val="22"/>
                <w:lang w:val="en-US"/>
              </w:rPr>
              <w:t>Year 1</w:t>
            </w:r>
          </w:p>
        </w:tc>
        <w:tc>
          <w:tcPr>
            <w:tcW w:w="1137" w:type="dxa"/>
          </w:tcPr>
          <w:p w14:paraId="74F65A18" w14:textId="5114E3F2" w:rsidR="00032632" w:rsidRPr="00D549EE" w:rsidRDefault="00032632" w:rsidP="00C9582F">
            <w:pPr>
              <w:rPr>
                <w:sz w:val="22"/>
                <w:szCs w:val="22"/>
                <w:lang w:val="en-US"/>
              </w:rPr>
            </w:pPr>
            <w:r w:rsidRPr="00D549EE">
              <w:rPr>
                <w:sz w:val="22"/>
                <w:szCs w:val="22"/>
                <w:lang w:val="en-US"/>
              </w:rPr>
              <w:t>Year 2</w:t>
            </w:r>
          </w:p>
        </w:tc>
        <w:tc>
          <w:tcPr>
            <w:tcW w:w="0" w:type="auto"/>
          </w:tcPr>
          <w:p w14:paraId="29EB2E26" w14:textId="379A49CE" w:rsidR="00032632" w:rsidRPr="00D549EE" w:rsidRDefault="00032632" w:rsidP="00C9582F">
            <w:pPr>
              <w:rPr>
                <w:sz w:val="22"/>
                <w:szCs w:val="22"/>
                <w:lang w:val="en-US"/>
              </w:rPr>
            </w:pPr>
            <w:r w:rsidRPr="00D549EE">
              <w:rPr>
                <w:sz w:val="22"/>
                <w:szCs w:val="22"/>
                <w:lang w:val="en-US"/>
              </w:rPr>
              <w:t>Year 3</w:t>
            </w:r>
          </w:p>
        </w:tc>
        <w:tc>
          <w:tcPr>
            <w:tcW w:w="1137" w:type="dxa"/>
          </w:tcPr>
          <w:p w14:paraId="3E564325" w14:textId="7C5B7ECB" w:rsidR="00032632" w:rsidRPr="00D549EE" w:rsidRDefault="00032632" w:rsidP="00C9582F">
            <w:pPr>
              <w:rPr>
                <w:sz w:val="22"/>
                <w:szCs w:val="22"/>
                <w:lang w:val="en-US"/>
              </w:rPr>
            </w:pPr>
            <w:r w:rsidRPr="00D549EE">
              <w:rPr>
                <w:sz w:val="22"/>
                <w:szCs w:val="22"/>
                <w:lang w:val="en-US"/>
              </w:rPr>
              <w:t>Year 4</w:t>
            </w:r>
          </w:p>
        </w:tc>
        <w:tc>
          <w:tcPr>
            <w:tcW w:w="1137" w:type="dxa"/>
          </w:tcPr>
          <w:p w14:paraId="0E5AA608" w14:textId="1F92338F" w:rsidR="00032632" w:rsidRPr="00D549EE" w:rsidRDefault="00032632" w:rsidP="00C9582F">
            <w:pPr>
              <w:rPr>
                <w:sz w:val="22"/>
                <w:szCs w:val="22"/>
                <w:lang w:val="en-US"/>
              </w:rPr>
            </w:pPr>
            <w:r w:rsidRPr="00D549EE">
              <w:rPr>
                <w:sz w:val="22"/>
                <w:szCs w:val="22"/>
                <w:lang w:val="en-US"/>
              </w:rPr>
              <w:t>Year 5</w:t>
            </w:r>
          </w:p>
        </w:tc>
      </w:tr>
      <w:tr w:rsidR="005B67C5" w:rsidRPr="00D549EE" w14:paraId="28C0999F" w14:textId="77777777" w:rsidTr="005B67C5">
        <w:tc>
          <w:tcPr>
            <w:tcW w:w="0" w:type="auto"/>
          </w:tcPr>
          <w:p w14:paraId="0A1AAFE2" w14:textId="3CDBFB21" w:rsidR="00E234E4" w:rsidRPr="00D549EE" w:rsidRDefault="00E234E4" w:rsidP="00C9582F">
            <w:pPr>
              <w:rPr>
                <w:sz w:val="22"/>
                <w:szCs w:val="22"/>
                <w:lang w:val="en-US"/>
              </w:rPr>
            </w:pPr>
            <w:r w:rsidRPr="00D549EE">
              <w:rPr>
                <w:sz w:val="22"/>
                <w:szCs w:val="22"/>
                <w:lang w:val="en-US"/>
              </w:rPr>
              <w:t>1</w:t>
            </w:r>
          </w:p>
        </w:tc>
        <w:tc>
          <w:tcPr>
            <w:tcW w:w="0" w:type="auto"/>
          </w:tcPr>
          <w:p w14:paraId="3CDA1CC9" w14:textId="4EA06BA4" w:rsidR="00E234E4" w:rsidRPr="00D549EE" w:rsidRDefault="00E234E4" w:rsidP="00C9582F">
            <w:pPr>
              <w:rPr>
                <w:sz w:val="22"/>
                <w:szCs w:val="22"/>
                <w:lang w:val="kk-KZ"/>
              </w:rPr>
            </w:pPr>
            <w:r w:rsidRPr="00D549EE">
              <w:rPr>
                <w:sz w:val="22"/>
                <w:szCs w:val="22"/>
                <w:lang w:val="en-US"/>
              </w:rPr>
              <w:t>Potential number of persons (families), who will receive social assistance using the platform by the state targeted assistance cost</w:t>
            </w:r>
          </w:p>
        </w:tc>
        <w:tc>
          <w:tcPr>
            <w:tcW w:w="923" w:type="dxa"/>
          </w:tcPr>
          <w:p w14:paraId="36D39397" w14:textId="77777777" w:rsidR="00E234E4" w:rsidRPr="00D549EE" w:rsidRDefault="00E234E4" w:rsidP="00C9582F">
            <w:pPr>
              <w:jc w:val="center"/>
              <w:rPr>
                <w:sz w:val="22"/>
                <w:szCs w:val="22"/>
                <w:lang w:val="en-US"/>
              </w:rPr>
            </w:pPr>
            <w:r w:rsidRPr="00D549EE">
              <w:rPr>
                <w:sz w:val="22"/>
                <w:szCs w:val="22"/>
              </w:rPr>
              <w:t xml:space="preserve">65 940 </w:t>
            </w:r>
            <w:r w:rsidRPr="00D549EE">
              <w:rPr>
                <w:sz w:val="22"/>
                <w:szCs w:val="22"/>
                <w:lang w:val="en-US"/>
              </w:rPr>
              <w:t>persons</w:t>
            </w:r>
          </w:p>
          <w:p w14:paraId="57E8547B" w14:textId="4B13B11D" w:rsidR="00E234E4" w:rsidRPr="00D549EE" w:rsidRDefault="00E234E4" w:rsidP="00C9582F">
            <w:pPr>
              <w:jc w:val="center"/>
              <w:rPr>
                <w:sz w:val="22"/>
                <w:szCs w:val="22"/>
                <w:lang w:val="en-US"/>
              </w:rPr>
            </w:pPr>
            <w:r w:rsidRPr="00D549EE">
              <w:rPr>
                <w:sz w:val="22"/>
                <w:szCs w:val="22"/>
                <w:lang w:val="en-US"/>
              </w:rPr>
              <w:t>or</w:t>
            </w:r>
          </w:p>
          <w:p w14:paraId="4D7E9148" w14:textId="0D7281D6" w:rsidR="00E234E4" w:rsidRPr="00D549EE" w:rsidRDefault="00E234E4" w:rsidP="00C9582F">
            <w:pPr>
              <w:jc w:val="center"/>
              <w:rPr>
                <w:sz w:val="22"/>
                <w:szCs w:val="22"/>
                <w:lang w:val="en-US"/>
              </w:rPr>
            </w:pPr>
            <w:r w:rsidRPr="00D549EE">
              <w:rPr>
                <w:sz w:val="22"/>
                <w:szCs w:val="22"/>
                <w:lang w:val="en-US"/>
              </w:rPr>
              <w:t>12 263</w:t>
            </w:r>
          </w:p>
          <w:p w14:paraId="13CD40DA" w14:textId="338F3E41" w:rsidR="00E234E4" w:rsidRPr="00D549EE" w:rsidRDefault="00E234E4" w:rsidP="00C9582F">
            <w:pPr>
              <w:jc w:val="center"/>
              <w:rPr>
                <w:sz w:val="22"/>
                <w:szCs w:val="22"/>
                <w:lang w:val="en-US"/>
              </w:rPr>
            </w:pPr>
            <w:r w:rsidRPr="00D549EE">
              <w:rPr>
                <w:sz w:val="22"/>
                <w:szCs w:val="22"/>
                <w:lang w:val="en-US"/>
              </w:rPr>
              <w:t xml:space="preserve">Families </w:t>
            </w:r>
          </w:p>
          <w:p w14:paraId="168F20E4" w14:textId="3D99FF6A" w:rsidR="00E234E4" w:rsidRPr="00D549EE" w:rsidRDefault="00E234E4" w:rsidP="00C9582F">
            <w:pPr>
              <w:jc w:val="center"/>
              <w:rPr>
                <w:sz w:val="22"/>
                <w:szCs w:val="22"/>
                <w:lang w:val="en-US"/>
              </w:rPr>
            </w:pPr>
          </w:p>
        </w:tc>
        <w:tc>
          <w:tcPr>
            <w:tcW w:w="1252" w:type="dxa"/>
          </w:tcPr>
          <w:p w14:paraId="0BED8474" w14:textId="455C3D14" w:rsidR="00E234E4" w:rsidRPr="00D549EE" w:rsidRDefault="00E234E4" w:rsidP="00C9582F">
            <w:pPr>
              <w:jc w:val="center"/>
              <w:rPr>
                <w:sz w:val="22"/>
                <w:szCs w:val="22"/>
                <w:lang w:val="en-US"/>
              </w:rPr>
            </w:pPr>
            <w:r w:rsidRPr="00D549EE">
              <w:rPr>
                <w:sz w:val="22"/>
                <w:szCs w:val="22"/>
                <w:lang w:val="en-US"/>
              </w:rPr>
              <w:t>0</w:t>
            </w:r>
          </w:p>
        </w:tc>
        <w:tc>
          <w:tcPr>
            <w:tcW w:w="1137" w:type="dxa"/>
          </w:tcPr>
          <w:p w14:paraId="1DFB3217" w14:textId="77777777" w:rsidR="00E234E4" w:rsidRPr="00D549EE" w:rsidRDefault="00E234E4" w:rsidP="00C9582F">
            <w:pPr>
              <w:rPr>
                <w:sz w:val="22"/>
                <w:szCs w:val="22"/>
                <w:lang w:val="en-US"/>
              </w:rPr>
            </w:pPr>
            <w:r w:rsidRPr="00D549EE">
              <w:rPr>
                <w:sz w:val="22"/>
                <w:szCs w:val="22"/>
                <w:lang w:val="en-US"/>
              </w:rPr>
              <w:t>12 544</w:t>
            </w:r>
          </w:p>
          <w:p w14:paraId="31FEFD67" w14:textId="48BD6C9A" w:rsidR="00E234E4" w:rsidRPr="00D549EE" w:rsidRDefault="00E234E4" w:rsidP="00C9582F">
            <w:pPr>
              <w:rPr>
                <w:sz w:val="22"/>
                <w:szCs w:val="22"/>
                <w:lang w:val="en-US"/>
              </w:rPr>
            </w:pPr>
            <w:r w:rsidRPr="00D549EE">
              <w:rPr>
                <w:sz w:val="22"/>
                <w:szCs w:val="22"/>
                <w:lang w:val="en-US"/>
              </w:rPr>
              <w:t>(2 466)</w:t>
            </w:r>
          </w:p>
        </w:tc>
        <w:tc>
          <w:tcPr>
            <w:tcW w:w="0" w:type="auto"/>
          </w:tcPr>
          <w:p w14:paraId="58F25220" w14:textId="77777777" w:rsidR="00E234E4" w:rsidRPr="00D549EE" w:rsidRDefault="00E234E4" w:rsidP="00C9582F">
            <w:pPr>
              <w:rPr>
                <w:sz w:val="22"/>
                <w:szCs w:val="22"/>
                <w:lang w:val="en-US"/>
              </w:rPr>
            </w:pPr>
            <w:r w:rsidRPr="00D549EE">
              <w:rPr>
                <w:sz w:val="22"/>
                <w:szCs w:val="22"/>
                <w:lang w:val="en-US"/>
              </w:rPr>
              <w:t>14 437</w:t>
            </w:r>
          </w:p>
          <w:p w14:paraId="1E4C3927" w14:textId="6345809F" w:rsidR="00E234E4" w:rsidRPr="00D549EE" w:rsidRDefault="00E234E4" w:rsidP="00C9582F">
            <w:pPr>
              <w:rPr>
                <w:sz w:val="22"/>
                <w:szCs w:val="22"/>
                <w:lang w:val="en-US"/>
              </w:rPr>
            </w:pPr>
            <w:r w:rsidRPr="00D549EE">
              <w:rPr>
                <w:sz w:val="22"/>
                <w:szCs w:val="22"/>
                <w:lang w:val="en-US"/>
              </w:rPr>
              <w:t>(2 838)</w:t>
            </w:r>
          </w:p>
        </w:tc>
        <w:tc>
          <w:tcPr>
            <w:tcW w:w="1137" w:type="dxa"/>
          </w:tcPr>
          <w:p w14:paraId="2C69A545" w14:textId="77777777" w:rsidR="00E234E4" w:rsidRPr="00D549EE" w:rsidRDefault="00E234E4" w:rsidP="00C9582F">
            <w:pPr>
              <w:rPr>
                <w:sz w:val="22"/>
                <w:szCs w:val="22"/>
                <w:lang w:val="en-US"/>
              </w:rPr>
            </w:pPr>
            <w:r w:rsidRPr="00D549EE">
              <w:rPr>
                <w:sz w:val="22"/>
                <w:szCs w:val="22"/>
                <w:lang w:val="en-US"/>
              </w:rPr>
              <w:t>17 887</w:t>
            </w:r>
          </w:p>
          <w:p w14:paraId="6D3953BF" w14:textId="6BF61F81" w:rsidR="00E234E4" w:rsidRPr="00D549EE" w:rsidRDefault="00E234E4" w:rsidP="00C9582F">
            <w:pPr>
              <w:rPr>
                <w:sz w:val="22"/>
                <w:szCs w:val="22"/>
                <w:lang w:val="en-US"/>
              </w:rPr>
            </w:pPr>
            <w:r w:rsidRPr="00D549EE">
              <w:rPr>
                <w:sz w:val="22"/>
                <w:szCs w:val="22"/>
                <w:lang w:val="en-US"/>
              </w:rPr>
              <w:t>(3 516)</w:t>
            </w:r>
          </w:p>
        </w:tc>
        <w:tc>
          <w:tcPr>
            <w:tcW w:w="1137" w:type="dxa"/>
          </w:tcPr>
          <w:p w14:paraId="5C239717" w14:textId="77777777" w:rsidR="00E234E4" w:rsidRPr="00D549EE" w:rsidRDefault="00E234E4" w:rsidP="00C9582F">
            <w:pPr>
              <w:rPr>
                <w:sz w:val="22"/>
                <w:szCs w:val="22"/>
                <w:lang w:val="en-US"/>
              </w:rPr>
            </w:pPr>
            <w:r w:rsidRPr="00D549EE">
              <w:rPr>
                <w:sz w:val="22"/>
                <w:szCs w:val="22"/>
                <w:lang w:val="en-US"/>
              </w:rPr>
              <w:t>21 072</w:t>
            </w:r>
          </w:p>
          <w:p w14:paraId="4B4ECAA3" w14:textId="5C6837AD" w:rsidR="00E234E4" w:rsidRPr="00D549EE" w:rsidRDefault="00E234E4" w:rsidP="00C9582F">
            <w:pPr>
              <w:rPr>
                <w:sz w:val="22"/>
                <w:szCs w:val="22"/>
                <w:lang w:val="en-US"/>
              </w:rPr>
            </w:pPr>
            <w:r w:rsidRPr="00D549EE">
              <w:rPr>
                <w:sz w:val="22"/>
                <w:szCs w:val="22"/>
                <w:lang w:val="en-US"/>
              </w:rPr>
              <w:t>(4 142)</w:t>
            </w:r>
          </w:p>
        </w:tc>
      </w:tr>
      <w:tr w:rsidR="005B67C5" w:rsidRPr="00D549EE" w14:paraId="52231578" w14:textId="77777777" w:rsidTr="005B67C5">
        <w:tc>
          <w:tcPr>
            <w:tcW w:w="0" w:type="auto"/>
          </w:tcPr>
          <w:p w14:paraId="7FD22A65" w14:textId="5E3DF6A1" w:rsidR="00032632" w:rsidRPr="00D549EE" w:rsidRDefault="00032632" w:rsidP="00C9582F">
            <w:pPr>
              <w:rPr>
                <w:sz w:val="22"/>
                <w:szCs w:val="22"/>
                <w:lang w:val="en-US"/>
              </w:rPr>
            </w:pPr>
            <w:r w:rsidRPr="00D549EE">
              <w:rPr>
                <w:sz w:val="22"/>
                <w:szCs w:val="22"/>
                <w:lang w:val="en-US"/>
              </w:rPr>
              <w:t>2</w:t>
            </w:r>
          </w:p>
        </w:tc>
        <w:tc>
          <w:tcPr>
            <w:tcW w:w="0" w:type="auto"/>
          </w:tcPr>
          <w:p w14:paraId="3CB16964" w14:textId="72068C2C" w:rsidR="00032632" w:rsidRPr="00D549EE" w:rsidRDefault="00032632" w:rsidP="00C9582F">
            <w:pPr>
              <w:rPr>
                <w:sz w:val="22"/>
                <w:szCs w:val="22"/>
                <w:lang w:val="en-US"/>
              </w:rPr>
            </w:pPr>
            <w:r w:rsidRPr="00D549EE">
              <w:rPr>
                <w:sz w:val="22"/>
                <w:szCs w:val="22"/>
                <w:lang w:val="en-US"/>
              </w:rPr>
              <w:t xml:space="preserve">The cost of </w:t>
            </w:r>
            <w:r w:rsidR="009A58D3" w:rsidRPr="00D549EE">
              <w:rPr>
                <w:sz w:val="22"/>
                <w:szCs w:val="22"/>
                <w:lang w:val="en-US"/>
              </w:rPr>
              <w:t xml:space="preserve">the state targeted social assistance </w:t>
            </w:r>
            <w:r w:rsidRPr="00D549EE">
              <w:rPr>
                <w:sz w:val="22"/>
                <w:szCs w:val="22"/>
                <w:lang w:val="en-US"/>
              </w:rPr>
              <w:t>for a year</w:t>
            </w:r>
            <w:r w:rsidR="00EC336F" w:rsidRPr="00D549EE">
              <w:rPr>
                <w:sz w:val="22"/>
                <w:szCs w:val="22"/>
                <w:lang w:val="en-US"/>
              </w:rPr>
              <w:t xml:space="preserve"> per person (per family)</w:t>
            </w:r>
            <w:r w:rsidRPr="00D549EE">
              <w:rPr>
                <w:sz w:val="22"/>
                <w:szCs w:val="22"/>
                <w:lang w:val="en-US"/>
              </w:rPr>
              <w:t>, in constant prices</w:t>
            </w:r>
          </w:p>
        </w:tc>
        <w:tc>
          <w:tcPr>
            <w:tcW w:w="923" w:type="dxa"/>
          </w:tcPr>
          <w:p w14:paraId="1574E570" w14:textId="1971297A" w:rsidR="00032632" w:rsidRPr="00D549EE" w:rsidRDefault="00816706" w:rsidP="00C9582F">
            <w:pPr>
              <w:jc w:val="center"/>
              <w:rPr>
                <w:sz w:val="22"/>
                <w:szCs w:val="22"/>
                <w:lang w:val="en-US"/>
              </w:rPr>
            </w:pPr>
            <w:r w:rsidRPr="00D549EE">
              <w:rPr>
                <w:sz w:val="22"/>
                <w:szCs w:val="22"/>
                <w:lang w:val="en-US"/>
              </w:rPr>
              <w:t>936 000</w:t>
            </w:r>
          </w:p>
          <w:p w14:paraId="4E6BD257" w14:textId="4C41E025" w:rsidR="00816706" w:rsidRPr="00D549EE" w:rsidRDefault="00816706" w:rsidP="00C9582F">
            <w:pPr>
              <w:jc w:val="center"/>
              <w:rPr>
                <w:sz w:val="22"/>
                <w:szCs w:val="22"/>
                <w:lang w:val="en-US"/>
              </w:rPr>
            </w:pPr>
            <w:r w:rsidRPr="00D549EE">
              <w:rPr>
                <w:sz w:val="22"/>
                <w:szCs w:val="22"/>
                <w:lang w:val="en-US"/>
              </w:rPr>
              <w:t>persons</w:t>
            </w:r>
          </w:p>
          <w:p w14:paraId="4BC684E2" w14:textId="77777777" w:rsidR="00816706" w:rsidRPr="00D549EE" w:rsidRDefault="00816706" w:rsidP="00C9582F">
            <w:pPr>
              <w:jc w:val="center"/>
              <w:rPr>
                <w:sz w:val="22"/>
                <w:szCs w:val="22"/>
                <w:lang w:val="en-US"/>
              </w:rPr>
            </w:pPr>
            <w:r w:rsidRPr="00D549EE">
              <w:rPr>
                <w:sz w:val="22"/>
                <w:szCs w:val="22"/>
                <w:lang w:val="en-US"/>
              </w:rPr>
              <w:t>or</w:t>
            </w:r>
          </w:p>
          <w:p w14:paraId="604F2521" w14:textId="4095B082" w:rsidR="00816706" w:rsidRPr="00D549EE" w:rsidRDefault="00816706" w:rsidP="00C9582F">
            <w:pPr>
              <w:jc w:val="center"/>
              <w:rPr>
                <w:sz w:val="22"/>
                <w:szCs w:val="22"/>
                <w:lang w:val="en-US"/>
              </w:rPr>
            </w:pPr>
            <w:r w:rsidRPr="00D549EE">
              <w:rPr>
                <w:sz w:val="22"/>
                <w:szCs w:val="22"/>
                <w:lang w:val="en-US"/>
              </w:rPr>
              <w:t>184 000</w:t>
            </w:r>
          </w:p>
          <w:p w14:paraId="7D24EF2D" w14:textId="12025918" w:rsidR="00816706" w:rsidRPr="00D549EE" w:rsidRDefault="00816706" w:rsidP="00C9582F">
            <w:pPr>
              <w:jc w:val="center"/>
              <w:rPr>
                <w:sz w:val="22"/>
                <w:szCs w:val="22"/>
                <w:lang w:val="en-US"/>
              </w:rPr>
            </w:pPr>
            <w:r w:rsidRPr="00D549EE">
              <w:rPr>
                <w:sz w:val="22"/>
                <w:szCs w:val="22"/>
                <w:lang w:val="en-US"/>
              </w:rPr>
              <w:t>Families</w:t>
            </w:r>
          </w:p>
        </w:tc>
        <w:tc>
          <w:tcPr>
            <w:tcW w:w="1252" w:type="dxa"/>
          </w:tcPr>
          <w:p w14:paraId="2725EB16" w14:textId="60AB1A8A" w:rsidR="00EC336F" w:rsidRPr="00D549EE" w:rsidRDefault="00EC336F" w:rsidP="00C9582F">
            <w:pPr>
              <w:rPr>
                <w:sz w:val="22"/>
                <w:szCs w:val="22"/>
                <w:lang w:val="en-US"/>
              </w:rPr>
            </w:pPr>
            <w:r w:rsidRPr="00D549EE">
              <w:rPr>
                <w:sz w:val="22"/>
                <w:szCs w:val="22"/>
                <w:lang w:val="en-US"/>
              </w:rPr>
              <w:t>94 230</w:t>
            </w:r>
          </w:p>
          <w:p w14:paraId="0CF886FD" w14:textId="3F38D709" w:rsidR="00032632" w:rsidRPr="00D549EE" w:rsidRDefault="00EC336F" w:rsidP="00C9582F">
            <w:pPr>
              <w:rPr>
                <w:sz w:val="22"/>
                <w:szCs w:val="22"/>
                <w:lang w:val="en-US"/>
              </w:rPr>
            </w:pPr>
            <w:r w:rsidRPr="00D549EE">
              <w:rPr>
                <w:sz w:val="22"/>
                <w:szCs w:val="22"/>
                <w:lang w:val="en-US"/>
              </w:rPr>
              <w:t>(479 348)</w:t>
            </w:r>
            <w:r w:rsidR="00C17266" w:rsidRPr="00D549EE">
              <w:rPr>
                <w:sz w:val="22"/>
                <w:szCs w:val="22"/>
                <w:lang w:val="en-US"/>
              </w:rPr>
              <w:t xml:space="preserve"> tenge</w:t>
            </w:r>
          </w:p>
        </w:tc>
        <w:tc>
          <w:tcPr>
            <w:tcW w:w="1137" w:type="dxa"/>
          </w:tcPr>
          <w:p w14:paraId="01DD1E76" w14:textId="77777777" w:rsidR="00193A32" w:rsidRPr="00D549EE" w:rsidRDefault="00193A32" w:rsidP="00C9582F">
            <w:pPr>
              <w:rPr>
                <w:sz w:val="22"/>
                <w:szCs w:val="22"/>
                <w:lang w:val="en-US"/>
              </w:rPr>
            </w:pPr>
            <w:r w:rsidRPr="00D549EE">
              <w:rPr>
                <w:sz w:val="22"/>
                <w:szCs w:val="22"/>
                <w:lang w:val="en-US"/>
              </w:rPr>
              <w:t>94 230</w:t>
            </w:r>
          </w:p>
          <w:p w14:paraId="355F5248" w14:textId="1AE64D97" w:rsidR="00032632" w:rsidRPr="00D549EE" w:rsidRDefault="00193A32" w:rsidP="00C9582F">
            <w:pPr>
              <w:rPr>
                <w:sz w:val="22"/>
                <w:szCs w:val="22"/>
                <w:lang w:val="kk-KZ"/>
              </w:rPr>
            </w:pPr>
            <w:r w:rsidRPr="00D549EE">
              <w:rPr>
                <w:sz w:val="22"/>
                <w:szCs w:val="22"/>
                <w:lang w:val="en-US"/>
              </w:rPr>
              <w:t>(479 348) tenge</w:t>
            </w:r>
          </w:p>
        </w:tc>
        <w:tc>
          <w:tcPr>
            <w:tcW w:w="0" w:type="auto"/>
          </w:tcPr>
          <w:p w14:paraId="103B6098" w14:textId="77777777" w:rsidR="00193A32" w:rsidRPr="00D549EE" w:rsidRDefault="00193A32" w:rsidP="00C9582F">
            <w:pPr>
              <w:rPr>
                <w:sz w:val="22"/>
                <w:szCs w:val="22"/>
                <w:lang w:val="en-US"/>
              </w:rPr>
            </w:pPr>
            <w:r w:rsidRPr="00D549EE">
              <w:rPr>
                <w:sz w:val="22"/>
                <w:szCs w:val="22"/>
                <w:lang w:val="en-US"/>
              </w:rPr>
              <w:t>94 230</w:t>
            </w:r>
          </w:p>
          <w:p w14:paraId="24E45ABE" w14:textId="50F55D51" w:rsidR="00032632" w:rsidRPr="00D549EE" w:rsidRDefault="00193A32" w:rsidP="00C9582F">
            <w:pPr>
              <w:rPr>
                <w:sz w:val="22"/>
                <w:szCs w:val="22"/>
                <w:lang w:val="en-US"/>
              </w:rPr>
            </w:pPr>
            <w:r w:rsidRPr="00D549EE">
              <w:rPr>
                <w:sz w:val="22"/>
                <w:szCs w:val="22"/>
                <w:lang w:val="en-US"/>
              </w:rPr>
              <w:t>(479 348) tenge</w:t>
            </w:r>
          </w:p>
        </w:tc>
        <w:tc>
          <w:tcPr>
            <w:tcW w:w="1137" w:type="dxa"/>
          </w:tcPr>
          <w:p w14:paraId="7009CBCF" w14:textId="77777777" w:rsidR="00193A32" w:rsidRPr="00D549EE" w:rsidRDefault="00193A32" w:rsidP="00C9582F">
            <w:pPr>
              <w:rPr>
                <w:sz w:val="22"/>
                <w:szCs w:val="22"/>
                <w:lang w:val="en-US"/>
              </w:rPr>
            </w:pPr>
            <w:r w:rsidRPr="00D549EE">
              <w:rPr>
                <w:sz w:val="22"/>
                <w:szCs w:val="22"/>
                <w:lang w:val="en-US"/>
              </w:rPr>
              <w:t>94 230</w:t>
            </w:r>
          </w:p>
          <w:p w14:paraId="6779E28B" w14:textId="42DCA6CE" w:rsidR="00032632" w:rsidRPr="00D549EE" w:rsidRDefault="00193A32" w:rsidP="00C9582F">
            <w:pPr>
              <w:rPr>
                <w:sz w:val="22"/>
                <w:szCs w:val="22"/>
                <w:lang w:val="en-US"/>
              </w:rPr>
            </w:pPr>
            <w:r w:rsidRPr="00D549EE">
              <w:rPr>
                <w:sz w:val="22"/>
                <w:szCs w:val="22"/>
                <w:lang w:val="en-US"/>
              </w:rPr>
              <w:t>(479 348) tenge</w:t>
            </w:r>
          </w:p>
        </w:tc>
        <w:tc>
          <w:tcPr>
            <w:tcW w:w="1137" w:type="dxa"/>
          </w:tcPr>
          <w:p w14:paraId="25F8082D" w14:textId="77777777" w:rsidR="00193A32" w:rsidRPr="00D549EE" w:rsidRDefault="00193A32" w:rsidP="00C9582F">
            <w:pPr>
              <w:rPr>
                <w:sz w:val="22"/>
                <w:szCs w:val="22"/>
                <w:lang w:val="en-US"/>
              </w:rPr>
            </w:pPr>
            <w:r w:rsidRPr="00D549EE">
              <w:rPr>
                <w:sz w:val="22"/>
                <w:szCs w:val="22"/>
                <w:lang w:val="en-US"/>
              </w:rPr>
              <w:t>94 230</w:t>
            </w:r>
          </w:p>
          <w:p w14:paraId="49F4DF30" w14:textId="375E69EF" w:rsidR="00032632" w:rsidRPr="00D549EE" w:rsidRDefault="00193A32" w:rsidP="00C9582F">
            <w:pPr>
              <w:rPr>
                <w:sz w:val="22"/>
                <w:szCs w:val="22"/>
                <w:lang w:val="en-US"/>
              </w:rPr>
            </w:pPr>
            <w:r w:rsidRPr="00D549EE">
              <w:rPr>
                <w:sz w:val="22"/>
                <w:szCs w:val="22"/>
                <w:lang w:val="en-US"/>
              </w:rPr>
              <w:t>(479 348) tenge</w:t>
            </w:r>
          </w:p>
        </w:tc>
      </w:tr>
      <w:tr w:rsidR="005B67C5" w:rsidRPr="00D549EE" w14:paraId="2D7022FC" w14:textId="77777777" w:rsidTr="005B67C5">
        <w:tc>
          <w:tcPr>
            <w:tcW w:w="0" w:type="auto"/>
          </w:tcPr>
          <w:p w14:paraId="26FB7F0D" w14:textId="0A2B6FEF" w:rsidR="00032632" w:rsidRPr="00D549EE" w:rsidRDefault="00032632" w:rsidP="00C9582F">
            <w:pPr>
              <w:rPr>
                <w:sz w:val="22"/>
                <w:szCs w:val="22"/>
                <w:lang w:val="en-US"/>
              </w:rPr>
            </w:pPr>
            <w:r w:rsidRPr="00D549EE">
              <w:rPr>
                <w:sz w:val="22"/>
                <w:szCs w:val="22"/>
                <w:lang w:val="en-US"/>
              </w:rPr>
              <w:t>3</w:t>
            </w:r>
          </w:p>
        </w:tc>
        <w:tc>
          <w:tcPr>
            <w:tcW w:w="0" w:type="auto"/>
          </w:tcPr>
          <w:p w14:paraId="1945E320" w14:textId="01CA8DF0" w:rsidR="00032632" w:rsidRPr="00D549EE" w:rsidRDefault="009A58D3" w:rsidP="00C9582F">
            <w:pPr>
              <w:rPr>
                <w:sz w:val="22"/>
                <w:szCs w:val="22"/>
                <w:lang w:val="en-US"/>
              </w:rPr>
            </w:pPr>
            <w:r w:rsidRPr="00D549EE">
              <w:rPr>
                <w:sz w:val="22"/>
                <w:szCs w:val="22"/>
                <w:lang w:val="en-US"/>
              </w:rPr>
              <w:t>Present value of the cost of the state targeted social assistance</w:t>
            </w:r>
          </w:p>
        </w:tc>
        <w:tc>
          <w:tcPr>
            <w:tcW w:w="923" w:type="dxa"/>
          </w:tcPr>
          <w:p w14:paraId="29270E74" w14:textId="77777777" w:rsidR="00032632" w:rsidRPr="00D549EE" w:rsidRDefault="00032632" w:rsidP="00C9582F">
            <w:pPr>
              <w:rPr>
                <w:sz w:val="22"/>
                <w:szCs w:val="22"/>
                <w:lang w:val="en-US"/>
              </w:rPr>
            </w:pPr>
          </w:p>
        </w:tc>
        <w:tc>
          <w:tcPr>
            <w:tcW w:w="1252" w:type="dxa"/>
          </w:tcPr>
          <w:p w14:paraId="0F42B9AF" w14:textId="2FB96514" w:rsidR="00032632" w:rsidRPr="00D549EE" w:rsidRDefault="00193A32" w:rsidP="00C9582F">
            <w:pPr>
              <w:rPr>
                <w:sz w:val="22"/>
                <w:szCs w:val="22"/>
                <w:lang w:val="en-US"/>
              </w:rPr>
            </w:pPr>
            <w:r w:rsidRPr="00D549EE">
              <w:rPr>
                <w:sz w:val="22"/>
                <w:szCs w:val="22"/>
                <w:lang w:val="en-US"/>
              </w:rPr>
              <w:t>86 450</w:t>
            </w:r>
          </w:p>
          <w:p w14:paraId="62718267" w14:textId="77777777" w:rsidR="00193A32" w:rsidRPr="00D549EE" w:rsidRDefault="00193A32" w:rsidP="00C9582F">
            <w:pPr>
              <w:rPr>
                <w:sz w:val="22"/>
                <w:szCs w:val="22"/>
                <w:lang w:val="en-US"/>
              </w:rPr>
            </w:pPr>
            <w:r w:rsidRPr="00D549EE">
              <w:rPr>
                <w:sz w:val="22"/>
                <w:szCs w:val="22"/>
                <w:lang w:val="en-US"/>
              </w:rPr>
              <w:t>(439 769)</w:t>
            </w:r>
          </w:p>
          <w:p w14:paraId="5A624B16" w14:textId="094ACC78" w:rsidR="00193A32" w:rsidRPr="00D549EE" w:rsidRDefault="00193A32" w:rsidP="00C9582F">
            <w:pPr>
              <w:rPr>
                <w:sz w:val="22"/>
                <w:szCs w:val="22"/>
                <w:lang w:val="en-US"/>
              </w:rPr>
            </w:pPr>
          </w:p>
        </w:tc>
        <w:tc>
          <w:tcPr>
            <w:tcW w:w="1137" w:type="dxa"/>
          </w:tcPr>
          <w:p w14:paraId="28DCD863" w14:textId="544392DC" w:rsidR="00032632" w:rsidRPr="00D549EE" w:rsidRDefault="00193A32" w:rsidP="00C9582F">
            <w:pPr>
              <w:rPr>
                <w:sz w:val="22"/>
                <w:szCs w:val="22"/>
                <w:lang w:val="en-US"/>
              </w:rPr>
            </w:pPr>
            <w:r w:rsidRPr="00D549EE">
              <w:rPr>
                <w:sz w:val="22"/>
                <w:szCs w:val="22"/>
                <w:lang w:val="en-US"/>
              </w:rPr>
              <w:t>79 312</w:t>
            </w:r>
          </w:p>
          <w:p w14:paraId="720B3FF4" w14:textId="0EEF126A" w:rsidR="00193A32" w:rsidRPr="00D549EE" w:rsidRDefault="00193A32" w:rsidP="00C9582F">
            <w:pPr>
              <w:rPr>
                <w:sz w:val="22"/>
                <w:szCs w:val="22"/>
                <w:lang w:val="en-US"/>
              </w:rPr>
            </w:pPr>
            <w:r w:rsidRPr="00D549EE">
              <w:rPr>
                <w:sz w:val="22"/>
                <w:szCs w:val="22"/>
                <w:lang w:val="en-US"/>
              </w:rPr>
              <w:t>(403 458)</w:t>
            </w:r>
          </w:p>
          <w:p w14:paraId="07E767C2" w14:textId="1592DA5C" w:rsidR="00193A32" w:rsidRPr="00D549EE" w:rsidRDefault="00193A32" w:rsidP="00C9582F">
            <w:pPr>
              <w:rPr>
                <w:sz w:val="22"/>
                <w:szCs w:val="22"/>
                <w:lang w:val="en-US"/>
              </w:rPr>
            </w:pPr>
          </w:p>
        </w:tc>
        <w:tc>
          <w:tcPr>
            <w:tcW w:w="0" w:type="auto"/>
          </w:tcPr>
          <w:p w14:paraId="479608FC" w14:textId="6DF755DD" w:rsidR="00032632" w:rsidRPr="00D549EE" w:rsidRDefault="00193A32" w:rsidP="00C9582F">
            <w:pPr>
              <w:rPr>
                <w:sz w:val="22"/>
                <w:szCs w:val="22"/>
                <w:lang w:val="en-US"/>
              </w:rPr>
            </w:pPr>
            <w:r w:rsidRPr="00D549EE">
              <w:rPr>
                <w:sz w:val="22"/>
                <w:szCs w:val="22"/>
                <w:lang w:val="en-US"/>
              </w:rPr>
              <w:t>72 763</w:t>
            </w:r>
          </w:p>
          <w:p w14:paraId="73CF7D0B" w14:textId="77777777" w:rsidR="00193A32" w:rsidRPr="00D549EE" w:rsidRDefault="00193A32" w:rsidP="00C9582F">
            <w:pPr>
              <w:rPr>
                <w:sz w:val="22"/>
                <w:szCs w:val="22"/>
                <w:lang w:val="en-US"/>
              </w:rPr>
            </w:pPr>
            <w:r w:rsidRPr="00D549EE">
              <w:rPr>
                <w:sz w:val="22"/>
                <w:szCs w:val="22"/>
                <w:lang w:val="en-US"/>
              </w:rPr>
              <w:t>(370 144)</w:t>
            </w:r>
          </w:p>
          <w:p w14:paraId="53842C02" w14:textId="3DCFA8D4" w:rsidR="00193A32" w:rsidRPr="00D549EE" w:rsidRDefault="00193A32" w:rsidP="00C9582F">
            <w:pPr>
              <w:rPr>
                <w:sz w:val="22"/>
                <w:szCs w:val="22"/>
                <w:lang w:val="en-US"/>
              </w:rPr>
            </w:pPr>
          </w:p>
        </w:tc>
        <w:tc>
          <w:tcPr>
            <w:tcW w:w="1137" w:type="dxa"/>
          </w:tcPr>
          <w:p w14:paraId="65B647EB" w14:textId="07DB9B4C" w:rsidR="00032632" w:rsidRPr="00D549EE" w:rsidRDefault="00193A32" w:rsidP="00C9582F">
            <w:pPr>
              <w:rPr>
                <w:sz w:val="22"/>
                <w:szCs w:val="22"/>
                <w:lang w:val="en-US"/>
              </w:rPr>
            </w:pPr>
            <w:r w:rsidRPr="00D549EE">
              <w:rPr>
                <w:sz w:val="22"/>
                <w:szCs w:val="22"/>
                <w:lang w:val="en-US"/>
              </w:rPr>
              <w:t>66 755</w:t>
            </w:r>
          </w:p>
          <w:p w14:paraId="60225609" w14:textId="77777777" w:rsidR="00193A32" w:rsidRPr="00D549EE" w:rsidRDefault="00193A32" w:rsidP="00C9582F">
            <w:pPr>
              <w:rPr>
                <w:sz w:val="22"/>
                <w:szCs w:val="22"/>
                <w:lang w:val="en-US"/>
              </w:rPr>
            </w:pPr>
            <w:r w:rsidRPr="00D549EE">
              <w:rPr>
                <w:sz w:val="22"/>
                <w:szCs w:val="22"/>
                <w:lang w:val="en-US"/>
              </w:rPr>
              <w:t>(339 582)</w:t>
            </w:r>
          </w:p>
          <w:p w14:paraId="10991ADA" w14:textId="49572C51" w:rsidR="00193A32" w:rsidRPr="00D549EE" w:rsidRDefault="00193A32" w:rsidP="00C9582F">
            <w:pPr>
              <w:rPr>
                <w:sz w:val="22"/>
                <w:szCs w:val="22"/>
                <w:lang w:val="en-US"/>
              </w:rPr>
            </w:pPr>
          </w:p>
        </w:tc>
        <w:tc>
          <w:tcPr>
            <w:tcW w:w="1137" w:type="dxa"/>
          </w:tcPr>
          <w:p w14:paraId="63EC9EC4" w14:textId="4A178351" w:rsidR="00032632" w:rsidRPr="00D549EE" w:rsidRDefault="00193A32" w:rsidP="00C9582F">
            <w:pPr>
              <w:rPr>
                <w:sz w:val="22"/>
                <w:szCs w:val="22"/>
                <w:lang w:val="en-US"/>
              </w:rPr>
            </w:pPr>
            <w:r w:rsidRPr="00D549EE">
              <w:rPr>
                <w:sz w:val="22"/>
                <w:szCs w:val="22"/>
                <w:lang w:val="en-US"/>
              </w:rPr>
              <w:t>61 244</w:t>
            </w:r>
          </w:p>
          <w:p w14:paraId="0B72F608" w14:textId="77777777" w:rsidR="00193A32" w:rsidRPr="00D549EE" w:rsidRDefault="00193A32" w:rsidP="00C9582F">
            <w:pPr>
              <w:rPr>
                <w:sz w:val="22"/>
                <w:szCs w:val="22"/>
                <w:lang w:val="en-US"/>
              </w:rPr>
            </w:pPr>
            <w:r w:rsidRPr="00D549EE">
              <w:rPr>
                <w:sz w:val="22"/>
                <w:szCs w:val="22"/>
                <w:lang w:val="en-US"/>
              </w:rPr>
              <w:t>(311 543)</w:t>
            </w:r>
          </w:p>
          <w:p w14:paraId="5CA7D3AB" w14:textId="304BF5AB" w:rsidR="00193A32" w:rsidRPr="00D549EE" w:rsidRDefault="00193A32" w:rsidP="00C9582F">
            <w:pPr>
              <w:rPr>
                <w:sz w:val="22"/>
                <w:szCs w:val="22"/>
                <w:lang w:val="en-US"/>
              </w:rPr>
            </w:pPr>
          </w:p>
        </w:tc>
      </w:tr>
      <w:tr w:rsidR="005B67C5" w:rsidRPr="00D549EE" w14:paraId="22B10DC8" w14:textId="77777777" w:rsidTr="005B67C5">
        <w:tc>
          <w:tcPr>
            <w:tcW w:w="0" w:type="auto"/>
          </w:tcPr>
          <w:p w14:paraId="41FAEB8C" w14:textId="3F71D773" w:rsidR="00032632" w:rsidRPr="00D549EE" w:rsidRDefault="00032632" w:rsidP="00C9582F">
            <w:pPr>
              <w:rPr>
                <w:sz w:val="22"/>
                <w:szCs w:val="22"/>
                <w:lang w:val="en-US"/>
              </w:rPr>
            </w:pPr>
            <w:r w:rsidRPr="00D549EE">
              <w:rPr>
                <w:sz w:val="22"/>
                <w:szCs w:val="22"/>
                <w:lang w:val="en-US"/>
              </w:rPr>
              <w:t>4</w:t>
            </w:r>
          </w:p>
        </w:tc>
        <w:tc>
          <w:tcPr>
            <w:tcW w:w="0" w:type="auto"/>
          </w:tcPr>
          <w:p w14:paraId="522B3712" w14:textId="73214080" w:rsidR="00032632" w:rsidRPr="00D549EE" w:rsidRDefault="009A58D3" w:rsidP="00C9582F">
            <w:pPr>
              <w:rPr>
                <w:sz w:val="22"/>
                <w:szCs w:val="22"/>
                <w:lang w:val="en-US"/>
              </w:rPr>
            </w:pPr>
            <w:r w:rsidRPr="00D549EE">
              <w:rPr>
                <w:sz w:val="22"/>
                <w:szCs w:val="22"/>
                <w:lang w:val="en-US"/>
              </w:rPr>
              <w:t>Total present value of the cost of the state targeted social assistance for 5 years</w:t>
            </w:r>
            <w:r w:rsidR="00C15C0A" w:rsidRPr="00D549EE">
              <w:rPr>
                <w:sz w:val="22"/>
                <w:szCs w:val="22"/>
                <w:lang w:val="en-US"/>
              </w:rPr>
              <w:t>, in million tenge</w:t>
            </w:r>
          </w:p>
        </w:tc>
        <w:tc>
          <w:tcPr>
            <w:tcW w:w="923" w:type="dxa"/>
          </w:tcPr>
          <w:p w14:paraId="5EEC85E1" w14:textId="2563077F" w:rsidR="00193A32" w:rsidRPr="00D549EE" w:rsidRDefault="00AB42F2" w:rsidP="00C9582F">
            <w:pPr>
              <w:rPr>
                <w:sz w:val="22"/>
                <w:szCs w:val="22"/>
                <w:lang w:val="en-US"/>
              </w:rPr>
            </w:pPr>
            <w:r w:rsidRPr="00D549EE">
              <w:rPr>
                <w:sz w:val="22"/>
                <w:szCs w:val="22"/>
                <w:lang w:val="en-US"/>
              </w:rPr>
              <w:t>343</w:t>
            </w:r>
            <w:r w:rsidR="00C15C0A" w:rsidRPr="00D549EE">
              <w:rPr>
                <w:sz w:val="22"/>
                <w:szCs w:val="22"/>
                <w:lang w:val="en-US"/>
              </w:rPr>
              <w:t> </w:t>
            </w:r>
            <w:r w:rsidRPr="00D549EE">
              <w:rPr>
                <w:sz w:val="22"/>
                <w:szCs w:val="22"/>
                <w:lang w:val="en-US"/>
              </w:rPr>
              <w:t>067</w:t>
            </w:r>
            <w:r w:rsidR="00C15C0A" w:rsidRPr="00D549EE">
              <w:rPr>
                <w:sz w:val="22"/>
                <w:szCs w:val="22"/>
                <w:lang w:val="en-US"/>
              </w:rPr>
              <w:t xml:space="preserve"> </w:t>
            </w:r>
          </w:p>
        </w:tc>
        <w:tc>
          <w:tcPr>
            <w:tcW w:w="1252" w:type="dxa"/>
          </w:tcPr>
          <w:p w14:paraId="32D8E87F" w14:textId="7BA7B481" w:rsidR="00032632" w:rsidRPr="00D549EE" w:rsidRDefault="00C15C0A" w:rsidP="00C9582F">
            <w:pPr>
              <w:rPr>
                <w:sz w:val="22"/>
                <w:szCs w:val="22"/>
              </w:rPr>
            </w:pPr>
            <w:r w:rsidRPr="00D549EE">
              <w:rPr>
                <w:sz w:val="22"/>
                <w:szCs w:val="22"/>
              </w:rPr>
              <w:t>80 917</w:t>
            </w:r>
          </w:p>
        </w:tc>
        <w:tc>
          <w:tcPr>
            <w:tcW w:w="1137" w:type="dxa"/>
          </w:tcPr>
          <w:p w14:paraId="465C2F38" w14:textId="6131EBB3" w:rsidR="00032632" w:rsidRPr="00D549EE" w:rsidRDefault="00C15C0A" w:rsidP="00C9582F">
            <w:pPr>
              <w:rPr>
                <w:sz w:val="22"/>
                <w:szCs w:val="22"/>
              </w:rPr>
            </w:pPr>
            <w:r w:rsidRPr="00D549EE">
              <w:rPr>
                <w:sz w:val="22"/>
                <w:szCs w:val="22"/>
              </w:rPr>
              <w:t>74 236</w:t>
            </w:r>
          </w:p>
        </w:tc>
        <w:tc>
          <w:tcPr>
            <w:tcW w:w="0" w:type="auto"/>
          </w:tcPr>
          <w:p w14:paraId="598C6470" w14:textId="19E181F5" w:rsidR="00032632" w:rsidRPr="00D549EE" w:rsidRDefault="00C15C0A" w:rsidP="00C9582F">
            <w:pPr>
              <w:rPr>
                <w:sz w:val="22"/>
                <w:szCs w:val="22"/>
              </w:rPr>
            </w:pPr>
            <w:r w:rsidRPr="00D549EE">
              <w:rPr>
                <w:sz w:val="22"/>
                <w:szCs w:val="22"/>
              </w:rPr>
              <w:t>68 107</w:t>
            </w:r>
          </w:p>
        </w:tc>
        <w:tc>
          <w:tcPr>
            <w:tcW w:w="1137" w:type="dxa"/>
          </w:tcPr>
          <w:p w14:paraId="79F60882" w14:textId="3565C1CC" w:rsidR="00032632" w:rsidRPr="00D549EE" w:rsidRDefault="00C15C0A" w:rsidP="00C9582F">
            <w:pPr>
              <w:rPr>
                <w:sz w:val="22"/>
                <w:szCs w:val="22"/>
              </w:rPr>
            </w:pPr>
            <w:r w:rsidRPr="00D549EE">
              <w:rPr>
                <w:sz w:val="22"/>
                <w:szCs w:val="22"/>
              </w:rPr>
              <w:t>62 483</w:t>
            </w:r>
          </w:p>
        </w:tc>
        <w:tc>
          <w:tcPr>
            <w:tcW w:w="1137" w:type="dxa"/>
          </w:tcPr>
          <w:p w14:paraId="6EB14BAD" w14:textId="2DDE9C18" w:rsidR="00032632" w:rsidRPr="00D549EE" w:rsidRDefault="00C15C0A" w:rsidP="00C9582F">
            <w:pPr>
              <w:rPr>
                <w:sz w:val="22"/>
                <w:szCs w:val="22"/>
              </w:rPr>
            </w:pPr>
            <w:r w:rsidRPr="00D549EE">
              <w:rPr>
                <w:sz w:val="22"/>
                <w:szCs w:val="22"/>
              </w:rPr>
              <w:t>57 324</w:t>
            </w:r>
          </w:p>
        </w:tc>
      </w:tr>
      <w:tr w:rsidR="005B67C5" w:rsidRPr="00D549EE" w14:paraId="526BF1DC" w14:textId="77777777" w:rsidTr="005B67C5">
        <w:tc>
          <w:tcPr>
            <w:tcW w:w="0" w:type="auto"/>
          </w:tcPr>
          <w:p w14:paraId="7D6A74B7" w14:textId="0D633664" w:rsidR="00032632" w:rsidRPr="00D549EE" w:rsidRDefault="00032632" w:rsidP="00C9582F">
            <w:pPr>
              <w:rPr>
                <w:sz w:val="22"/>
                <w:szCs w:val="22"/>
                <w:lang w:val="en-US"/>
              </w:rPr>
            </w:pPr>
            <w:r w:rsidRPr="00D549EE">
              <w:rPr>
                <w:sz w:val="22"/>
                <w:szCs w:val="22"/>
                <w:lang w:val="en-US"/>
              </w:rPr>
              <w:t>5</w:t>
            </w:r>
          </w:p>
        </w:tc>
        <w:tc>
          <w:tcPr>
            <w:tcW w:w="0" w:type="auto"/>
          </w:tcPr>
          <w:p w14:paraId="780C801F" w14:textId="26A38E7A" w:rsidR="00032632" w:rsidRPr="00D549EE" w:rsidRDefault="009A58D3" w:rsidP="00C9582F">
            <w:pPr>
              <w:rPr>
                <w:sz w:val="22"/>
                <w:szCs w:val="22"/>
                <w:lang w:val="en-US"/>
              </w:rPr>
            </w:pPr>
            <w:r w:rsidRPr="00D549EE">
              <w:rPr>
                <w:sz w:val="22"/>
                <w:szCs w:val="22"/>
                <w:lang w:val="en-US"/>
              </w:rPr>
              <w:t>Present value of saved spending on the state targeted social assistance</w:t>
            </w:r>
            <w:r w:rsidR="00C15C0A" w:rsidRPr="00D549EE">
              <w:rPr>
                <w:sz w:val="22"/>
                <w:szCs w:val="22"/>
                <w:lang w:val="en-US"/>
              </w:rPr>
              <w:t>, in million tenge</w:t>
            </w:r>
          </w:p>
        </w:tc>
        <w:tc>
          <w:tcPr>
            <w:tcW w:w="923" w:type="dxa"/>
          </w:tcPr>
          <w:p w14:paraId="129C17FB" w14:textId="5592D271" w:rsidR="00032632" w:rsidRPr="00D549EE" w:rsidRDefault="00C15C0A" w:rsidP="00C9582F">
            <w:pPr>
              <w:rPr>
                <w:sz w:val="22"/>
                <w:szCs w:val="22"/>
                <w:lang w:val="en-US"/>
              </w:rPr>
            </w:pPr>
            <w:r w:rsidRPr="00D549EE">
              <w:rPr>
                <w:sz w:val="22"/>
                <w:szCs w:val="22"/>
                <w:lang w:val="en-US"/>
              </w:rPr>
              <w:t>4 530</w:t>
            </w:r>
          </w:p>
        </w:tc>
        <w:tc>
          <w:tcPr>
            <w:tcW w:w="1252" w:type="dxa"/>
          </w:tcPr>
          <w:p w14:paraId="0950AF42" w14:textId="7CA01835" w:rsidR="00032632" w:rsidRPr="00D549EE" w:rsidRDefault="00C15C0A" w:rsidP="00C9582F">
            <w:pPr>
              <w:rPr>
                <w:sz w:val="22"/>
                <w:szCs w:val="22"/>
                <w:lang w:val="en-US"/>
              </w:rPr>
            </w:pPr>
            <w:r w:rsidRPr="00D549EE">
              <w:rPr>
                <w:sz w:val="22"/>
                <w:szCs w:val="22"/>
                <w:lang w:val="en-US"/>
              </w:rPr>
              <w:t>0</w:t>
            </w:r>
          </w:p>
        </w:tc>
        <w:tc>
          <w:tcPr>
            <w:tcW w:w="1137" w:type="dxa"/>
          </w:tcPr>
          <w:p w14:paraId="77603DDB" w14:textId="709B9762" w:rsidR="00032632" w:rsidRPr="00D549EE" w:rsidRDefault="00C15C0A" w:rsidP="00C9582F">
            <w:pPr>
              <w:rPr>
                <w:sz w:val="22"/>
                <w:szCs w:val="22"/>
                <w:lang w:val="en-US"/>
              </w:rPr>
            </w:pPr>
            <w:r w:rsidRPr="00D549EE">
              <w:rPr>
                <w:sz w:val="22"/>
                <w:szCs w:val="22"/>
                <w:lang w:val="en-US"/>
              </w:rPr>
              <w:t>995</w:t>
            </w:r>
          </w:p>
        </w:tc>
        <w:tc>
          <w:tcPr>
            <w:tcW w:w="0" w:type="auto"/>
          </w:tcPr>
          <w:p w14:paraId="4231F451" w14:textId="5DBD0C62" w:rsidR="00032632" w:rsidRPr="00D549EE" w:rsidRDefault="00C15C0A" w:rsidP="00C9582F">
            <w:pPr>
              <w:rPr>
                <w:sz w:val="22"/>
                <w:szCs w:val="22"/>
                <w:lang w:val="en-US"/>
              </w:rPr>
            </w:pPr>
            <w:r w:rsidRPr="00D549EE">
              <w:rPr>
                <w:sz w:val="22"/>
                <w:szCs w:val="22"/>
                <w:lang w:val="en-US"/>
              </w:rPr>
              <w:t>1 050</w:t>
            </w:r>
          </w:p>
        </w:tc>
        <w:tc>
          <w:tcPr>
            <w:tcW w:w="1137" w:type="dxa"/>
          </w:tcPr>
          <w:p w14:paraId="1176A7B6" w14:textId="6CCA10D9" w:rsidR="00032632" w:rsidRPr="00D549EE" w:rsidRDefault="00C15C0A" w:rsidP="00C9582F">
            <w:pPr>
              <w:rPr>
                <w:sz w:val="22"/>
                <w:szCs w:val="22"/>
                <w:lang w:val="en-US"/>
              </w:rPr>
            </w:pPr>
            <w:r w:rsidRPr="00D549EE">
              <w:rPr>
                <w:sz w:val="22"/>
                <w:szCs w:val="22"/>
                <w:lang w:val="en-US"/>
              </w:rPr>
              <w:t>1 194</w:t>
            </w:r>
          </w:p>
        </w:tc>
        <w:tc>
          <w:tcPr>
            <w:tcW w:w="1137" w:type="dxa"/>
          </w:tcPr>
          <w:p w14:paraId="100CB442" w14:textId="505FED01" w:rsidR="00032632" w:rsidRPr="00D549EE" w:rsidRDefault="00C15C0A" w:rsidP="00C9582F">
            <w:pPr>
              <w:rPr>
                <w:sz w:val="22"/>
                <w:szCs w:val="22"/>
                <w:lang w:val="en-US"/>
              </w:rPr>
            </w:pPr>
            <w:r w:rsidRPr="00D549EE">
              <w:rPr>
                <w:sz w:val="22"/>
                <w:szCs w:val="22"/>
                <w:lang w:val="en-US"/>
              </w:rPr>
              <w:t>1 291</w:t>
            </w:r>
          </w:p>
        </w:tc>
      </w:tr>
      <w:tr w:rsidR="005B67C5" w:rsidRPr="00D549EE" w14:paraId="4B5E56CA" w14:textId="77777777" w:rsidTr="005B67C5">
        <w:tc>
          <w:tcPr>
            <w:tcW w:w="0" w:type="auto"/>
          </w:tcPr>
          <w:p w14:paraId="122A735F" w14:textId="322A451D" w:rsidR="00032632" w:rsidRPr="00D549EE" w:rsidRDefault="00032632" w:rsidP="00C9582F">
            <w:pPr>
              <w:rPr>
                <w:sz w:val="22"/>
                <w:szCs w:val="22"/>
                <w:lang w:val="en-US"/>
              </w:rPr>
            </w:pPr>
            <w:r w:rsidRPr="00D549EE">
              <w:rPr>
                <w:sz w:val="22"/>
                <w:szCs w:val="22"/>
                <w:lang w:val="en-US"/>
              </w:rPr>
              <w:t>6</w:t>
            </w:r>
          </w:p>
        </w:tc>
        <w:tc>
          <w:tcPr>
            <w:tcW w:w="0" w:type="auto"/>
          </w:tcPr>
          <w:p w14:paraId="0198ACF4" w14:textId="3D879673" w:rsidR="00032632" w:rsidRPr="00D549EE" w:rsidRDefault="009A58D3" w:rsidP="00C9582F">
            <w:pPr>
              <w:rPr>
                <w:sz w:val="22"/>
                <w:szCs w:val="22"/>
                <w:lang w:val="en-US"/>
              </w:rPr>
            </w:pPr>
            <w:r w:rsidRPr="00D549EE">
              <w:rPr>
                <w:sz w:val="22"/>
                <w:szCs w:val="22"/>
                <w:lang w:val="en-US"/>
              </w:rPr>
              <w:t xml:space="preserve">Platform expenditures </w:t>
            </w:r>
            <w:r w:rsidR="00816706" w:rsidRPr="00D549EE">
              <w:rPr>
                <w:sz w:val="22"/>
                <w:szCs w:val="22"/>
                <w:lang w:val="en-US"/>
              </w:rPr>
              <w:t xml:space="preserve">without blockchain </w:t>
            </w:r>
          </w:p>
        </w:tc>
        <w:tc>
          <w:tcPr>
            <w:tcW w:w="923" w:type="dxa"/>
          </w:tcPr>
          <w:p w14:paraId="592FAAE9" w14:textId="650AFBCD" w:rsidR="00032632" w:rsidRPr="00D549EE" w:rsidRDefault="00BE0660" w:rsidP="00C9582F">
            <w:pPr>
              <w:rPr>
                <w:sz w:val="22"/>
                <w:szCs w:val="22"/>
                <w:lang w:val="en-US"/>
              </w:rPr>
            </w:pPr>
            <w:r w:rsidRPr="00D549EE">
              <w:rPr>
                <w:sz w:val="22"/>
                <w:szCs w:val="22"/>
                <w:lang w:val="en-US"/>
              </w:rPr>
              <w:t>4 600 000</w:t>
            </w:r>
          </w:p>
        </w:tc>
        <w:tc>
          <w:tcPr>
            <w:tcW w:w="1252" w:type="dxa"/>
          </w:tcPr>
          <w:p w14:paraId="14BC952C" w14:textId="418AF9AC" w:rsidR="00032632" w:rsidRPr="00D549EE" w:rsidRDefault="00193A32" w:rsidP="00C9582F">
            <w:pPr>
              <w:rPr>
                <w:sz w:val="22"/>
                <w:szCs w:val="22"/>
                <w:lang w:val="en-US"/>
              </w:rPr>
            </w:pPr>
            <w:r w:rsidRPr="00D549EE">
              <w:rPr>
                <w:sz w:val="22"/>
                <w:szCs w:val="22"/>
                <w:lang w:val="en-US"/>
              </w:rPr>
              <w:t>4 600 000</w:t>
            </w:r>
          </w:p>
        </w:tc>
        <w:tc>
          <w:tcPr>
            <w:tcW w:w="1137" w:type="dxa"/>
          </w:tcPr>
          <w:p w14:paraId="21B386D6" w14:textId="47A928BD" w:rsidR="00032632" w:rsidRPr="00D549EE" w:rsidRDefault="00BE0660" w:rsidP="00C9582F">
            <w:pPr>
              <w:rPr>
                <w:sz w:val="22"/>
                <w:szCs w:val="22"/>
                <w:lang w:val="en-US"/>
              </w:rPr>
            </w:pPr>
            <w:r w:rsidRPr="00D549EE">
              <w:rPr>
                <w:sz w:val="22"/>
                <w:szCs w:val="22"/>
                <w:lang w:val="en-US"/>
              </w:rPr>
              <w:t>0</w:t>
            </w:r>
          </w:p>
        </w:tc>
        <w:tc>
          <w:tcPr>
            <w:tcW w:w="0" w:type="auto"/>
          </w:tcPr>
          <w:p w14:paraId="7F488F03" w14:textId="3F8CC56F" w:rsidR="00032632" w:rsidRPr="00D549EE" w:rsidRDefault="00BE0660" w:rsidP="00C9582F">
            <w:pPr>
              <w:rPr>
                <w:sz w:val="22"/>
                <w:szCs w:val="22"/>
                <w:lang w:val="en-US"/>
              </w:rPr>
            </w:pPr>
            <w:r w:rsidRPr="00D549EE">
              <w:rPr>
                <w:sz w:val="22"/>
                <w:szCs w:val="22"/>
                <w:lang w:val="en-US"/>
              </w:rPr>
              <w:t>0</w:t>
            </w:r>
          </w:p>
        </w:tc>
        <w:tc>
          <w:tcPr>
            <w:tcW w:w="1137" w:type="dxa"/>
          </w:tcPr>
          <w:p w14:paraId="1DA36D0A" w14:textId="167F06F2" w:rsidR="00032632" w:rsidRPr="00D549EE" w:rsidRDefault="00BE0660" w:rsidP="00C9582F">
            <w:pPr>
              <w:rPr>
                <w:sz w:val="22"/>
                <w:szCs w:val="22"/>
                <w:lang w:val="en-US"/>
              </w:rPr>
            </w:pPr>
            <w:r w:rsidRPr="00D549EE">
              <w:rPr>
                <w:sz w:val="22"/>
                <w:szCs w:val="22"/>
                <w:lang w:val="en-US"/>
              </w:rPr>
              <w:t>0</w:t>
            </w:r>
          </w:p>
        </w:tc>
        <w:tc>
          <w:tcPr>
            <w:tcW w:w="1137" w:type="dxa"/>
          </w:tcPr>
          <w:p w14:paraId="219AD15B" w14:textId="223A40AA" w:rsidR="00032632" w:rsidRPr="00D549EE" w:rsidRDefault="00BE0660" w:rsidP="00C9582F">
            <w:pPr>
              <w:rPr>
                <w:sz w:val="22"/>
                <w:szCs w:val="22"/>
                <w:lang w:val="en-US"/>
              </w:rPr>
            </w:pPr>
            <w:r w:rsidRPr="00D549EE">
              <w:rPr>
                <w:sz w:val="22"/>
                <w:szCs w:val="22"/>
                <w:lang w:val="en-US"/>
              </w:rPr>
              <w:t>0</w:t>
            </w:r>
          </w:p>
        </w:tc>
      </w:tr>
      <w:tr w:rsidR="005B67C5" w:rsidRPr="00D549EE" w14:paraId="49734C3D" w14:textId="77777777" w:rsidTr="005B67C5">
        <w:tc>
          <w:tcPr>
            <w:tcW w:w="0" w:type="auto"/>
          </w:tcPr>
          <w:p w14:paraId="347F1615" w14:textId="2258F3C9" w:rsidR="00816706" w:rsidRPr="00D549EE" w:rsidRDefault="00816706" w:rsidP="00C9582F">
            <w:pPr>
              <w:rPr>
                <w:sz w:val="22"/>
                <w:szCs w:val="22"/>
                <w:lang w:val="en-US"/>
              </w:rPr>
            </w:pPr>
            <w:r w:rsidRPr="00D549EE">
              <w:rPr>
                <w:sz w:val="22"/>
                <w:szCs w:val="22"/>
                <w:lang w:val="en-US"/>
              </w:rPr>
              <w:t>7</w:t>
            </w:r>
          </w:p>
        </w:tc>
        <w:tc>
          <w:tcPr>
            <w:tcW w:w="0" w:type="auto"/>
          </w:tcPr>
          <w:p w14:paraId="0A7F01AB" w14:textId="13EA6608" w:rsidR="00816706" w:rsidRPr="00D549EE" w:rsidRDefault="00816706" w:rsidP="00C9582F">
            <w:pPr>
              <w:rPr>
                <w:sz w:val="22"/>
                <w:szCs w:val="22"/>
                <w:lang w:val="en-US"/>
              </w:rPr>
            </w:pPr>
            <w:r w:rsidRPr="00D549EE">
              <w:rPr>
                <w:sz w:val="22"/>
                <w:szCs w:val="22"/>
                <w:lang w:val="en-US"/>
              </w:rPr>
              <w:t>Platform expenditures with blockchain</w:t>
            </w:r>
          </w:p>
        </w:tc>
        <w:tc>
          <w:tcPr>
            <w:tcW w:w="923" w:type="dxa"/>
          </w:tcPr>
          <w:p w14:paraId="456FAF06" w14:textId="28B9B298" w:rsidR="00816706" w:rsidRPr="00D549EE" w:rsidRDefault="00BE0660" w:rsidP="00C9582F">
            <w:pPr>
              <w:rPr>
                <w:sz w:val="22"/>
                <w:szCs w:val="22"/>
                <w:lang w:val="en-US"/>
              </w:rPr>
            </w:pPr>
            <w:r w:rsidRPr="00D549EE">
              <w:rPr>
                <w:sz w:val="22"/>
                <w:szCs w:val="22"/>
                <w:lang w:val="en-US"/>
              </w:rPr>
              <w:t>66 500 000</w:t>
            </w:r>
          </w:p>
        </w:tc>
        <w:tc>
          <w:tcPr>
            <w:tcW w:w="1252" w:type="dxa"/>
          </w:tcPr>
          <w:p w14:paraId="689A51F8" w14:textId="2DA81F2C" w:rsidR="00816706" w:rsidRPr="00D549EE" w:rsidRDefault="007D570C" w:rsidP="00C9582F">
            <w:pPr>
              <w:rPr>
                <w:sz w:val="22"/>
                <w:szCs w:val="22"/>
                <w:lang w:val="en-US"/>
              </w:rPr>
            </w:pPr>
            <w:r w:rsidRPr="00D549EE">
              <w:rPr>
                <w:sz w:val="22"/>
                <w:szCs w:val="22"/>
                <w:lang w:val="en-US"/>
              </w:rPr>
              <w:t>66 500 000</w:t>
            </w:r>
          </w:p>
        </w:tc>
        <w:tc>
          <w:tcPr>
            <w:tcW w:w="1137" w:type="dxa"/>
          </w:tcPr>
          <w:p w14:paraId="03477A4E" w14:textId="7705364D" w:rsidR="00816706" w:rsidRPr="00D549EE" w:rsidRDefault="00BE0660" w:rsidP="00C9582F">
            <w:pPr>
              <w:rPr>
                <w:sz w:val="22"/>
                <w:szCs w:val="22"/>
                <w:lang w:val="en-US"/>
              </w:rPr>
            </w:pPr>
            <w:r w:rsidRPr="00D549EE">
              <w:rPr>
                <w:sz w:val="22"/>
                <w:szCs w:val="22"/>
                <w:lang w:val="en-US"/>
              </w:rPr>
              <w:t>0</w:t>
            </w:r>
          </w:p>
        </w:tc>
        <w:tc>
          <w:tcPr>
            <w:tcW w:w="0" w:type="auto"/>
          </w:tcPr>
          <w:p w14:paraId="682BA254" w14:textId="1E0113F2" w:rsidR="00816706" w:rsidRPr="00D549EE" w:rsidRDefault="00BE0660" w:rsidP="00C9582F">
            <w:pPr>
              <w:rPr>
                <w:sz w:val="22"/>
                <w:szCs w:val="22"/>
                <w:lang w:val="en-US"/>
              </w:rPr>
            </w:pPr>
            <w:r w:rsidRPr="00D549EE">
              <w:rPr>
                <w:sz w:val="22"/>
                <w:szCs w:val="22"/>
                <w:lang w:val="en-US"/>
              </w:rPr>
              <w:t>0</w:t>
            </w:r>
          </w:p>
        </w:tc>
        <w:tc>
          <w:tcPr>
            <w:tcW w:w="1137" w:type="dxa"/>
          </w:tcPr>
          <w:p w14:paraId="6CFF5FDC" w14:textId="2A66FB04" w:rsidR="00816706" w:rsidRPr="00D549EE" w:rsidRDefault="00BE0660" w:rsidP="00C9582F">
            <w:pPr>
              <w:rPr>
                <w:sz w:val="22"/>
                <w:szCs w:val="22"/>
                <w:lang w:val="en-US"/>
              </w:rPr>
            </w:pPr>
            <w:r w:rsidRPr="00D549EE">
              <w:rPr>
                <w:sz w:val="22"/>
                <w:szCs w:val="22"/>
                <w:lang w:val="en-US"/>
              </w:rPr>
              <w:t>0</w:t>
            </w:r>
          </w:p>
        </w:tc>
        <w:tc>
          <w:tcPr>
            <w:tcW w:w="1137" w:type="dxa"/>
          </w:tcPr>
          <w:p w14:paraId="1C0D689F" w14:textId="4BB88299" w:rsidR="00816706" w:rsidRPr="00D549EE" w:rsidRDefault="00BE0660" w:rsidP="00C9582F">
            <w:pPr>
              <w:rPr>
                <w:sz w:val="22"/>
                <w:szCs w:val="22"/>
                <w:lang w:val="en-US"/>
              </w:rPr>
            </w:pPr>
            <w:r w:rsidRPr="00D549EE">
              <w:rPr>
                <w:sz w:val="22"/>
                <w:szCs w:val="22"/>
                <w:lang w:val="en-US"/>
              </w:rPr>
              <w:t>0</w:t>
            </w:r>
          </w:p>
        </w:tc>
      </w:tr>
      <w:tr w:rsidR="005B67C5" w:rsidRPr="00D549EE" w14:paraId="436D236B" w14:textId="77777777" w:rsidTr="005B67C5">
        <w:tc>
          <w:tcPr>
            <w:tcW w:w="0" w:type="auto"/>
          </w:tcPr>
          <w:p w14:paraId="27B2277F" w14:textId="3F4D929B" w:rsidR="00032632" w:rsidRPr="00D549EE" w:rsidRDefault="00816706" w:rsidP="00C9582F">
            <w:pPr>
              <w:rPr>
                <w:sz w:val="22"/>
                <w:szCs w:val="22"/>
                <w:lang w:val="en-US"/>
              </w:rPr>
            </w:pPr>
            <w:r w:rsidRPr="00D549EE">
              <w:rPr>
                <w:sz w:val="22"/>
                <w:szCs w:val="22"/>
                <w:lang w:val="en-US"/>
              </w:rPr>
              <w:t>10</w:t>
            </w:r>
          </w:p>
        </w:tc>
        <w:tc>
          <w:tcPr>
            <w:tcW w:w="0" w:type="auto"/>
          </w:tcPr>
          <w:p w14:paraId="78A1EF4D" w14:textId="1B1E3774" w:rsidR="00032632" w:rsidRPr="00D549EE" w:rsidRDefault="009A58D3" w:rsidP="00C9582F">
            <w:pPr>
              <w:rPr>
                <w:sz w:val="22"/>
                <w:szCs w:val="22"/>
                <w:lang w:val="en-US"/>
              </w:rPr>
            </w:pPr>
            <w:r w:rsidRPr="00D549EE">
              <w:rPr>
                <w:sz w:val="22"/>
                <w:szCs w:val="22"/>
                <w:lang w:val="en-US"/>
              </w:rPr>
              <w:t xml:space="preserve">Socio-economic </w:t>
            </w:r>
            <w:r w:rsidR="005C51FB" w:rsidRPr="00D549EE">
              <w:rPr>
                <w:color w:val="000000" w:themeColor="text1"/>
                <w:sz w:val="22"/>
                <w:szCs w:val="22"/>
                <w:lang w:val="en-US"/>
              </w:rPr>
              <w:t>effectiveness</w:t>
            </w:r>
            <w:r w:rsidRPr="00D549EE">
              <w:rPr>
                <w:sz w:val="22"/>
                <w:szCs w:val="22"/>
                <w:lang w:val="en-US"/>
              </w:rPr>
              <w:t xml:space="preserve"> of the platform</w:t>
            </w:r>
            <w:r w:rsidR="00816706" w:rsidRPr="00D549EE">
              <w:rPr>
                <w:sz w:val="22"/>
                <w:szCs w:val="22"/>
                <w:lang w:val="en-US"/>
              </w:rPr>
              <w:t xml:space="preserve"> without blockchain</w:t>
            </w:r>
          </w:p>
        </w:tc>
        <w:tc>
          <w:tcPr>
            <w:tcW w:w="923" w:type="dxa"/>
          </w:tcPr>
          <w:p w14:paraId="776657B4" w14:textId="1589552A" w:rsidR="00032632" w:rsidRPr="00D549EE" w:rsidRDefault="005B67C5" w:rsidP="00C9582F">
            <w:pPr>
              <w:rPr>
                <w:sz w:val="22"/>
                <w:szCs w:val="22"/>
              </w:rPr>
            </w:pPr>
            <w:r w:rsidRPr="00D549EE">
              <w:rPr>
                <w:sz w:val="22"/>
                <w:szCs w:val="22"/>
              </w:rPr>
              <w:t>985</w:t>
            </w:r>
          </w:p>
        </w:tc>
        <w:tc>
          <w:tcPr>
            <w:tcW w:w="1252" w:type="dxa"/>
          </w:tcPr>
          <w:p w14:paraId="2C3F829D" w14:textId="77777777" w:rsidR="00032632" w:rsidRPr="00D549EE" w:rsidRDefault="00032632" w:rsidP="00C9582F">
            <w:pPr>
              <w:rPr>
                <w:sz w:val="22"/>
                <w:szCs w:val="22"/>
                <w:lang w:val="en-US"/>
              </w:rPr>
            </w:pPr>
          </w:p>
        </w:tc>
        <w:tc>
          <w:tcPr>
            <w:tcW w:w="1137" w:type="dxa"/>
          </w:tcPr>
          <w:p w14:paraId="1B827C02" w14:textId="77777777" w:rsidR="00032632" w:rsidRPr="00D549EE" w:rsidRDefault="00032632" w:rsidP="00C9582F">
            <w:pPr>
              <w:rPr>
                <w:sz w:val="22"/>
                <w:szCs w:val="22"/>
                <w:lang w:val="en-US"/>
              </w:rPr>
            </w:pPr>
          </w:p>
        </w:tc>
        <w:tc>
          <w:tcPr>
            <w:tcW w:w="0" w:type="auto"/>
          </w:tcPr>
          <w:p w14:paraId="77DC0A53" w14:textId="77777777" w:rsidR="00032632" w:rsidRPr="00D549EE" w:rsidRDefault="00032632" w:rsidP="00C9582F">
            <w:pPr>
              <w:rPr>
                <w:sz w:val="22"/>
                <w:szCs w:val="22"/>
                <w:lang w:val="en-US"/>
              </w:rPr>
            </w:pPr>
          </w:p>
        </w:tc>
        <w:tc>
          <w:tcPr>
            <w:tcW w:w="1137" w:type="dxa"/>
          </w:tcPr>
          <w:p w14:paraId="4F851BCC" w14:textId="77777777" w:rsidR="00032632" w:rsidRPr="00D549EE" w:rsidRDefault="00032632" w:rsidP="00C9582F">
            <w:pPr>
              <w:rPr>
                <w:sz w:val="22"/>
                <w:szCs w:val="22"/>
                <w:lang w:val="en-US"/>
              </w:rPr>
            </w:pPr>
          </w:p>
        </w:tc>
        <w:tc>
          <w:tcPr>
            <w:tcW w:w="1137" w:type="dxa"/>
          </w:tcPr>
          <w:p w14:paraId="40882E83" w14:textId="77777777" w:rsidR="00032632" w:rsidRPr="00D549EE" w:rsidRDefault="00032632" w:rsidP="00C9582F">
            <w:pPr>
              <w:rPr>
                <w:sz w:val="22"/>
                <w:szCs w:val="22"/>
                <w:lang w:val="en-US"/>
              </w:rPr>
            </w:pPr>
          </w:p>
        </w:tc>
      </w:tr>
      <w:tr w:rsidR="005B67C5" w:rsidRPr="00D549EE" w14:paraId="29D3049F" w14:textId="77777777" w:rsidTr="005B67C5">
        <w:tc>
          <w:tcPr>
            <w:tcW w:w="0" w:type="auto"/>
          </w:tcPr>
          <w:p w14:paraId="45461097" w14:textId="3AAED445" w:rsidR="00816706" w:rsidRPr="00D549EE" w:rsidRDefault="00816706" w:rsidP="00C9582F">
            <w:pPr>
              <w:rPr>
                <w:sz w:val="22"/>
                <w:szCs w:val="22"/>
                <w:lang w:val="en-US"/>
              </w:rPr>
            </w:pPr>
            <w:r w:rsidRPr="00D549EE">
              <w:rPr>
                <w:sz w:val="22"/>
                <w:szCs w:val="22"/>
                <w:lang w:val="en-US"/>
              </w:rPr>
              <w:t>11</w:t>
            </w:r>
          </w:p>
        </w:tc>
        <w:tc>
          <w:tcPr>
            <w:tcW w:w="0" w:type="auto"/>
          </w:tcPr>
          <w:p w14:paraId="2BF7405B" w14:textId="3B5253C9" w:rsidR="00816706" w:rsidRPr="00D549EE" w:rsidRDefault="00816706" w:rsidP="00C9582F">
            <w:pPr>
              <w:rPr>
                <w:sz w:val="22"/>
                <w:szCs w:val="22"/>
                <w:lang w:val="en-US"/>
              </w:rPr>
            </w:pPr>
            <w:r w:rsidRPr="00D549EE">
              <w:rPr>
                <w:sz w:val="22"/>
                <w:szCs w:val="22"/>
                <w:lang w:val="en-US"/>
              </w:rPr>
              <w:t xml:space="preserve">Socio-economic </w:t>
            </w:r>
            <w:r w:rsidR="005C51FB" w:rsidRPr="00D549EE">
              <w:rPr>
                <w:color w:val="000000" w:themeColor="text1"/>
                <w:sz w:val="22"/>
                <w:szCs w:val="22"/>
                <w:lang w:val="en-US"/>
              </w:rPr>
              <w:t>effectiveness</w:t>
            </w:r>
            <w:r w:rsidRPr="00D549EE">
              <w:rPr>
                <w:sz w:val="22"/>
                <w:szCs w:val="22"/>
                <w:lang w:val="en-US"/>
              </w:rPr>
              <w:t xml:space="preserve"> of the platform with blockchain</w:t>
            </w:r>
          </w:p>
        </w:tc>
        <w:tc>
          <w:tcPr>
            <w:tcW w:w="923" w:type="dxa"/>
          </w:tcPr>
          <w:p w14:paraId="476CB22F" w14:textId="16C238A3" w:rsidR="00816706" w:rsidRPr="00D549EE" w:rsidRDefault="005B67C5" w:rsidP="00C9582F">
            <w:pPr>
              <w:rPr>
                <w:sz w:val="22"/>
                <w:szCs w:val="22"/>
                <w:lang w:val="en-US"/>
              </w:rPr>
            </w:pPr>
            <w:r w:rsidRPr="00D549EE">
              <w:rPr>
                <w:sz w:val="22"/>
                <w:szCs w:val="22"/>
                <w:lang w:val="en-US"/>
              </w:rPr>
              <w:t>68.12</w:t>
            </w:r>
          </w:p>
        </w:tc>
        <w:tc>
          <w:tcPr>
            <w:tcW w:w="1252" w:type="dxa"/>
          </w:tcPr>
          <w:p w14:paraId="2FFC87B9" w14:textId="77777777" w:rsidR="00816706" w:rsidRPr="00D549EE" w:rsidRDefault="00816706" w:rsidP="00C9582F">
            <w:pPr>
              <w:rPr>
                <w:sz w:val="22"/>
                <w:szCs w:val="22"/>
                <w:lang w:val="en-US"/>
              </w:rPr>
            </w:pPr>
          </w:p>
        </w:tc>
        <w:tc>
          <w:tcPr>
            <w:tcW w:w="1137" w:type="dxa"/>
          </w:tcPr>
          <w:p w14:paraId="05EF8519" w14:textId="77777777" w:rsidR="00816706" w:rsidRPr="00D549EE" w:rsidRDefault="00816706" w:rsidP="00C9582F">
            <w:pPr>
              <w:rPr>
                <w:sz w:val="22"/>
                <w:szCs w:val="22"/>
                <w:lang w:val="en-US"/>
              </w:rPr>
            </w:pPr>
          </w:p>
        </w:tc>
        <w:tc>
          <w:tcPr>
            <w:tcW w:w="0" w:type="auto"/>
          </w:tcPr>
          <w:p w14:paraId="50D1CF19" w14:textId="77777777" w:rsidR="00816706" w:rsidRPr="00D549EE" w:rsidRDefault="00816706" w:rsidP="00C9582F">
            <w:pPr>
              <w:rPr>
                <w:sz w:val="22"/>
                <w:szCs w:val="22"/>
                <w:lang w:val="en-US"/>
              </w:rPr>
            </w:pPr>
          </w:p>
        </w:tc>
        <w:tc>
          <w:tcPr>
            <w:tcW w:w="1137" w:type="dxa"/>
          </w:tcPr>
          <w:p w14:paraId="1C02C2B5" w14:textId="77777777" w:rsidR="00816706" w:rsidRPr="00D549EE" w:rsidRDefault="00816706" w:rsidP="00C9582F">
            <w:pPr>
              <w:rPr>
                <w:sz w:val="22"/>
                <w:szCs w:val="22"/>
                <w:lang w:val="en-US"/>
              </w:rPr>
            </w:pPr>
          </w:p>
        </w:tc>
        <w:tc>
          <w:tcPr>
            <w:tcW w:w="1137" w:type="dxa"/>
          </w:tcPr>
          <w:p w14:paraId="30F45E51" w14:textId="77777777" w:rsidR="00816706" w:rsidRPr="00D549EE" w:rsidRDefault="00816706" w:rsidP="00C9582F">
            <w:pPr>
              <w:rPr>
                <w:sz w:val="22"/>
                <w:szCs w:val="22"/>
                <w:lang w:val="en-US"/>
              </w:rPr>
            </w:pPr>
          </w:p>
        </w:tc>
      </w:tr>
      <w:tr w:rsidR="00816706" w:rsidRPr="00FC685D" w14:paraId="27095C47" w14:textId="77777777" w:rsidTr="00E24F31">
        <w:tc>
          <w:tcPr>
            <w:tcW w:w="0" w:type="auto"/>
            <w:gridSpan w:val="8"/>
          </w:tcPr>
          <w:p w14:paraId="32BD6646" w14:textId="18A9A11B" w:rsidR="00816706" w:rsidRPr="00D549EE" w:rsidRDefault="00A57BDC" w:rsidP="00C9582F">
            <w:pPr>
              <w:snapToGrid w:val="0"/>
              <w:contextualSpacing/>
              <w:rPr>
                <w:color w:val="000000" w:themeColor="text1"/>
                <w:sz w:val="22"/>
                <w:szCs w:val="22"/>
                <w:lang w:val="en-US"/>
              </w:rPr>
            </w:pPr>
            <w:r w:rsidRPr="00D549EE">
              <w:rPr>
                <w:color w:val="000000" w:themeColor="text1"/>
                <w:sz w:val="22"/>
                <w:szCs w:val="22"/>
                <w:lang w:val="en-US"/>
              </w:rPr>
              <w:t xml:space="preserve">     </w:t>
            </w:r>
            <w:r w:rsidR="00816706" w:rsidRPr="00D549EE">
              <w:rPr>
                <w:color w:val="000000" w:themeColor="text1"/>
                <w:sz w:val="22"/>
                <w:szCs w:val="22"/>
                <w:lang w:val="en-US"/>
              </w:rPr>
              <w:t>Note – Compiled by the author</w:t>
            </w:r>
          </w:p>
        </w:tc>
      </w:tr>
    </w:tbl>
    <w:p w14:paraId="47FC46E0" w14:textId="08A8FF2A" w:rsidR="00716598" w:rsidRPr="00D549EE" w:rsidRDefault="00716598" w:rsidP="00C9582F">
      <w:pPr>
        <w:jc w:val="both"/>
        <w:rPr>
          <w:sz w:val="28"/>
          <w:szCs w:val="28"/>
          <w:lang w:val="en-US"/>
        </w:rPr>
      </w:pPr>
      <w:r w:rsidRPr="00D549EE">
        <w:rPr>
          <w:sz w:val="28"/>
          <w:szCs w:val="28"/>
          <w:lang w:val="en-US"/>
        </w:rPr>
        <w:t xml:space="preserve"> </w:t>
      </w:r>
    </w:p>
    <w:p w14:paraId="4F94EF00" w14:textId="77777777" w:rsidR="003A5576" w:rsidRPr="003A5576" w:rsidRDefault="003A5576" w:rsidP="003A5576">
      <w:pPr>
        <w:ind w:firstLine="708"/>
        <w:jc w:val="both"/>
        <w:rPr>
          <w:color w:val="000000" w:themeColor="text1"/>
          <w:sz w:val="28"/>
          <w:szCs w:val="28"/>
          <w:lang w:val="en-US"/>
        </w:rPr>
      </w:pPr>
      <w:r w:rsidRPr="003A5576">
        <w:rPr>
          <w:color w:val="000000" w:themeColor="text1"/>
          <w:sz w:val="28"/>
          <w:szCs w:val="28"/>
          <w:lang w:val="en-US"/>
        </w:rPr>
        <w:t xml:space="preserve">A list of indicators is necessary wich is needed for assessing the socio-economic effectiveness of the crowdfunding platform: (Table 54)   </w:t>
      </w:r>
    </w:p>
    <w:p w14:paraId="1FA1BB74" w14:textId="77777777" w:rsidR="003A5576" w:rsidRPr="003A5576" w:rsidRDefault="003A5576" w:rsidP="003A5576">
      <w:pPr>
        <w:jc w:val="both"/>
        <w:rPr>
          <w:color w:val="000000" w:themeColor="text1"/>
          <w:sz w:val="28"/>
          <w:szCs w:val="28"/>
          <w:lang w:val="en-US"/>
        </w:rPr>
      </w:pPr>
      <w:r w:rsidRPr="003A5576">
        <w:rPr>
          <w:color w:val="000000" w:themeColor="text1"/>
          <w:sz w:val="28"/>
          <w:szCs w:val="28"/>
          <w:lang w:val="en-US"/>
        </w:rPr>
        <w:t>1.</w:t>
      </w:r>
      <w:r w:rsidRPr="003A5576">
        <w:rPr>
          <w:color w:val="000000" w:themeColor="text1"/>
          <w:sz w:val="28"/>
          <w:szCs w:val="28"/>
          <w:lang w:val="en-US"/>
        </w:rPr>
        <w:tab/>
        <w:t xml:space="preserve">The platform's purpose: increasing the trust of the population by the transparency of the collected and distributed zakat and charity amount. As a result, the growth of the collection amount. </w:t>
      </w:r>
    </w:p>
    <w:p w14:paraId="1AA10C90" w14:textId="77777777" w:rsidR="003A5576" w:rsidRPr="003A5576" w:rsidRDefault="003A5576" w:rsidP="003A5576">
      <w:pPr>
        <w:jc w:val="both"/>
        <w:rPr>
          <w:color w:val="000000" w:themeColor="text1"/>
          <w:sz w:val="28"/>
          <w:szCs w:val="28"/>
          <w:lang w:val="en-US"/>
        </w:rPr>
      </w:pPr>
      <w:r w:rsidRPr="003A5576">
        <w:rPr>
          <w:color w:val="000000" w:themeColor="text1"/>
          <w:sz w:val="28"/>
          <w:szCs w:val="28"/>
          <w:lang w:val="en-US"/>
        </w:rPr>
        <w:t>2.</w:t>
      </w:r>
      <w:r w:rsidRPr="003A5576">
        <w:rPr>
          <w:color w:val="000000" w:themeColor="text1"/>
          <w:sz w:val="28"/>
          <w:szCs w:val="28"/>
          <w:lang w:val="en-US"/>
        </w:rPr>
        <w:tab/>
        <w:t>Direct results of the program: the list of services that are provided by the platform.</w:t>
      </w:r>
    </w:p>
    <w:p w14:paraId="2F6BA55D" w14:textId="77777777" w:rsidR="003A5576" w:rsidRPr="003A5576" w:rsidRDefault="003A5576" w:rsidP="003A5576">
      <w:pPr>
        <w:jc w:val="both"/>
        <w:rPr>
          <w:color w:val="000000" w:themeColor="text1"/>
          <w:sz w:val="28"/>
          <w:szCs w:val="28"/>
          <w:lang w:val="en-US"/>
        </w:rPr>
      </w:pPr>
      <w:r w:rsidRPr="003A5576">
        <w:rPr>
          <w:color w:val="000000" w:themeColor="text1"/>
          <w:sz w:val="28"/>
          <w:szCs w:val="28"/>
          <w:lang w:val="en-US"/>
        </w:rPr>
        <w:t>3.</w:t>
      </w:r>
      <w:r w:rsidRPr="003A5576">
        <w:rPr>
          <w:color w:val="000000" w:themeColor="text1"/>
          <w:sz w:val="28"/>
          <w:szCs w:val="28"/>
          <w:lang w:val="en-US"/>
        </w:rPr>
        <w:tab/>
        <w:t>Socio-economic results and effects of the platform integration.</w:t>
      </w:r>
    </w:p>
    <w:p w14:paraId="4FB3AB57" w14:textId="77777777" w:rsidR="003A5576" w:rsidRPr="003A5576" w:rsidRDefault="003A5576" w:rsidP="003A5576">
      <w:pPr>
        <w:jc w:val="both"/>
        <w:rPr>
          <w:color w:val="000000" w:themeColor="text1"/>
          <w:sz w:val="28"/>
          <w:szCs w:val="28"/>
          <w:lang w:val="en-US"/>
        </w:rPr>
      </w:pPr>
      <w:r w:rsidRPr="003A5576">
        <w:rPr>
          <w:color w:val="000000" w:themeColor="text1"/>
          <w:sz w:val="28"/>
          <w:szCs w:val="28"/>
          <w:lang w:val="en-US"/>
        </w:rPr>
        <w:t>4.</w:t>
      </w:r>
      <w:r w:rsidRPr="003A5576">
        <w:rPr>
          <w:color w:val="000000" w:themeColor="text1"/>
          <w:sz w:val="28"/>
          <w:szCs w:val="28"/>
          <w:lang w:val="en-US"/>
        </w:rPr>
        <w:tab/>
        <w:t>Release (audience coverage) of beneficiaries within the platform integration.</w:t>
      </w:r>
    </w:p>
    <w:p w14:paraId="3AC0F82E" w14:textId="77777777" w:rsidR="003A5576" w:rsidRPr="003A5576" w:rsidRDefault="003A5576" w:rsidP="003A5576">
      <w:pPr>
        <w:jc w:val="both"/>
        <w:rPr>
          <w:color w:val="000000" w:themeColor="text1"/>
          <w:sz w:val="28"/>
          <w:szCs w:val="28"/>
          <w:lang w:val="en-US"/>
        </w:rPr>
      </w:pPr>
      <w:r w:rsidRPr="003A5576">
        <w:rPr>
          <w:color w:val="000000" w:themeColor="text1"/>
          <w:sz w:val="28"/>
          <w:szCs w:val="28"/>
          <w:lang w:val="en-US"/>
        </w:rPr>
        <w:t>5.</w:t>
      </w:r>
      <w:r w:rsidRPr="003A5576">
        <w:rPr>
          <w:color w:val="000000" w:themeColor="text1"/>
          <w:sz w:val="28"/>
          <w:szCs w:val="28"/>
          <w:lang w:val="en-US"/>
        </w:rPr>
        <w:tab/>
        <w:t xml:space="preserve">The cost of one year of the state targeted social assistance. </w:t>
      </w:r>
    </w:p>
    <w:p w14:paraId="17FDD2CE" w14:textId="77777777" w:rsidR="003A5576" w:rsidRPr="003A5576" w:rsidRDefault="003A5576" w:rsidP="003A5576">
      <w:pPr>
        <w:jc w:val="both"/>
        <w:rPr>
          <w:color w:val="000000" w:themeColor="text1"/>
          <w:sz w:val="28"/>
          <w:szCs w:val="28"/>
          <w:lang w:val="en-US"/>
        </w:rPr>
      </w:pPr>
      <w:r w:rsidRPr="003A5576">
        <w:rPr>
          <w:color w:val="000000" w:themeColor="text1"/>
          <w:sz w:val="28"/>
          <w:szCs w:val="28"/>
          <w:lang w:val="en-US"/>
        </w:rPr>
        <w:t>6.</w:t>
      </w:r>
      <w:r w:rsidRPr="003A5576">
        <w:rPr>
          <w:color w:val="000000" w:themeColor="text1"/>
          <w:sz w:val="28"/>
          <w:szCs w:val="28"/>
          <w:lang w:val="en-US"/>
        </w:rPr>
        <w:tab/>
        <w:t xml:space="preserve">The cost of the crowdfunding platform integration. </w:t>
      </w:r>
    </w:p>
    <w:p w14:paraId="7F8CF75B" w14:textId="77777777" w:rsidR="003A5576" w:rsidRPr="003A5576" w:rsidRDefault="003A5576" w:rsidP="003A5576">
      <w:pPr>
        <w:jc w:val="both"/>
        <w:rPr>
          <w:color w:val="000000" w:themeColor="text1"/>
          <w:sz w:val="28"/>
          <w:szCs w:val="28"/>
          <w:lang w:val="en-US"/>
        </w:rPr>
      </w:pPr>
      <w:r w:rsidRPr="003A5576">
        <w:rPr>
          <w:color w:val="000000" w:themeColor="text1"/>
          <w:sz w:val="28"/>
          <w:szCs w:val="28"/>
          <w:lang w:val="en-US"/>
        </w:rPr>
        <w:t>7.</w:t>
      </w:r>
      <w:r w:rsidRPr="003A5576">
        <w:rPr>
          <w:color w:val="000000" w:themeColor="text1"/>
          <w:sz w:val="28"/>
          <w:szCs w:val="28"/>
          <w:lang w:val="en-US"/>
        </w:rPr>
        <w:tab/>
        <w:t>Discount rate.</w:t>
      </w:r>
    </w:p>
    <w:p w14:paraId="5DFA6C0C" w14:textId="77777777" w:rsidR="003A5576" w:rsidRPr="003A5576" w:rsidRDefault="003A5576" w:rsidP="003A5576">
      <w:pPr>
        <w:ind w:firstLine="708"/>
        <w:jc w:val="both"/>
        <w:rPr>
          <w:color w:val="000000" w:themeColor="text1"/>
          <w:sz w:val="28"/>
          <w:szCs w:val="28"/>
          <w:lang w:val="en-US"/>
        </w:rPr>
      </w:pPr>
      <w:r w:rsidRPr="003A5576">
        <w:rPr>
          <w:color w:val="000000" w:themeColor="text1"/>
          <w:sz w:val="28"/>
          <w:szCs w:val="28"/>
          <w:lang w:val="en-US"/>
        </w:rPr>
        <w:t xml:space="preserve">The result of estimation of the socio-economic effectiveness of the implementation of crowdfunding platforms is 985 for the platform without using blockchain technology and 68.12 for platforms based on blockchain technology. Each tenge invested in the implementation of the platform brings 985 tenge and 68.12 tenge saving in public resources, respectively. </w:t>
      </w:r>
    </w:p>
    <w:p w14:paraId="6B0FEA4A" w14:textId="77777777" w:rsidR="003A5576" w:rsidRPr="003A5576" w:rsidRDefault="003A5576" w:rsidP="003A5576">
      <w:pPr>
        <w:ind w:firstLine="708"/>
        <w:jc w:val="both"/>
        <w:rPr>
          <w:color w:val="000000" w:themeColor="text1"/>
          <w:sz w:val="28"/>
          <w:szCs w:val="28"/>
          <w:lang w:val="en-US"/>
        </w:rPr>
      </w:pPr>
      <w:r w:rsidRPr="003A5576">
        <w:rPr>
          <w:color w:val="000000" w:themeColor="text1"/>
          <w:sz w:val="28"/>
          <w:szCs w:val="28"/>
          <w:lang w:val="en-US"/>
        </w:rPr>
        <w:t>The main complication in evaluating this type of project is the measurement of social outcomes and, in particular, the lack of systematic practices for collecting relevant information and reporting. The necessary data can be collected during interviews with direct performers and (selectively) with beneficiaries in such a situation. In addition, it can be used archived information and make the necessary calculations retroactively. At the same time, it should be understood that such assessment can be a one-time and rather expensive event.</w:t>
      </w:r>
    </w:p>
    <w:p w14:paraId="5C9C023B" w14:textId="3B607063" w:rsidR="003A5576" w:rsidRDefault="003A5576" w:rsidP="003A5576">
      <w:pPr>
        <w:ind w:firstLine="708"/>
        <w:jc w:val="both"/>
        <w:rPr>
          <w:color w:val="000000" w:themeColor="text1"/>
          <w:sz w:val="28"/>
          <w:szCs w:val="28"/>
          <w:lang w:val="en-US"/>
        </w:rPr>
      </w:pPr>
      <w:r w:rsidRPr="003A5576">
        <w:rPr>
          <w:color w:val="000000" w:themeColor="text1"/>
          <w:sz w:val="28"/>
          <w:szCs w:val="28"/>
          <w:lang w:val="en-US"/>
        </w:rPr>
        <w:t xml:space="preserve">Many methods have been used to assess the crowdfunding platform's effectiveness used for zakat and charity collection in different scenarios. Each of the methods successfully approved the effectiveness of the integration of both forms of the platform, the simple one for 4.6 million tenge and the complicated, which needs 1 year for development and costs 60 million tenge. It should be noted that both forms of the platform will provide transparency for donators and applicants for social assistance. However, despite the complication and time for creation and development, the platform based on blockchain technology will provide the development of all technology systems of the financial technology in the country. The role of the state bodies, represented by the Ministry of Digital Development, Innovations and Aerospace Industry of the Republic of Kazakhstan, as the main developer of technologies and digitalization, the Ministry of Information and social development of the Republic of Kazakhstan, as the ministry regulated the activity of Zeket and charity foundation by the Committee of on Religious Affairs, and the Ministry of Finance of the Republic of Kazakhstan is valuable for the issue related to the creation and development technological solution for solving social problems.  </w:t>
      </w:r>
    </w:p>
    <w:p w14:paraId="7DC461AC" w14:textId="0CBAB79E" w:rsidR="003A5576" w:rsidRPr="003A5576" w:rsidRDefault="003A5576" w:rsidP="003A5576">
      <w:pPr>
        <w:ind w:firstLine="708"/>
        <w:jc w:val="both"/>
        <w:rPr>
          <w:color w:val="000000" w:themeColor="text1"/>
          <w:sz w:val="28"/>
          <w:szCs w:val="28"/>
          <w:lang w:val="en-US"/>
        </w:rPr>
      </w:pPr>
      <w:r w:rsidRPr="003A5576">
        <w:rPr>
          <w:i/>
          <w:iCs/>
          <w:color w:val="000000" w:themeColor="text1"/>
          <w:sz w:val="28"/>
          <w:szCs w:val="28"/>
          <w:lang w:val="en-US"/>
        </w:rPr>
        <w:t>Ume Social Market</w:t>
      </w:r>
      <w:r>
        <w:rPr>
          <w:color w:val="000000" w:themeColor="text1"/>
          <w:sz w:val="28"/>
          <w:szCs w:val="28"/>
          <w:lang w:val="en-US"/>
        </w:rPr>
        <w:t xml:space="preserve">. </w:t>
      </w:r>
    </w:p>
    <w:p w14:paraId="680E7A42" w14:textId="77777777" w:rsidR="003A5576" w:rsidRPr="003A5576" w:rsidRDefault="003A5576" w:rsidP="003A5576">
      <w:pPr>
        <w:ind w:firstLine="708"/>
        <w:jc w:val="both"/>
        <w:rPr>
          <w:color w:val="000000" w:themeColor="text1"/>
          <w:sz w:val="28"/>
          <w:szCs w:val="28"/>
          <w:lang w:val="en-US"/>
        </w:rPr>
      </w:pPr>
      <w:r w:rsidRPr="003A5576">
        <w:rPr>
          <w:color w:val="000000" w:themeColor="text1"/>
          <w:sz w:val="28"/>
          <w:szCs w:val="28"/>
          <w:lang w:val="en-US"/>
        </w:rPr>
        <w:t>Microfinancing plays an essential role in the development of society in Islamic finance. As the example of the social effectiveness of small and medium businesses, oriented on social effects during the study, the Business Plan and assessment of the socio-economic effectiveness of the UME Social market is an independent branch of the UME Social services non-commercial foundation.</w:t>
      </w:r>
    </w:p>
    <w:p w14:paraId="0E75143D" w14:textId="77777777" w:rsidR="003A5576" w:rsidRPr="003A5576" w:rsidRDefault="003A5576" w:rsidP="003A5576">
      <w:pPr>
        <w:ind w:firstLine="708"/>
        <w:jc w:val="both"/>
        <w:rPr>
          <w:color w:val="000000" w:themeColor="text1"/>
          <w:sz w:val="28"/>
          <w:szCs w:val="28"/>
          <w:lang w:val="en-US"/>
        </w:rPr>
      </w:pPr>
      <w:r w:rsidRPr="003A5576">
        <w:rPr>
          <w:color w:val="000000" w:themeColor="text1"/>
          <w:sz w:val="28"/>
          <w:szCs w:val="28"/>
          <w:lang w:val="en-US"/>
        </w:rPr>
        <w:t xml:space="preserve">Islamic Finance is social-oriented and is aimed at the development and improvement of the well-being of society through social functions and tools, which were studied in this study. Previously, we investigated the macro level of the effectiveness of Islamic social instruments and their impact and efficiency in the form of financial indicators and the form of effects on the state spending from the country's budget [148]. There has been done funding, that improvement existed foundation activity and integration crowdfunding platform will affect the growth collected charity amount trough implemented transparency and trust by using digital technological solutions. </w:t>
      </w:r>
    </w:p>
    <w:p w14:paraId="3C962EF8" w14:textId="77777777" w:rsidR="003A5576" w:rsidRPr="003A5576" w:rsidRDefault="003A5576" w:rsidP="003A5576">
      <w:pPr>
        <w:ind w:firstLine="708"/>
        <w:jc w:val="both"/>
        <w:rPr>
          <w:color w:val="000000" w:themeColor="text1"/>
          <w:sz w:val="28"/>
          <w:szCs w:val="28"/>
          <w:lang w:val="en-US"/>
        </w:rPr>
      </w:pPr>
      <w:r w:rsidRPr="003A5576">
        <w:rPr>
          <w:color w:val="000000" w:themeColor="text1"/>
          <w:sz w:val="28"/>
          <w:szCs w:val="28"/>
          <w:lang w:val="en-US"/>
        </w:rPr>
        <w:t xml:space="preserve">Charity social service "UME social market" is the first social charity shop in Kazakhstan. The purpose of the social project is to provide different segments of the population with a convenient and straightforward mechanism for the wealthy - giving new life to the goods and helping society; for people with limited income – the ability to save on clothes and non-essential goods; for needy - opportunity to participate in charity events and to get charitable assistance. According to the Ume social market charter, part of the total income goes to the operational expenses, and the rest of the profit goes to charities. </w:t>
      </w:r>
    </w:p>
    <w:p w14:paraId="6894AC85" w14:textId="77777777" w:rsidR="003A5576" w:rsidRPr="003A5576" w:rsidRDefault="003A5576" w:rsidP="003A5576">
      <w:pPr>
        <w:ind w:firstLine="708"/>
        <w:jc w:val="both"/>
        <w:rPr>
          <w:color w:val="000000" w:themeColor="text1"/>
          <w:sz w:val="28"/>
          <w:szCs w:val="28"/>
          <w:lang w:val="en-US"/>
        </w:rPr>
      </w:pPr>
      <w:r w:rsidRPr="003A5576">
        <w:rPr>
          <w:color w:val="000000" w:themeColor="text1"/>
          <w:sz w:val="28"/>
          <w:szCs w:val="28"/>
          <w:lang w:val="en-US"/>
        </w:rPr>
        <w:t xml:space="preserve">The mechanism of the project consists of accepting applications, delivery to the collection points, delivery to the warehouse, points of selling, selling, and getting profit. The first step of the mechanism is accepting applications of the people who wish to give clothes, home appliances, furniture, and others. There are the requirements for acceptance: clothes must be clean and in the form for future use, and home appliances in operating condition. The applications are accepted via the website, social networks, messengers, and hotline, or there are the acceptance points in the city's malls for the self-delivery of donators. Several big partners, represented by malls and retailers, are ready to give their stock collections for free in the form of charity.   </w:t>
      </w:r>
    </w:p>
    <w:p w14:paraId="2AAB4EA6" w14:textId="77777777" w:rsidR="003A5576" w:rsidRPr="003A5576" w:rsidRDefault="003A5576" w:rsidP="003A5576">
      <w:pPr>
        <w:ind w:firstLine="708"/>
        <w:jc w:val="both"/>
        <w:rPr>
          <w:color w:val="000000" w:themeColor="text1"/>
          <w:sz w:val="28"/>
          <w:szCs w:val="28"/>
          <w:lang w:val="en-US"/>
        </w:rPr>
      </w:pPr>
      <w:r w:rsidRPr="003A5576">
        <w:rPr>
          <w:color w:val="000000" w:themeColor="text1"/>
          <w:sz w:val="28"/>
          <w:szCs w:val="28"/>
          <w:lang w:val="en-US"/>
        </w:rPr>
        <w:t xml:space="preserve">The next step of the mechanism is the sorting by the store departments (clothes for men, women, and kids, shoes, home applications, interiors, and household items), preparation, and packaging. In this stage, the necessary equipment for the sorting and preparation process are washing machines and ironing equipment. Furthermore, there must be cooperation with the dry-cleaner company on reasonable terms with a discount. The pricing process is based on a simple mechanism: clothes for 500, 1000, 1500, and 2000 tenge for the pies or the bag of the clothes (for example, a bag of clothes for an infant). This is the opportunity for needy people or for the segment of the population with limited income to buy non-essential goods at affordable prices. </w:t>
      </w:r>
    </w:p>
    <w:p w14:paraId="08F4F21A" w14:textId="77777777" w:rsidR="003A5576" w:rsidRPr="003A5576" w:rsidRDefault="003A5576" w:rsidP="003A5576">
      <w:pPr>
        <w:ind w:firstLine="708"/>
        <w:jc w:val="both"/>
        <w:rPr>
          <w:color w:val="000000" w:themeColor="text1"/>
          <w:sz w:val="28"/>
          <w:szCs w:val="28"/>
          <w:lang w:val="en-US"/>
        </w:rPr>
      </w:pPr>
      <w:r w:rsidRPr="003A5576">
        <w:rPr>
          <w:color w:val="000000" w:themeColor="text1"/>
          <w:sz w:val="28"/>
          <w:szCs w:val="28"/>
          <w:lang w:val="en-US"/>
        </w:rPr>
        <w:t xml:space="preserve">We have prepared a business plan for the Ume social market, including a business overview, sales, marketing, operating, and calculated financial plan and financial indicators. Furthermore, there has been done risks analysis. The authors' business plan was successfully implemented in the activity of the social market, and there was signed as the act of implementing the study results. The Business plan sections are given in Appendix F. The financial analysis and indicators are given in this chapter for estimation and illustration of the social effectiveness of the project. The projected Business plan contains the following sections: </w:t>
      </w:r>
    </w:p>
    <w:p w14:paraId="37F880F9" w14:textId="77777777" w:rsidR="003A5576" w:rsidRPr="003A5576" w:rsidRDefault="003A5576" w:rsidP="003A5576">
      <w:pPr>
        <w:pStyle w:val="a3"/>
        <w:ind w:left="1068"/>
        <w:jc w:val="both"/>
        <w:rPr>
          <w:rFonts w:ascii="Times New Roman" w:eastAsia="Times New Roman" w:hAnsi="Times New Roman"/>
          <w:color w:val="000000" w:themeColor="text1"/>
          <w:sz w:val="28"/>
          <w:szCs w:val="28"/>
          <w:lang w:val="en-US" w:eastAsia="ru-RU"/>
        </w:rPr>
      </w:pPr>
      <w:r w:rsidRPr="003A5576">
        <w:rPr>
          <w:rFonts w:ascii="Times New Roman" w:eastAsia="Times New Roman" w:hAnsi="Times New Roman"/>
          <w:color w:val="000000" w:themeColor="text1"/>
          <w:sz w:val="28"/>
          <w:szCs w:val="28"/>
          <w:lang w:val="en-US" w:eastAsia="ru-RU"/>
        </w:rPr>
        <w:t>1.</w:t>
      </w:r>
      <w:r w:rsidRPr="003A5576">
        <w:rPr>
          <w:rFonts w:ascii="Times New Roman" w:eastAsia="Times New Roman" w:hAnsi="Times New Roman"/>
          <w:color w:val="000000" w:themeColor="text1"/>
          <w:sz w:val="28"/>
          <w:szCs w:val="28"/>
          <w:lang w:val="en-US" w:eastAsia="ru-RU"/>
        </w:rPr>
        <w:tab/>
        <w:t>Executive summary;</w:t>
      </w:r>
      <w:r w:rsidRPr="003A5576">
        <w:rPr>
          <w:rFonts w:ascii="Times New Roman" w:eastAsia="Times New Roman" w:hAnsi="Times New Roman"/>
          <w:color w:val="000000" w:themeColor="text1"/>
          <w:sz w:val="28"/>
          <w:szCs w:val="28"/>
          <w:lang w:val="en-US" w:eastAsia="ru-RU"/>
        </w:rPr>
        <w:tab/>
      </w:r>
    </w:p>
    <w:p w14:paraId="5378ACC5" w14:textId="77777777" w:rsidR="003A5576" w:rsidRPr="003A5576" w:rsidRDefault="003A5576" w:rsidP="003A5576">
      <w:pPr>
        <w:pStyle w:val="a3"/>
        <w:ind w:left="1068"/>
        <w:jc w:val="both"/>
        <w:rPr>
          <w:rFonts w:ascii="Times New Roman" w:eastAsia="Times New Roman" w:hAnsi="Times New Roman"/>
          <w:color w:val="000000" w:themeColor="text1"/>
          <w:sz w:val="28"/>
          <w:szCs w:val="28"/>
          <w:lang w:val="en-US" w:eastAsia="ru-RU"/>
        </w:rPr>
      </w:pPr>
      <w:r w:rsidRPr="003A5576">
        <w:rPr>
          <w:rFonts w:ascii="Times New Roman" w:eastAsia="Times New Roman" w:hAnsi="Times New Roman"/>
          <w:color w:val="000000" w:themeColor="text1"/>
          <w:sz w:val="28"/>
          <w:szCs w:val="28"/>
          <w:lang w:val="en-US" w:eastAsia="ru-RU"/>
        </w:rPr>
        <w:t>2.</w:t>
      </w:r>
      <w:r w:rsidRPr="003A5576">
        <w:rPr>
          <w:rFonts w:ascii="Times New Roman" w:eastAsia="Times New Roman" w:hAnsi="Times New Roman"/>
          <w:color w:val="000000" w:themeColor="text1"/>
          <w:sz w:val="28"/>
          <w:szCs w:val="28"/>
          <w:lang w:val="en-US" w:eastAsia="ru-RU"/>
        </w:rPr>
        <w:tab/>
        <w:t>Business overview, strategy, and environment;</w:t>
      </w:r>
      <w:r w:rsidRPr="003A5576">
        <w:rPr>
          <w:rFonts w:ascii="Times New Roman" w:eastAsia="Times New Roman" w:hAnsi="Times New Roman"/>
          <w:color w:val="000000" w:themeColor="text1"/>
          <w:sz w:val="28"/>
          <w:szCs w:val="28"/>
          <w:lang w:val="en-US" w:eastAsia="ru-RU"/>
        </w:rPr>
        <w:tab/>
      </w:r>
    </w:p>
    <w:p w14:paraId="5788D303" w14:textId="77777777" w:rsidR="003A5576" w:rsidRPr="003A5576" w:rsidRDefault="003A5576" w:rsidP="003A5576">
      <w:pPr>
        <w:pStyle w:val="a3"/>
        <w:ind w:left="1068"/>
        <w:jc w:val="both"/>
        <w:rPr>
          <w:rFonts w:ascii="Times New Roman" w:eastAsia="Times New Roman" w:hAnsi="Times New Roman"/>
          <w:color w:val="000000" w:themeColor="text1"/>
          <w:sz w:val="28"/>
          <w:szCs w:val="28"/>
          <w:lang w:val="en-US" w:eastAsia="ru-RU"/>
        </w:rPr>
      </w:pPr>
      <w:r w:rsidRPr="003A5576">
        <w:rPr>
          <w:rFonts w:ascii="Times New Roman" w:eastAsia="Times New Roman" w:hAnsi="Times New Roman"/>
          <w:color w:val="000000" w:themeColor="text1"/>
          <w:sz w:val="28"/>
          <w:szCs w:val="28"/>
          <w:lang w:val="en-US" w:eastAsia="ru-RU"/>
        </w:rPr>
        <w:t>3.</w:t>
      </w:r>
      <w:r w:rsidRPr="003A5576">
        <w:rPr>
          <w:rFonts w:ascii="Times New Roman" w:eastAsia="Times New Roman" w:hAnsi="Times New Roman"/>
          <w:color w:val="000000" w:themeColor="text1"/>
          <w:sz w:val="28"/>
          <w:szCs w:val="28"/>
          <w:lang w:val="en-US" w:eastAsia="ru-RU"/>
        </w:rPr>
        <w:tab/>
        <w:t>Sales and marketing plan;</w:t>
      </w:r>
      <w:r w:rsidRPr="003A5576">
        <w:rPr>
          <w:rFonts w:ascii="Times New Roman" w:eastAsia="Times New Roman" w:hAnsi="Times New Roman"/>
          <w:color w:val="000000" w:themeColor="text1"/>
          <w:sz w:val="28"/>
          <w:szCs w:val="28"/>
          <w:lang w:val="en-US" w:eastAsia="ru-RU"/>
        </w:rPr>
        <w:tab/>
      </w:r>
    </w:p>
    <w:p w14:paraId="371404F0" w14:textId="77777777" w:rsidR="003A5576" w:rsidRPr="003A5576" w:rsidRDefault="003A5576" w:rsidP="003A5576">
      <w:pPr>
        <w:pStyle w:val="a3"/>
        <w:ind w:left="1068"/>
        <w:jc w:val="both"/>
        <w:rPr>
          <w:rFonts w:ascii="Times New Roman" w:eastAsia="Times New Roman" w:hAnsi="Times New Roman"/>
          <w:color w:val="000000" w:themeColor="text1"/>
          <w:sz w:val="28"/>
          <w:szCs w:val="28"/>
          <w:lang w:val="en-US" w:eastAsia="ru-RU"/>
        </w:rPr>
      </w:pPr>
      <w:r w:rsidRPr="003A5576">
        <w:rPr>
          <w:rFonts w:ascii="Times New Roman" w:eastAsia="Times New Roman" w:hAnsi="Times New Roman"/>
          <w:color w:val="000000" w:themeColor="text1"/>
          <w:sz w:val="28"/>
          <w:szCs w:val="28"/>
          <w:lang w:val="en-US" w:eastAsia="ru-RU"/>
        </w:rPr>
        <w:t>4.</w:t>
      </w:r>
      <w:r w:rsidRPr="003A5576">
        <w:rPr>
          <w:rFonts w:ascii="Times New Roman" w:eastAsia="Times New Roman" w:hAnsi="Times New Roman"/>
          <w:color w:val="000000" w:themeColor="text1"/>
          <w:sz w:val="28"/>
          <w:szCs w:val="28"/>
          <w:lang w:val="en-US" w:eastAsia="ru-RU"/>
        </w:rPr>
        <w:tab/>
        <w:t>Operating plan;</w:t>
      </w:r>
      <w:r w:rsidRPr="003A5576">
        <w:rPr>
          <w:rFonts w:ascii="Times New Roman" w:eastAsia="Times New Roman" w:hAnsi="Times New Roman"/>
          <w:color w:val="000000" w:themeColor="text1"/>
          <w:sz w:val="28"/>
          <w:szCs w:val="28"/>
          <w:lang w:val="en-US" w:eastAsia="ru-RU"/>
        </w:rPr>
        <w:tab/>
      </w:r>
    </w:p>
    <w:p w14:paraId="160E45C7" w14:textId="77777777" w:rsidR="003A5576" w:rsidRPr="003A5576" w:rsidRDefault="003A5576" w:rsidP="003A5576">
      <w:pPr>
        <w:pStyle w:val="a3"/>
        <w:ind w:left="1068"/>
        <w:jc w:val="both"/>
        <w:rPr>
          <w:rFonts w:ascii="Times New Roman" w:eastAsia="Times New Roman" w:hAnsi="Times New Roman"/>
          <w:color w:val="000000" w:themeColor="text1"/>
          <w:sz w:val="28"/>
          <w:szCs w:val="28"/>
          <w:lang w:val="en-US" w:eastAsia="ru-RU"/>
        </w:rPr>
      </w:pPr>
      <w:r w:rsidRPr="003A5576">
        <w:rPr>
          <w:rFonts w:ascii="Times New Roman" w:eastAsia="Times New Roman" w:hAnsi="Times New Roman"/>
          <w:color w:val="000000" w:themeColor="text1"/>
          <w:sz w:val="28"/>
          <w:szCs w:val="28"/>
          <w:lang w:val="en-US" w:eastAsia="ru-RU"/>
        </w:rPr>
        <w:t>5.</w:t>
      </w:r>
      <w:r w:rsidRPr="003A5576">
        <w:rPr>
          <w:rFonts w:ascii="Times New Roman" w:eastAsia="Times New Roman" w:hAnsi="Times New Roman"/>
          <w:color w:val="000000" w:themeColor="text1"/>
          <w:sz w:val="28"/>
          <w:szCs w:val="28"/>
          <w:lang w:val="en-US" w:eastAsia="ru-RU"/>
        </w:rPr>
        <w:tab/>
        <w:t>Human resources plan;</w:t>
      </w:r>
    </w:p>
    <w:p w14:paraId="3C97ADEC" w14:textId="77777777" w:rsidR="003A5576" w:rsidRPr="003A5576" w:rsidRDefault="003A5576" w:rsidP="003A5576">
      <w:pPr>
        <w:pStyle w:val="a3"/>
        <w:ind w:left="1068"/>
        <w:jc w:val="both"/>
        <w:rPr>
          <w:rFonts w:ascii="Times New Roman" w:eastAsia="Times New Roman" w:hAnsi="Times New Roman"/>
          <w:color w:val="000000" w:themeColor="text1"/>
          <w:sz w:val="28"/>
          <w:szCs w:val="28"/>
          <w:lang w:val="en-US" w:eastAsia="ru-RU"/>
        </w:rPr>
      </w:pPr>
      <w:r w:rsidRPr="003A5576">
        <w:rPr>
          <w:rFonts w:ascii="Times New Roman" w:eastAsia="Times New Roman" w:hAnsi="Times New Roman"/>
          <w:color w:val="000000" w:themeColor="text1"/>
          <w:sz w:val="28"/>
          <w:szCs w:val="28"/>
          <w:lang w:val="en-US" w:eastAsia="ru-RU"/>
        </w:rPr>
        <w:t>6.</w:t>
      </w:r>
      <w:r w:rsidRPr="003A5576">
        <w:rPr>
          <w:rFonts w:ascii="Times New Roman" w:eastAsia="Times New Roman" w:hAnsi="Times New Roman"/>
          <w:color w:val="000000" w:themeColor="text1"/>
          <w:sz w:val="28"/>
          <w:szCs w:val="28"/>
          <w:lang w:val="en-US" w:eastAsia="ru-RU"/>
        </w:rPr>
        <w:tab/>
        <w:t>Action plan;</w:t>
      </w:r>
      <w:r w:rsidRPr="003A5576">
        <w:rPr>
          <w:rFonts w:ascii="Times New Roman" w:eastAsia="Times New Roman" w:hAnsi="Times New Roman"/>
          <w:color w:val="000000" w:themeColor="text1"/>
          <w:sz w:val="28"/>
          <w:szCs w:val="28"/>
          <w:lang w:val="en-US" w:eastAsia="ru-RU"/>
        </w:rPr>
        <w:tab/>
      </w:r>
    </w:p>
    <w:p w14:paraId="21F80D47" w14:textId="77777777" w:rsidR="003A5576" w:rsidRPr="003A5576" w:rsidRDefault="003A5576" w:rsidP="003A5576">
      <w:pPr>
        <w:pStyle w:val="a3"/>
        <w:ind w:left="1068"/>
        <w:jc w:val="both"/>
        <w:rPr>
          <w:rFonts w:ascii="Times New Roman" w:eastAsia="Times New Roman" w:hAnsi="Times New Roman"/>
          <w:color w:val="000000" w:themeColor="text1"/>
          <w:sz w:val="28"/>
          <w:szCs w:val="28"/>
          <w:lang w:val="en-US" w:eastAsia="ru-RU"/>
        </w:rPr>
      </w:pPr>
      <w:r w:rsidRPr="003A5576">
        <w:rPr>
          <w:rFonts w:ascii="Times New Roman" w:eastAsia="Times New Roman" w:hAnsi="Times New Roman"/>
          <w:color w:val="000000" w:themeColor="text1"/>
          <w:sz w:val="28"/>
          <w:szCs w:val="28"/>
          <w:lang w:val="en-US" w:eastAsia="ru-RU"/>
        </w:rPr>
        <w:t>7.</w:t>
      </w:r>
      <w:r w:rsidRPr="003A5576">
        <w:rPr>
          <w:rFonts w:ascii="Times New Roman" w:eastAsia="Times New Roman" w:hAnsi="Times New Roman"/>
          <w:color w:val="000000" w:themeColor="text1"/>
          <w:sz w:val="28"/>
          <w:szCs w:val="28"/>
          <w:lang w:val="en-US" w:eastAsia="ru-RU"/>
        </w:rPr>
        <w:tab/>
        <w:t>Sources of funding;</w:t>
      </w:r>
      <w:r w:rsidRPr="003A5576">
        <w:rPr>
          <w:rFonts w:ascii="Times New Roman" w:eastAsia="Times New Roman" w:hAnsi="Times New Roman"/>
          <w:color w:val="000000" w:themeColor="text1"/>
          <w:sz w:val="28"/>
          <w:szCs w:val="28"/>
          <w:lang w:val="en-US" w:eastAsia="ru-RU"/>
        </w:rPr>
        <w:tab/>
      </w:r>
    </w:p>
    <w:p w14:paraId="44222EC4" w14:textId="77777777" w:rsidR="003A5576" w:rsidRPr="003A5576" w:rsidRDefault="003A5576" w:rsidP="003A5576">
      <w:pPr>
        <w:pStyle w:val="a3"/>
        <w:ind w:left="1068"/>
        <w:jc w:val="both"/>
        <w:rPr>
          <w:rFonts w:ascii="Times New Roman" w:eastAsia="Times New Roman" w:hAnsi="Times New Roman"/>
          <w:color w:val="000000" w:themeColor="text1"/>
          <w:sz w:val="28"/>
          <w:szCs w:val="28"/>
          <w:lang w:val="en-US" w:eastAsia="ru-RU"/>
        </w:rPr>
      </w:pPr>
      <w:r w:rsidRPr="003A5576">
        <w:rPr>
          <w:rFonts w:ascii="Times New Roman" w:eastAsia="Times New Roman" w:hAnsi="Times New Roman"/>
          <w:color w:val="000000" w:themeColor="text1"/>
          <w:sz w:val="28"/>
          <w:szCs w:val="28"/>
          <w:lang w:val="en-US" w:eastAsia="ru-RU"/>
        </w:rPr>
        <w:t>8.</w:t>
      </w:r>
      <w:r w:rsidRPr="003A5576">
        <w:rPr>
          <w:rFonts w:ascii="Times New Roman" w:eastAsia="Times New Roman" w:hAnsi="Times New Roman"/>
          <w:color w:val="000000" w:themeColor="text1"/>
          <w:sz w:val="28"/>
          <w:szCs w:val="28"/>
          <w:lang w:val="en-US" w:eastAsia="ru-RU"/>
        </w:rPr>
        <w:tab/>
        <w:t>Risk analysis;</w:t>
      </w:r>
      <w:r w:rsidRPr="003A5576">
        <w:rPr>
          <w:rFonts w:ascii="Times New Roman" w:eastAsia="Times New Roman" w:hAnsi="Times New Roman"/>
          <w:color w:val="000000" w:themeColor="text1"/>
          <w:sz w:val="28"/>
          <w:szCs w:val="28"/>
          <w:lang w:val="en-US" w:eastAsia="ru-RU"/>
        </w:rPr>
        <w:tab/>
      </w:r>
    </w:p>
    <w:p w14:paraId="6E68E41A" w14:textId="77777777" w:rsidR="003A5576" w:rsidRPr="003A5576" w:rsidRDefault="003A5576" w:rsidP="003A5576">
      <w:pPr>
        <w:pStyle w:val="a3"/>
        <w:ind w:left="1068"/>
        <w:jc w:val="both"/>
        <w:rPr>
          <w:rFonts w:ascii="Times New Roman" w:eastAsia="Times New Roman" w:hAnsi="Times New Roman"/>
          <w:color w:val="000000" w:themeColor="text1"/>
          <w:sz w:val="28"/>
          <w:szCs w:val="28"/>
          <w:lang w:val="en-US" w:eastAsia="ru-RU"/>
        </w:rPr>
      </w:pPr>
      <w:r w:rsidRPr="003A5576">
        <w:rPr>
          <w:rFonts w:ascii="Times New Roman" w:eastAsia="Times New Roman" w:hAnsi="Times New Roman"/>
          <w:color w:val="000000" w:themeColor="text1"/>
          <w:sz w:val="28"/>
          <w:szCs w:val="28"/>
          <w:lang w:val="en-US" w:eastAsia="ru-RU"/>
        </w:rPr>
        <w:t>9.</w:t>
      </w:r>
      <w:r w:rsidRPr="003A5576">
        <w:rPr>
          <w:rFonts w:ascii="Times New Roman" w:eastAsia="Times New Roman" w:hAnsi="Times New Roman"/>
          <w:color w:val="000000" w:themeColor="text1"/>
          <w:sz w:val="28"/>
          <w:szCs w:val="28"/>
          <w:lang w:val="en-US" w:eastAsia="ru-RU"/>
        </w:rPr>
        <w:tab/>
        <w:t>Financial plan;</w:t>
      </w:r>
      <w:r w:rsidRPr="003A5576">
        <w:rPr>
          <w:rFonts w:ascii="Times New Roman" w:eastAsia="Times New Roman" w:hAnsi="Times New Roman"/>
          <w:color w:val="000000" w:themeColor="text1"/>
          <w:sz w:val="28"/>
          <w:szCs w:val="28"/>
          <w:lang w:val="en-US" w:eastAsia="ru-RU"/>
        </w:rPr>
        <w:tab/>
      </w:r>
    </w:p>
    <w:p w14:paraId="14128305" w14:textId="34C5C20D" w:rsidR="00981873" w:rsidRPr="00D549EE" w:rsidRDefault="003A5576" w:rsidP="003A5576">
      <w:pPr>
        <w:pStyle w:val="a3"/>
        <w:spacing w:line="240" w:lineRule="auto"/>
        <w:ind w:left="1068"/>
        <w:jc w:val="both"/>
        <w:rPr>
          <w:rFonts w:ascii="Times New Roman" w:hAnsi="Times New Roman"/>
          <w:color w:val="000000" w:themeColor="text1"/>
          <w:sz w:val="28"/>
          <w:szCs w:val="28"/>
          <w:lang w:val="en-US"/>
        </w:rPr>
      </w:pPr>
      <w:r w:rsidRPr="003A5576">
        <w:rPr>
          <w:rFonts w:ascii="Times New Roman" w:eastAsia="Times New Roman" w:hAnsi="Times New Roman"/>
          <w:color w:val="000000" w:themeColor="text1"/>
          <w:sz w:val="28"/>
          <w:szCs w:val="28"/>
          <w:lang w:val="en-US" w:eastAsia="ru-RU"/>
        </w:rPr>
        <w:t>10.</w:t>
      </w:r>
      <w:r>
        <w:rPr>
          <w:rFonts w:ascii="Times New Roman" w:eastAsia="Times New Roman" w:hAnsi="Times New Roman"/>
          <w:color w:val="000000" w:themeColor="text1"/>
          <w:sz w:val="28"/>
          <w:szCs w:val="28"/>
          <w:lang w:val="en-US" w:eastAsia="ru-RU"/>
        </w:rPr>
        <w:t xml:space="preserve"> </w:t>
      </w:r>
      <w:r w:rsidRPr="003A5576">
        <w:rPr>
          <w:rFonts w:ascii="Times New Roman" w:eastAsia="Times New Roman" w:hAnsi="Times New Roman"/>
          <w:color w:val="000000" w:themeColor="text1"/>
          <w:sz w:val="28"/>
          <w:szCs w:val="28"/>
          <w:lang w:val="en-US" w:eastAsia="ru-RU"/>
        </w:rPr>
        <w:t>Estimation of the socio-economic effectiveness of the project implementation.</w:t>
      </w:r>
      <w:r w:rsidR="00981873" w:rsidRPr="00D549EE">
        <w:rPr>
          <w:rFonts w:ascii="Times New Roman" w:hAnsi="Times New Roman"/>
          <w:color w:val="000000" w:themeColor="text1"/>
          <w:sz w:val="28"/>
          <w:szCs w:val="28"/>
          <w:lang w:val="en-US"/>
        </w:rPr>
        <w:t xml:space="preserve"> </w:t>
      </w:r>
    </w:p>
    <w:p w14:paraId="64A9C822" w14:textId="77777777" w:rsidR="003A5576" w:rsidRDefault="003A5576" w:rsidP="00C9582F">
      <w:pPr>
        <w:pStyle w:val="a3"/>
        <w:spacing w:line="240" w:lineRule="auto"/>
        <w:ind w:left="0"/>
        <w:jc w:val="both"/>
        <w:rPr>
          <w:rFonts w:ascii="Times New Roman" w:hAnsi="Times New Roman"/>
          <w:sz w:val="28"/>
          <w:szCs w:val="28"/>
          <w:lang w:val="en-US"/>
        </w:rPr>
      </w:pPr>
    </w:p>
    <w:p w14:paraId="1D7723A3" w14:textId="4AD4E6DF" w:rsidR="00637127" w:rsidRPr="00D549EE" w:rsidRDefault="00637127" w:rsidP="00C9582F">
      <w:pPr>
        <w:pStyle w:val="a3"/>
        <w:spacing w:line="240" w:lineRule="auto"/>
        <w:ind w:left="0"/>
        <w:jc w:val="both"/>
        <w:rPr>
          <w:rFonts w:ascii="Times New Roman" w:hAnsi="Times New Roman"/>
          <w:color w:val="000000" w:themeColor="text1"/>
          <w:sz w:val="28"/>
          <w:szCs w:val="28"/>
          <w:lang w:val="en-US"/>
        </w:rPr>
      </w:pPr>
      <w:r w:rsidRPr="00D549EE">
        <w:rPr>
          <w:rFonts w:ascii="Times New Roman" w:hAnsi="Times New Roman"/>
          <w:sz w:val="28"/>
          <w:szCs w:val="28"/>
          <w:lang w:val="en-US"/>
        </w:rPr>
        <w:t xml:space="preserve">Table </w:t>
      </w:r>
      <w:r w:rsidR="00AB06FE" w:rsidRPr="00D549EE">
        <w:rPr>
          <w:rFonts w:ascii="Times New Roman" w:hAnsi="Times New Roman"/>
          <w:sz w:val="28"/>
          <w:szCs w:val="28"/>
          <w:lang w:val="en-US"/>
        </w:rPr>
        <w:t>55</w:t>
      </w:r>
      <w:r w:rsidRPr="00D549EE">
        <w:rPr>
          <w:rFonts w:ascii="Times New Roman" w:hAnsi="Times New Roman"/>
          <w:sz w:val="28"/>
          <w:szCs w:val="28"/>
          <w:lang w:val="en-US"/>
        </w:rPr>
        <w:t xml:space="preserve"> </w:t>
      </w:r>
      <w:r w:rsidR="00AB06FE" w:rsidRPr="00D549EE">
        <w:rPr>
          <w:rFonts w:ascii="Times New Roman" w:hAnsi="Times New Roman"/>
          <w:sz w:val="28"/>
          <w:szCs w:val="28"/>
          <w:lang w:val="en-US"/>
        </w:rPr>
        <w:t>–</w:t>
      </w:r>
      <w:r w:rsidRPr="00D549EE">
        <w:rPr>
          <w:rFonts w:ascii="Times New Roman" w:hAnsi="Times New Roman"/>
          <w:sz w:val="28"/>
          <w:szCs w:val="28"/>
          <w:lang w:val="en-US"/>
        </w:rPr>
        <w:t xml:space="preserve"> </w:t>
      </w:r>
      <w:r w:rsidR="004A514E" w:rsidRPr="00D549EE">
        <w:rPr>
          <w:rFonts w:ascii="Times New Roman" w:hAnsi="Times New Roman"/>
          <w:sz w:val="28"/>
          <w:szCs w:val="28"/>
          <w:lang w:val="en-US"/>
        </w:rPr>
        <w:t xml:space="preserve">Statement of </w:t>
      </w:r>
      <w:r w:rsidR="00CC4E14">
        <w:rPr>
          <w:rFonts w:ascii="Times New Roman" w:hAnsi="Times New Roman"/>
          <w:sz w:val="28"/>
          <w:szCs w:val="28"/>
          <w:lang w:val="en-US"/>
        </w:rPr>
        <w:t xml:space="preserve">the </w:t>
      </w:r>
      <w:r w:rsidR="004A514E" w:rsidRPr="00D549EE">
        <w:rPr>
          <w:rFonts w:ascii="Times New Roman" w:hAnsi="Times New Roman"/>
          <w:sz w:val="28"/>
          <w:szCs w:val="28"/>
          <w:lang w:val="en-US"/>
        </w:rPr>
        <w:t>comprehensive revenues forecast for 5 years, Ume social market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481"/>
        <w:gridCol w:w="1481"/>
        <w:gridCol w:w="1481"/>
        <w:gridCol w:w="1481"/>
        <w:gridCol w:w="1481"/>
      </w:tblGrid>
      <w:tr w:rsidR="00EE0AEE" w:rsidRPr="00D549EE" w14:paraId="251F80C3" w14:textId="77777777" w:rsidTr="004E240D">
        <w:trPr>
          <w:trHeight w:val="340"/>
        </w:trPr>
        <w:tc>
          <w:tcPr>
            <w:tcW w:w="0" w:type="auto"/>
            <w:shd w:val="clear" w:color="auto" w:fill="auto"/>
            <w:noWrap/>
            <w:vAlign w:val="bottom"/>
            <w:hideMark/>
          </w:tcPr>
          <w:p w14:paraId="22AFFB61" w14:textId="77777777" w:rsidR="00EE0AEE" w:rsidRPr="00D549EE" w:rsidRDefault="00EE0AEE" w:rsidP="00C9582F">
            <w:pPr>
              <w:contextualSpacing/>
              <w:rPr>
                <w:color w:val="000000" w:themeColor="text1"/>
                <w:sz w:val="22"/>
                <w:szCs w:val="22"/>
                <w:lang w:val="en-US"/>
              </w:rPr>
            </w:pPr>
          </w:p>
        </w:tc>
        <w:tc>
          <w:tcPr>
            <w:tcW w:w="0" w:type="auto"/>
            <w:shd w:val="clear" w:color="auto" w:fill="auto"/>
            <w:noWrap/>
            <w:vAlign w:val="bottom"/>
            <w:hideMark/>
          </w:tcPr>
          <w:p w14:paraId="544B6E8F" w14:textId="77777777" w:rsidR="00EE0AEE" w:rsidRPr="00D549EE" w:rsidRDefault="00EE0AEE" w:rsidP="00C9582F">
            <w:pPr>
              <w:contextualSpacing/>
              <w:rPr>
                <w:color w:val="000000" w:themeColor="text1"/>
                <w:sz w:val="22"/>
                <w:szCs w:val="22"/>
              </w:rPr>
            </w:pPr>
            <w:r w:rsidRPr="00D549EE">
              <w:rPr>
                <w:color w:val="000000" w:themeColor="text1"/>
                <w:sz w:val="22"/>
                <w:szCs w:val="22"/>
              </w:rPr>
              <w:t>Year 1</w:t>
            </w:r>
          </w:p>
        </w:tc>
        <w:tc>
          <w:tcPr>
            <w:tcW w:w="0" w:type="auto"/>
            <w:shd w:val="clear" w:color="auto" w:fill="auto"/>
            <w:noWrap/>
            <w:vAlign w:val="bottom"/>
            <w:hideMark/>
          </w:tcPr>
          <w:p w14:paraId="6CDD583C" w14:textId="77777777" w:rsidR="00EE0AEE" w:rsidRPr="00D549EE" w:rsidRDefault="00EE0AEE" w:rsidP="00C9582F">
            <w:pPr>
              <w:contextualSpacing/>
              <w:rPr>
                <w:color w:val="000000" w:themeColor="text1"/>
                <w:sz w:val="22"/>
                <w:szCs w:val="22"/>
              </w:rPr>
            </w:pPr>
            <w:r w:rsidRPr="00D549EE">
              <w:rPr>
                <w:color w:val="000000" w:themeColor="text1"/>
                <w:sz w:val="22"/>
                <w:szCs w:val="22"/>
              </w:rPr>
              <w:t>Year 2</w:t>
            </w:r>
          </w:p>
        </w:tc>
        <w:tc>
          <w:tcPr>
            <w:tcW w:w="0" w:type="auto"/>
            <w:shd w:val="clear" w:color="auto" w:fill="auto"/>
            <w:noWrap/>
            <w:vAlign w:val="bottom"/>
            <w:hideMark/>
          </w:tcPr>
          <w:p w14:paraId="028EF268" w14:textId="77777777" w:rsidR="00EE0AEE" w:rsidRPr="00D549EE" w:rsidRDefault="00EE0AEE" w:rsidP="00C9582F">
            <w:pPr>
              <w:contextualSpacing/>
              <w:rPr>
                <w:color w:val="000000" w:themeColor="text1"/>
                <w:sz w:val="22"/>
                <w:szCs w:val="22"/>
              </w:rPr>
            </w:pPr>
            <w:r w:rsidRPr="00D549EE">
              <w:rPr>
                <w:color w:val="000000" w:themeColor="text1"/>
                <w:sz w:val="22"/>
                <w:szCs w:val="22"/>
              </w:rPr>
              <w:t>Year 3</w:t>
            </w:r>
          </w:p>
        </w:tc>
        <w:tc>
          <w:tcPr>
            <w:tcW w:w="0" w:type="auto"/>
            <w:shd w:val="clear" w:color="auto" w:fill="auto"/>
            <w:noWrap/>
            <w:vAlign w:val="bottom"/>
            <w:hideMark/>
          </w:tcPr>
          <w:p w14:paraId="40F635F4" w14:textId="77777777" w:rsidR="00EE0AEE" w:rsidRPr="00D549EE" w:rsidRDefault="00EE0AEE" w:rsidP="00C9582F">
            <w:pPr>
              <w:contextualSpacing/>
              <w:rPr>
                <w:color w:val="000000" w:themeColor="text1"/>
                <w:sz w:val="22"/>
                <w:szCs w:val="22"/>
              </w:rPr>
            </w:pPr>
            <w:r w:rsidRPr="00D549EE">
              <w:rPr>
                <w:color w:val="000000" w:themeColor="text1"/>
                <w:sz w:val="22"/>
                <w:szCs w:val="22"/>
              </w:rPr>
              <w:t>Year 4</w:t>
            </w:r>
          </w:p>
        </w:tc>
        <w:tc>
          <w:tcPr>
            <w:tcW w:w="0" w:type="auto"/>
            <w:shd w:val="clear" w:color="auto" w:fill="auto"/>
            <w:noWrap/>
            <w:vAlign w:val="bottom"/>
            <w:hideMark/>
          </w:tcPr>
          <w:p w14:paraId="4080B7FF" w14:textId="77777777" w:rsidR="00EE0AEE" w:rsidRPr="00D549EE" w:rsidRDefault="00EE0AEE" w:rsidP="00C9582F">
            <w:pPr>
              <w:contextualSpacing/>
              <w:rPr>
                <w:color w:val="000000" w:themeColor="text1"/>
                <w:sz w:val="22"/>
                <w:szCs w:val="22"/>
              </w:rPr>
            </w:pPr>
            <w:r w:rsidRPr="00D549EE">
              <w:rPr>
                <w:color w:val="000000" w:themeColor="text1"/>
                <w:sz w:val="22"/>
                <w:szCs w:val="22"/>
              </w:rPr>
              <w:t>Year 5</w:t>
            </w:r>
          </w:p>
        </w:tc>
      </w:tr>
      <w:tr w:rsidR="00EE0AEE" w:rsidRPr="00D549EE" w14:paraId="7ACFAC68" w14:textId="77777777" w:rsidTr="004E240D">
        <w:trPr>
          <w:trHeight w:val="412"/>
        </w:trPr>
        <w:tc>
          <w:tcPr>
            <w:tcW w:w="0" w:type="auto"/>
            <w:shd w:val="clear" w:color="auto" w:fill="auto"/>
            <w:vAlign w:val="center"/>
            <w:hideMark/>
          </w:tcPr>
          <w:p w14:paraId="449B8B7C" w14:textId="77777777" w:rsidR="00EE0AEE" w:rsidRPr="00D549EE" w:rsidRDefault="00EE0AEE" w:rsidP="00C9582F">
            <w:pPr>
              <w:contextualSpacing/>
              <w:rPr>
                <w:color w:val="000000" w:themeColor="text1"/>
                <w:sz w:val="22"/>
                <w:szCs w:val="22"/>
              </w:rPr>
            </w:pPr>
            <w:r w:rsidRPr="00D549EE">
              <w:rPr>
                <w:color w:val="000000" w:themeColor="text1"/>
                <w:sz w:val="22"/>
                <w:szCs w:val="22"/>
              </w:rPr>
              <w:t xml:space="preserve">Sales Revenue </w:t>
            </w:r>
          </w:p>
        </w:tc>
        <w:tc>
          <w:tcPr>
            <w:tcW w:w="0" w:type="auto"/>
            <w:shd w:val="clear" w:color="auto" w:fill="auto"/>
            <w:noWrap/>
            <w:vAlign w:val="bottom"/>
            <w:hideMark/>
          </w:tcPr>
          <w:p w14:paraId="1E42FB4D" w14:textId="77777777" w:rsidR="00EE0AEE" w:rsidRPr="00D549EE" w:rsidRDefault="00EE0AEE" w:rsidP="00C9582F">
            <w:pPr>
              <w:contextualSpacing/>
              <w:jc w:val="right"/>
              <w:rPr>
                <w:color w:val="000000" w:themeColor="text1"/>
                <w:sz w:val="22"/>
                <w:szCs w:val="22"/>
              </w:rPr>
            </w:pPr>
            <w:r w:rsidRPr="00D549EE">
              <w:rPr>
                <w:color w:val="000000"/>
                <w:sz w:val="22"/>
                <w:szCs w:val="22"/>
              </w:rPr>
              <w:t xml:space="preserve">33 729 500,00   </w:t>
            </w:r>
          </w:p>
        </w:tc>
        <w:tc>
          <w:tcPr>
            <w:tcW w:w="0" w:type="auto"/>
            <w:shd w:val="clear" w:color="auto" w:fill="auto"/>
            <w:noWrap/>
            <w:vAlign w:val="bottom"/>
            <w:hideMark/>
          </w:tcPr>
          <w:p w14:paraId="0AAF77FE" w14:textId="77777777" w:rsidR="00EE0AEE" w:rsidRPr="00D549EE" w:rsidRDefault="00EE0AEE" w:rsidP="00C9582F">
            <w:pPr>
              <w:contextualSpacing/>
              <w:jc w:val="right"/>
              <w:rPr>
                <w:color w:val="000000" w:themeColor="text1"/>
                <w:sz w:val="22"/>
                <w:szCs w:val="22"/>
              </w:rPr>
            </w:pPr>
            <w:r w:rsidRPr="00D549EE">
              <w:rPr>
                <w:color w:val="000000"/>
                <w:sz w:val="22"/>
                <w:szCs w:val="22"/>
              </w:rPr>
              <w:t xml:space="preserve">33 898 000,00   </w:t>
            </w:r>
          </w:p>
        </w:tc>
        <w:tc>
          <w:tcPr>
            <w:tcW w:w="0" w:type="auto"/>
            <w:shd w:val="clear" w:color="auto" w:fill="auto"/>
            <w:noWrap/>
            <w:vAlign w:val="bottom"/>
            <w:hideMark/>
          </w:tcPr>
          <w:p w14:paraId="089AF589" w14:textId="77777777" w:rsidR="00EE0AEE" w:rsidRPr="00D549EE" w:rsidRDefault="00EE0AEE" w:rsidP="00C9582F">
            <w:pPr>
              <w:contextualSpacing/>
              <w:jc w:val="right"/>
              <w:rPr>
                <w:iCs/>
                <w:color w:val="000000" w:themeColor="text1"/>
                <w:sz w:val="22"/>
                <w:szCs w:val="22"/>
              </w:rPr>
            </w:pPr>
            <w:r w:rsidRPr="00D549EE">
              <w:rPr>
                <w:color w:val="000000"/>
                <w:sz w:val="22"/>
                <w:szCs w:val="22"/>
              </w:rPr>
              <w:t xml:space="preserve">46 948 730,00   </w:t>
            </w:r>
          </w:p>
        </w:tc>
        <w:tc>
          <w:tcPr>
            <w:tcW w:w="0" w:type="auto"/>
            <w:shd w:val="clear" w:color="auto" w:fill="auto"/>
            <w:noWrap/>
            <w:vAlign w:val="bottom"/>
            <w:hideMark/>
          </w:tcPr>
          <w:p w14:paraId="3BCA4D54" w14:textId="77777777" w:rsidR="00EE0AEE" w:rsidRPr="00D549EE" w:rsidRDefault="00EE0AEE" w:rsidP="00C9582F">
            <w:pPr>
              <w:contextualSpacing/>
              <w:rPr>
                <w:color w:val="000000" w:themeColor="text1"/>
                <w:sz w:val="22"/>
                <w:szCs w:val="22"/>
              </w:rPr>
            </w:pPr>
            <w:r w:rsidRPr="00D549EE">
              <w:rPr>
                <w:color w:val="000000"/>
                <w:sz w:val="22"/>
                <w:szCs w:val="22"/>
              </w:rPr>
              <w:t xml:space="preserve">49 296 166,50   </w:t>
            </w:r>
          </w:p>
        </w:tc>
        <w:tc>
          <w:tcPr>
            <w:tcW w:w="0" w:type="auto"/>
            <w:shd w:val="clear" w:color="auto" w:fill="auto"/>
            <w:noWrap/>
            <w:vAlign w:val="bottom"/>
            <w:hideMark/>
          </w:tcPr>
          <w:p w14:paraId="5B057112" w14:textId="77777777" w:rsidR="00EE0AEE" w:rsidRPr="00D549EE" w:rsidRDefault="00EE0AEE" w:rsidP="00C9582F">
            <w:pPr>
              <w:contextualSpacing/>
              <w:jc w:val="right"/>
              <w:rPr>
                <w:color w:val="000000" w:themeColor="text1"/>
                <w:sz w:val="22"/>
                <w:szCs w:val="22"/>
              </w:rPr>
            </w:pPr>
            <w:r w:rsidRPr="00D549EE">
              <w:rPr>
                <w:color w:val="000000"/>
                <w:sz w:val="22"/>
                <w:szCs w:val="22"/>
              </w:rPr>
              <w:t xml:space="preserve">51 760 974,83   </w:t>
            </w:r>
          </w:p>
        </w:tc>
      </w:tr>
      <w:tr w:rsidR="00EE0AEE" w:rsidRPr="00D549EE" w14:paraId="305A43D5" w14:textId="77777777" w:rsidTr="004E240D">
        <w:trPr>
          <w:trHeight w:val="275"/>
        </w:trPr>
        <w:tc>
          <w:tcPr>
            <w:tcW w:w="0" w:type="auto"/>
            <w:shd w:val="clear" w:color="auto" w:fill="auto"/>
            <w:vAlign w:val="center"/>
            <w:hideMark/>
          </w:tcPr>
          <w:p w14:paraId="0C160F11" w14:textId="77777777" w:rsidR="00EE0AEE" w:rsidRPr="00D549EE" w:rsidRDefault="00EE0AEE" w:rsidP="00C9582F">
            <w:pPr>
              <w:contextualSpacing/>
              <w:rPr>
                <w:color w:val="000000" w:themeColor="text1"/>
                <w:sz w:val="22"/>
                <w:szCs w:val="22"/>
              </w:rPr>
            </w:pPr>
            <w:r w:rsidRPr="00D549EE">
              <w:rPr>
                <w:color w:val="000000" w:themeColor="text1"/>
                <w:sz w:val="22"/>
                <w:szCs w:val="22"/>
              </w:rPr>
              <w:t xml:space="preserve">Cost of sales </w:t>
            </w:r>
          </w:p>
        </w:tc>
        <w:tc>
          <w:tcPr>
            <w:tcW w:w="0" w:type="auto"/>
            <w:shd w:val="clear" w:color="auto" w:fill="auto"/>
            <w:noWrap/>
            <w:vAlign w:val="bottom"/>
            <w:hideMark/>
          </w:tcPr>
          <w:p w14:paraId="454CA743"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3 675 850,00   </w:t>
            </w:r>
          </w:p>
        </w:tc>
        <w:tc>
          <w:tcPr>
            <w:tcW w:w="0" w:type="auto"/>
            <w:shd w:val="clear" w:color="auto" w:fill="auto"/>
            <w:noWrap/>
            <w:vAlign w:val="bottom"/>
            <w:hideMark/>
          </w:tcPr>
          <w:p w14:paraId="28B99600"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3 929 000,00   </w:t>
            </w:r>
          </w:p>
        </w:tc>
        <w:tc>
          <w:tcPr>
            <w:tcW w:w="0" w:type="auto"/>
            <w:shd w:val="clear" w:color="auto" w:fill="auto"/>
            <w:noWrap/>
            <w:vAlign w:val="bottom"/>
            <w:hideMark/>
          </w:tcPr>
          <w:p w14:paraId="72BC3D9D" w14:textId="77777777" w:rsidR="00EE0AEE" w:rsidRPr="00D549EE" w:rsidRDefault="00EE0AEE" w:rsidP="00C9582F">
            <w:pPr>
              <w:contextualSpacing/>
              <w:jc w:val="right"/>
              <w:rPr>
                <w:iCs/>
                <w:color w:val="000000" w:themeColor="text1"/>
                <w:sz w:val="22"/>
                <w:szCs w:val="22"/>
                <w:lang w:val="en-US"/>
              </w:rPr>
            </w:pPr>
            <w:r w:rsidRPr="00D549EE">
              <w:rPr>
                <w:color w:val="000000"/>
                <w:sz w:val="22"/>
                <w:szCs w:val="22"/>
              </w:rPr>
              <w:t xml:space="preserve">  5 441 665,00   </w:t>
            </w:r>
          </w:p>
        </w:tc>
        <w:tc>
          <w:tcPr>
            <w:tcW w:w="0" w:type="auto"/>
            <w:shd w:val="clear" w:color="auto" w:fill="auto"/>
            <w:noWrap/>
            <w:vAlign w:val="bottom"/>
            <w:hideMark/>
          </w:tcPr>
          <w:p w14:paraId="3A94920B"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5 713 748,25   </w:t>
            </w:r>
          </w:p>
        </w:tc>
        <w:tc>
          <w:tcPr>
            <w:tcW w:w="0" w:type="auto"/>
            <w:shd w:val="clear" w:color="auto" w:fill="auto"/>
            <w:noWrap/>
            <w:vAlign w:val="bottom"/>
            <w:hideMark/>
          </w:tcPr>
          <w:p w14:paraId="70B379F3"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5 999 435,66   </w:t>
            </w:r>
          </w:p>
        </w:tc>
      </w:tr>
      <w:tr w:rsidR="00EE0AEE" w:rsidRPr="00D549EE" w14:paraId="69E2372D" w14:textId="77777777" w:rsidTr="004E240D">
        <w:trPr>
          <w:trHeight w:val="408"/>
        </w:trPr>
        <w:tc>
          <w:tcPr>
            <w:tcW w:w="0" w:type="auto"/>
            <w:shd w:val="clear" w:color="auto" w:fill="auto"/>
            <w:vAlign w:val="center"/>
            <w:hideMark/>
          </w:tcPr>
          <w:p w14:paraId="11E9133B" w14:textId="77777777" w:rsidR="00EE0AEE" w:rsidRPr="00D549EE" w:rsidRDefault="00EE0AEE" w:rsidP="00C9582F">
            <w:pPr>
              <w:contextualSpacing/>
              <w:rPr>
                <w:bCs/>
                <w:color w:val="000000" w:themeColor="text1"/>
                <w:sz w:val="22"/>
                <w:szCs w:val="22"/>
              </w:rPr>
            </w:pPr>
            <w:r w:rsidRPr="00D549EE">
              <w:rPr>
                <w:bCs/>
                <w:color w:val="000000" w:themeColor="text1"/>
                <w:sz w:val="22"/>
                <w:szCs w:val="22"/>
              </w:rPr>
              <w:t xml:space="preserve">Gross profit                          </w:t>
            </w:r>
          </w:p>
        </w:tc>
        <w:tc>
          <w:tcPr>
            <w:tcW w:w="0" w:type="auto"/>
            <w:shd w:val="clear" w:color="auto" w:fill="auto"/>
            <w:noWrap/>
            <w:vAlign w:val="bottom"/>
            <w:hideMark/>
          </w:tcPr>
          <w:p w14:paraId="35937189" w14:textId="77777777" w:rsidR="00EE0AEE" w:rsidRPr="00D549EE" w:rsidRDefault="00EE0AEE" w:rsidP="00C9582F">
            <w:pPr>
              <w:contextualSpacing/>
              <w:jc w:val="right"/>
              <w:rPr>
                <w:bCs/>
                <w:iCs/>
                <w:color w:val="000000" w:themeColor="text1"/>
                <w:sz w:val="22"/>
                <w:szCs w:val="22"/>
              </w:rPr>
            </w:pPr>
            <w:r w:rsidRPr="00D549EE">
              <w:rPr>
                <w:bCs/>
                <w:color w:val="000000"/>
                <w:sz w:val="22"/>
                <w:szCs w:val="22"/>
              </w:rPr>
              <w:t xml:space="preserve">30 053 650,00   </w:t>
            </w:r>
          </w:p>
        </w:tc>
        <w:tc>
          <w:tcPr>
            <w:tcW w:w="0" w:type="auto"/>
            <w:shd w:val="clear" w:color="auto" w:fill="auto"/>
            <w:noWrap/>
            <w:vAlign w:val="bottom"/>
            <w:hideMark/>
          </w:tcPr>
          <w:p w14:paraId="747769F6" w14:textId="77777777" w:rsidR="00EE0AEE" w:rsidRPr="00D549EE" w:rsidRDefault="00EE0AEE" w:rsidP="00C9582F">
            <w:pPr>
              <w:contextualSpacing/>
              <w:jc w:val="right"/>
              <w:rPr>
                <w:bCs/>
                <w:iCs/>
                <w:color w:val="000000" w:themeColor="text1"/>
                <w:sz w:val="22"/>
                <w:szCs w:val="22"/>
              </w:rPr>
            </w:pPr>
            <w:r w:rsidRPr="00D549EE">
              <w:rPr>
                <w:bCs/>
                <w:color w:val="000000"/>
                <w:sz w:val="22"/>
                <w:szCs w:val="22"/>
              </w:rPr>
              <w:t xml:space="preserve">29 969 000,00   </w:t>
            </w:r>
          </w:p>
        </w:tc>
        <w:tc>
          <w:tcPr>
            <w:tcW w:w="0" w:type="auto"/>
            <w:shd w:val="clear" w:color="auto" w:fill="auto"/>
            <w:noWrap/>
            <w:vAlign w:val="bottom"/>
            <w:hideMark/>
          </w:tcPr>
          <w:p w14:paraId="2428F05D" w14:textId="77777777" w:rsidR="00EE0AEE" w:rsidRPr="00D549EE" w:rsidRDefault="00EE0AEE" w:rsidP="00C9582F">
            <w:pPr>
              <w:contextualSpacing/>
              <w:jc w:val="right"/>
              <w:rPr>
                <w:bCs/>
                <w:iCs/>
                <w:color w:val="000000" w:themeColor="text1"/>
                <w:sz w:val="22"/>
                <w:szCs w:val="22"/>
              </w:rPr>
            </w:pPr>
            <w:r w:rsidRPr="00D549EE">
              <w:rPr>
                <w:bCs/>
                <w:color w:val="000000"/>
                <w:sz w:val="22"/>
                <w:szCs w:val="22"/>
              </w:rPr>
              <w:t xml:space="preserve">41 507 065,00   </w:t>
            </w:r>
          </w:p>
        </w:tc>
        <w:tc>
          <w:tcPr>
            <w:tcW w:w="0" w:type="auto"/>
            <w:shd w:val="clear" w:color="auto" w:fill="auto"/>
            <w:noWrap/>
            <w:vAlign w:val="bottom"/>
            <w:hideMark/>
          </w:tcPr>
          <w:p w14:paraId="5199EC23" w14:textId="77777777" w:rsidR="00EE0AEE" w:rsidRPr="00D549EE" w:rsidRDefault="00EE0AEE" w:rsidP="00C9582F">
            <w:pPr>
              <w:contextualSpacing/>
              <w:jc w:val="right"/>
              <w:rPr>
                <w:bCs/>
                <w:iCs/>
                <w:color w:val="000000" w:themeColor="text1"/>
                <w:sz w:val="22"/>
                <w:szCs w:val="22"/>
              </w:rPr>
            </w:pPr>
            <w:r w:rsidRPr="00D549EE">
              <w:rPr>
                <w:bCs/>
                <w:color w:val="000000"/>
                <w:sz w:val="22"/>
                <w:szCs w:val="22"/>
              </w:rPr>
              <w:t xml:space="preserve">43 582 418,25   </w:t>
            </w:r>
          </w:p>
        </w:tc>
        <w:tc>
          <w:tcPr>
            <w:tcW w:w="0" w:type="auto"/>
            <w:shd w:val="clear" w:color="auto" w:fill="auto"/>
            <w:noWrap/>
            <w:vAlign w:val="bottom"/>
            <w:hideMark/>
          </w:tcPr>
          <w:p w14:paraId="1904D814" w14:textId="77777777" w:rsidR="00EE0AEE" w:rsidRPr="00D549EE" w:rsidRDefault="00EE0AEE" w:rsidP="00C9582F">
            <w:pPr>
              <w:contextualSpacing/>
              <w:jc w:val="right"/>
              <w:rPr>
                <w:bCs/>
                <w:iCs/>
                <w:color w:val="000000" w:themeColor="text1"/>
                <w:sz w:val="22"/>
                <w:szCs w:val="22"/>
              </w:rPr>
            </w:pPr>
            <w:r w:rsidRPr="00D549EE">
              <w:rPr>
                <w:bCs/>
                <w:color w:val="000000"/>
                <w:sz w:val="22"/>
                <w:szCs w:val="22"/>
              </w:rPr>
              <w:t xml:space="preserve">45 761 539,16   </w:t>
            </w:r>
          </w:p>
        </w:tc>
      </w:tr>
      <w:tr w:rsidR="00EE0AEE" w:rsidRPr="00D549EE" w14:paraId="4DD8723A" w14:textId="77777777" w:rsidTr="004E240D">
        <w:trPr>
          <w:trHeight w:val="271"/>
        </w:trPr>
        <w:tc>
          <w:tcPr>
            <w:tcW w:w="0" w:type="auto"/>
            <w:shd w:val="clear" w:color="auto" w:fill="auto"/>
            <w:vAlign w:val="center"/>
            <w:hideMark/>
          </w:tcPr>
          <w:p w14:paraId="266BB73B" w14:textId="77777777" w:rsidR="00EE0AEE" w:rsidRPr="00D549EE" w:rsidRDefault="00EE0AEE" w:rsidP="00C9582F">
            <w:pPr>
              <w:contextualSpacing/>
              <w:rPr>
                <w:color w:val="000000" w:themeColor="text1"/>
                <w:sz w:val="22"/>
                <w:szCs w:val="22"/>
              </w:rPr>
            </w:pPr>
            <w:r w:rsidRPr="00D549EE">
              <w:rPr>
                <w:color w:val="000000" w:themeColor="text1"/>
                <w:sz w:val="22"/>
                <w:szCs w:val="22"/>
              </w:rPr>
              <w:t xml:space="preserve">Administrative expenses </w:t>
            </w:r>
          </w:p>
        </w:tc>
        <w:tc>
          <w:tcPr>
            <w:tcW w:w="0" w:type="auto"/>
            <w:shd w:val="clear" w:color="auto" w:fill="auto"/>
            <w:noWrap/>
            <w:vAlign w:val="bottom"/>
            <w:hideMark/>
          </w:tcPr>
          <w:p w14:paraId="0D610BE8"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6 956 475,00   </w:t>
            </w:r>
          </w:p>
        </w:tc>
        <w:tc>
          <w:tcPr>
            <w:tcW w:w="0" w:type="auto"/>
            <w:shd w:val="clear" w:color="auto" w:fill="auto"/>
            <w:noWrap/>
            <w:vAlign w:val="bottom"/>
            <w:hideMark/>
          </w:tcPr>
          <w:p w14:paraId="5F1282F8"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7 454 900,00   </w:t>
            </w:r>
          </w:p>
        </w:tc>
        <w:tc>
          <w:tcPr>
            <w:tcW w:w="0" w:type="auto"/>
            <w:shd w:val="clear" w:color="auto" w:fill="auto"/>
            <w:noWrap/>
            <w:vAlign w:val="bottom"/>
            <w:hideMark/>
          </w:tcPr>
          <w:p w14:paraId="64374D11" w14:textId="77777777" w:rsidR="00EE0AEE" w:rsidRPr="00D549EE" w:rsidRDefault="00EE0AEE" w:rsidP="00C9582F">
            <w:pPr>
              <w:contextualSpacing/>
              <w:jc w:val="right"/>
              <w:rPr>
                <w:iCs/>
                <w:color w:val="000000" w:themeColor="text1"/>
                <w:sz w:val="22"/>
                <w:szCs w:val="22"/>
                <w:lang w:val="en-US"/>
              </w:rPr>
            </w:pPr>
            <w:r w:rsidRPr="00D549EE">
              <w:rPr>
                <w:color w:val="000000"/>
                <w:sz w:val="22"/>
                <w:szCs w:val="22"/>
              </w:rPr>
              <w:t xml:space="preserve">10 325 036,50   </w:t>
            </w:r>
          </w:p>
        </w:tc>
        <w:tc>
          <w:tcPr>
            <w:tcW w:w="0" w:type="auto"/>
            <w:shd w:val="clear" w:color="auto" w:fill="auto"/>
            <w:noWrap/>
            <w:vAlign w:val="bottom"/>
            <w:hideMark/>
          </w:tcPr>
          <w:p w14:paraId="3894715F"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14 300 175,55   </w:t>
            </w:r>
          </w:p>
        </w:tc>
        <w:tc>
          <w:tcPr>
            <w:tcW w:w="0" w:type="auto"/>
            <w:shd w:val="clear" w:color="auto" w:fill="auto"/>
            <w:noWrap/>
            <w:vAlign w:val="bottom"/>
            <w:hideMark/>
          </w:tcPr>
          <w:p w14:paraId="31CE2E71"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19 805 743,14   </w:t>
            </w:r>
          </w:p>
        </w:tc>
      </w:tr>
      <w:tr w:rsidR="00EE0AEE" w:rsidRPr="00D549EE" w14:paraId="7481CA1A" w14:textId="77777777" w:rsidTr="004E240D">
        <w:trPr>
          <w:trHeight w:val="319"/>
        </w:trPr>
        <w:tc>
          <w:tcPr>
            <w:tcW w:w="0" w:type="auto"/>
            <w:shd w:val="clear" w:color="auto" w:fill="auto"/>
            <w:vAlign w:val="center"/>
            <w:hideMark/>
          </w:tcPr>
          <w:p w14:paraId="03A2F85C" w14:textId="77777777" w:rsidR="00EE0AEE" w:rsidRPr="00D549EE" w:rsidRDefault="00EE0AEE" w:rsidP="00C9582F">
            <w:pPr>
              <w:contextualSpacing/>
              <w:rPr>
                <w:color w:val="000000" w:themeColor="text1"/>
                <w:sz w:val="22"/>
                <w:szCs w:val="22"/>
              </w:rPr>
            </w:pPr>
            <w:r w:rsidRPr="00D549EE">
              <w:rPr>
                <w:color w:val="000000" w:themeColor="text1"/>
                <w:sz w:val="22"/>
                <w:szCs w:val="22"/>
              </w:rPr>
              <w:t xml:space="preserve">Operating expenses </w:t>
            </w:r>
          </w:p>
        </w:tc>
        <w:tc>
          <w:tcPr>
            <w:tcW w:w="0" w:type="auto"/>
            <w:shd w:val="clear" w:color="auto" w:fill="auto"/>
            <w:noWrap/>
            <w:vAlign w:val="bottom"/>
            <w:hideMark/>
          </w:tcPr>
          <w:p w14:paraId="1E1E9A5F"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1 790 000,00   </w:t>
            </w:r>
          </w:p>
        </w:tc>
        <w:tc>
          <w:tcPr>
            <w:tcW w:w="0" w:type="auto"/>
            <w:shd w:val="clear" w:color="auto" w:fill="auto"/>
            <w:noWrap/>
            <w:vAlign w:val="bottom"/>
            <w:hideMark/>
          </w:tcPr>
          <w:p w14:paraId="1714E3CA"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1 547 000,00   </w:t>
            </w:r>
          </w:p>
        </w:tc>
        <w:tc>
          <w:tcPr>
            <w:tcW w:w="0" w:type="auto"/>
            <w:shd w:val="clear" w:color="auto" w:fill="auto"/>
            <w:noWrap/>
            <w:vAlign w:val="bottom"/>
            <w:hideMark/>
          </w:tcPr>
          <w:p w14:paraId="1773757B" w14:textId="77777777" w:rsidR="00EE0AEE" w:rsidRPr="00D549EE" w:rsidRDefault="00EE0AEE" w:rsidP="00C9582F">
            <w:pPr>
              <w:contextualSpacing/>
              <w:jc w:val="right"/>
              <w:rPr>
                <w:iCs/>
                <w:color w:val="000000" w:themeColor="text1"/>
                <w:sz w:val="22"/>
                <w:szCs w:val="22"/>
                <w:lang w:val="en-US"/>
              </w:rPr>
            </w:pPr>
            <w:r w:rsidRPr="00D549EE">
              <w:rPr>
                <w:color w:val="000000"/>
                <w:sz w:val="22"/>
                <w:szCs w:val="22"/>
              </w:rPr>
              <w:t xml:space="preserve">  2 142 595,00   </w:t>
            </w:r>
          </w:p>
        </w:tc>
        <w:tc>
          <w:tcPr>
            <w:tcW w:w="0" w:type="auto"/>
            <w:shd w:val="clear" w:color="auto" w:fill="auto"/>
            <w:noWrap/>
            <w:vAlign w:val="bottom"/>
            <w:hideMark/>
          </w:tcPr>
          <w:p w14:paraId="436EB2E5"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2 967 494,08   </w:t>
            </w:r>
          </w:p>
        </w:tc>
        <w:tc>
          <w:tcPr>
            <w:tcW w:w="0" w:type="auto"/>
            <w:shd w:val="clear" w:color="auto" w:fill="auto"/>
            <w:noWrap/>
            <w:vAlign w:val="bottom"/>
            <w:hideMark/>
          </w:tcPr>
          <w:p w14:paraId="08D1D269" w14:textId="77777777" w:rsidR="00EE0AEE" w:rsidRPr="00D549EE" w:rsidRDefault="00EE0AEE" w:rsidP="00C9582F">
            <w:pPr>
              <w:contextualSpacing/>
              <w:jc w:val="right"/>
              <w:rPr>
                <w:color w:val="000000" w:themeColor="text1"/>
                <w:sz w:val="22"/>
                <w:szCs w:val="22"/>
                <w:lang w:val="en-US"/>
              </w:rPr>
            </w:pPr>
            <w:r w:rsidRPr="00D549EE">
              <w:rPr>
                <w:color w:val="000000"/>
                <w:sz w:val="22"/>
                <w:szCs w:val="22"/>
              </w:rPr>
              <w:t xml:space="preserve">  4 109 979,29   </w:t>
            </w:r>
          </w:p>
        </w:tc>
      </w:tr>
      <w:tr w:rsidR="00EE0AEE" w:rsidRPr="00D549EE" w14:paraId="503A39C0" w14:textId="77777777" w:rsidTr="004E240D">
        <w:trPr>
          <w:trHeight w:val="319"/>
        </w:trPr>
        <w:tc>
          <w:tcPr>
            <w:tcW w:w="0" w:type="auto"/>
            <w:shd w:val="clear" w:color="auto" w:fill="auto"/>
            <w:vAlign w:val="center"/>
          </w:tcPr>
          <w:p w14:paraId="32333DFC" w14:textId="77777777" w:rsidR="00EE0AEE" w:rsidRPr="00D549EE" w:rsidRDefault="00EE0AEE" w:rsidP="00C9582F">
            <w:pPr>
              <w:contextualSpacing/>
              <w:rPr>
                <w:color w:val="000000" w:themeColor="text1"/>
                <w:sz w:val="22"/>
                <w:szCs w:val="22"/>
              </w:rPr>
            </w:pPr>
            <w:r w:rsidRPr="00D549EE">
              <w:rPr>
                <w:color w:val="000000" w:themeColor="text1"/>
                <w:sz w:val="22"/>
                <w:szCs w:val="22"/>
                <w:lang w:val="en-US"/>
              </w:rPr>
              <w:t xml:space="preserve">Capital </w:t>
            </w:r>
            <w:r w:rsidRPr="00D549EE">
              <w:rPr>
                <w:color w:val="000000" w:themeColor="text1"/>
                <w:sz w:val="22"/>
                <w:szCs w:val="22"/>
              </w:rPr>
              <w:t>expenses</w:t>
            </w:r>
          </w:p>
        </w:tc>
        <w:tc>
          <w:tcPr>
            <w:tcW w:w="0" w:type="auto"/>
            <w:shd w:val="clear" w:color="auto" w:fill="auto"/>
            <w:noWrap/>
            <w:vAlign w:val="bottom"/>
          </w:tcPr>
          <w:p w14:paraId="72DDADCF" w14:textId="77777777" w:rsidR="00EE0AEE" w:rsidRPr="00D549EE" w:rsidRDefault="00EE0AEE" w:rsidP="00C9582F">
            <w:pPr>
              <w:contextualSpacing/>
              <w:jc w:val="right"/>
              <w:rPr>
                <w:color w:val="000000"/>
                <w:sz w:val="22"/>
                <w:szCs w:val="22"/>
                <w:lang w:val="en-US"/>
              </w:rPr>
            </w:pPr>
            <w:r w:rsidRPr="00D549EE">
              <w:rPr>
                <w:color w:val="000000"/>
                <w:sz w:val="22"/>
                <w:szCs w:val="22"/>
                <w:lang w:val="en-US"/>
              </w:rPr>
              <w:t>20 892 865</w:t>
            </w:r>
          </w:p>
        </w:tc>
        <w:tc>
          <w:tcPr>
            <w:tcW w:w="0" w:type="auto"/>
            <w:shd w:val="clear" w:color="auto" w:fill="auto"/>
            <w:noWrap/>
            <w:vAlign w:val="bottom"/>
          </w:tcPr>
          <w:p w14:paraId="3D61C00E" w14:textId="77777777" w:rsidR="00EE0AEE" w:rsidRPr="00D549EE" w:rsidRDefault="00EE0AEE" w:rsidP="00C9582F">
            <w:pPr>
              <w:contextualSpacing/>
              <w:jc w:val="right"/>
              <w:rPr>
                <w:color w:val="000000"/>
                <w:sz w:val="22"/>
                <w:szCs w:val="22"/>
                <w:lang w:val="en-US"/>
              </w:rPr>
            </w:pPr>
            <w:r w:rsidRPr="00D549EE">
              <w:rPr>
                <w:color w:val="000000"/>
                <w:sz w:val="22"/>
                <w:szCs w:val="22"/>
                <w:lang w:val="en-US"/>
              </w:rPr>
              <w:t>0</w:t>
            </w:r>
          </w:p>
        </w:tc>
        <w:tc>
          <w:tcPr>
            <w:tcW w:w="0" w:type="auto"/>
            <w:shd w:val="clear" w:color="auto" w:fill="auto"/>
            <w:noWrap/>
            <w:vAlign w:val="bottom"/>
          </w:tcPr>
          <w:p w14:paraId="6A11BB9D" w14:textId="77777777" w:rsidR="00EE0AEE" w:rsidRPr="00D549EE" w:rsidRDefault="00EE0AEE" w:rsidP="00C9582F">
            <w:pPr>
              <w:contextualSpacing/>
              <w:jc w:val="right"/>
              <w:rPr>
                <w:color w:val="000000"/>
                <w:sz w:val="22"/>
                <w:szCs w:val="22"/>
                <w:lang w:val="en-US"/>
              </w:rPr>
            </w:pPr>
            <w:r w:rsidRPr="00D549EE">
              <w:rPr>
                <w:color w:val="000000"/>
                <w:sz w:val="22"/>
                <w:szCs w:val="22"/>
                <w:lang w:val="en-US"/>
              </w:rPr>
              <w:t>0</w:t>
            </w:r>
          </w:p>
        </w:tc>
        <w:tc>
          <w:tcPr>
            <w:tcW w:w="0" w:type="auto"/>
            <w:shd w:val="clear" w:color="auto" w:fill="auto"/>
            <w:noWrap/>
            <w:vAlign w:val="bottom"/>
          </w:tcPr>
          <w:p w14:paraId="455770C5" w14:textId="77777777" w:rsidR="00EE0AEE" w:rsidRPr="00D549EE" w:rsidRDefault="00EE0AEE" w:rsidP="00C9582F">
            <w:pPr>
              <w:contextualSpacing/>
              <w:jc w:val="right"/>
              <w:rPr>
                <w:color w:val="000000"/>
                <w:sz w:val="22"/>
                <w:szCs w:val="22"/>
                <w:lang w:val="en-US"/>
              </w:rPr>
            </w:pPr>
            <w:r w:rsidRPr="00D549EE">
              <w:rPr>
                <w:color w:val="000000"/>
                <w:sz w:val="22"/>
                <w:szCs w:val="22"/>
                <w:lang w:val="en-US"/>
              </w:rPr>
              <w:t>0</w:t>
            </w:r>
          </w:p>
        </w:tc>
        <w:tc>
          <w:tcPr>
            <w:tcW w:w="0" w:type="auto"/>
            <w:shd w:val="clear" w:color="auto" w:fill="auto"/>
            <w:noWrap/>
            <w:vAlign w:val="bottom"/>
          </w:tcPr>
          <w:p w14:paraId="468DFD46" w14:textId="77777777" w:rsidR="00EE0AEE" w:rsidRPr="00D549EE" w:rsidRDefault="00EE0AEE" w:rsidP="00C9582F">
            <w:pPr>
              <w:contextualSpacing/>
              <w:jc w:val="right"/>
              <w:rPr>
                <w:color w:val="000000"/>
                <w:sz w:val="22"/>
                <w:szCs w:val="22"/>
                <w:lang w:val="en-US"/>
              </w:rPr>
            </w:pPr>
            <w:r w:rsidRPr="00D549EE">
              <w:rPr>
                <w:color w:val="000000"/>
                <w:sz w:val="22"/>
                <w:szCs w:val="22"/>
                <w:lang w:val="en-US"/>
              </w:rPr>
              <w:t>0</w:t>
            </w:r>
          </w:p>
        </w:tc>
      </w:tr>
      <w:tr w:rsidR="00EE0AEE" w:rsidRPr="00D549EE" w14:paraId="15BBD9A1" w14:textId="77777777" w:rsidTr="004E240D">
        <w:trPr>
          <w:trHeight w:val="282"/>
        </w:trPr>
        <w:tc>
          <w:tcPr>
            <w:tcW w:w="0" w:type="auto"/>
            <w:shd w:val="clear" w:color="auto" w:fill="auto"/>
            <w:vAlign w:val="center"/>
            <w:hideMark/>
          </w:tcPr>
          <w:p w14:paraId="64C653FD" w14:textId="77777777" w:rsidR="00EE0AEE" w:rsidRPr="00D549EE" w:rsidRDefault="00EE0AEE" w:rsidP="00C9582F">
            <w:pPr>
              <w:contextualSpacing/>
              <w:rPr>
                <w:bCs/>
                <w:color w:val="000000" w:themeColor="text1"/>
                <w:sz w:val="22"/>
                <w:szCs w:val="22"/>
              </w:rPr>
            </w:pPr>
            <w:r w:rsidRPr="00D549EE">
              <w:rPr>
                <w:bCs/>
                <w:color w:val="000000" w:themeColor="text1"/>
                <w:sz w:val="22"/>
                <w:szCs w:val="22"/>
              </w:rPr>
              <w:t xml:space="preserve"> Profit before tax</w:t>
            </w:r>
          </w:p>
        </w:tc>
        <w:tc>
          <w:tcPr>
            <w:tcW w:w="0" w:type="auto"/>
            <w:shd w:val="clear" w:color="auto" w:fill="auto"/>
            <w:noWrap/>
            <w:vAlign w:val="bottom"/>
            <w:hideMark/>
          </w:tcPr>
          <w:p w14:paraId="2790F790" w14:textId="77777777" w:rsidR="00EE0AEE" w:rsidRPr="00D549EE" w:rsidRDefault="00EE0AEE" w:rsidP="00C9582F">
            <w:pPr>
              <w:contextualSpacing/>
              <w:jc w:val="right"/>
              <w:rPr>
                <w:bCs/>
                <w:iCs/>
                <w:color w:val="000000" w:themeColor="text1"/>
                <w:sz w:val="22"/>
                <w:szCs w:val="22"/>
                <w:lang w:val="en-US"/>
              </w:rPr>
            </w:pPr>
            <w:r w:rsidRPr="00D549EE">
              <w:rPr>
                <w:bCs/>
                <w:color w:val="000000"/>
                <w:sz w:val="22"/>
                <w:szCs w:val="22"/>
                <w:lang w:val="en-US"/>
              </w:rPr>
              <w:t>414 310,00</w:t>
            </w:r>
            <w:r w:rsidRPr="00D549EE">
              <w:rPr>
                <w:bCs/>
                <w:color w:val="000000"/>
                <w:sz w:val="22"/>
                <w:szCs w:val="22"/>
              </w:rPr>
              <w:t xml:space="preserve">   </w:t>
            </w:r>
          </w:p>
        </w:tc>
        <w:tc>
          <w:tcPr>
            <w:tcW w:w="0" w:type="auto"/>
            <w:shd w:val="clear" w:color="auto" w:fill="auto"/>
            <w:noWrap/>
            <w:vAlign w:val="bottom"/>
            <w:hideMark/>
          </w:tcPr>
          <w:p w14:paraId="7F76234E" w14:textId="77777777" w:rsidR="00EE0AEE" w:rsidRPr="00D549EE" w:rsidRDefault="00EE0AEE" w:rsidP="00C9582F">
            <w:pPr>
              <w:contextualSpacing/>
              <w:jc w:val="right"/>
              <w:rPr>
                <w:bCs/>
                <w:iCs/>
                <w:color w:val="000000" w:themeColor="text1"/>
                <w:sz w:val="22"/>
                <w:szCs w:val="22"/>
              </w:rPr>
            </w:pPr>
            <w:r w:rsidRPr="00D549EE">
              <w:rPr>
                <w:bCs/>
                <w:color w:val="000000"/>
                <w:sz w:val="22"/>
                <w:szCs w:val="22"/>
              </w:rPr>
              <w:t xml:space="preserve">20 967 100,00   </w:t>
            </w:r>
          </w:p>
        </w:tc>
        <w:tc>
          <w:tcPr>
            <w:tcW w:w="0" w:type="auto"/>
            <w:shd w:val="clear" w:color="auto" w:fill="auto"/>
            <w:noWrap/>
            <w:vAlign w:val="bottom"/>
            <w:hideMark/>
          </w:tcPr>
          <w:p w14:paraId="723558ED" w14:textId="77777777" w:rsidR="00EE0AEE" w:rsidRPr="00D549EE" w:rsidRDefault="00EE0AEE" w:rsidP="00C9582F">
            <w:pPr>
              <w:contextualSpacing/>
              <w:jc w:val="right"/>
              <w:rPr>
                <w:bCs/>
                <w:iCs/>
                <w:color w:val="000000" w:themeColor="text1"/>
                <w:sz w:val="22"/>
                <w:szCs w:val="22"/>
              </w:rPr>
            </w:pPr>
            <w:r w:rsidRPr="00D549EE">
              <w:rPr>
                <w:bCs/>
                <w:color w:val="000000"/>
                <w:sz w:val="22"/>
                <w:szCs w:val="22"/>
              </w:rPr>
              <w:t xml:space="preserve">29 039 433,50   </w:t>
            </w:r>
          </w:p>
        </w:tc>
        <w:tc>
          <w:tcPr>
            <w:tcW w:w="0" w:type="auto"/>
            <w:shd w:val="clear" w:color="auto" w:fill="auto"/>
            <w:noWrap/>
            <w:vAlign w:val="bottom"/>
            <w:hideMark/>
          </w:tcPr>
          <w:p w14:paraId="03A16407" w14:textId="77777777" w:rsidR="00EE0AEE" w:rsidRPr="00D549EE" w:rsidRDefault="00EE0AEE" w:rsidP="00C9582F">
            <w:pPr>
              <w:contextualSpacing/>
              <w:jc w:val="right"/>
              <w:rPr>
                <w:bCs/>
                <w:iCs/>
                <w:color w:val="000000" w:themeColor="text1"/>
                <w:sz w:val="22"/>
                <w:szCs w:val="22"/>
              </w:rPr>
            </w:pPr>
            <w:r w:rsidRPr="00D549EE">
              <w:rPr>
                <w:bCs/>
                <w:color w:val="000000"/>
                <w:sz w:val="22"/>
                <w:szCs w:val="22"/>
              </w:rPr>
              <w:t xml:space="preserve">26 314 748,62   </w:t>
            </w:r>
          </w:p>
        </w:tc>
        <w:tc>
          <w:tcPr>
            <w:tcW w:w="0" w:type="auto"/>
            <w:shd w:val="clear" w:color="auto" w:fill="auto"/>
            <w:noWrap/>
            <w:vAlign w:val="bottom"/>
            <w:hideMark/>
          </w:tcPr>
          <w:p w14:paraId="6187119F" w14:textId="77777777" w:rsidR="00EE0AEE" w:rsidRPr="00D549EE" w:rsidRDefault="00EE0AEE" w:rsidP="00C9582F">
            <w:pPr>
              <w:contextualSpacing/>
              <w:jc w:val="right"/>
              <w:rPr>
                <w:bCs/>
                <w:iCs/>
                <w:color w:val="000000" w:themeColor="text1"/>
                <w:sz w:val="22"/>
                <w:szCs w:val="22"/>
              </w:rPr>
            </w:pPr>
            <w:r w:rsidRPr="00D549EE">
              <w:rPr>
                <w:bCs/>
                <w:color w:val="000000"/>
                <w:sz w:val="22"/>
                <w:szCs w:val="22"/>
              </w:rPr>
              <w:t xml:space="preserve">21 845 816,73   </w:t>
            </w:r>
          </w:p>
        </w:tc>
      </w:tr>
      <w:tr w:rsidR="00EE0AEE" w:rsidRPr="00D549EE" w14:paraId="4202DA0A" w14:textId="77777777" w:rsidTr="004E240D">
        <w:trPr>
          <w:trHeight w:val="277"/>
        </w:trPr>
        <w:tc>
          <w:tcPr>
            <w:tcW w:w="0" w:type="auto"/>
            <w:shd w:val="clear" w:color="auto" w:fill="auto"/>
            <w:vAlign w:val="center"/>
            <w:hideMark/>
          </w:tcPr>
          <w:p w14:paraId="6298B94C" w14:textId="77777777" w:rsidR="00EE0AEE" w:rsidRPr="00D549EE" w:rsidRDefault="00EE0AEE" w:rsidP="00C9582F">
            <w:pPr>
              <w:contextualSpacing/>
              <w:rPr>
                <w:bCs/>
                <w:color w:val="000000" w:themeColor="text1"/>
                <w:sz w:val="22"/>
                <w:szCs w:val="22"/>
              </w:rPr>
            </w:pPr>
            <w:r w:rsidRPr="00D549EE">
              <w:rPr>
                <w:color w:val="000000" w:themeColor="text1"/>
                <w:sz w:val="22"/>
                <w:szCs w:val="22"/>
                <w:lang w:val="en-US"/>
              </w:rPr>
              <w:t xml:space="preserve">Income tax expense  </w:t>
            </w:r>
          </w:p>
        </w:tc>
        <w:tc>
          <w:tcPr>
            <w:tcW w:w="0" w:type="auto"/>
            <w:shd w:val="clear" w:color="auto" w:fill="auto"/>
            <w:noWrap/>
            <w:vAlign w:val="bottom"/>
            <w:hideMark/>
          </w:tcPr>
          <w:p w14:paraId="18098136" w14:textId="77777777" w:rsidR="00EE0AEE" w:rsidRPr="00D549EE" w:rsidRDefault="00EE0AEE" w:rsidP="00C9582F">
            <w:pPr>
              <w:contextualSpacing/>
              <w:jc w:val="right"/>
              <w:rPr>
                <w:bCs/>
                <w:iCs/>
                <w:color w:val="000000" w:themeColor="text1"/>
                <w:sz w:val="22"/>
                <w:szCs w:val="22"/>
                <w:lang w:val="en-US"/>
              </w:rPr>
            </w:pPr>
            <w:r w:rsidRPr="00D549EE">
              <w:rPr>
                <w:color w:val="000000"/>
                <w:sz w:val="22"/>
                <w:szCs w:val="22"/>
              </w:rPr>
              <w:t xml:space="preserve">    </w:t>
            </w:r>
            <w:r w:rsidRPr="00D549EE">
              <w:rPr>
                <w:color w:val="000000"/>
                <w:sz w:val="22"/>
                <w:szCs w:val="22"/>
                <w:lang w:val="en-US"/>
              </w:rPr>
              <w:t>12 429,30</w:t>
            </w:r>
            <w:r w:rsidRPr="00D549EE">
              <w:rPr>
                <w:color w:val="000000"/>
                <w:sz w:val="22"/>
                <w:szCs w:val="22"/>
              </w:rPr>
              <w:t xml:space="preserve">   </w:t>
            </w:r>
          </w:p>
        </w:tc>
        <w:tc>
          <w:tcPr>
            <w:tcW w:w="0" w:type="auto"/>
            <w:shd w:val="clear" w:color="auto" w:fill="auto"/>
            <w:noWrap/>
            <w:vAlign w:val="bottom"/>
            <w:hideMark/>
          </w:tcPr>
          <w:p w14:paraId="3FAEBDF9" w14:textId="77777777" w:rsidR="00EE0AEE" w:rsidRPr="00D549EE" w:rsidRDefault="00EE0AEE" w:rsidP="00C9582F">
            <w:pPr>
              <w:contextualSpacing/>
              <w:jc w:val="right"/>
              <w:rPr>
                <w:bCs/>
                <w:iCs/>
                <w:color w:val="000000" w:themeColor="text1"/>
                <w:sz w:val="22"/>
                <w:szCs w:val="22"/>
              </w:rPr>
            </w:pPr>
            <w:r w:rsidRPr="00D549EE">
              <w:rPr>
                <w:color w:val="000000"/>
                <w:sz w:val="22"/>
                <w:szCs w:val="22"/>
              </w:rPr>
              <w:t xml:space="preserve">     629 013,00   </w:t>
            </w:r>
          </w:p>
        </w:tc>
        <w:tc>
          <w:tcPr>
            <w:tcW w:w="0" w:type="auto"/>
            <w:shd w:val="clear" w:color="auto" w:fill="auto"/>
            <w:noWrap/>
            <w:vAlign w:val="bottom"/>
            <w:hideMark/>
          </w:tcPr>
          <w:p w14:paraId="2DBACCA1" w14:textId="77777777" w:rsidR="00EE0AEE" w:rsidRPr="00D549EE" w:rsidRDefault="00EE0AEE" w:rsidP="00C9582F">
            <w:pPr>
              <w:contextualSpacing/>
              <w:jc w:val="right"/>
              <w:rPr>
                <w:bCs/>
                <w:iCs/>
                <w:color w:val="000000" w:themeColor="text1"/>
                <w:sz w:val="22"/>
                <w:szCs w:val="22"/>
              </w:rPr>
            </w:pPr>
            <w:r w:rsidRPr="00D549EE">
              <w:rPr>
                <w:color w:val="000000"/>
                <w:sz w:val="22"/>
                <w:szCs w:val="22"/>
              </w:rPr>
              <w:t xml:space="preserve">     871 183,01   </w:t>
            </w:r>
          </w:p>
        </w:tc>
        <w:tc>
          <w:tcPr>
            <w:tcW w:w="0" w:type="auto"/>
            <w:shd w:val="clear" w:color="auto" w:fill="auto"/>
            <w:noWrap/>
            <w:vAlign w:val="bottom"/>
            <w:hideMark/>
          </w:tcPr>
          <w:p w14:paraId="724907CA" w14:textId="77777777" w:rsidR="00EE0AEE" w:rsidRPr="00D549EE" w:rsidRDefault="00EE0AEE" w:rsidP="00C9582F">
            <w:pPr>
              <w:contextualSpacing/>
              <w:jc w:val="right"/>
              <w:rPr>
                <w:bCs/>
                <w:iCs/>
                <w:color w:val="000000" w:themeColor="text1"/>
                <w:sz w:val="22"/>
                <w:szCs w:val="22"/>
              </w:rPr>
            </w:pPr>
            <w:r w:rsidRPr="00D549EE">
              <w:rPr>
                <w:color w:val="000000"/>
                <w:sz w:val="22"/>
                <w:szCs w:val="22"/>
              </w:rPr>
              <w:t xml:space="preserve">     789 442,46   </w:t>
            </w:r>
          </w:p>
        </w:tc>
        <w:tc>
          <w:tcPr>
            <w:tcW w:w="0" w:type="auto"/>
            <w:shd w:val="clear" w:color="auto" w:fill="auto"/>
            <w:noWrap/>
            <w:vAlign w:val="bottom"/>
            <w:hideMark/>
          </w:tcPr>
          <w:p w14:paraId="76BCBF46" w14:textId="77777777" w:rsidR="00EE0AEE" w:rsidRPr="00D549EE" w:rsidRDefault="00EE0AEE" w:rsidP="00C9582F">
            <w:pPr>
              <w:contextualSpacing/>
              <w:jc w:val="right"/>
              <w:rPr>
                <w:bCs/>
                <w:iCs/>
                <w:color w:val="000000" w:themeColor="text1"/>
                <w:sz w:val="22"/>
                <w:szCs w:val="22"/>
              </w:rPr>
            </w:pPr>
            <w:r w:rsidRPr="00D549EE">
              <w:rPr>
                <w:color w:val="000000"/>
                <w:sz w:val="22"/>
                <w:szCs w:val="22"/>
              </w:rPr>
              <w:t xml:space="preserve">     655 374,50   </w:t>
            </w:r>
          </w:p>
        </w:tc>
      </w:tr>
      <w:tr w:rsidR="00EE0AEE" w:rsidRPr="00D549EE" w14:paraId="0CB9D59C" w14:textId="77777777" w:rsidTr="004E240D">
        <w:trPr>
          <w:trHeight w:val="184"/>
        </w:trPr>
        <w:tc>
          <w:tcPr>
            <w:tcW w:w="0" w:type="auto"/>
            <w:shd w:val="clear" w:color="auto" w:fill="auto"/>
            <w:vAlign w:val="center"/>
            <w:hideMark/>
          </w:tcPr>
          <w:p w14:paraId="027383FC" w14:textId="77777777" w:rsidR="00EE0AEE" w:rsidRPr="00D549EE" w:rsidRDefault="00EE0AEE" w:rsidP="00C9582F">
            <w:pPr>
              <w:contextualSpacing/>
              <w:rPr>
                <w:color w:val="000000" w:themeColor="text1"/>
                <w:sz w:val="22"/>
                <w:szCs w:val="22"/>
                <w:lang w:val="en-US"/>
              </w:rPr>
            </w:pPr>
            <w:r w:rsidRPr="00D549EE">
              <w:rPr>
                <w:color w:val="000000" w:themeColor="text1"/>
                <w:sz w:val="22"/>
                <w:szCs w:val="22"/>
              </w:rPr>
              <w:t>Profit for the year</w:t>
            </w:r>
          </w:p>
        </w:tc>
        <w:tc>
          <w:tcPr>
            <w:tcW w:w="0" w:type="auto"/>
            <w:shd w:val="clear" w:color="auto" w:fill="auto"/>
            <w:noWrap/>
            <w:vAlign w:val="bottom"/>
            <w:hideMark/>
          </w:tcPr>
          <w:p w14:paraId="249AFF90" w14:textId="77777777" w:rsidR="00EE0AEE" w:rsidRPr="00D549EE" w:rsidRDefault="00EE0AEE" w:rsidP="00C9582F">
            <w:pPr>
              <w:contextualSpacing/>
              <w:rPr>
                <w:color w:val="000000" w:themeColor="text1"/>
                <w:sz w:val="22"/>
                <w:szCs w:val="22"/>
              </w:rPr>
            </w:pPr>
            <w:r w:rsidRPr="00D549EE">
              <w:rPr>
                <w:bCs/>
                <w:color w:val="000000"/>
                <w:sz w:val="22"/>
                <w:szCs w:val="22"/>
                <w:lang w:val="en-US"/>
              </w:rPr>
              <w:t>401 880,70</w:t>
            </w:r>
            <w:r w:rsidRPr="00D549EE">
              <w:rPr>
                <w:bCs/>
                <w:color w:val="000000"/>
                <w:sz w:val="22"/>
                <w:szCs w:val="22"/>
              </w:rPr>
              <w:t xml:space="preserve">   </w:t>
            </w:r>
          </w:p>
        </w:tc>
        <w:tc>
          <w:tcPr>
            <w:tcW w:w="0" w:type="auto"/>
            <w:shd w:val="clear" w:color="auto" w:fill="auto"/>
            <w:noWrap/>
            <w:vAlign w:val="bottom"/>
            <w:hideMark/>
          </w:tcPr>
          <w:p w14:paraId="694B06D0" w14:textId="77777777" w:rsidR="00EE0AEE" w:rsidRPr="00D549EE" w:rsidRDefault="00EE0AEE" w:rsidP="00C9582F">
            <w:pPr>
              <w:contextualSpacing/>
              <w:jc w:val="right"/>
              <w:rPr>
                <w:color w:val="000000" w:themeColor="text1"/>
                <w:sz w:val="22"/>
                <w:szCs w:val="22"/>
                <w:lang w:val="en-US"/>
              </w:rPr>
            </w:pPr>
            <w:r w:rsidRPr="00D549EE">
              <w:rPr>
                <w:bCs/>
                <w:color w:val="000000"/>
                <w:sz w:val="22"/>
                <w:szCs w:val="22"/>
                <w:lang w:val="en-US"/>
              </w:rPr>
              <w:t>2</w:t>
            </w:r>
            <w:r w:rsidRPr="00D549EE">
              <w:rPr>
                <w:bCs/>
                <w:color w:val="000000"/>
                <w:sz w:val="22"/>
                <w:szCs w:val="22"/>
              </w:rPr>
              <w:t xml:space="preserve">0 338 087,00   </w:t>
            </w:r>
          </w:p>
        </w:tc>
        <w:tc>
          <w:tcPr>
            <w:tcW w:w="0" w:type="auto"/>
            <w:shd w:val="clear" w:color="auto" w:fill="auto"/>
            <w:noWrap/>
            <w:vAlign w:val="bottom"/>
            <w:hideMark/>
          </w:tcPr>
          <w:p w14:paraId="7E513FB0" w14:textId="77777777" w:rsidR="00EE0AEE" w:rsidRPr="00D549EE" w:rsidRDefault="00EE0AEE" w:rsidP="00C9582F">
            <w:pPr>
              <w:contextualSpacing/>
              <w:jc w:val="right"/>
              <w:rPr>
                <w:iCs/>
                <w:color w:val="000000" w:themeColor="text1"/>
                <w:sz w:val="22"/>
                <w:szCs w:val="22"/>
                <w:lang w:val="en-US"/>
              </w:rPr>
            </w:pPr>
            <w:r w:rsidRPr="00D549EE">
              <w:rPr>
                <w:bCs/>
                <w:color w:val="000000"/>
                <w:sz w:val="22"/>
                <w:szCs w:val="22"/>
              </w:rPr>
              <w:t xml:space="preserve">28 168 250,50   </w:t>
            </w:r>
          </w:p>
        </w:tc>
        <w:tc>
          <w:tcPr>
            <w:tcW w:w="0" w:type="auto"/>
            <w:shd w:val="clear" w:color="auto" w:fill="auto"/>
            <w:noWrap/>
            <w:vAlign w:val="bottom"/>
            <w:hideMark/>
          </w:tcPr>
          <w:p w14:paraId="0E0532E2" w14:textId="77777777" w:rsidR="00EE0AEE" w:rsidRPr="00D549EE" w:rsidRDefault="00EE0AEE" w:rsidP="00C9582F">
            <w:pPr>
              <w:contextualSpacing/>
              <w:jc w:val="right"/>
              <w:rPr>
                <w:color w:val="000000" w:themeColor="text1"/>
                <w:sz w:val="22"/>
                <w:szCs w:val="22"/>
                <w:lang w:val="en-US"/>
              </w:rPr>
            </w:pPr>
            <w:r w:rsidRPr="00D549EE">
              <w:rPr>
                <w:bCs/>
                <w:color w:val="000000"/>
                <w:sz w:val="22"/>
                <w:szCs w:val="22"/>
              </w:rPr>
              <w:t xml:space="preserve">25 525 306,16   </w:t>
            </w:r>
          </w:p>
        </w:tc>
        <w:tc>
          <w:tcPr>
            <w:tcW w:w="0" w:type="auto"/>
            <w:shd w:val="clear" w:color="auto" w:fill="auto"/>
            <w:noWrap/>
            <w:vAlign w:val="bottom"/>
            <w:hideMark/>
          </w:tcPr>
          <w:p w14:paraId="787DC9F6" w14:textId="77777777" w:rsidR="00EE0AEE" w:rsidRPr="00D549EE" w:rsidRDefault="00EE0AEE" w:rsidP="00C9582F">
            <w:pPr>
              <w:contextualSpacing/>
              <w:jc w:val="right"/>
              <w:rPr>
                <w:color w:val="000000" w:themeColor="text1"/>
                <w:sz w:val="22"/>
                <w:szCs w:val="22"/>
                <w:lang w:val="en-US"/>
              </w:rPr>
            </w:pPr>
            <w:r w:rsidRPr="00D549EE">
              <w:rPr>
                <w:bCs/>
                <w:color w:val="000000"/>
                <w:sz w:val="22"/>
                <w:szCs w:val="22"/>
              </w:rPr>
              <w:t xml:space="preserve">21 190 442,23   </w:t>
            </w:r>
          </w:p>
        </w:tc>
      </w:tr>
      <w:tr w:rsidR="003D0BF6" w:rsidRPr="00FC685D" w14:paraId="1D4A875B" w14:textId="77777777" w:rsidTr="0073537E">
        <w:trPr>
          <w:trHeight w:val="184"/>
        </w:trPr>
        <w:tc>
          <w:tcPr>
            <w:tcW w:w="0" w:type="auto"/>
            <w:gridSpan w:val="6"/>
            <w:shd w:val="clear" w:color="auto" w:fill="auto"/>
            <w:vAlign w:val="center"/>
          </w:tcPr>
          <w:p w14:paraId="2FA9B9D2" w14:textId="0B7BBB04" w:rsidR="003D0BF6" w:rsidRPr="00D549EE" w:rsidRDefault="003D0BF6" w:rsidP="00C9582F">
            <w:pPr>
              <w:contextualSpacing/>
              <w:rPr>
                <w:bCs/>
                <w:color w:val="000000"/>
                <w:sz w:val="22"/>
                <w:szCs w:val="22"/>
                <w:lang w:val="en-US"/>
              </w:rPr>
            </w:pPr>
            <w:r w:rsidRPr="00D549EE">
              <w:rPr>
                <w:bCs/>
                <w:color w:val="000000"/>
                <w:sz w:val="22"/>
                <w:szCs w:val="22"/>
                <w:lang w:val="en-US"/>
              </w:rPr>
              <w:t xml:space="preserve">        </w:t>
            </w:r>
            <w:r w:rsidRPr="00D549EE">
              <w:rPr>
                <w:color w:val="000000" w:themeColor="text1"/>
                <w:sz w:val="22"/>
                <w:szCs w:val="22"/>
                <w:lang w:val="en-US"/>
              </w:rPr>
              <w:t>Note – Compiled by the author</w:t>
            </w:r>
          </w:p>
        </w:tc>
      </w:tr>
    </w:tbl>
    <w:p w14:paraId="55AFE1B8" w14:textId="5044833C" w:rsidR="000A422F" w:rsidRPr="00D549EE" w:rsidRDefault="000A422F" w:rsidP="00C9582F">
      <w:pPr>
        <w:ind w:firstLine="708"/>
        <w:jc w:val="both"/>
        <w:rPr>
          <w:color w:val="000000" w:themeColor="text1"/>
          <w:sz w:val="28"/>
          <w:szCs w:val="28"/>
          <w:lang w:val="en-US"/>
        </w:rPr>
      </w:pPr>
    </w:p>
    <w:p w14:paraId="6F6B6C29" w14:textId="40788332" w:rsidR="00EE0AEE" w:rsidRPr="00D549EE" w:rsidRDefault="00EE0AEE" w:rsidP="00C9582F">
      <w:pPr>
        <w:ind w:firstLine="708"/>
        <w:jc w:val="both"/>
        <w:rPr>
          <w:color w:val="000000" w:themeColor="text1"/>
          <w:sz w:val="28"/>
          <w:szCs w:val="28"/>
          <w:lang w:val="en-US"/>
        </w:rPr>
      </w:pPr>
      <w:r w:rsidRPr="00D549EE">
        <w:rPr>
          <w:color w:val="000000" w:themeColor="text1"/>
          <w:sz w:val="28"/>
          <w:szCs w:val="28"/>
          <w:lang w:val="en-US"/>
        </w:rPr>
        <w:t>The invested capital expenditure of the founders will be return first year, however according to the concept of the Ume social market, and initial idea of the project al amount will be spend to the charity. It means, that by implementation the project founders not just used about 21 million tenge for the charity once</w:t>
      </w:r>
      <w:r w:rsidR="001B0380" w:rsidRPr="00D549EE">
        <w:rPr>
          <w:color w:val="000000" w:themeColor="text1"/>
          <w:sz w:val="28"/>
          <w:szCs w:val="28"/>
          <w:lang w:val="en-US"/>
        </w:rPr>
        <w:t>.</w:t>
      </w:r>
      <w:r w:rsidRPr="00D549EE">
        <w:rPr>
          <w:color w:val="000000" w:themeColor="text1"/>
          <w:sz w:val="28"/>
          <w:szCs w:val="28"/>
          <w:lang w:val="en-US"/>
        </w:rPr>
        <w:t xml:space="preserve"> </w:t>
      </w:r>
      <w:r w:rsidR="001B0380" w:rsidRPr="00D549EE">
        <w:rPr>
          <w:color w:val="000000" w:themeColor="text1"/>
          <w:sz w:val="28"/>
          <w:szCs w:val="28"/>
          <w:lang w:val="en-US"/>
        </w:rPr>
        <w:t>T</w:t>
      </w:r>
      <w:r w:rsidRPr="00D549EE">
        <w:rPr>
          <w:color w:val="000000" w:themeColor="text1"/>
          <w:sz w:val="28"/>
          <w:szCs w:val="28"/>
          <w:lang w:val="en-US"/>
        </w:rPr>
        <w:t xml:space="preserve">hey created mechanism, which works on returning and going to the charity founds for the first year, and </w:t>
      </w:r>
      <w:r w:rsidR="001B0380" w:rsidRPr="00D549EE">
        <w:rPr>
          <w:color w:val="000000" w:themeColor="text1"/>
          <w:sz w:val="28"/>
          <w:szCs w:val="28"/>
          <w:lang w:val="en-US"/>
        </w:rPr>
        <w:t xml:space="preserve">gives the equal amount of the profit, which used for the charity every following year. </w:t>
      </w:r>
    </w:p>
    <w:p w14:paraId="703A9775" w14:textId="77777777" w:rsidR="001B0380" w:rsidRPr="00D549EE" w:rsidRDefault="001B0380" w:rsidP="00C9582F">
      <w:pPr>
        <w:pStyle w:val="a3"/>
        <w:spacing w:line="240" w:lineRule="auto"/>
        <w:ind w:left="0"/>
        <w:jc w:val="both"/>
        <w:rPr>
          <w:rFonts w:ascii="Times New Roman" w:hAnsi="Times New Roman"/>
          <w:sz w:val="28"/>
          <w:szCs w:val="28"/>
          <w:lang w:val="en-US"/>
        </w:rPr>
      </w:pPr>
    </w:p>
    <w:p w14:paraId="312BCBD2" w14:textId="222B889A" w:rsidR="001B0380" w:rsidRPr="00D549EE" w:rsidRDefault="001B0380" w:rsidP="00C9582F">
      <w:pPr>
        <w:pStyle w:val="a3"/>
        <w:spacing w:line="240" w:lineRule="auto"/>
        <w:ind w:left="0"/>
        <w:jc w:val="both"/>
        <w:rPr>
          <w:rFonts w:ascii="Times New Roman" w:hAnsi="Times New Roman"/>
          <w:color w:val="000000" w:themeColor="text1"/>
          <w:sz w:val="28"/>
          <w:szCs w:val="28"/>
          <w:lang w:val="en-US"/>
        </w:rPr>
      </w:pPr>
      <w:r w:rsidRPr="00D549EE">
        <w:rPr>
          <w:rFonts w:ascii="Times New Roman" w:hAnsi="Times New Roman"/>
          <w:sz w:val="28"/>
          <w:szCs w:val="28"/>
          <w:lang w:val="en-US"/>
        </w:rPr>
        <w:t xml:space="preserve">Table </w:t>
      </w:r>
      <w:r w:rsidR="00AB06FE" w:rsidRPr="00D549EE">
        <w:rPr>
          <w:rFonts w:ascii="Times New Roman" w:hAnsi="Times New Roman"/>
          <w:sz w:val="28"/>
          <w:szCs w:val="28"/>
          <w:lang w:val="en-US"/>
        </w:rPr>
        <w:t>56</w:t>
      </w:r>
      <w:r w:rsidRPr="00D549EE">
        <w:rPr>
          <w:rFonts w:ascii="Times New Roman" w:hAnsi="Times New Roman"/>
          <w:sz w:val="28"/>
          <w:szCs w:val="28"/>
          <w:lang w:val="en-US"/>
        </w:rPr>
        <w:t xml:space="preserve"> – Financial analysis of the probability indicators, Ume social market</w:t>
      </w:r>
    </w:p>
    <w:p w14:paraId="3238A625" w14:textId="6A4DF9CA" w:rsidR="00BD3463" w:rsidRPr="00D549EE" w:rsidRDefault="00BD3463" w:rsidP="00C9582F">
      <w:pPr>
        <w:pStyle w:val="a3"/>
        <w:spacing w:after="0" w:line="240" w:lineRule="auto"/>
        <w:jc w:val="both"/>
        <w:rPr>
          <w:rFonts w:ascii="Times New Roman" w:hAnsi="Times New Roman"/>
          <w:b/>
          <w:sz w:val="28"/>
          <w:szCs w:val="28"/>
          <w:lang w:val="en-US"/>
        </w:rPr>
      </w:pPr>
    </w:p>
    <w:tbl>
      <w:tblPr>
        <w:tblStyle w:val="a9"/>
        <w:tblW w:w="0" w:type="auto"/>
        <w:tblLook w:val="04A0" w:firstRow="1" w:lastRow="0" w:firstColumn="1" w:lastColumn="0" w:noHBand="0" w:noVBand="1"/>
      </w:tblPr>
      <w:tblGrid>
        <w:gridCol w:w="6858"/>
        <w:gridCol w:w="2481"/>
      </w:tblGrid>
      <w:tr w:rsidR="001B0380" w:rsidRPr="00D549EE" w14:paraId="2BABD138" w14:textId="77777777" w:rsidTr="004E240D">
        <w:tc>
          <w:tcPr>
            <w:tcW w:w="6858" w:type="dxa"/>
          </w:tcPr>
          <w:p w14:paraId="7A3FF6F8" w14:textId="77777777" w:rsidR="001B0380" w:rsidRPr="00D549EE" w:rsidRDefault="001B0380" w:rsidP="00C9582F">
            <w:pPr>
              <w:snapToGrid w:val="0"/>
              <w:contextualSpacing/>
              <w:rPr>
                <w:color w:val="000000" w:themeColor="text1"/>
                <w:lang w:val="en-US"/>
              </w:rPr>
            </w:pPr>
            <w:r w:rsidRPr="00D549EE">
              <w:rPr>
                <w:color w:val="000000" w:themeColor="text1"/>
                <w:lang w:val="en-US"/>
              </w:rPr>
              <w:t>Indicators</w:t>
            </w:r>
          </w:p>
        </w:tc>
        <w:tc>
          <w:tcPr>
            <w:tcW w:w="2481" w:type="dxa"/>
          </w:tcPr>
          <w:p w14:paraId="02F27CD6" w14:textId="77777777" w:rsidR="001B0380" w:rsidRPr="00D549EE" w:rsidRDefault="001B0380" w:rsidP="00C9582F">
            <w:pPr>
              <w:snapToGrid w:val="0"/>
              <w:contextualSpacing/>
              <w:rPr>
                <w:color w:val="000000" w:themeColor="text1"/>
                <w:lang w:val="en-US"/>
              </w:rPr>
            </w:pPr>
            <w:r w:rsidRPr="00D549EE">
              <w:rPr>
                <w:color w:val="000000" w:themeColor="text1"/>
                <w:lang w:val="en-US"/>
              </w:rPr>
              <w:t>Value</w:t>
            </w:r>
          </w:p>
        </w:tc>
      </w:tr>
      <w:tr w:rsidR="001B0380" w:rsidRPr="00D549EE" w14:paraId="009689FF" w14:textId="77777777" w:rsidTr="004E240D">
        <w:tc>
          <w:tcPr>
            <w:tcW w:w="6858" w:type="dxa"/>
          </w:tcPr>
          <w:p w14:paraId="79862304" w14:textId="77777777" w:rsidR="001B0380" w:rsidRPr="00D549EE" w:rsidRDefault="001B0380" w:rsidP="00C9582F">
            <w:pPr>
              <w:snapToGrid w:val="0"/>
              <w:contextualSpacing/>
              <w:rPr>
                <w:color w:val="000000" w:themeColor="text1"/>
                <w:lang w:val="en-US"/>
              </w:rPr>
            </w:pPr>
            <w:r w:rsidRPr="00D549EE">
              <w:rPr>
                <w:color w:val="000000" w:themeColor="text1"/>
                <w:lang w:val="en-US"/>
              </w:rPr>
              <w:t xml:space="preserve">Contributing to equity </w:t>
            </w:r>
          </w:p>
        </w:tc>
        <w:tc>
          <w:tcPr>
            <w:tcW w:w="2481" w:type="dxa"/>
          </w:tcPr>
          <w:p w14:paraId="29FA40D9" w14:textId="0D4FB7DD" w:rsidR="001B0380" w:rsidRPr="00D549EE" w:rsidRDefault="001B0380" w:rsidP="00C9582F">
            <w:pPr>
              <w:snapToGrid w:val="0"/>
              <w:contextualSpacing/>
              <w:rPr>
                <w:color w:val="000000" w:themeColor="text1"/>
                <w:lang w:val="en-US"/>
              </w:rPr>
            </w:pPr>
            <w:r w:rsidRPr="00D549EE">
              <w:rPr>
                <w:bCs/>
                <w:color w:val="000000" w:themeColor="text1"/>
                <w:lang w:val="en-US"/>
              </w:rPr>
              <w:t>22 772 865</w:t>
            </w:r>
          </w:p>
        </w:tc>
      </w:tr>
      <w:tr w:rsidR="001B0380" w:rsidRPr="00D549EE" w14:paraId="4E92487F" w14:textId="77777777" w:rsidTr="004E240D">
        <w:tc>
          <w:tcPr>
            <w:tcW w:w="6858" w:type="dxa"/>
          </w:tcPr>
          <w:p w14:paraId="2A38A1DA" w14:textId="77777777" w:rsidR="001B0380" w:rsidRPr="00D549EE" w:rsidRDefault="001B0380" w:rsidP="00C9582F">
            <w:pPr>
              <w:snapToGrid w:val="0"/>
              <w:contextualSpacing/>
              <w:rPr>
                <w:color w:val="000000" w:themeColor="text1"/>
                <w:lang w:val="en-US"/>
              </w:rPr>
            </w:pPr>
            <w:r w:rsidRPr="00D549EE">
              <w:rPr>
                <w:color w:val="000000" w:themeColor="text1"/>
                <w:lang w:val="en-US"/>
              </w:rPr>
              <w:t>including:</w:t>
            </w:r>
          </w:p>
        </w:tc>
        <w:tc>
          <w:tcPr>
            <w:tcW w:w="2481" w:type="dxa"/>
          </w:tcPr>
          <w:p w14:paraId="59A5F419" w14:textId="77777777" w:rsidR="001B0380" w:rsidRPr="00D549EE" w:rsidRDefault="001B0380" w:rsidP="00C9582F">
            <w:pPr>
              <w:snapToGrid w:val="0"/>
              <w:contextualSpacing/>
              <w:rPr>
                <w:color w:val="000000" w:themeColor="text1"/>
                <w:lang w:val="en-US"/>
              </w:rPr>
            </w:pPr>
          </w:p>
        </w:tc>
      </w:tr>
      <w:tr w:rsidR="001B0380" w:rsidRPr="00D549EE" w14:paraId="6B8FFE97" w14:textId="77777777" w:rsidTr="004E240D">
        <w:tc>
          <w:tcPr>
            <w:tcW w:w="6858" w:type="dxa"/>
          </w:tcPr>
          <w:p w14:paraId="5CF41763" w14:textId="77777777" w:rsidR="001B0380" w:rsidRPr="00D549EE" w:rsidRDefault="001B0380" w:rsidP="00C9582F">
            <w:pPr>
              <w:pStyle w:val="a5"/>
              <w:shd w:val="clear" w:color="auto" w:fill="FFFFFF"/>
            </w:pPr>
            <w:r w:rsidRPr="00D549EE">
              <w:t xml:space="preserve">Capital expenditures </w:t>
            </w:r>
          </w:p>
        </w:tc>
        <w:tc>
          <w:tcPr>
            <w:tcW w:w="2481" w:type="dxa"/>
          </w:tcPr>
          <w:p w14:paraId="1B321658" w14:textId="77777777" w:rsidR="001B0380" w:rsidRPr="00D549EE" w:rsidRDefault="001B0380" w:rsidP="00C9582F">
            <w:pPr>
              <w:snapToGrid w:val="0"/>
              <w:contextualSpacing/>
              <w:rPr>
                <w:color w:val="000000" w:themeColor="text1"/>
                <w:lang w:val="en-US"/>
              </w:rPr>
            </w:pPr>
            <w:r w:rsidRPr="00D549EE">
              <w:rPr>
                <w:bCs/>
                <w:color w:val="000000" w:themeColor="text1"/>
              </w:rPr>
              <w:t>20 982 865</w:t>
            </w:r>
          </w:p>
        </w:tc>
      </w:tr>
      <w:tr w:rsidR="001B0380" w:rsidRPr="00D549EE" w14:paraId="040C7194" w14:textId="77777777" w:rsidTr="004E240D">
        <w:tc>
          <w:tcPr>
            <w:tcW w:w="6858" w:type="dxa"/>
          </w:tcPr>
          <w:p w14:paraId="0E26D1C8" w14:textId="77777777" w:rsidR="001B0380" w:rsidRPr="00D549EE" w:rsidRDefault="001B0380" w:rsidP="00C9582F">
            <w:pPr>
              <w:pStyle w:val="a5"/>
              <w:shd w:val="clear" w:color="auto" w:fill="FFFFFF"/>
            </w:pPr>
            <w:r w:rsidRPr="00D549EE">
              <w:t xml:space="preserve">Operating expenses </w:t>
            </w:r>
          </w:p>
        </w:tc>
        <w:tc>
          <w:tcPr>
            <w:tcW w:w="2481" w:type="dxa"/>
          </w:tcPr>
          <w:p w14:paraId="024AA0EE" w14:textId="32AD91D0" w:rsidR="001B0380" w:rsidRPr="00D549EE" w:rsidRDefault="001B0380" w:rsidP="00C9582F">
            <w:pPr>
              <w:snapToGrid w:val="0"/>
              <w:contextualSpacing/>
              <w:rPr>
                <w:color w:val="000000" w:themeColor="text1"/>
                <w:lang w:val="en-US"/>
              </w:rPr>
            </w:pPr>
            <w:r w:rsidRPr="00D549EE">
              <w:rPr>
                <w:color w:val="000000" w:themeColor="text1"/>
                <w:lang w:val="en-US"/>
              </w:rPr>
              <w:t xml:space="preserve">1 790 000 </w:t>
            </w:r>
          </w:p>
        </w:tc>
      </w:tr>
      <w:tr w:rsidR="001B0380" w:rsidRPr="00D549EE" w14:paraId="0DF919E5" w14:textId="77777777" w:rsidTr="004E240D">
        <w:tc>
          <w:tcPr>
            <w:tcW w:w="6858" w:type="dxa"/>
          </w:tcPr>
          <w:p w14:paraId="5DC987CB" w14:textId="2E477620" w:rsidR="001B0380" w:rsidRPr="00D549EE" w:rsidRDefault="001B0380" w:rsidP="00C9582F">
            <w:pPr>
              <w:pStyle w:val="a5"/>
              <w:shd w:val="clear" w:color="auto" w:fill="FFFFFF"/>
              <w:rPr>
                <w:lang w:val="en-US"/>
              </w:rPr>
            </w:pPr>
            <w:r w:rsidRPr="00D549EE">
              <w:rPr>
                <w:lang w:val="en-US"/>
              </w:rPr>
              <w:t xml:space="preserve">Net Profit for 5 years </w:t>
            </w:r>
          </w:p>
        </w:tc>
        <w:tc>
          <w:tcPr>
            <w:tcW w:w="2481" w:type="dxa"/>
          </w:tcPr>
          <w:p w14:paraId="176B6472" w14:textId="40ACC98C" w:rsidR="001B0380" w:rsidRPr="00D549EE" w:rsidRDefault="001B0380" w:rsidP="00C9582F">
            <w:pPr>
              <w:snapToGrid w:val="0"/>
              <w:contextualSpacing/>
              <w:rPr>
                <w:color w:val="000000" w:themeColor="text1"/>
                <w:lang w:val="en-US"/>
              </w:rPr>
            </w:pPr>
            <w:r w:rsidRPr="00D549EE">
              <w:rPr>
                <w:color w:val="000000" w:themeColor="text1"/>
                <w:lang w:val="en-US"/>
              </w:rPr>
              <w:t>94 997 181</w:t>
            </w:r>
          </w:p>
        </w:tc>
      </w:tr>
      <w:tr w:rsidR="001B0380" w:rsidRPr="00D549EE" w14:paraId="2DB2CD5D" w14:textId="77777777" w:rsidTr="004E240D">
        <w:tc>
          <w:tcPr>
            <w:tcW w:w="6858" w:type="dxa"/>
          </w:tcPr>
          <w:p w14:paraId="0FDCC61E" w14:textId="5B0A520E" w:rsidR="001B0380" w:rsidRPr="00D549EE" w:rsidRDefault="001B0380" w:rsidP="00C9582F">
            <w:pPr>
              <w:pStyle w:val="a5"/>
              <w:shd w:val="clear" w:color="auto" w:fill="FFFFFF"/>
              <w:rPr>
                <w:lang w:val="en-US"/>
              </w:rPr>
            </w:pPr>
            <w:r w:rsidRPr="00D549EE">
              <w:rPr>
                <w:lang w:val="en-US"/>
              </w:rPr>
              <w:t>PV of the net profit for 5 years</w:t>
            </w:r>
          </w:p>
        </w:tc>
        <w:tc>
          <w:tcPr>
            <w:tcW w:w="2481" w:type="dxa"/>
          </w:tcPr>
          <w:p w14:paraId="23A93714" w14:textId="62C65A39" w:rsidR="001B0380" w:rsidRPr="00D549EE" w:rsidRDefault="001B0380" w:rsidP="00C9582F">
            <w:pPr>
              <w:snapToGrid w:val="0"/>
              <w:contextualSpacing/>
              <w:rPr>
                <w:color w:val="000000" w:themeColor="text1"/>
                <w:lang w:val="en-US"/>
              </w:rPr>
            </w:pPr>
            <w:r w:rsidRPr="00D549EE">
              <w:rPr>
                <w:color w:val="000000" w:themeColor="text1"/>
                <w:lang w:val="en-US"/>
              </w:rPr>
              <w:t>89 685 754</w:t>
            </w:r>
          </w:p>
        </w:tc>
      </w:tr>
      <w:tr w:rsidR="001B0380" w:rsidRPr="00D549EE" w14:paraId="53E735C1" w14:textId="77777777" w:rsidTr="004E240D">
        <w:tc>
          <w:tcPr>
            <w:tcW w:w="6858" w:type="dxa"/>
          </w:tcPr>
          <w:p w14:paraId="23055707" w14:textId="59EB7468" w:rsidR="001B0380" w:rsidRPr="00D549EE" w:rsidRDefault="001B0380" w:rsidP="00C9582F">
            <w:pPr>
              <w:pStyle w:val="a5"/>
              <w:shd w:val="clear" w:color="auto" w:fill="FFFFFF"/>
              <w:rPr>
                <w:lang w:val="en-US"/>
              </w:rPr>
            </w:pPr>
            <w:r w:rsidRPr="00D549EE">
              <w:rPr>
                <w:lang w:val="en-US"/>
              </w:rPr>
              <w:t>NPV</w:t>
            </w:r>
          </w:p>
        </w:tc>
        <w:tc>
          <w:tcPr>
            <w:tcW w:w="2481" w:type="dxa"/>
          </w:tcPr>
          <w:p w14:paraId="1EE8613D" w14:textId="425FE7CC" w:rsidR="001B0380" w:rsidRPr="00D549EE" w:rsidRDefault="001B0380" w:rsidP="00C9582F">
            <w:pPr>
              <w:snapToGrid w:val="0"/>
              <w:contextualSpacing/>
              <w:rPr>
                <w:color w:val="000000" w:themeColor="text1"/>
                <w:lang w:val="en-US"/>
              </w:rPr>
            </w:pPr>
            <w:r w:rsidRPr="00D549EE">
              <w:rPr>
                <w:color w:val="000000" w:themeColor="text1"/>
                <w:lang w:val="en-US"/>
              </w:rPr>
              <w:t>68 792 888</w:t>
            </w:r>
          </w:p>
        </w:tc>
      </w:tr>
      <w:tr w:rsidR="001B0380" w:rsidRPr="00D549EE" w14:paraId="1CE19C32" w14:textId="77777777" w:rsidTr="004E240D">
        <w:tc>
          <w:tcPr>
            <w:tcW w:w="6858" w:type="dxa"/>
          </w:tcPr>
          <w:p w14:paraId="6C6DE733" w14:textId="77777777" w:rsidR="001B0380" w:rsidRPr="00D549EE" w:rsidRDefault="001B0380" w:rsidP="00C9582F">
            <w:pPr>
              <w:pStyle w:val="a5"/>
              <w:shd w:val="clear" w:color="auto" w:fill="FFFFFF"/>
            </w:pPr>
            <w:r w:rsidRPr="00D549EE">
              <w:t>Project payback period</w:t>
            </w:r>
          </w:p>
        </w:tc>
        <w:tc>
          <w:tcPr>
            <w:tcW w:w="2481" w:type="dxa"/>
          </w:tcPr>
          <w:p w14:paraId="4F4B7558" w14:textId="5E085722" w:rsidR="001B0380" w:rsidRPr="00D549EE" w:rsidRDefault="001B0380" w:rsidP="00C9582F">
            <w:pPr>
              <w:snapToGrid w:val="0"/>
              <w:contextualSpacing/>
              <w:rPr>
                <w:color w:val="000000" w:themeColor="text1"/>
                <w:lang w:val="en-US"/>
              </w:rPr>
            </w:pPr>
            <w:r w:rsidRPr="00D549EE">
              <w:rPr>
                <w:color w:val="000000" w:themeColor="text1"/>
                <w:lang w:val="en-US"/>
              </w:rPr>
              <w:t>1 year 1 month</w:t>
            </w:r>
          </w:p>
        </w:tc>
      </w:tr>
      <w:tr w:rsidR="001B0380" w:rsidRPr="00D549EE" w14:paraId="5B00520B" w14:textId="77777777" w:rsidTr="004E240D">
        <w:tc>
          <w:tcPr>
            <w:tcW w:w="6858" w:type="dxa"/>
          </w:tcPr>
          <w:p w14:paraId="66FB278B" w14:textId="77777777" w:rsidR="001B0380" w:rsidRPr="00D549EE" w:rsidRDefault="001B0380" w:rsidP="00C9582F">
            <w:pPr>
              <w:pStyle w:val="a5"/>
              <w:shd w:val="clear" w:color="auto" w:fill="FFFFFF"/>
            </w:pPr>
            <w:r w:rsidRPr="00D549EE">
              <w:t xml:space="preserve">PI Profitability Index </w:t>
            </w:r>
          </w:p>
        </w:tc>
        <w:tc>
          <w:tcPr>
            <w:tcW w:w="2481" w:type="dxa"/>
          </w:tcPr>
          <w:p w14:paraId="4C28F9B4" w14:textId="538FF550" w:rsidR="001B0380" w:rsidRPr="00D549EE" w:rsidRDefault="00F32257" w:rsidP="00C9582F">
            <w:pPr>
              <w:snapToGrid w:val="0"/>
              <w:contextualSpacing/>
              <w:rPr>
                <w:color w:val="000000" w:themeColor="text1"/>
                <w:lang w:val="en-US"/>
              </w:rPr>
            </w:pPr>
            <w:r w:rsidRPr="00D549EE">
              <w:rPr>
                <w:color w:val="000000" w:themeColor="text1"/>
                <w:lang w:val="en-US"/>
              </w:rPr>
              <w:t>4.29</w:t>
            </w:r>
          </w:p>
        </w:tc>
      </w:tr>
      <w:tr w:rsidR="001B0380" w:rsidRPr="00D549EE" w14:paraId="524AC750" w14:textId="77777777" w:rsidTr="004E240D">
        <w:tc>
          <w:tcPr>
            <w:tcW w:w="6858" w:type="dxa"/>
          </w:tcPr>
          <w:p w14:paraId="3658602A" w14:textId="77777777" w:rsidR="001B0380" w:rsidRPr="00D549EE" w:rsidRDefault="001B0380" w:rsidP="00C9582F">
            <w:pPr>
              <w:pStyle w:val="a5"/>
              <w:shd w:val="clear" w:color="auto" w:fill="FFFFFF"/>
            </w:pPr>
            <w:r w:rsidRPr="00D549EE">
              <w:t xml:space="preserve">IRR </w:t>
            </w:r>
          </w:p>
        </w:tc>
        <w:tc>
          <w:tcPr>
            <w:tcW w:w="2481" w:type="dxa"/>
          </w:tcPr>
          <w:p w14:paraId="776E01DF" w14:textId="2BF2B45D" w:rsidR="001B0380" w:rsidRPr="00D549EE" w:rsidRDefault="00F32257" w:rsidP="00C9582F">
            <w:pPr>
              <w:snapToGrid w:val="0"/>
              <w:contextualSpacing/>
              <w:rPr>
                <w:color w:val="000000" w:themeColor="text1"/>
                <w:lang w:val="en-US"/>
              </w:rPr>
            </w:pPr>
            <w:r w:rsidRPr="00D549EE">
              <w:rPr>
                <w:color w:val="000000" w:themeColor="text1"/>
                <w:lang w:val="en-US"/>
              </w:rPr>
              <w:t>102%</w:t>
            </w:r>
          </w:p>
        </w:tc>
      </w:tr>
      <w:tr w:rsidR="001B0380" w:rsidRPr="00FC685D" w14:paraId="3E15C422" w14:textId="77777777" w:rsidTr="00171B07">
        <w:trPr>
          <w:trHeight w:val="830"/>
        </w:trPr>
        <w:tc>
          <w:tcPr>
            <w:tcW w:w="9339" w:type="dxa"/>
            <w:gridSpan w:val="2"/>
          </w:tcPr>
          <w:p w14:paraId="5C418FED" w14:textId="08DE2FB7" w:rsidR="00171B07" w:rsidRPr="00D549EE" w:rsidRDefault="00171B07" w:rsidP="00C9582F">
            <w:pPr>
              <w:snapToGrid w:val="0"/>
              <w:contextualSpacing/>
              <w:rPr>
                <w:color w:val="000000" w:themeColor="text1"/>
                <w:lang w:val="en-US"/>
              </w:rPr>
            </w:pPr>
            <w:r w:rsidRPr="00D549EE">
              <w:rPr>
                <w:color w:val="000000" w:themeColor="text1"/>
                <w:lang w:val="en-US"/>
              </w:rPr>
              <w:t xml:space="preserve">      </w:t>
            </w:r>
            <w:r w:rsidR="001B0380" w:rsidRPr="00D549EE">
              <w:rPr>
                <w:color w:val="000000" w:themeColor="text1"/>
                <w:lang w:val="en-US"/>
              </w:rPr>
              <w:t>Note</w:t>
            </w:r>
            <w:r w:rsidRPr="00D549EE">
              <w:rPr>
                <w:color w:val="000000" w:themeColor="text1"/>
                <w:lang w:val="en-US"/>
              </w:rPr>
              <w:t>s</w:t>
            </w:r>
          </w:p>
          <w:p w14:paraId="686202ED" w14:textId="34AEBFA8" w:rsidR="00171B07" w:rsidRPr="00D549EE" w:rsidRDefault="001B0380" w:rsidP="00E12E19">
            <w:pPr>
              <w:pStyle w:val="a3"/>
              <w:numPr>
                <w:ilvl w:val="0"/>
                <w:numId w:val="15"/>
              </w:numPr>
              <w:snapToGrid w:val="0"/>
              <w:spacing w:line="240" w:lineRule="auto"/>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Compiled by the author</w:t>
            </w:r>
          </w:p>
          <w:p w14:paraId="711B443D" w14:textId="7CAA3C80" w:rsidR="001B0380" w:rsidRPr="00D549EE" w:rsidRDefault="00171B07" w:rsidP="00E12E19">
            <w:pPr>
              <w:pStyle w:val="a3"/>
              <w:numPr>
                <w:ilvl w:val="0"/>
                <w:numId w:val="15"/>
              </w:numPr>
              <w:snapToGrid w:val="0"/>
              <w:spacing w:line="240" w:lineRule="auto"/>
              <w:rPr>
                <w:rFonts w:ascii="Times New Roman" w:hAnsi="Times New Roman"/>
                <w:color w:val="000000" w:themeColor="text1"/>
                <w:lang w:val="en-US"/>
              </w:rPr>
            </w:pPr>
            <w:r w:rsidRPr="00D549EE">
              <w:rPr>
                <w:rFonts w:ascii="Times New Roman" w:hAnsi="Times New Roman"/>
                <w:color w:val="000000" w:themeColor="text1"/>
                <w:sz w:val="24"/>
                <w:szCs w:val="24"/>
                <w:lang w:val="en-US"/>
              </w:rPr>
              <w:t>P</w:t>
            </w:r>
            <w:r w:rsidR="001B0380" w:rsidRPr="00D549EE">
              <w:rPr>
                <w:rFonts w:ascii="Times New Roman" w:hAnsi="Times New Roman"/>
                <w:color w:val="000000" w:themeColor="text1"/>
                <w:sz w:val="24"/>
                <w:szCs w:val="24"/>
                <w:lang w:val="en-US"/>
              </w:rPr>
              <w:t>rofit is considered as revenue from donors</w:t>
            </w:r>
          </w:p>
        </w:tc>
      </w:tr>
    </w:tbl>
    <w:p w14:paraId="4C74B869" w14:textId="77777777" w:rsidR="001B0380" w:rsidRPr="00D549EE" w:rsidRDefault="001B0380" w:rsidP="00C9582F">
      <w:pPr>
        <w:pStyle w:val="a3"/>
        <w:spacing w:after="0" w:line="240" w:lineRule="auto"/>
        <w:jc w:val="both"/>
        <w:rPr>
          <w:rFonts w:ascii="Times New Roman" w:hAnsi="Times New Roman"/>
          <w:b/>
          <w:sz w:val="28"/>
          <w:szCs w:val="28"/>
          <w:lang w:val="en-US"/>
        </w:rPr>
      </w:pPr>
    </w:p>
    <w:p w14:paraId="20451632" w14:textId="77777777" w:rsidR="003A5576" w:rsidRPr="00F933D3" w:rsidRDefault="003A5576" w:rsidP="00F933D3">
      <w:pPr>
        <w:ind w:firstLine="708"/>
        <w:jc w:val="both"/>
        <w:rPr>
          <w:sz w:val="28"/>
          <w:szCs w:val="28"/>
          <w:lang w:val="en-US"/>
        </w:rPr>
      </w:pPr>
      <w:r w:rsidRPr="00F933D3">
        <w:rPr>
          <w:sz w:val="28"/>
          <w:szCs w:val="28"/>
          <w:lang w:val="en-US"/>
        </w:rPr>
        <w:t>From the financial indicators and forecasted estimation of cash flow and financial statement, it can be concluded that the social market is profitable and has high financial indicators for activity. If all invested funding will be going to the charity after the realization project in the form of profit, and the social market will work for taking profit for the charity, it is an efficient project for further charity doing for a long time.</w:t>
      </w:r>
    </w:p>
    <w:p w14:paraId="2DEA47B3" w14:textId="0FCD5F71" w:rsidR="003A5576" w:rsidRPr="00F933D3" w:rsidRDefault="003A5576" w:rsidP="00F933D3">
      <w:pPr>
        <w:ind w:firstLine="708"/>
        <w:jc w:val="both"/>
        <w:rPr>
          <w:sz w:val="28"/>
          <w:szCs w:val="28"/>
          <w:lang w:val="en-US"/>
        </w:rPr>
      </w:pPr>
      <w:r w:rsidRPr="00F933D3">
        <w:rPr>
          <w:sz w:val="28"/>
          <w:szCs w:val="28"/>
          <w:lang w:val="en-US"/>
        </w:rPr>
        <w:t>The project has a high social significance, as it aims to promote the idea of social protection and assistance to the socially vulnerable segment of the population, the idea of transition from excessive consumerism to rational consumption. The project addresses the following social issues:</w:t>
      </w:r>
    </w:p>
    <w:p w14:paraId="352E965E" w14:textId="498FD4FA" w:rsidR="003A5576" w:rsidRPr="00F933D3" w:rsidRDefault="003A5576" w:rsidP="00F933D3">
      <w:pPr>
        <w:ind w:firstLine="708"/>
        <w:jc w:val="both"/>
        <w:rPr>
          <w:sz w:val="28"/>
          <w:szCs w:val="28"/>
          <w:lang w:val="en-US"/>
        </w:rPr>
      </w:pPr>
      <w:r w:rsidRPr="00F933D3">
        <w:rPr>
          <w:sz w:val="28"/>
          <w:szCs w:val="28"/>
          <w:lang w:val="en-US"/>
        </w:rPr>
        <w:t>1. Assistance to low-income families through goods at low prices.</w:t>
      </w:r>
    </w:p>
    <w:p w14:paraId="574B67FE" w14:textId="77777777" w:rsidR="003A5576" w:rsidRPr="00F933D3" w:rsidRDefault="003A5576" w:rsidP="00F933D3">
      <w:pPr>
        <w:ind w:firstLine="708"/>
        <w:jc w:val="both"/>
        <w:rPr>
          <w:sz w:val="28"/>
          <w:szCs w:val="28"/>
          <w:lang w:val="en-US"/>
        </w:rPr>
      </w:pPr>
      <w:r w:rsidRPr="00F933D3">
        <w:rPr>
          <w:sz w:val="28"/>
          <w:szCs w:val="28"/>
          <w:lang w:val="en-US"/>
        </w:rPr>
        <w:t>2. Reduce inventory and waste.</w:t>
      </w:r>
    </w:p>
    <w:p w14:paraId="02E15EEF" w14:textId="77777777" w:rsidR="003A5576" w:rsidRPr="00F933D3" w:rsidRDefault="003A5576" w:rsidP="00F933D3">
      <w:pPr>
        <w:ind w:firstLine="708"/>
        <w:jc w:val="both"/>
        <w:rPr>
          <w:sz w:val="28"/>
          <w:szCs w:val="28"/>
          <w:lang w:val="en-US"/>
        </w:rPr>
      </w:pPr>
      <w:r w:rsidRPr="00F933D3">
        <w:rPr>
          <w:sz w:val="28"/>
          <w:szCs w:val="28"/>
          <w:lang w:val="en-US"/>
        </w:rPr>
        <w:t>3. Sharing of material and human resources.</w:t>
      </w:r>
    </w:p>
    <w:p w14:paraId="1B039A45" w14:textId="77777777" w:rsidR="003A5576" w:rsidRPr="00F933D3" w:rsidRDefault="003A5576" w:rsidP="00F933D3">
      <w:pPr>
        <w:ind w:firstLine="708"/>
        <w:jc w:val="both"/>
        <w:rPr>
          <w:sz w:val="28"/>
          <w:szCs w:val="28"/>
          <w:lang w:val="en-US"/>
        </w:rPr>
      </w:pPr>
      <w:r w:rsidRPr="00F933D3">
        <w:rPr>
          <w:sz w:val="28"/>
          <w:szCs w:val="28"/>
          <w:lang w:val="en-US"/>
        </w:rPr>
        <w:t>4. Solving the problem of excessive consumption.</w:t>
      </w:r>
    </w:p>
    <w:p w14:paraId="7441F952" w14:textId="77777777" w:rsidR="003A5576" w:rsidRPr="003A5576" w:rsidRDefault="003A5576" w:rsidP="00F933D3">
      <w:pPr>
        <w:pStyle w:val="a3"/>
        <w:spacing w:line="240" w:lineRule="auto"/>
        <w:jc w:val="both"/>
        <w:rPr>
          <w:rFonts w:ascii="Times New Roman" w:hAnsi="Times New Roman"/>
          <w:sz w:val="28"/>
          <w:szCs w:val="28"/>
          <w:lang w:val="en-US"/>
        </w:rPr>
      </w:pPr>
      <w:r w:rsidRPr="003A5576">
        <w:rPr>
          <w:rFonts w:ascii="Times New Roman" w:hAnsi="Times New Roman"/>
          <w:sz w:val="28"/>
          <w:szCs w:val="28"/>
          <w:lang w:val="en-US"/>
        </w:rPr>
        <w:t>5. The project provides an incentive to activate civic engagement and mutual assistance.</w:t>
      </w:r>
    </w:p>
    <w:p w14:paraId="380FD31D" w14:textId="0745C208" w:rsidR="00BC2569" w:rsidRPr="00D549EE" w:rsidRDefault="003A5576" w:rsidP="003A5576">
      <w:pPr>
        <w:pStyle w:val="a3"/>
        <w:spacing w:after="0" w:line="240" w:lineRule="auto"/>
        <w:ind w:left="0" w:firstLine="720"/>
        <w:jc w:val="both"/>
        <w:rPr>
          <w:rFonts w:ascii="Times New Roman" w:hAnsi="Times New Roman"/>
          <w:sz w:val="28"/>
          <w:szCs w:val="28"/>
          <w:lang w:val="en-US"/>
        </w:rPr>
      </w:pPr>
      <w:r w:rsidRPr="003A5576">
        <w:rPr>
          <w:rFonts w:ascii="Times New Roman" w:hAnsi="Times New Roman"/>
          <w:sz w:val="28"/>
          <w:szCs w:val="28"/>
          <w:lang w:val="en-US"/>
        </w:rPr>
        <w:t>The following table illustrates the socio-economic effectiveness of the project implementation and its successful work. According to the research of Nielsen Kazakhstan, the average spending of Almaty residents on clothes and major purchases is about 30% of their income. There are two directions of the effectiveness; the first one is the effect of the saving money on clothes and shoes purchased by people with limited income, the targeted customer of the social market. The second direction is the effectiveness of the social market activity, which is the effectiveness of implementing the project invested funds by founders instead of using the fund for one</w:t>
      </w:r>
      <w:r>
        <w:rPr>
          <w:rFonts w:ascii="Times New Roman" w:hAnsi="Times New Roman"/>
          <w:sz w:val="28"/>
          <w:szCs w:val="28"/>
          <w:lang w:val="en-US"/>
        </w:rPr>
        <w:t xml:space="preserve"> time</w:t>
      </w:r>
      <w:r w:rsidRPr="003A5576">
        <w:rPr>
          <w:rFonts w:ascii="Times New Roman" w:hAnsi="Times New Roman"/>
          <w:sz w:val="28"/>
          <w:szCs w:val="28"/>
          <w:lang w:val="en-US"/>
        </w:rPr>
        <w:t xml:space="preserve"> charity activity.</w:t>
      </w:r>
    </w:p>
    <w:p w14:paraId="624A1CE0" w14:textId="77777777" w:rsidR="008A11AC" w:rsidRPr="00D549EE" w:rsidRDefault="008A11AC" w:rsidP="00C9582F">
      <w:pPr>
        <w:pStyle w:val="a3"/>
        <w:spacing w:after="0" w:line="240" w:lineRule="auto"/>
        <w:ind w:left="0" w:firstLine="720"/>
        <w:jc w:val="both"/>
        <w:rPr>
          <w:rFonts w:ascii="Times New Roman" w:hAnsi="Times New Roman"/>
          <w:sz w:val="28"/>
          <w:szCs w:val="28"/>
          <w:lang w:val="en-US"/>
        </w:rPr>
      </w:pPr>
    </w:p>
    <w:p w14:paraId="3F4B4ED6" w14:textId="772C7A8F" w:rsidR="00BC2569" w:rsidRPr="00D549EE" w:rsidRDefault="00BC2569" w:rsidP="00C9582F">
      <w:pPr>
        <w:jc w:val="both"/>
        <w:rPr>
          <w:sz w:val="28"/>
          <w:szCs w:val="28"/>
          <w:lang w:val="en-US"/>
        </w:rPr>
      </w:pPr>
      <w:r w:rsidRPr="00D549EE">
        <w:rPr>
          <w:sz w:val="28"/>
          <w:szCs w:val="28"/>
          <w:lang w:val="en-US"/>
        </w:rPr>
        <w:t xml:space="preserve">Table </w:t>
      </w:r>
      <w:r w:rsidR="00335E16" w:rsidRPr="00D549EE">
        <w:rPr>
          <w:sz w:val="28"/>
          <w:szCs w:val="28"/>
          <w:lang w:val="en-US"/>
        </w:rPr>
        <w:t>57</w:t>
      </w:r>
      <w:r w:rsidRPr="00D549EE">
        <w:rPr>
          <w:sz w:val="28"/>
          <w:szCs w:val="28"/>
          <w:lang w:val="en-US"/>
        </w:rPr>
        <w:t xml:space="preserve"> </w:t>
      </w:r>
      <w:r w:rsidR="00335E16" w:rsidRPr="00D549EE">
        <w:rPr>
          <w:sz w:val="28"/>
          <w:szCs w:val="28"/>
          <w:lang w:val="en-US"/>
        </w:rPr>
        <w:t>–</w:t>
      </w:r>
      <w:r w:rsidRPr="00D549EE">
        <w:rPr>
          <w:sz w:val="28"/>
          <w:szCs w:val="28"/>
          <w:lang w:val="en-US"/>
        </w:rPr>
        <w:t xml:space="preserve"> Calculation of the socio-economic </w:t>
      </w:r>
      <w:r w:rsidR="005C51FB" w:rsidRPr="00D549EE">
        <w:rPr>
          <w:color w:val="000000" w:themeColor="text1"/>
          <w:sz w:val="28"/>
          <w:szCs w:val="28"/>
          <w:lang w:val="en-US"/>
        </w:rPr>
        <w:t>effectiveness</w:t>
      </w:r>
      <w:r w:rsidRPr="00D549EE">
        <w:rPr>
          <w:sz w:val="28"/>
          <w:szCs w:val="28"/>
          <w:lang w:val="en-US"/>
        </w:rPr>
        <w:t xml:space="preserve"> of the Crowdfunding platform</w:t>
      </w:r>
    </w:p>
    <w:p w14:paraId="471C43E7" w14:textId="77777777" w:rsidR="00BC2569" w:rsidRPr="00D549EE" w:rsidRDefault="00BC2569" w:rsidP="00C9582F">
      <w:pPr>
        <w:jc w:val="both"/>
        <w:rPr>
          <w:sz w:val="28"/>
          <w:szCs w:val="28"/>
          <w:lang w:val="en-US"/>
        </w:rPr>
      </w:pPr>
    </w:p>
    <w:tbl>
      <w:tblPr>
        <w:tblStyle w:val="a9"/>
        <w:tblW w:w="0" w:type="auto"/>
        <w:tblLook w:val="04A0" w:firstRow="1" w:lastRow="0" w:firstColumn="1" w:lastColumn="0" w:noHBand="0" w:noVBand="1"/>
      </w:tblPr>
      <w:tblGrid>
        <w:gridCol w:w="456"/>
        <w:gridCol w:w="5088"/>
        <w:gridCol w:w="3815"/>
      </w:tblGrid>
      <w:tr w:rsidR="00BC2569" w:rsidRPr="00D549EE" w14:paraId="4F62E0C8" w14:textId="77777777" w:rsidTr="004E240D">
        <w:tc>
          <w:tcPr>
            <w:tcW w:w="0" w:type="auto"/>
          </w:tcPr>
          <w:p w14:paraId="2265DECB" w14:textId="77777777" w:rsidR="00BC2569" w:rsidRPr="00D549EE" w:rsidRDefault="00BC2569" w:rsidP="00C9582F">
            <w:pPr>
              <w:rPr>
                <w:lang w:val="en-US"/>
              </w:rPr>
            </w:pPr>
          </w:p>
        </w:tc>
        <w:tc>
          <w:tcPr>
            <w:tcW w:w="5088" w:type="dxa"/>
          </w:tcPr>
          <w:p w14:paraId="3920DE79" w14:textId="77777777" w:rsidR="00BC2569" w:rsidRPr="00D549EE" w:rsidRDefault="00BC2569" w:rsidP="00C9582F">
            <w:pPr>
              <w:rPr>
                <w:lang w:val="en-US"/>
              </w:rPr>
            </w:pPr>
            <w:r w:rsidRPr="00D549EE">
              <w:rPr>
                <w:lang w:val="en-US"/>
              </w:rPr>
              <w:t>Indicator</w:t>
            </w:r>
          </w:p>
        </w:tc>
        <w:tc>
          <w:tcPr>
            <w:tcW w:w="3815" w:type="dxa"/>
          </w:tcPr>
          <w:p w14:paraId="3D03A1CC" w14:textId="77777777" w:rsidR="00BC2569" w:rsidRPr="00D549EE" w:rsidRDefault="00BC2569" w:rsidP="00C9582F">
            <w:pPr>
              <w:rPr>
                <w:lang w:val="kk-KZ"/>
              </w:rPr>
            </w:pPr>
          </w:p>
        </w:tc>
      </w:tr>
      <w:tr w:rsidR="00BC2569" w:rsidRPr="00D549EE" w14:paraId="0C2A6725" w14:textId="77777777" w:rsidTr="004E240D">
        <w:tc>
          <w:tcPr>
            <w:tcW w:w="0" w:type="auto"/>
          </w:tcPr>
          <w:p w14:paraId="1F56320C" w14:textId="77777777" w:rsidR="00BC2569" w:rsidRPr="00D549EE" w:rsidRDefault="00BC2569" w:rsidP="00C9582F">
            <w:pPr>
              <w:rPr>
                <w:lang w:val="en-US"/>
              </w:rPr>
            </w:pPr>
            <w:r w:rsidRPr="00D549EE">
              <w:rPr>
                <w:lang w:val="en-US"/>
              </w:rPr>
              <w:t>1</w:t>
            </w:r>
          </w:p>
        </w:tc>
        <w:tc>
          <w:tcPr>
            <w:tcW w:w="5088" w:type="dxa"/>
          </w:tcPr>
          <w:p w14:paraId="48CAC496" w14:textId="77777777" w:rsidR="00BC2569" w:rsidRPr="00D549EE" w:rsidRDefault="00BC2569" w:rsidP="00C9582F">
            <w:pPr>
              <w:rPr>
                <w:lang w:val="en-US"/>
              </w:rPr>
            </w:pPr>
            <w:r w:rsidRPr="00D549EE">
              <w:rPr>
                <w:lang w:val="en-US"/>
              </w:rPr>
              <w:t>Potential number of persons (families), who will receive social assistance using the Ume social market services</w:t>
            </w:r>
          </w:p>
        </w:tc>
        <w:tc>
          <w:tcPr>
            <w:tcW w:w="3815" w:type="dxa"/>
          </w:tcPr>
          <w:p w14:paraId="25E47A3F" w14:textId="77777777" w:rsidR="00BC2569" w:rsidRPr="00D549EE" w:rsidRDefault="00BC2569" w:rsidP="00C9582F">
            <w:pPr>
              <w:jc w:val="center"/>
              <w:rPr>
                <w:lang w:val="en-US"/>
              </w:rPr>
            </w:pPr>
            <w:r w:rsidRPr="00D549EE">
              <w:t xml:space="preserve">1000 </w:t>
            </w:r>
            <w:r w:rsidRPr="00D549EE">
              <w:rPr>
                <w:lang w:val="en-US"/>
              </w:rPr>
              <w:t>per month</w:t>
            </w:r>
          </w:p>
          <w:p w14:paraId="49328EDD" w14:textId="77777777" w:rsidR="00BC2569" w:rsidRPr="00D549EE" w:rsidRDefault="00BC2569" w:rsidP="00C9582F">
            <w:pPr>
              <w:jc w:val="center"/>
              <w:rPr>
                <w:lang w:val="en-US"/>
              </w:rPr>
            </w:pPr>
            <w:r w:rsidRPr="00D549EE">
              <w:rPr>
                <w:lang w:val="en-US"/>
              </w:rPr>
              <w:t xml:space="preserve">12 000 per year </w:t>
            </w:r>
          </w:p>
          <w:p w14:paraId="339F952B" w14:textId="77777777" w:rsidR="00BC2569" w:rsidRPr="00D549EE" w:rsidRDefault="00BC2569" w:rsidP="00C9582F">
            <w:pPr>
              <w:jc w:val="center"/>
              <w:rPr>
                <w:lang w:val="en-US"/>
              </w:rPr>
            </w:pPr>
          </w:p>
        </w:tc>
      </w:tr>
      <w:tr w:rsidR="00BC2569" w:rsidRPr="00D549EE" w14:paraId="622077E3" w14:textId="77777777" w:rsidTr="004E240D">
        <w:tc>
          <w:tcPr>
            <w:tcW w:w="0" w:type="auto"/>
          </w:tcPr>
          <w:p w14:paraId="51C3A5B8" w14:textId="77777777" w:rsidR="00BC2569" w:rsidRPr="00D549EE" w:rsidRDefault="00BC2569" w:rsidP="00C9582F">
            <w:pPr>
              <w:rPr>
                <w:lang w:val="en-US"/>
              </w:rPr>
            </w:pPr>
            <w:r w:rsidRPr="00D549EE">
              <w:rPr>
                <w:lang w:val="en-US"/>
              </w:rPr>
              <w:t>2</w:t>
            </w:r>
          </w:p>
        </w:tc>
        <w:tc>
          <w:tcPr>
            <w:tcW w:w="5088" w:type="dxa"/>
          </w:tcPr>
          <w:p w14:paraId="59B97549" w14:textId="77777777" w:rsidR="00BC2569" w:rsidRPr="00D549EE" w:rsidRDefault="00BC2569" w:rsidP="00C9582F">
            <w:pPr>
              <w:rPr>
                <w:lang w:val="en-US"/>
              </w:rPr>
            </w:pPr>
            <w:r w:rsidRPr="00D549EE">
              <w:rPr>
                <w:lang w:val="en-US"/>
              </w:rPr>
              <w:t>The average cost of the unit of clothes/shoes</w:t>
            </w:r>
          </w:p>
        </w:tc>
        <w:tc>
          <w:tcPr>
            <w:tcW w:w="3815" w:type="dxa"/>
          </w:tcPr>
          <w:p w14:paraId="3AD54B82" w14:textId="77777777" w:rsidR="00BC2569" w:rsidRPr="00D549EE" w:rsidRDefault="00BC2569" w:rsidP="00C9582F">
            <w:pPr>
              <w:jc w:val="center"/>
              <w:rPr>
                <w:lang w:val="en-US"/>
              </w:rPr>
            </w:pPr>
            <w:r w:rsidRPr="00D549EE">
              <w:rPr>
                <w:lang w:val="en-US"/>
              </w:rPr>
              <w:t>10 400 000 per month</w:t>
            </w:r>
          </w:p>
          <w:p w14:paraId="23BE99D6" w14:textId="77777777" w:rsidR="00BC2569" w:rsidRPr="00D549EE" w:rsidRDefault="00BC2569" w:rsidP="00C9582F">
            <w:pPr>
              <w:jc w:val="center"/>
              <w:rPr>
                <w:lang w:val="en-US"/>
              </w:rPr>
            </w:pPr>
            <w:r w:rsidRPr="00D549EE">
              <w:rPr>
                <w:lang w:val="en-US"/>
              </w:rPr>
              <w:t>124 800 000 per year</w:t>
            </w:r>
          </w:p>
        </w:tc>
      </w:tr>
      <w:tr w:rsidR="00BC2569" w:rsidRPr="00D549EE" w14:paraId="24D7A48A" w14:textId="77777777" w:rsidTr="004E240D">
        <w:tc>
          <w:tcPr>
            <w:tcW w:w="0" w:type="auto"/>
          </w:tcPr>
          <w:p w14:paraId="12A434CE" w14:textId="77777777" w:rsidR="00BC2569" w:rsidRPr="00D549EE" w:rsidRDefault="00BC2569" w:rsidP="00C9582F">
            <w:pPr>
              <w:rPr>
                <w:lang w:val="en-US"/>
              </w:rPr>
            </w:pPr>
            <w:r w:rsidRPr="00D549EE">
              <w:rPr>
                <w:lang w:val="en-US"/>
              </w:rPr>
              <w:t>3</w:t>
            </w:r>
          </w:p>
        </w:tc>
        <w:tc>
          <w:tcPr>
            <w:tcW w:w="5088" w:type="dxa"/>
          </w:tcPr>
          <w:p w14:paraId="408A878C" w14:textId="77777777" w:rsidR="00BC2569" w:rsidRPr="00D549EE" w:rsidRDefault="00BC2569" w:rsidP="00C9582F">
            <w:pPr>
              <w:rPr>
                <w:lang w:val="en-US"/>
              </w:rPr>
            </w:pPr>
            <w:r w:rsidRPr="00D549EE">
              <w:rPr>
                <w:lang w:val="en-US"/>
              </w:rPr>
              <w:t>Present value of the cost of the of the unit of clothes/shoes (1000 per month)</w:t>
            </w:r>
          </w:p>
        </w:tc>
        <w:tc>
          <w:tcPr>
            <w:tcW w:w="3815" w:type="dxa"/>
          </w:tcPr>
          <w:p w14:paraId="1D7ECEFE" w14:textId="77777777" w:rsidR="00BC2569" w:rsidRPr="00D549EE" w:rsidRDefault="00BC2569" w:rsidP="00C9582F">
            <w:pPr>
              <w:jc w:val="center"/>
              <w:rPr>
                <w:lang w:val="en-US"/>
              </w:rPr>
            </w:pPr>
            <w:r w:rsidRPr="00D549EE">
              <w:rPr>
                <w:lang w:val="en-US"/>
              </w:rPr>
              <w:t>115 023 041</w:t>
            </w:r>
          </w:p>
        </w:tc>
      </w:tr>
      <w:tr w:rsidR="00BC2569" w:rsidRPr="00D549EE" w14:paraId="45B11987" w14:textId="77777777" w:rsidTr="004E240D">
        <w:tc>
          <w:tcPr>
            <w:tcW w:w="0" w:type="auto"/>
          </w:tcPr>
          <w:p w14:paraId="7FD019CC" w14:textId="77777777" w:rsidR="00BC2569" w:rsidRPr="00D549EE" w:rsidRDefault="00BC2569" w:rsidP="00C9582F">
            <w:pPr>
              <w:rPr>
                <w:lang w:val="en-US"/>
              </w:rPr>
            </w:pPr>
            <w:r w:rsidRPr="00D549EE">
              <w:rPr>
                <w:lang w:val="en-US"/>
              </w:rPr>
              <w:t>4</w:t>
            </w:r>
          </w:p>
        </w:tc>
        <w:tc>
          <w:tcPr>
            <w:tcW w:w="5088" w:type="dxa"/>
          </w:tcPr>
          <w:p w14:paraId="6D7A94E0" w14:textId="77777777" w:rsidR="00BC2569" w:rsidRPr="00D549EE" w:rsidRDefault="00BC2569" w:rsidP="00C9582F">
            <w:pPr>
              <w:rPr>
                <w:lang w:val="en-US"/>
              </w:rPr>
            </w:pPr>
            <w:r w:rsidRPr="00D549EE">
              <w:rPr>
                <w:lang w:val="en-US"/>
              </w:rPr>
              <w:t>Total present value of the cost of the of the unit of clothes/shoes (1000 per month) for 5 years, in million tenge</w:t>
            </w:r>
          </w:p>
        </w:tc>
        <w:tc>
          <w:tcPr>
            <w:tcW w:w="3815" w:type="dxa"/>
          </w:tcPr>
          <w:p w14:paraId="12AE59A0" w14:textId="77777777" w:rsidR="00BC2569" w:rsidRPr="00D549EE" w:rsidRDefault="00BC2569" w:rsidP="00C9582F">
            <w:pPr>
              <w:jc w:val="center"/>
              <w:rPr>
                <w:lang w:val="en-US"/>
              </w:rPr>
            </w:pPr>
            <w:r w:rsidRPr="00D549EE">
              <w:t>491 792 131</w:t>
            </w:r>
          </w:p>
        </w:tc>
      </w:tr>
      <w:tr w:rsidR="00BC2569" w:rsidRPr="00D549EE" w14:paraId="3A64D37D" w14:textId="77777777" w:rsidTr="004E240D">
        <w:tc>
          <w:tcPr>
            <w:tcW w:w="0" w:type="auto"/>
          </w:tcPr>
          <w:p w14:paraId="362D380B" w14:textId="77777777" w:rsidR="00BC2569" w:rsidRPr="00D549EE" w:rsidRDefault="00BC2569" w:rsidP="00C9582F">
            <w:pPr>
              <w:rPr>
                <w:lang w:val="en-US"/>
              </w:rPr>
            </w:pPr>
            <w:r w:rsidRPr="00D549EE">
              <w:rPr>
                <w:lang w:val="en-US"/>
              </w:rPr>
              <w:t>5</w:t>
            </w:r>
          </w:p>
        </w:tc>
        <w:tc>
          <w:tcPr>
            <w:tcW w:w="5088" w:type="dxa"/>
          </w:tcPr>
          <w:p w14:paraId="7FCBDC54" w14:textId="77777777" w:rsidR="00BC2569" w:rsidRPr="00D549EE" w:rsidRDefault="00BC2569" w:rsidP="00C9582F">
            <w:pPr>
              <w:rPr>
                <w:lang w:val="en-US"/>
              </w:rPr>
            </w:pPr>
            <w:r w:rsidRPr="00D549EE">
              <w:rPr>
                <w:lang w:val="en-US"/>
              </w:rPr>
              <w:t>Present value of saved spending on the clothes</w:t>
            </w:r>
          </w:p>
        </w:tc>
        <w:tc>
          <w:tcPr>
            <w:tcW w:w="3815" w:type="dxa"/>
          </w:tcPr>
          <w:p w14:paraId="4AD076A7" w14:textId="77777777" w:rsidR="00BC2569" w:rsidRPr="00D549EE" w:rsidRDefault="00BC2569" w:rsidP="00C9582F">
            <w:pPr>
              <w:jc w:val="center"/>
            </w:pPr>
            <w:r w:rsidRPr="00D549EE">
              <w:t>333 378 320</w:t>
            </w:r>
          </w:p>
        </w:tc>
      </w:tr>
      <w:tr w:rsidR="00BC2569" w:rsidRPr="00D549EE" w14:paraId="5665B426" w14:textId="77777777" w:rsidTr="004E240D">
        <w:tc>
          <w:tcPr>
            <w:tcW w:w="0" w:type="auto"/>
          </w:tcPr>
          <w:p w14:paraId="49122EB0" w14:textId="77777777" w:rsidR="00BC2569" w:rsidRPr="00D549EE" w:rsidRDefault="00BC2569" w:rsidP="00C9582F">
            <w:pPr>
              <w:rPr>
                <w:lang w:val="en-US"/>
              </w:rPr>
            </w:pPr>
            <w:r w:rsidRPr="00D549EE">
              <w:rPr>
                <w:lang w:val="en-US"/>
              </w:rPr>
              <w:t>6</w:t>
            </w:r>
          </w:p>
        </w:tc>
        <w:tc>
          <w:tcPr>
            <w:tcW w:w="5088" w:type="dxa"/>
          </w:tcPr>
          <w:p w14:paraId="5995EC54" w14:textId="77777777" w:rsidR="00BC2569" w:rsidRPr="00D549EE" w:rsidRDefault="00BC2569" w:rsidP="00C9582F">
            <w:pPr>
              <w:rPr>
                <w:lang w:val="en-US"/>
              </w:rPr>
            </w:pPr>
            <w:r w:rsidRPr="00D549EE">
              <w:rPr>
                <w:lang w:val="en-US"/>
              </w:rPr>
              <w:t xml:space="preserve">Social market expenditures </w:t>
            </w:r>
          </w:p>
        </w:tc>
        <w:tc>
          <w:tcPr>
            <w:tcW w:w="3815" w:type="dxa"/>
          </w:tcPr>
          <w:p w14:paraId="67983CE9" w14:textId="77777777" w:rsidR="00BC2569" w:rsidRPr="00D549EE" w:rsidRDefault="00BC2569" w:rsidP="00C9582F">
            <w:pPr>
              <w:jc w:val="center"/>
            </w:pPr>
            <w:r w:rsidRPr="00D549EE">
              <w:rPr>
                <w:bCs/>
                <w:color w:val="000000" w:themeColor="text1"/>
              </w:rPr>
              <w:t>20 982 865</w:t>
            </w:r>
          </w:p>
        </w:tc>
      </w:tr>
      <w:tr w:rsidR="00BC2569" w:rsidRPr="00D549EE" w14:paraId="46F19B93" w14:textId="77777777" w:rsidTr="004E240D">
        <w:tc>
          <w:tcPr>
            <w:tcW w:w="0" w:type="auto"/>
          </w:tcPr>
          <w:p w14:paraId="16BCF92A" w14:textId="77777777" w:rsidR="00BC2569" w:rsidRPr="00D549EE" w:rsidRDefault="00BC2569" w:rsidP="00C9582F">
            <w:pPr>
              <w:rPr>
                <w:lang w:val="en-US"/>
              </w:rPr>
            </w:pPr>
            <w:r w:rsidRPr="00D549EE">
              <w:rPr>
                <w:lang w:val="en-US"/>
              </w:rPr>
              <w:t>7</w:t>
            </w:r>
          </w:p>
        </w:tc>
        <w:tc>
          <w:tcPr>
            <w:tcW w:w="5088" w:type="dxa"/>
          </w:tcPr>
          <w:p w14:paraId="6AAF6E30" w14:textId="77777777" w:rsidR="00BC2569" w:rsidRPr="00D549EE" w:rsidRDefault="00BC2569" w:rsidP="00C9582F">
            <w:pPr>
              <w:rPr>
                <w:lang w:val="en-US"/>
              </w:rPr>
            </w:pPr>
            <w:r w:rsidRPr="00D549EE">
              <w:rPr>
                <w:lang w:val="en-US"/>
              </w:rPr>
              <w:t xml:space="preserve">Present value of the Social market profit  </w:t>
            </w:r>
          </w:p>
        </w:tc>
        <w:tc>
          <w:tcPr>
            <w:tcW w:w="3815" w:type="dxa"/>
          </w:tcPr>
          <w:p w14:paraId="67230E89" w14:textId="1FC50DC0" w:rsidR="00BC2569" w:rsidRPr="00D549EE" w:rsidRDefault="00E762C9" w:rsidP="00C9582F">
            <w:pPr>
              <w:jc w:val="center"/>
              <w:rPr>
                <w:lang w:val="en-US"/>
              </w:rPr>
            </w:pPr>
            <w:r w:rsidRPr="00D549EE">
              <w:rPr>
                <w:color w:val="000000" w:themeColor="text1"/>
                <w:lang w:val="en-US"/>
              </w:rPr>
              <w:t>89 685 754</w:t>
            </w:r>
          </w:p>
        </w:tc>
      </w:tr>
      <w:tr w:rsidR="00BC2569" w:rsidRPr="00D549EE" w14:paraId="01AA8A2E" w14:textId="77777777" w:rsidTr="004E240D">
        <w:tc>
          <w:tcPr>
            <w:tcW w:w="0" w:type="auto"/>
          </w:tcPr>
          <w:p w14:paraId="3DEA2F45" w14:textId="77777777" w:rsidR="00BC2569" w:rsidRPr="00D549EE" w:rsidRDefault="00BC2569" w:rsidP="00C9582F">
            <w:pPr>
              <w:rPr>
                <w:lang w:val="en-US"/>
              </w:rPr>
            </w:pPr>
            <w:r w:rsidRPr="00D549EE">
              <w:rPr>
                <w:lang w:val="en-US"/>
              </w:rPr>
              <w:t>10</w:t>
            </w:r>
          </w:p>
        </w:tc>
        <w:tc>
          <w:tcPr>
            <w:tcW w:w="5088" w:type="dxa"/>
          </w:tcPr>
          <w:p w14:paraId="5C242DE0" w14:textId="7139F9BB" w:rsidR="00BC2569" w:rsidRPr="00D549EE" w:rsidRDefault="00BC2569" w:rsidP="00C9582F">
            <w:pPr>
              <w:rPr>
                <w:lang w:val="en-US"/>
              </w:rPr>
            </w:pPr>
            <w:r w:rsidRPr="00D549EE">
              <w:rPr>
                <w:lang w:val="en-US"/>
              </w:rPr>
              <w:t xml:space="preserve">Socio-economic </w:t>
            </w:r>
            <w:r w:rsidR="005C51FB" w:rsidRPr="00D549EE">
              <w:rPr>
                <w:color w:val="000000" w:themeColor="text1"/>
                <w:lang w:val="en-US"/>
              </w:rPr>
              <w:t>effectiveness</w:t>
            </w:r>
            <w:r w:rsidRPr="00D549EE">
              <w:rPr>
                <w:lang w:val="en-US"/>
              </w:rPr>
              <w:t xml:space="preserve"> of the social market activity</w:t>
            </w:r>
          </w:p>
        </w:tc>
        <w:tc>
          <w:tcPr>
            <w:tcW w:w="3815" w:type="dxa"/>
          </w:tcPr>
          <w:p w14:paraId="7300D2F9" w14:textId="77777777" w:rsidR="00BC2569" w:rsidRPr="00D549EE" w:rsidRDefault="00BC2569" w:rsidP="00C9582F">
            <w:pPr>
              <w:jc w:val="center"/>
              <w:rPr>
                <w:lang w:val="en-US"/>
              </w:rPr>
            </w:pPr>
            <w:r w:rsidRPr="00D549EE">
              <w:rPr>
                <w:lang w:val="en-US"/>
              </w:rPr>
              <w:t>158.90</w:t>
            </w:r>
          </w:p>
        </w:tc>
      </w:tr>
      <w:tr w:rsidR="00BC2569" w:rsidRPr="00D549EE" w14:paraId="76FBE901" w14:textId="77777777" w:rsidTr="004E240D">
        <w:tc>
          <w:tcPr>
            <w:tcW w:w="0" w:type="auto"/>
          </w:tcPr>
          <w:p w14:paraId="0683B399" w14:textId="77777777" w:rsidR="00BC2569" w:rsidRPr="00D549EE" w:rsidRDefault="00BC2569" w:rsidP="00C9582F">
            <w:pPr>
              <w:rPr>
                <w:lang w:val="en-US"/>
              </w:rPr>
            </w:pPr>
            <w:r w:rsidRPr="00D549EE">
              <w:rPr>
                <w:lang w:val="en-US"/>
              </w:rPr>
              <w:t>11</w:t>
            </w:r>
          </w:p>
        </w:tc>
        <w:tc>
          <w:tcPr>
            <w:tcW w:w="5088" w:type="dxa"/>
          </w:tcPr>
          <w:p w14:paraId="058DA07F" w14:textId="2E23BD51" w:rsidR="00BC2569" w:rsidRPr="00D549EE" w:rsidRDefault="00BC2569" w:rsidP="00C9582F">
            <w:pPr>
              <w:rPr>
                <w:lang w:val="en-US"/>
              </w:rPr>
            </w:pPr>
            <w:r w:rsidRPr="00D549EE">
              <w:rPr>
                <w:lang w:val="en-US"/>
              </w:rPr>
              <w:t xml:space="preserve">Socio-economic </w:t>
            </w:r>
            <w:r w:rsidR="005C51FB" w:rsidRPr="00D549EE">
              <w:rPr>
                <w:color w:val="000000" w:themeColor="text1"/>
                <w:lang w:val="en-US"/>
              </w:rPr>
              <w:t>effectiveness</w:t>
            </w:r>
            <w:r w:rsidRPr="00D549EE">
              <w:rPr>
                <w:lang w:val="en-US"/>
              </w:rPr>
              <w:t xml:space="preserve"> of the investment in social market</w:t>
            </w:r>
          </w:p>
        </w:tc>
        <w:tc>
          <w:tcPr>
            <w:tcW w:w="3815" w:type="dxa"/>
          </w:tcPr>
          <w:p w14:paraId="2552DD2E" w14:textId="17233105" w:rsidR="00BC2569" w:rsidRPr="00D549EE" w:rsidRDefault="00E762C9" w:rsidP="00C9582F">
            <w:pPr>
              <w:jc w:val="center"/>
              <w:rPr>
                <w:lang w:val="en-US"/>
              </w:rPr>
            </w:pPr>
            <w:r w:rsidRPr="00D549EE">
              <w:rPr>
                <w:lang w:val="en-US"/>
              </w:rPr>
              <w:t>4.27</w:t>
            </w:r>
          </w:p>
        </w:tc>
      </w:tr>
      <w:tr w:rsidR="003D0BF6" w:rsidRPr="00FC685D" w14:paraId="2CA217DB" w14:textId="77777777" w:rsidTr="0073537E">
        <w:tc>
          <w:tcPr>
            <w:tcW w:w="9359" w:type="dxa"/>
            <w:gridSpan w:val="3"/>
          </w:tcPr>
          <w:p w14:paraId="77CA72C6" w14:textId="3DD8CE56" w:rsidR="003D0BF6" w:rsidRPr="00D549EE" w:rsidRDefault="003D0BF6" w:rsidP="00C9582F">
            <w:pPr>
              <w:jc w:val="left"/>
              <w:rPr>
                <w:lang w:val="en-US"/>
              </w:rPr>
            </w:pPr>
            <w:r w:rsidRPr="00D549EE">
              <w:rPr>
                <w:lang w:val="en-US"/>
              </w:rPr>
              <w:t xml:space="preserve">     </w:t>
            </w:r>
            <w:r w:rsidRPr="00D549EE">
              <w:rPr>
                <w:color w:val="000000" w:themeColor="text1"/>
                <w:sz w:val="22"/>
                <w:szCs w:val="22"/>
                <w:lang w:val="en-US"/>
              </w:rPr>
              <w:t>Note – Compiled by the author</w:t>
            </w:r>
          </w:p>
        </w:tc>
      </w:tr>
    </w:tbl>
    <w:p w14:paraId="38B76D8D" w14:textId="77777777" w:rsidR="00DA3666" w:rsidRPr="00DA3666" w:rsidRDefault="00DA3666" w:rsidP="00B96B08">
      <w:pPr>
        <w:ind w:firstLine="708"/>
        <w:jc w:val="both"/>
        <w:rPr>
          <w:rFonts w:eastAsia="Calibri"/>
          <w:color w:val="000000" w:themeColor="text1"/>
          <w:sz w:val="28"/>
          <w:szCs w:val="28"/>
          <w:lang w:val="en-US" w:eastAsia="en-US"/>
        </w:rPr>
      </w:pPr>
      <w:r w:rsidRPr="00DA3666">
        <w:rPr>
          <w:rFonts w:eastAsia="Calibri"/>
          <w:color w:val="000000" w:themeColor="text1"/>
          <w:sz w:val="28"/>
          <w:szCs w:val="28"/>
          <w:lang w:val="en-US" w:eastAsia="en-US"/>
        </w:rPr>
        <w:t xml:space="preserve">The result of estimation of the socio-economic effectiveness of the investment to the social market is 4.27. This means that each tenge invested in implementing the social market brings 4.27 tenge for doing charity, as the market concept is using the profit the charity. Furthermore, the socio-economic effectiveness of the social market is 158.90. Each tenge invested and used in the social market brings extra 158.90 tenge savings for socially vulnerable customers and people with limited income. For the first five years of the activity, 427% more charity assistance will be done, and four times more needy people will benefit from the social market.   </w:t>
      </w:r>
    </w:p>
    <w:p w14:paraId="6FF28B4B" w14:textId="77777777" w:rsidR="00DA3666" w:rsidRPr="00DA3666" w:rsidRDefault="00DA3666" w:rsidP="00DA3666">
      <w:pPr>
        <w:ind w:firstLine="708"/>
        <w:jc w:val="both"/>
        <w:rPr>
          <w:rFonts w:eastAsia="Calibri"/>
          <w:color w:val="000000" w:themeColor="text1"/>
          <w:sz w:val="28"/>
          <w:szCs w:val="28"/>
          <w:lang w:val="en-US" w:eastAsia="en-US"/>
        </w:rPr>
      </w:pPr>
      <w:r w:rsidRPr="00DA3666">
        <w:rPr>
          <w:rFonts w:eastAsia="Calibri"/>
          <w:color w:val="000000" w:themeColor="text1"/>
          <w:sz w:val="28"/>
          <w:szCs w:val="28"/>
          <w:lang w:val="en-US" w:eastAsia="en-US"/>
        </w:rPr>
        <w:t>It can be concluded based on the study has been done in the section, it can be concluded that the role of financial technology is growing dramatically in the Islamic financial system as a part of the global financial system and market. The financial technologies used for the convenience of the customers, reducing the operational costs of the transactions, and increasing transparency and the security of the financial operations also impact the social functions of the Islamic financial services. There has been estimated the social-economic effectiveness of the implementation of crowdfunding platform as the form of advancement of the Islamic social financial instruments and financial, the technological solution which allows involving the population in the process of the development of Islamic finance and in the process of solving social problems of the country. Thus, an assessment of the effectiveness of the crowdfunding platform using zakat and charity collection for the integration forms of the platform, first for 4.6 million tenge has shown the effectiveness of 985 and 68.12 for the platform based on blockchain technology. Each tenge invested in the implementation of the platform brings 985 tenge and 68.12 tenge saving in public resources, respectively. It should be noted that both forms of the platform will provide transparency for donators and applicants for social assistance. However, despite the complication and required time for the platform based on blockchain technology, it provides the technological system development of the finance in the country.</w:t>
      </w:r>
    </w:p>
    <w:p w14:paraId="50E8D80F" w14:textId="77777777" w:rsidR="00DA3666" w:rsidRDefault="00DA3666" w:rsidP="00DA3666">
      <w:pPr>
        <w:ind w:firstLine="708"/>
        <w:jc w:val="both"/>
        <w:rPr>
          <w:rFonts w:eastAsia="Calibri"/>
          <w:color w:val="000000" w:themeColor="text1"/>
          <w:sz w:val="28"/>
          <w:szCs w:val="28"/>
          <w:lang w:val="en-US" w:eastAsia="en-US"/>
        </w:rPr>
      </w:pPr>
      <w:r w:rsidRPr="00DA3666">
        <w:rPr>
          <w:rFonts w:eastAsia="Calibri"/>
          <w:color w:val="000000" w:themeColor="text1"/>
          <w:sz w:val="28"/>
          <w:szCs w:val="28"/>
          <w:lang w:val="en-US" w:eastAsia="en-US"/>
        </w:rPr>
        <w:t>The social business effectiveness estimation s in the form of the social market, as the example and the tool of Islamic social microfinance has been approved in the form of the business plan, including the financial analysis. The socio-economic effectiveness of the investment to the social market is 4.27, and this means that each tenge invested in the implementation of the social market brings 4.27 tenge for doing charity, as the concept of the market is using profit to the charity. Thus, it is profitable to do social business, and there is socio-economic efficiency in terms of the country’s population. This case can be the push for the development of social businesses in Kazakhstan.</w:t>
      </w:r>
    </w:p>
    <w:p w14:paraId="451A83F7" w14:textId="77777777" w:rsidR="00DA3666" w:rsidRDefault="00DA3666" w:rsidP="00DA3666">
      <w:pPr>
        <w:jc w:val="both"/>
        <w:rPr>
          <w:rFonts w:eastAsia="Calibri"/>
          <w:color w:val="000000" w:themeColor="text1"/>
          <w:sz w:val="28"/>
          <w:szCs w:val="28"/>
          <w:lang w:val="en-US" w:eastAsia="en-US"/>
        </w:rPr>
      </w:pPr>
    </w:p>
    <w:p w14:paraId="17C2EB5E" w14:textId="77777777" w:rsidR="00C67F4D" w:rsidRDefault="008C2D15" w:rsidP="00DA3666">
      <w:pPr>
        <w:jc w:val="both"/>
        <w:rPr>
          <w:b/>
          <w:bCs/>
          <w:color w:val="000000"/>
          <w:sz w:val="28"/>
          <w:szCs w:val="28"/>
          <w:lang w:val="en-US"/>
        </w:rPr>
      </w:pPr>
      <w:r w:rsidRPr="00D549EE">
        <w:rPr>
          <w:b/>
          <w:bCs/>
          <w:color w:val="000000"/>
          <w:sz w:val="28"/>
          <w:szCs w:val="28"/>
          <w:lang w:val="en-US"/>
        </w:rPr>
        <w:tab/>
      </w:r>
    </w:p>
    <w:p w14:paraId="5444BC84" w14:textId="77777777" w:rsidR="00C67F4D" w:rsidRDefault="00C67F4D" w:rsidP="00DA3666">
      <w:pPr>
        <w:jc w:val="both"/>
        <w:rPr>
          <w:b/>
          <w:bCs/>
          <w:color w:val="000000"/>
          <w:sz w:val="28"/>
          <w:szCs w:val="28"/>
          <w:lang w:val="en-US"/>
        </w:rPr>
      </w:pPr>
    </w:p>
    <w:p w14:paraId="7E6F6B38" w14:textId="77777777" w:rsidR="00C67F4D" w:rsidRDefault="00C67F4D" w:rsidP="00DA3666">
      <w:pPr>
        <w:jc w:val="both"/>
        <w:rPr>
          <w:b/>
          <w:bCs/>
          <w:color w:val="000000"/>
          <w:sz w:val="28"/>
          <w:szCs w:val="28"/>
          <w:lang w:val="en-US"/>
        </w:rPr>
      </w:pPr>
    </w:p>
    <w:p w14:paraId="7BDA1C5C" w14:textId="77777777" w:rsidR="00C67F4D" w:rsidRDefault="00C67F4D" w:rsidP="00DA3666">
      <w:pPr>
        <w:jc w:val="both"/>
        <w:rPr>
          <w:b/>
          <w:bCs/>
          <w:color w:val="000000"/>
          <w:sz w:val="28"/>
          <w:szCs w:val="28"/>
          <w:lang w:val="en-US"/>
        </w:rPr>
      </w:pPr>
    </w:p>
    <w:p w14:paraId="1784E2BC" w14:textId="77777777" w:rsidR="00C67F4D" w:rsidRDefault="00C67F4D" w:rsidP="00DA3666">
      <w:pPr>
        <w:jc w:val="both"/>
        <w:rPr>
          <w:b/>
          <w:bCs/>
          <w:color w:val="000000"/>
          <w:sz w:val="28"/>
          <w:szCs w:val="28"/>
          <w:lang w:val="en-US"/>
        </w:rPr>
      </w:pPr>
    </w:p>
    <w:p w14:paraId="39897B65" w14:textId="77777777" w:rsidR="00C67F4D" w:rsidRDefault="00C67F4D" w:rsidP="00DA3666">
      <w:pPr>
        <w:jc w:val="both"/>
        <w:rPr>
          <w:b/>
          <w:bCs/>
          <w:color w:val="000000"/>
          <w:sz w:val="28"/>
          <w:szCs w:val="28"/>
          <w:lang w:val="en-US"/>
        </w:rPr>
      </w:pPr>
    </w:p>
    <w:p w14:paraId="0F237EAF" w14:textId="77777777" w:rsidR="00C67F4D" w:rsidRDefault="00C67F4D" w:rsidP="00DA3666">
      <w:pPr>
        <w:jc w:val="both"/>
        <w:rPr>
          <w:b/>
          <w:bCs/>
          <w:color w:val="000000"/>
          <w:sz w:val="28"/>
          <w:szCs w:val="28"/>
          <w:lang w:val="en-US"/>
        </w:rPr>
      </w:pPr>
    </w:p>
    <w:p w14:paraId="578CD3AC" w14:textId="77777777" w:rsidR="00C67F4D" w:rsidRDefault="00C67F4D" w:rsidP="00DA3666">
      <w:pPr>
        <w:jc w:val="both"/>
        <w:rPr>
          <w:b/>
          <w:bCs/>
          <w:color w:val="000000"/>
          <w:sz w:val="28"/>
          <w:szCs w:val="28"/>
          <w:lang w:val="en-US"/>
        </w:rPr>
      </w:pPr>
    </w:p>
    <w:p w14:paraId="0C365E7C" w14:textId="50A14214" w:rsidR="008C2D15" w:rsidRPr="00D549EE" w:rsidRDefault="00C67F4D" w:rsidP="00DA3666">
      <w:pPr>
        <w:jc w:val="both"/>
        <w:rPr>
          <w:b/>
          <w:sz w:val="28"/>
          <w:szCs w:val="28"/>
          <w:lang w:val="en-US"/>
        </w:rPr>
      </w:pPr>
      <w:r>
        <w:rPr>
          <w:b/>
          <w:bCs/>
          <w:color w:val="000000"/>
          <w:sz w:val="28"/>
          <w:szCs w:val="28"/>
          <w:lang w:val="en-US"/>
        </w:rPr>
        <w:tab/>
      </w:r>
      <w:r w:rsidR="00733EF6" w:rsidRPr="00D549EE">
        <w:rPr>
          <w:b/>
          <w:bCs/>
          <w:color w:val="000000"/>
          <w:sz w:val="28"/>
          <w:szCs w:val="28"/>
          <w:lang w:val="en-US"/>
        </w:rPr>
        <w:t>3.2</w:t>
      </w:r>
      <w:r w:rsidR="008C2D15" w:rsidRPr="00D549EE">
        <w:rPr>
          <w:b/>
          <w:sz w:val="28"/>
          <w:szCs w:val="28"/>
          <w:lang w:val="en-US"/>
        </w:rPr>
        <w:t xml:space="preserve"> </w:t>
      </w:r>
      <w:r w:rsidR="00024545" w:rsidRPr="00D549EE">
        <w:rPr>
          <w:b/>
          <w:sz w:val="28"/>
          <w:szCs w:val="28"/>
          <w:lang w:val="en-US"/>
        </w:rPr>
        <w:t>The p</w:t>
      </w:r>
      <w:r w:rsidR="00024545" w:rsidRPr="00D549EE">
        <w:rPr>
          <w:b/>
          <w:bCs/>
          <w:color w:val="000000"/>
          <w:sz w:val="28"/>
          <w:szCs w:val="28"/>
          <w:lang w:val="en-US"/>
        </w:rPr>
        <w:t>riorities of institutional support for the Islamic finance development in the Republic of Kazakhstan</w:t>
      </w:r>
    </w:p>
    <w:p w14:paraId="22CBA8A9" w14:textId="77777777" w:rsidR="00DA3666" w:rsidRPr="00DA3666" w:rsidRDefault="008C2D15" w:rsidP="00DA3666">
      <w:pPr>
        <w:jc w:val="both"/>
        <w:rPr>
          <w:color w:val="000000" w:themeColor="text1"/>
          <w:sz w:val="28"/>
          <w:szCs w:val="28"/>
          <w:shd w:val="clear" w:color="auto" w:fill="FFFFFF"/>
          <w:lang w:val="en-US"/>
        </w:rPr>
      </w:pPr>
      <w:r w:rsidRPr="00D549EE">
        <w:rPr>
          <w:rFonts w:eastAsia="Calibri"/>
          <w:b/>
          <w:color w:val="000000" w:themeColor="text1"/>
          <w:sz w:val="28"/>
          <w:szCs w:val="28"/>
          <w:lang w:val="en-US" w:eastAsia="en-US"/>
        </w:rPr>
        <w:tab/>
      </w:r>
      <w:r w:rsidR="00DA3666" w:rsidRPr="00DA3666">
        <w:rPr>
          <w:color w:val="000000" w:themeColor="text1"/>
          <w:sz w:val="28"/>
          <w:szCs w:val="28"/>
          <w:shd w:val="clear" w:color="auto" w:fill="FFFFFF"/>
          <w:lang w:val="en-US"/>
        </w:rPr>
        <w:t xml:space="preserve">There is the interweaving of two conceptions: the social finance ecosystem and the Islamic social finance ecosystem [56]. As an integral part of social finance and initially based on the ethical, primarily social principles, the Islamic social finance ecosystem is created and developed from the integration of conventional social financial institutions' activity and Islamic financial institutions' services and systems. Suppose that the social finance ecosystem includes four main participants the representatives of the coordinators of the social ecosystem, providers of the social finance, initiators of social welfare, and beneficiaries. The participants' role is significant in coordination and consisting of the system, which is the interaction of the association of parties with the environment. </w:t>
      </w:r>
    </w:p>
    <w:p w14:paraId="7A1210AA"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ab/>
        <w:t xml:space="preserve">As considered during the research, Islamic social finance integrates Islamic financial institutions based on the ethical and charity philosophy, like zakat, sadaqah, and qard-hasan, at the same time non-profit institutions. The concept and objectives of the Islamic social finance ecosystem are the same and move in the same direction except for the specific characteristics of Islamic financial relations. First of all, there are own institutions and tools for implementation which follow the main principles of Shariah. Secondly, there are capacities for the cooperation of Islamic financial institutions with conventional financial institutions. As a result, there is suppleness for creating and developing the Islamic social finance ecosystem. </w:t>
      </w:r>
    </w:p>
    <w:p w14:paraId="22164F95"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ab/>
        <w:t>The role of each party in the ecosystem is vital and impacts the country's development in general. There are initiators of social welfare and parties of the Islamic social finance ecosystem:</w:t>
      </w:r>
    </w:p>
    <w:p w14:paraId="4CF7CA7D"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1.</w:t>
      </w:r>
      <w:r w:rsidRPr="00DA3666">
        <w:rPr>
          <w:color w:val="000000" w:themeColor="text1"/>
          <w:sz w:val="28"/>
          <w:szCs w:val="28"/>
          <w:shd w:val="clear" w:color="auto" w:fill="FFFFFF"/>
          <w:lang w:val="en-US"/>
        </w:rPr>
        <w:tab/>
        <w:t>Initiators of social welfare of the country, first of all, the government and international organizations;</w:t>
      </w:r>
    </w:p>
    <w:p w14:paraId="59200290"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2.</w:t>
      </w:r>
      <w:r w:rsidRPr="00DA3666">
        <w:rPr>
          <w:color w:val="000000" w:themeColor="text1"/>
          <w:sz w:val="28"/>
          <w:szCs w:val="28"/>
          <w:shd w:val="clear" w:color="auto" w:fill="FFFFFF"/>
          <w:lang w:val="en-US"/>
        </w:rPr>
        <w:tab/>
        <w:t>Non-commercial public social associations;</w:t>
      </w:r>
    </w:p>
    <w:p w14:paraId="3C0F3065"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3.</w:t>
      </w:r>
      <w:r w:rsidRPr="00DA3666">
        <w:rPr>
          <w:color w:val="000000" w:themeColor="text1"/>
          <w:sz w:val="28"/>
          <w:szCs w:val="28"/>
          <w:shd w:val="clear" w:color="auto" w:fill="FFFFFF"/>
          <w:lang w:val="en-US"/>
        </w:rPr>
        <w:tab/>
        <w:t>Socially responsible businesses and companies – for-profit and non-commercial;</w:t>
      </w:r>
    </w:p>
    <w:p w14:paraId="2DC0639E" w14:textId="59246E32"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4.</w:t>
      </w:r>
      <w:r w:rsidRPr="00DA3666">
        <w:rPr>
          <w:color w:val="000000" w:themeColor="text1"/>
          <w:sz w:val="28"/>
          <w:szCs w:val="28"/>
          <w:shd w:val="clear" w:color="auto" w:fill="FFFFFF"/>
          <w:lang w:val="en-US"/>
        </w:rPr>
        <w:tab/>
        <w:t>Islamic social financial institutions – zakat institutions, waqf institutions, micro</w:t>
      </w:r>
      <w:r>
        <w:rPr>
          <w:color w:val="000000" w:themeColor="text1"/>
          <w:sz w:val="28"/>
          <w:szCs w:val="28"/>
          <w:shd w:val="clear" w:color="auto" w:fill="FFFFFF"/>
          <w:lang w:val="en-US"/>
        </w:rPr>
        <w:t>-</w:t>
      </w:r>
      <w:r w:rsidRPr="00DA3666">
        <w:rPr>
          <w:color w:val="000000" w:themeColor="text1"/>
          <w:sz w:val="28"/>
          <w:szCs w:val="28"/>
          <w:shd w:val="clear" w:color="auto" w:fill="FFFFFF"/>
          <w:lang w:val="en-US"/>
        </w:rPr>
        <w:t xml:space="preserve">Islamic financial organizations; </w:t>
      </w:r>
    </w:p>
    <w:p w14:paraId="48BA5E78"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5.</w:t>
      </w:r>
      <w:r w:rsidRPr="00DA3666">
        <w:rPr>
          <w:color w:val="000000" w:themeColor="text1"/>
          <w:sz w:val="28"/>
          <w:szCs w:val="28"/>
          <w:shd w:val="clear" w:color="auto" w:fill="FFFFFF"/>
          <w:lang w:val="en-US"/>
        </w:rPr>
        <w:tab/>
        <w:t xml:space="preserve"> Islamic financial institutions – Islamic Banks, Ijara companies, and others;</w:t>
      </w:r>
    </w:p>
    <w:p w14:paraId="30C6F2AB"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6.</w:t>
      </w:r>
      <w:r w:rsidRPr="00DA3666">
        <w:rPr>
          <w:color w:val="000000" w:themeColor="text1"/>
          <w:sz w:val="28"/>
          <w:szCs w:val="28"/>
          <w:shd w:val="clear" w:color="auto" w:fill="FFFFFF"/>
          <w:lang w:val="en-US"/>
        </w:rPr>
        <w:tab/>
        <w:t>Islamic Capital market – Sukuk providers, SPV companies, originators;</w:t>
      </w:r>
    </w:p>
    <w:p w14:paraId="5B585220"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7.</w:t>
      </w:r>
      <w:r w:rsidRPr="00DA3666">
        <w:rPr>
          <w:color w:val="000000" w:themeColor="text1"/>
          <w:sz w:val="28"/>
          <w:szCs w:val="28"/>
          <w:shd w:val="clear" w:color="auto" w:fill="FFFFFF"/>
          <w:lang w:val="en-US"/>
        </w:rPr>
        <w:tab/>
        <w:t xml:space="preserve">Technological and crowdfunding platforms. </w:t>
      </w:r>
    </w:p>
    <w:p w14:paraId="665384D1"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ab/>
        <w:t xml:space="preserve">For the successful operation of the Islamic social finance ecosystem, it is necessary to cooperate with conventional Islamic institutions and capital markets within the shariah norms, that is, the collaboration of the Islamic and conventional systems, which is not prohibited in Islamic finance. </w:t>
      </w:r>
    </w:p>
    <w:p w14:paraId="2D1B350C"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ab/>
        <w:t xml:space="preserve">For the operation of the ecosystem, there must be the functional activity of the coordinators of the ecosystem, the primary purpose of which is the social welfare and efficient social impact. The coordinators of the ecosystem are the government in the case of Kazakhstan, represented by the Ministries of Finance, Digital development, Innovations and aerospace Industry, Information and social development, AIFC, and Agency of Strategic development. The following coordinators of the ecosystem are zakat institutions and waqf institutions. For our country, it is Zeket and charity foundation and waqf department of the SAMK. The social and sustainable businesses also coordinate the ecosystem's operation as the main participants of it. The role of the Research and Development institutions is significant for the ecosystem creation and operation, so they are the source of ideas and opinions for advancement. </w:t>
      </w:r>
    </w:p>
    <w:p w14:paraId="07CECF26" w14:textId="77777777" w:rsidR="00DA3666" w:rsidRPr="00DA3666" w:rsidRDefault="00DA3666" w:rsidP="00DA3666">
      <w:pPr>
        <w:jc w:val="both"/>
        <w:rPr>
          <w:color w:val="000000" w:themeColor="text1"/>
          <w:sz w:val="28"/>
          <w:szCs w:val="28"/>
          <w:shd w:val="clear" w:color="auto" w:fill="FFFFFF"/>
          <w:lang w:val="en-US"/>
        </w:rPr>
      </w:pPr>
      <w:r w:rsidRPr="00DA3666">
        <w:rPr>
          <w:color w:val="000000" w:themeColor="text1"/>
          <w:sz w:val="28"/>
          <w:szCs w:val="28"/>
          <w:shd w:val="clear" w:color="auto" w:fill="FFFFFF"/>
          <w:lang w:val="en-US"/>
        </w:rPr>
        <w:tab/>
        <w:t xml:space="preserve">There is developed this study Islamic social finance ecosystem model is based on the conventional ecosystem models that are adjusted for the social purposes, and specific to the Islamic financial industry, illustrates the main stakeholders of the ecosystem. </w:t>
      </w:r>
    </w:p>
    <w:p w14:paraId="2AB48EC2" w14:textId="72300681" w:rsidR="008678D0" w:rsidRPr="00D549EE" w:rsidRDefault="00DA3666" w:rsidP="00DA3666">
      <w:pPr>
        <w:jc w:val="both"/>
        <w:rPr>
          <w:color w:val="000000" w:themeColor="text1"/>
          <w:sz w:val="28"/>
          <w:szCs w:val="28"/>
          <w:lang w:val="en-US"/>
        </w:rPr>
      </w:pPr>
      <w:r w:rsidRPr="00DA3666">
        <w:rPr>
          <w:color w:val="000000" w:themeColor="text1"/>
          <w:sz w:val="28"/>
          <w:szCs w:val="28"/>
          <w:shd w:val="clear" w:color="auto" w:fill="FFFFFF"/>
          <w:lang w:val="en-US"/>
        </w:rPr>
        <w:tab/>
        <w:t>The process of building the Islamic social ecosystem consists of several stages. First, it is identifying the social problem and issue. For the country, this stage is related to the UN SDGs as a member of the UN and providing the solution to social problems, which we have investigated during the research – poverty alleviation and reducing the state spending on social assistance to the needy population.</w:t>
      </w:r>
    </w:p>
    <w:p w14:paraId="28AB87E3" w14:textId="77777777" w:rsidR="00BE4238" w:rsidRPr="00D549EE" w:rsidRDefault="00BE4238" w:rsidP="00C9582F">
      <w:pPr>
        <w:pStyle w:val="a3"/>
        <w:spacing w:line="240" w:lineRule="auto"/>
        <w:ind w:left="0"/>
        <w:jc w:val="both"/>
        <w:rPr>
          <w:rFonts w:ascii="Times New Roman" w:hAnsi="Times New Roman"/>
          <w:color w:val="000000" w:themeColor="text1"/>
          <w:sz w:val="28"/>
          <w:szCs w:val="28"/>
          <w:highlight w:val="yellow"/>
          <w:lang w:val="en-US"/>
        </w:rPr>
      </w:pPr>
    </w:p>
    <w:p w14:paraId="3518A44F" w14:textId="7CB06DD5" w:rsidR="00BE4238" w:rsidRPr="00D549EE" w:rsidRDefault="00BE4238" w:rsidP="00C9582F">
      <w:pPr>
        <w:pStyle w:val="a3"/>
        <w:spacing w:line="240" w:lineRule="auto"/>
        <w:ind w:left="0"/>
        <w:jc w:val="both"/>
        <w:rPr>
          <w:rFonts w:ascii="Times New Roman" w:hAnsi="Times New Roman"/>
          <w:color w:val="000000" w:themeColor="text1"/>
          <w:sz w:val="28"/>
          <w:szCs w:val="28"/>
          <w:lang w:val="en-US"/>
        </w:rPr>
      </w:pPr>
      <w:r w:rsidRPr="00D549EE">
        <w:rPr>
          <w:rFonts w:ascii="Times New Roman" w:hAnsi="Times New Roman"/>
          <w:noProof/>
          <w:sz w:val="28"/>
          <w:szCs w:val="28"/>
          <w:lang w:eastAsia="ru-RU"/>
        </w:rPr>
        <mc:AlternateContent>
          <mc:Choice Requires="wpc">
            <w:drawing>
              <wp:inline distT="0" distB="0" distL="0" distR="0" wp14:anchorId="1047C2DC" wp14:editId="6FD18B94">
                <wp:extent cx="5486400" cy="4181279"/>
                <wp:effectExtent l="0" t="0" r="0" b="0"/>
                <wp:docPr id="110" name="Полотно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Овал 11"/>
                        <wps:cNvSpPr/>
                        <wps:spPr>
                          <a:xfrm>
                            <a:off x="361951" y="218999"/>
                            <a:ext cx="4791074" cy="320047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1971674" y="0"/>
                            <a:ext cx="1619251" cy="419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D09A27" w14:textId="1C3AC73F" w:rsidR="00AC0BEF" w:rsidRPr="005906F4" w:rsidRDefault="00AC0BEF" w:rsidP="00BE4238">
                              <w:pPr>
                                <w:jc w:val="center"/>
                                <w:rPr>
                                  <w:sz w:val="20"/>
                                  <w:szCs w:val="20"/>
                                  <w:lang w:val="en-US"/>
                                </w:rPr>
                              </w:pPr>
                              <w:r>
                                <w:rPr>
                                  <w:sz w:val="20"/>
                                  <w:szCs w:val="20"/>
                                  <w:lang w:val="en-US"/>
                                </w:rPr>
                                <w:t xml:space="preserve">Macroeconomics and regulation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4267200" y="389550"/>
                            <a:ext cx="1152526" cy="419100"/>
                          </a:xfrm>
                          <a:prstGeom prst="roundRect">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5B1B5C4C" w14:textId="03A96D80" w:rsidR="00AC0BEF" w:rsidRDefault="00AC0BEF" w:rsidP="00BE4238">
                              <w:pPr>
                                <w:pStyle w:val="a5"/>
                                <w:spacing w:before="0" w:beforeAutospacing="0" w:after="0" w:afterAutospacing="0"/>
                                <w:jc w:val="center"/>
                                <w:rPr>
                                  <w:sz w:val="16"/>
                                  <w:szCs w:val="16"/>
                                  <w:lang w:val="en-US"/>
                                </w:rPr>
                              </w:pPr>
                              <w:r>
                                <w:rPr>
                                  <w:sz w:val="16"/>
                                  <w:szCs w:val="16"/>
                                  <w:lang w:val="en-US"/>
                                </w:rPr>
                                <w:t>Infrastructure,</w:t>
                              </w:r>
                            </w:p>
                            <w:p w14:paraId="6DD540BF" w14:textId="5D9E0322" w:rsidR="00AC0BEF" w:rsidRPr="003C2536" w:rsidRDefault="00AC0BEF" w:rsidP="00BE4238">
                              <w:pPr>
                                <w:pStyle w:val="a5"/>
                                <w:spacing w:before="0" w:beforeAutospacing="0" w:after="0" w:afterAutospacing="0"/>
                                <w:jc w:val="center"/>
                                <w:rPr>
                                  <w:sz w:val="16"/>
                                  <w:szCs w:val="16"/>
                                  <w:lang w:val="en-US"/>
                                </w:rPr>
                              </w:pPr>
                              <w:r>
                                <w:rPr>
                                  <w:sz w:val="16"/>
                                  <w:szCs w:val="16"/>
                                  <w:lang w:val="en-US"/>
                                </w:rPr>
                                <w:t xml:space="preserve">Fintech Platforms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Скругленный прямоугольник 41"/>
                        <wps:cNvSpPr/>
                        <wps:spPr>
                          <a:xfrm>
                            <a:off x="27601" y="419100"/>
                            <a:ext cx="1077299" cy="533400"/>
                          </a:xfrm>
                          <a:prstGeom prst="roundRect">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38C03052" w14:textId="77777777" w:rsidR="00AC0BEF" w:rsidRPr="00FE286D" w:rsidRDefault="00AC0BEF" w:rsidP="003C2536">
                              <w:pPr>
                                <w:jc w:val="center"/>
                                <w:rPr>
                                  <w:sz w:val="16"/>
                                  <w:szCs w:val="16"/>
                                  <w:lang w:val="en-US"/>
                                </w:rPr>
                              </w:pPr>
                              <w:r w:rsidRPr="00FE286D">
                                <w:rPr>
                                  <w:sz w:val="16"/>
                                  <w:szCs w:val="16"/>
                                  <w:lang w:val="en-US"/>
                                </w:rPr>
                                <w:t>Providers of capital (primary)</w:t>
                              </w:r>
                            </w:p>
                            <w:p w14:paraId="400A85FE" w14:textId="77777777" w:rsidR="00AC0BEF" w:rsidRPr="00FE286D" w:rsidRDefault="00AC0BEF" w:rsidP="003C2536">
                              <w:pPr>
                                <w:jc w:val="center"/>
                                <w:rPr>
                                  <w:sz w:val="16"/>
                                  <w:szCs w:val="16"/>
                                  <w:lang w:val="en-US"/>
                                </w:rPr>
                              </w:pPr>
                              <w:r w:rsidRPr="00FE286D">
                                <w:rPr>
                                  <w:sz w:val="16"/>
                                  <w:szCs w:val="16"/>
                                  <w:lang w:val="en-US"/>
                                </w:rPr>
                                <w:t xml:space="preserve">Investors </w:t>
                              </w:r>
                            </w:p>
                            <w:p w14:paraId="6FF07DF1" w14:textId="1A6F3E92" w:rsidR="00AC0BEF" w:rsidRDefault="00AC0BEF" w:rsidP="00BE4238">
                              <w:pPr>
                                <w:pStyle w:val="a5"/>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Скругленный прямоугольник 42"/>
                        <wps:cNvSpPr/>
                        <wps:spPr>
                          <a:xfrm>
                            <a:off x="8551" y="2812679"/>
                            <a:ext cx="1086824" cy="610606"/>
                          </a:xfrm>
                          <a:prstGeom prst="roundRect">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393C3FFF" w14:textId="77777777" w:rsidR="00AC0BEF" w:rsidRPr="00695CFE" w:rsidRDefault="00AC0BEF" w:rsidP="00695CFE">
                              <w:pPr>
                                <w:jc w:val="center"/>
                                <w:rPr>
                                  <w:sz w:val="16"/>
                                  <w:szCs w:val="16"/>
                                  <w:lang w:val="en-US"/>
                                </w:rPr>
                              </w:pPr>
                              <w:r w:rsidRPr="00695CFE">
                                <w:rPr>
                                  <w:sz w:val="16"/>
                                  <w:szCs w:val="16"/>
                                  <w:lang w:val="en-US"/>
                                </w:rPr>
                                <w:t>Users of capital</w:t>
                              </w:r>
                            </w:p>
                            <w:p w14:paraId="576FF460" w14:textId="77777777" w:rsidR="00AC0BEF" w:rsidRPr="00695CFE" w:rsidRDefault="00AC0BEF" w:rsidP="00695CFE">
                              <w:pPr>
                                <w:jc w:val="center"/>
                                <w:rPr>
                                  <w:sz w:val="16"/>
                                  <w:szCs w:val="16"/>
                                  <w:lang w:val="en-US"/>
                                </w:rPr>
                              </w:pPr>
                              <w:r w:rsidRPr="00695CFE">
                                <w:rPr>
                                  <w:sz w:val="16"/>
                                  <w:szCs w:val="16"/>
                                  <w:lang w:val="en-US"/>
                                </w:rPr>
                                <w:t xml:space="preserve">CRS Business </w:t>
                              </w:r>
                            </w:p>
                            <w:p w14:paraId="7CFEDF70" w14:textId="77777777" w:rsidR="00AC0BEF" w:rsidRPr="00695CFE" w:rsidRDefault="00AC0BEF" w:rsidP="00695CFE">
                              <w:pPr>
                                <w:jc w:val="center"/>
                                <w:rPr>
                                  <w:sz w:val="16"/>
                                  <w:szCs w:val="16"/>
                                  <w:lang w:val="en-US"/>
                                </w:rPr>
                              </w:pPr>
                              <w:r w:rsidRPr="00695CFE">
                                <w:rPr>
                                  <w:sz w:val="16"/>
                                  <w:szCs w:val="16"/>
                                  <w:lang w:val="en-US"/>
                                </w:rPr>
                                <w:t>Sustainable</w:t>
                              </w:r>
                            </w:p>
                            <w:p w14:paraId="58CEC05A" w14:textId="53033C35" w:rsidR="00AC0BEF" w:rsidRPr="00695CFE" w:rsidRDefault="00AC0BEF" w:rsidP="00695CFE">
                              <w:pPr>
                                <w:jc w:val="center"/>
                                <w:rPr>
                                  <w:sz w:val="16"/>
                                  <w:szCs w:val="16"/>
                                  <w:lang w:val="en-US"/>
                                </w:rPr>
                              </w:pPr>
                              <w:r>
                                <w:rPr>
                                  <w:sz w:val="16"/>
                                  <w:szCs w:val="16"/>
                                  <w:lang w:val="en-US"/>
                                </w:rPr>
                                <w:t>business</w:t>
                              </w:r>
                            </w:p>
                            <w:p w14:paraId="75D2953E" w14:textId="2E882D3D" w:rsidR="00AC0BEF" w:rsidRPr="00695CFE" w:rsidRDefault="00AC0BEF" w:rsidP="00BE4238">
                              <w:pPr>
                                <w:pStyle w:val="a5"/>
                                <w:spacing w:before="0" w:beforeAutospacing="0" w:after="0" w:afterAutospacing="0"/>
                                <w:jc w:val="center"/>
                                <w:rPr>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Скругленный прямоугольник 80"/>
                        <wps:cNvSpPr/>
                        <wps:spPr>
                          <a:xfrm>
                            <a:off x="4267200" y="2816002"/>
                            <a:ext cx="1133476" cy="582724"/>
                          </a:xfrm>
                          <a:prstGeom prst="roundRect">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4F64E528" w14:textId="77777777" w:rsidR="00AC0BEF" w:rsidRPr="00961483" w:rsidRDefault="00AC0BEF" w:rsidP="00161FF4">
                              <w:pPr>
                                <w:jc w:val="center"/>
                                <w:rPr>
                                  <w:sz w:val="16"/>
                                  <w:szCs w:val="16"/>
                                  <w:lang w:val="en-US"/>
                                </w:rPr>
                              </w:pPr>
                              <w:r w:rsidRPr="00961483">
                                <w:rPr>
                                  <w:sz w:val="16"/>
                                  <w:szCs w:val="16"/>
                                  <w:lang w:val="en-US"/>
                                </w:rPr>
                                <w:t xml:space="preserve">Traders of the capital </w:t>
                              </w:r>
                            </w:p>
                            <w:p w14:paraId="6CB82098" w14:textId="77777777" w:rsidR="00AC0BEF" w:rsidRPr="00961483" w:rsidRDefault="00AC0BEF" w:rsidP="00161FF4">
                              <w:pPr>
                                <w:jc w:val="center"/>
                                <w:rPr>
                                  <w:sz w:val="16"/>
                                  <w:szCs w:val="16"/>
                                  <w:lang w:val="en-US"/>
                                </w:rPr>
                              </w:pPr>
                              <w:r w:rsidRPr="00961483">
                                <w:rPr>
                                  <w:sz w:val="16"/>
                                  <w:szCs w:val="16"/>
                                  <w:lang w:val="en-US"/>
                                </w:rPr>
                                <w:t>(secondary)</w:t>
                              </w:r>
                            </w:p>
                            <w:p w14:paraId="63FAAE52" w14:textId="5CDE18A9" w:rsidR="00AC0BEF" w:rsidRPr="00161FF4" w:rsidRDefault="00AC0BEF" w:rsidP="00BE4238">
                              <w:pPr>
                                <w:pStyle w:val="a5"/>
                                <w:spacing w:before="0" w:beforeAutospacing="0" w:after="0" w:afterAutospacing="0"/>
                                <w:jc w:val="center"/>
                                <w:rPr>
                                  <w:sz w:val="20"/>
                                  <w:szCs w:val="20"/>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Овал 81"/>
                        <wps:cNvSpPr/>
                        <wps:spPr>
                          <a:xfrm>
                            <a:off x="714375" y="609600"/>
                            <a:ext cx="4124325" cy="252412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1228725" y="1009650"/>
                            <a:ext cx="3105149" cy="16563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Скругленный прямоугольник 83"/>
                        <wps:cNvSpPr/>
                        <wps:spPr>
                          <a:xfrm>
                            <a:off x="1228725" y="3590924"/>
                            <a:ext cx="3105149" cy="55435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CBCC0B" w14:textId="77777777" w:rsidR="00AC0BEF" w:rsidRPr="005F5669" w:rsidRDefault="00AC0BEF" w:rsidP="00BE4238">
                              <w:pPr>
                                <w:pStyle w:val="a5"/>
                                <w:spacing w:before="0" w:beforeAutospacing="0" w:after="0" w:afterAutospacing="0" w:line="276" w:lineRule="auto"/>
                                <w:jc w:val="center"/>
                                <w:rPr>
                                  <w:sz w:val="16"/>
                                  <w:szCs w:val="16"/>
                                  <w:lang w:val="en-US"/>
                                </w:rPr>
                              </w:pPr>
                              <w:r w:rsidRPr="005F5669">
                                <w:rPr>
                                  <w:sz w:val="16"/>
                                  <w:szCs w:val="16"/>
                                  <w:lang w:val="en-US"/>
                                </w:rPr>
                                <w:t xml:space="preserve">Development of the country </w:t>
                              </w:r>
                            </w:p>
                            <w:p w14:paraId="1D1DB7B1" w14:textId="190D727F" w:rsidR="00AC0BEF" w:rsidRPr="005F5669" w:rsidRDefault="00AC0BEF" w:rsidP="00BE4238">
                              <w:pPr>
                                <w:pStyle w:val="a5"/>
                                <w:spacing w:before="0" w:beforeAutospacing="0" w:after="0" w:afterAutospacing="0" w:line="276" w:lineRule="auto"/>
                                <w:jc w:val="center"/>
                                <w:rPr>
                                  <w:sz w:val="16"/>
                                  <w:szCs w:val="16"/>
                                  <w:lang w:val="en-US"/>
                                </w:rPr>
                              </w:pPr>
                              <w:r w:rsidRPr="005F5669">
                                <w:rPr>
                                  <w:sz w:val="16"/>
                                  <w:szCs w:val="16"/>
                                  <w:lang w:val="en-US"/>
                                </w:rPr>
                                <w:t>banks, Securities market,</w:t>
                              </w:r>
                            </w:p>
                            <w:p w14:paraId="13486116" w14:textId="279BBFE7" w:rsidR="00AC0BEF" w:rsidRPr="005F5669" w:rsidRDefault="00AC0BEF" w:rsidP="00BE4238">
                              <w:pPr>
                                <w:pStyle w:val="a5"/>
                                <w:spacing w:before="0" w:beforeAutospacing="0" w:after="0" w:afterAutospacing="0" w:line="276" w:lineRule="auto"/>
                                <w:jc w:val="center"/>
                                <w:rPr>
                                  <w:sz w:val="16"/>
                                  <w:szCs w:val="16"/>
                                  <w:lang w:val="en-US"/>
                                </w:rPr>
                              </w:pPr>
                              <w:r w:rsidRPr="005F5669">
                                <w:rPr>
                                  <w:sz w:val="16"/>
                                  <w:szCs w:val="16"/>
                                  <w:lang w:val="en-US"/>
                                </w:rPr>
                                <w:t>budget, pension funds, insurance companies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Надпись 84"/>
                        <wps:cNvSpPr txBox="1"/>
                        <wps:spPr>
                          <a:xfrm>
                            <a:off x="1463040" y="1057275"/>
                            <a:ext cx="27051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07D46" w14:textId="796C82DA" w:rsidR="00AC0BEF" w:rsidRPr="002E22AC" w:rsidRDefault="00AC0BEF" w:rsidP="002E22AC">
                              <w:pPr>
                                <w:jc w:val="center"/>
                                <w:rPr>
                                  <w:sz w:val="20"/>
                                  <w:szCs w:val="20"/>
                                  <w:lang w:val="en-US"/>
                                </w:rPr>
                              </w:pPr>
                              <w:r>
                                <w:rPr>
                                  <w:sz w:val="20"/>
                                  <w:szCs w:val="20"/>
                                  <w:lang w:val="en-US"/>
                                </w:rPr>
                                <w:t>Islamic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Надпись 39013"/>
                        <wps:cNvSpPr txBox="1"/>
                        <wps:spPr>
                          <a:xfrm>
                            <a:off x="3800475" y="1413800"/>
                            <a:ext cx="876525" cy="77343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DF71EE6" w14:textId="77777777" w:rsidR="00AC0BEF" w:rsidRPr="003E1051" w:rsidRDefault="00AC0BEF" w:rsidP="003E1051">
                              <w:pPr>
                                <w:jc w:val="center"/>
                                <w:rPr>
                                  <w:sz w:val="13"/>
                                  <w:szCs w:val="13"/>
                                  <w:lang w:val="en-US"/>
                                </w:rPr>
                              </w:pPr>
                              <w:r w:rsidRPr="003E1051">
                                <w:rPr>
                                  <w:sz w:val="13"/>
                                  <w:szCs w:val="13"/>
                                  <w:lang w:val="en-US"/>
                                </w:rPr>
                                <w:t>Islamic Banks</w:t>
                              </w:r>
                            </w:p>
                            <w:p w14:paraId="7C692F13" w14:textId="77777777" w:rsidR="00AC0BEF" w:rsidRPr="003E1051" w:rsidRDefault="00AC0BEF" w:rsidP="003E1051">
                              <w:pPr>
                                <w:jc w:val="center"/>
                                <w:rPr>
                                  <w:sz w:val="13"/>
                                  <w:szCs w:val="13"/>
                                  <w:lang w:val="en-US"/>
                                </w:rPr>
                              </w:pPr>
                              <w:r w:rsidRPr="003E1051">
                                <w:rPr>
                                  <w:sz w:val="13"/>
                                  <w:szCs w:val="13"/>
                                  <w:lang w:val="en-US"/>
                                </w:rPr>
                                <w:t>Islamic financial institutions</w:t>
                              </w:r>
                            </w:p>
                            <w:p w14:paraId="6A3FDDB7" w14:textId="2E877F17" w:rsidR="00AC0BEF" w:rsidRPr="00FF445D" w:rsidRDefault="00AC0BEF" w:rsidP="003E1051">
                              <w:pPr>
                                <w:jc w:val="center"/>
                                <w:rPr>
                                  <w:sz w:val="13"/>
                                  <w:szCs w:val="13"/>
                                  <w:lang w:val="en-US"/>
                                </w:rPr>
                              </w:pPr>
                              <w:r w:rsidRPr="003E1051">
                                <w:rPr>
                                  <w:sz w:val="13"/>
                                  <w:szCs w:val="13"/>
                                  <w:lang w:val="en-US"/>
                                </w:rPr>
                                <w:t>Investment, takaful</w:t>
                              </w:r>
                              <w:r w:rsidRPr="000E4280">
                                <w:rPr>
                                  <w:lang w:val="en-US"/>
                                </w:rPr>
                                <w:t xml:space="preserve"> </w:t>
                              </w:r>
                            </w:p>
                            <w:p w14:paraId="2F29B263" w14:textId="77777777" w:rsidR="00AC0BEF" w:rsidRPr="00FF445D" w:rsidRDefault="00AC0BEF" w:rsidP="003E1051">
                              <w:pPr>
                                <w:jc w:val="center"/>
                                <w:rPr>
                                  <w:sz w:val="13"/>
                                  <w:szCs w:val="13"/>
                                  <w:lang w:val="en-US"/>
                                </w:rPr>
                              </w:pPr>
                              <w:r w:rsidRPr="00FF445D">
                                <w:rPr>
                                  <w:sz w:val="13"/>
                                  <w:szCs w:val="13"/>
                                  <w:lang w:val="en-US"/>
                                </w:rPr>
                                <w:t>Mutual  funds, Private equity</w:t>
                              </w:r>
                            </w:p>
                            <w:p w14:paraId="6DAD51EF" w14:textId="77777777" w:rsidR="00AC0BEF" w:rsidRPr="00FF445D" w:rsidRDefault="00AC0BEF" w:rsidP="003E1051">
                              <w:pPr>
                                <w:jc w:val="center"/>
                                <w:rPr>
                                  <w:sz w:val="13"/>
                                  <w:szCs w:val="13"/>
                                  <w:lang w:val="en-US"/>
                                </w:rPr>
                              </w:pPr>
                              <w:r w:rsidRPr="00FF445D">
                                <w:rPr>
                                  <w:sz w:val="13"/>
                                  <w:szCs w:val="13"/>
                                  <w:lang w:val="en-US"/>
                                </w:rPr>
                                <w:t>Pension funds</w:t>
                              </w:r>
                            </w:p>
                            <w:p w14:paraId="2D2D3317" w14:textId="77777777" w:rsidR="00AC0BEF" w:rsidRPr="000E4280" w:rsidRDefault="00AC0BEF" w:rsidP="003E1051">
                              <w:pPr>
                                <w:jc w:val="center"/>
                                <w:rPr>
                                  <w:lang w:val="en-US"/>
                                </w:rPr>
                              </w:pPr>
                              <w:r w:rsidRPr="000E4280">
                                <w:rPr>
                                  <w:lang w:val="en-US"/>
                                </w:rPr>
                                <w:t>Shariah boards</w:t>
                              </w:r>
                            </w:p>
                            <w:p w14:paraId="23DB73A9" w14:textId="20AD287E" w:rsidR="00AC0BEF" w:rsidRDefault="00AC0BEF" w:rsidP="00BE4238">
                              <w:pPr>
                                <w:pStyle w:val="a5"/>
                                <w:spacing w:before="0" w:beforeAutospacing="0" w:after="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Надпись 39013"/>
                        <wps:cNvSpPr txBox="1"/>
                        <wps:spPr>
                          <a:xfrm>
                            <a:off x="1857376" y="2352675"/>
                            <a:ext cx="1857375" cy="2381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7D6F600" w14:textId="3EB7EC41" w:rsidR="00AC0BEF" w:rsidRPr="004F4EF7" w:rsidRDefault="00AC0BEF" w:rsidP="00BE4238">
                              <w:pPr>
                                <w:pStyle w:val="a5"/>
                                <w:spacing w:before="0" w:beforeAutospacing="0" w:after="0" w:afterAutospacing="0" w:line="276" w:lineRule="auto"/>
                                <w:jc w:val="center"/>
                                <w:rPr>
                                  <w:lang w:val="en-US"/>
                                </w:rPr>
                              </w:pPr>
                              <w:r>
                                <w:rPr>
                                  <w:sz w:val="20"/>
                                  <w:szCs w:val="20"/>
                                  <w:lang w:val="en-US"/>
                                </w:rPr>
                                <w:t>Supporting institutions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Надпись 39013"/>
                        <wps:cNvSpPr txBox="1"/>
                        <wps:spPr>
                          <a:xfrm>
                            <a:off x="781980" y="1541100"/>
                            <a:ext cx="960120" cy="5629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A30083" w14:textId="77777777" w:rsidR="00AC0BEF" w:rsidRPr="009C08CE" w:rsidRDefault="00AC0BEF" w:rsidP="003E1051">
                              <w:pPr>
                                <w:jc w:val="center"/>
                                <w:rPr>
                                  <w:lang w:val="en-US"/>
                                </w:rPr>
                              </w:pPr>
                              <w:r w:rsidRPr="003E1051">
                                <w:rPr>
                                  <w:sz w:val="16"/>
                                  <w:szCs w:val="16"/>
                                  <w:lang w:val="en-US"/>
                                </w:rPr>
                                <w:t>Islamic Capital Market, Sukuk</w:t>
                              </w:r>
                              <w:r w:rsidRPr="009C08CE">
                                <w:rPr>
                                  <w:lang w:val="en-US"/>
                                </w:rPr>
                                <w:t xml:space="preserve"> </w:t>
                              </w:r>
                              <w:r w:rsidRPr="003E1051">
                                <w:rPr>
                                  <w:sz w:val="16"/>
                                  <w:szCs w:val="16"/>
                                  <w:lang w:val="en-US"/>
                                </w:rPr>
                                <w:t>issuance</w:t>
                              </w:r>
                            </w:p>
                            <w:p w14:paraId="4A8D3AA2" w14:textId="7D578D55" w:rsidR="00AC0BEF" w:rsidRPr="003E1051" w:rsidRDefault="00AC0BEF" w:rsidP="00BE4238">
                              <w:pPr>
                                <w:pStyle w:val="a5"/>
                                <w:spacing w:before="0" w:beforeAutospacing="0" w:after="0" w:afterAutospacing="0" w:line="276" w:lineRule="auto"/>
                                <w:jc w:val="center"/>
                                <w:rPr>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Надпись 39013"/>
                        <wps:cNvSpPr txBox="1"/>
                        <wps:spPr>
                          <a:xfrm>
                            <a:off x="1847850" y="1381125"/>
                            <a:ext cx="1876426" cy="7229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7B01945" w14:textId="09C62DA2" w:rsidR="00AC0BEF" w:rsidRDefault="00AC0BEF" w:rsidP="003C2536">
                              <w:pPr>
                                <w:jc w:val="center"/>
                                <w:rPr>
                                  <w:sz w:val="20"/>
                                  <w:szCs w:val="20"/>
                                  <w:lang w:val="en-US"/>
                                </w:rPr>
                              </w:pPr>
                              <w:r>
                                <w:rPr>
                                  <w:sz w:val="20"/>
                                  <w:szCs w:val="20"/>
                                  <w:lang w:val="en-US"/>
                                </w:rPr>
                                <w:t xml:space="preserve">Islamic social finance </w:t>
                              </w:r>
                            </w:p>
                            <w:p w14:paraId="12D150DC" w14:textId="77777777" w:rsidR="00AC0BEF" w:rsidRDefault="00AC0BEF" w:rsidP="003C2536">
                              <w:pPr>
                                <w:jc w:val="center"/>
                                <w:rPr>
                                  <w:sz w:val="20"/>
                                  <w:szCs w:val="20"/>
                                  <w:lang w:val="en-US"/>
                                </w:rPr>
                              </w:pPr>
                            </w:p>
                            <w:p w14:paraId="2D6BF5A9" w14:textId="47725192" w:rsidR="00AC0BEF" w:rsidRPr="003C2536" w:rsidRDefault="00AC0BEF" w:rsidP="003C2536">
                              <w:pPr>
                                <w:jc w:val="center"/>
                                <w:rPr>
                                  <w:sz w:val="20"/>
                                  <w:szCs w:val="20"/>
                                  <w:lang w:val="en-US"/>
                                </w:rPr>
                              </w:pPr>
                              <w:r w:rsidRPr="003C2536">
                                <w:rPr>
                                  <w:sz w:val="20"/>
                                  <w:szCs w:val="20"/>
                                  <w:lang w:val="en-US"/>
                                </w:rPr>
                                <w:t>Islamic social institutions</w:t>
                              </w:r>
                            </w:p>
                            <w:p w14:paraId="21BC14AF" w14:textId="77777777" w:rsidR="00AC0BEF" w:rsidRPr="003C2536" w:rsidRDefault="00AC0BEF" w:rsidP="003C2536">
                              <w:pPr>
                                <w:jc w:val="center"/>
                                <w:rPr>
                                  <w:sz w:val="20"/>
                                  <w:szCs w:val="20"/>
                                  <w:lang w:val="en-US"/>
                                </w:rPr>
                              </w:pPr>
                              <w:r w:rsidRPr="003C2536">
                                <w:rPr>
                                  <w:sz w:val="20"/>
                                  <w:szCs w:val="20"/>
                                  <w:lang w:val="en-US"/>
                                </w:rPr>
                                <w:t>Waqf, zakat, microfinance</w:t>
                              </w:r>
                            </w:p>
                            <w:p w14:paraId="0DEA5889" w14:textId="5B999167" w:rsidR="00AC0BEF" w:rsidRPr="004F4EF7" w:rsidRDefault="00AC0BEF" w:rsidP="00BE4238">
                              <w:pPr>
                                <w:pStyle w:val="a5"/>
                                <w:spacing w:before="0" w:beforeAutospacing="0" w:after="0" w:afterAutospacing="0" w:line="276" w:lineRule="auto"/>
                                <w:jc w:val="center"/>
                                <w:rPr>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Прямая соединительная линия 92"/>
                        <wps:cNvCnPr/>
                        <wps:spPr>
                          <a:xfrm flipH="1">
                            <a:off x="2776538" y="2665994"/>
                            <a:ext cx="4762" cy="92493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Блок-схема: узел 39012"/>
                        <wps:cNvSpPr/>
                        <wps:spPr>
                          <a:xfrm>
                            <a:off x="2721294" y="3352800"/>
                            <a:ext cx="123825" cy="117868"/>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Надпись 39013"/>
                        <wps:cNvSpPr txBox="1"/>
                        <wps:spPr>
                          <a:xfrm>
                            <a:off x="1618275" y="2694600"/>
                            <a:ext cx="2334600" cy="284820"/>
                          </a:xfrm>
                          <a:prstGeom prst="rect">
                            <a:avLst/>
                          </a:prstGeom>
                          <a:ln/>
                        </wps:spPr>
                        <wps:style>
                          <a:lnRef idx="2">
                            <a:schemeClr val="dk1"/>
                          </a:lnRef>
                          <a:fillRef idx="1">
                            <a:schemeClr val="lt1"/>
                          </a:fillRef>
                          <a:effectRef idx="0">
                            <a:schemeClr val="dk1"/>
                          </a:effectRef>
                          <a:fontRef idx="minor">
                            <a:schemeClr val="dk1"/>
                          </a:fontRef>
                        </wps:style>
                        <wps:txbx>
                          <w:txbxContent>
                            <w:p w14:paraId="7DB95FDB" w14:textId="427E9826" w:rsidR="00AC0BEF" w:rsidRPr="00BF5F8B" w:rsidRDefault="00AC0BEF" w:rsidP="00BF5F8B">
                              <w:pPr>
                                <w:pStyle w:val="a5"/>
                                <w:spacing w:before="0" w:beforeAutospacing="0" w:after="0" w:afterAutospacing="0" w:line="276" w:lineRule="auto"/>
                                <w:jc w:val="center"/>
                                <w:rPr>
                                  <w:lang w:val="en-US"/>
                                </w:rPr>
                              </w:pPr>
                              <w:r>
                                <w:rPr>
                                  <w:sz w:val="20"/>
                                  <w:szCs w:val="20"/>
                                  <w:lang w:val="en-US"/>
                                </w:rPr>
                                <w:t>National financial system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Надпись 39013"/>
                        <wps:cNvSpPr txBox="1"/>
                        <wps:spPr>
                          <a:xfrm>
                            <a:off x="1742100" y="780075"/>
                            <a:ext cx="2058375" cy="324826"/>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A21D2FC" w14:textId="7763BF2C" w:rsidR="00AC0BEF" w:rsidRPr="008B7569" w:rsidRDefault="00AC0BEF" w:rsidP="00F531AA">
                              <w:pPr>
                                <w:pStyle w:val="a5"/>
                                <w:spacing w:before="0" w:beforeAutospacing="0" w:after="0" w:afterAutospacing="0" w:line="276" w:lineRule="auto"/>
                                <w:jc w:val="center"/>
                                <w:rPr>
                                  <w:sz w:val="16"/>
                                  <w:szCs w:val="16"/>
                                  <w:lang w:val="en-US"/>
                                </w:rPr>
                              </w:pPr>
                              <w:r w:rsidRPr="008B7569">
                                <w:rPr>
                                  <w:sz w:val="16"/>
                                  <w:szCs w:val="16"/>
                                  <w:lang w:val="en-US"/>
                                </w:rPr>
                                <w:t>National Bank, ARKRDFM</w:t>
                              </w:r>
                              <w:r>
                                <w:rPr>
                                  <w:sz w:val="16"/>
                                  <w:szCs w:val="16"/>
                                  <w:lang w:val="en-US"/>
                                </w:rPr>
                                <w:t>,</w:t>
                              </w:r>
                              <w:r w:rsidRPr="008B7569">
                                <w:rPr>
                                  <w:sz w:val="16"/>
                                  <w:szCs w:val="16"/>
                                  <w:lang w:val="en-US"/>
                                </w:rPr>
                                <w:t>AIFC, AAOIFI, IFSB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Равнобедренный треугольник 20480"/>
                        <wps:cNvSpPr/>
                        <wps:spPr>
                          <a:xfrm flipV="1">
                            <a:off x="2733676" y="3514724"/>
                            <a:ext cx="76200" cy="8572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ая со стрелкой 99"/>
                        <wps:cNvCnPr/>
                        <wps:spPr>
                          <a:xfrm flipH="1">
                            <a:off x="2776538" y="419100"/>
                            <a:ext cx="4762" cy="1905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0" name="Прямая со стрелкой 100"/>
                        <wps:cNvCnPr/>
                        <wps:spPr>
                          <a:xfrm flipH="1">
                            <a:off x="4333875" y="808650"/>
                            <a:ext cx="180975" cy="210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1" name="Прямая со стрелкой 101"/>
                        <wps:cNvCnPr/>
                        <wps:spPr>
                          <a:xfrm>
                            <a:off x="1066800" y="895350"/>
                            <a:ext cx="180975" cy="1619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2" name="Прямая со стрелкой 102"/>
                        <wps:cNvCnPr/>
                        <wps:spPr>
                          <a:xfrm flipV="1">
                            <a:off x="1047750" y="2665994"/>
                            <a:ext cx="199051" cy="15340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Прямая со стрелкой 103"/>
                        <wps:cNvCnPr/>
                        <wps:spPr>
                          <a:xfrm>
                            <a:off x="4333874" y="2647950"/>
                            <a:ext cx="85726" cy="1905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5" name="Скругленная соединительная линия 105"/>
                        <wps:cNvCnPr/>
                        <wps:spPr>
                          <a:xfrm flipH="1">
                            <a:off x="3762491" y="2255815"/>
                            <a:ext cx="142875" cy="151765"/>
                          </a:xfrm>
                          <a:prstGeom prst="curvedConnector4">
                            <a:avLst>
                              <a:gd name="adj1" fmla="val -79999"/>
                              <a:gd name="adj2" fmla="val 25723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Скругленная соединительная линия 106"/>
                        <wps:cNvCnPr/>
                        <wps:spPr>
                          <a:xfrm rot="10800000" flipH="1" flipV="1">
                            <a:off x="1571625" y="2104050"/>
                            <a:ext cx="276225" cy="298916"/>
                          </a:xfrm>
                          <a:prstGeom prst="curvedConnector4">
                            <a:avLst>
                              <a:gd name="adj1" fmla="val -41380"/>
                              <a:gd name="adj2" fmla="val 157626"/>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Равнобедренный треугольник 20492"/>
                        <wps:cNvSpPr/>
                        <wps:spPr>
                          <a:xfrm flipV="1">
                            <a:off x="342901" y="1895474"/>
                            <a:ext cx="66674" cy="128099"/>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Равнобедренный треугольник 400"/>
                        <wps:cNvSpPr/>
                        <wps:spPr>
                          <a:xfrm flipV="1">
                            <a:off x="5133000" y="1796338"/>
                            <a:ext cx="66040" cy="12763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Равнобедренный треугольник 401"/>
                        <wps:cNvSpPr/>
                        <wps:spPr>
                          <a:xfrm rot="14750447">
                            <a:off x="3620122" y="3252137"/>
                            <a:ext cx="92218" cy="123704"/>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Скругленная соединительная линия 115"/>
                        <wps:cNvCnPr/>
                        <wps:spPr>
                          <a:xfrm>
                            <a:off x="3670935" y="1127760"/>
                            <a:ext cx="390525" cy="190500"/>
                          </a:xfrm>
                          <a:prstGeom prst="curvedConnector3">
                            <a:avLst>
                              <a:gd name="adj1" fmla="val 158537"/>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Скругленная соединительная линия 117"/>
                        <wps:cNvCnPr/>
                        <wps:spPr>
                          <a:xfrm rot="5400000">
                            <a:off x="1384791" y="1175531"/>
                            <a:ext cx="308899" cy="289560"/>
                          </a:xfrm>
                          <a:prstGeom prst="curvedConnector3">
                            <a:avLst>
                              <a:gd name="adj1" fmla="val -38806"/>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047C2DC" id="Полотно 110" o:spid="_x0000_s1048" editas="canvas" style="width:6in;height:329.25pt;mso-position-horizontal-relative:char;mso-position-vertical-relative:line" coordsize="54864,4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54864;height:41808;visibility:visible;mso-wrap-style:square">
                  <v:fill o:detectmouseclick="t"/>
                  <v:path o:connecttype="none"/>
                </v:shape>
                <v:oval id="Овал 11" o:spid="_x0000_s1050" style="position:absolute;left:3619;top:2189;width:47911;height:3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" fillcolor="white [3201]" strokecolor="black [3213]" strokeweight="1pt">
                  <v:stroke joinstyle="miter"/>
                </v:oval>
                <v:roundrect id="Скругленный прямоугольник 19" o:spid="_x0000_s1051" style="position:absolute;left:19716;width:16193;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" fillcolor="white [3201]" strokecolor="black [3213]" strokeweight="1pt">
                  <v:stroke joinstyle="miter"/>
                  <v:textbox>
                    <w:txbxContent>
                      <w:p w14:paraId="3CD09A27" w14:textId="1C3AC73F" w:rsidR="00AC0BEF" w:rsidRPr="005906F4" w:rsidRDefault="00AC0BEF" w:rsidP="00BE4238">
                        <w:pPr>
                          <w:jc w:val="center"/>
                          <w:rPr>
                            <w:sz w:val="20"/>
                            <w:szCs w:val="20"/>
                            <w:lang w:val="en-US"/>
                          </w:rPr>
                        </w:pPr>
                        <w:r>
                          <w:rPr>
                            <w:sz w:val="20"/>
                            <w:szCs w:val="20"/>
                            <w:lang w:val="en-US"/>
                          </w:rPr>
                          <w:t xml:space="preserve">Macroeconomics and regulation </w:t>
                        </w:r>
                      </w:p>
                    </w:txbxContent>
                  </v:textbox>
                </v:roundrect>
                <v:roundrect id="Скругленный прямоугольник 32" o:spid="_x0000_s1052" style="position:absolute;left:42672;top:3895;width:1152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" fillcolor="white [3201]" strokecolor="#404040 [2429]" strokeweight="1pt">
                  <v:stroke joinstyle="miter"/>
                  <v:textbox>
                    <w:txbxContent>
                      <w:p w14:paraId="5B1B5C4C" w14:textId="03A96D80" w:rsidR="00AC0BEF" w:rsidRDefault="00AC0BEF" w:rsidP="00BE4238">
                        <w:pPr>
                          <w:pStyle w:val="a5"/>
                          <w:spacing w:before="0" w:beforeAutospacing="0" w:after="0" w:afterAutospacing="0"/>
                          <w:jc w:val="center"/>
                          <w:rPr>
                            <w:sz w:val="16"/>
                            <w:szCs w:val="16"/>
                            <w:lang w:val="en-US"/>
                          </w:rPr>
                        </w:pPr>
                        <w:r>
                          <w:rPr>
                            <w:sz w:val="16"/>
                            <w:szCs w:val="16"/>
                            <w:lang w:val="en-US"/>
                          </w:rPr>
                          <w:t>Infrastructure,</w:t>
                        </w:r>
                      </w:p>
                      <w:p w14:paraId="6DD540BF" w14:textId="5D9E0322" w:rsidR="00AC0BEF" w:rsidRPr="003C2536" w:rsidRDefault="00AC0BEF" w:rsidP="00BE4238">
                        <w:pPr>
                          <w:pStyle w:val="a5"/>
                          <w:spacing w:before="0" w:beforeAutospacing="0" w:after="0" w:afterAutospacing="0"/>
                          <w:jc w:val="center"/>
                          <w:rPr>
                            <w:sz w:val="16"/>
                            <w:szCs w:val="16"/>
                            <w:lang w:val="en-US"/>
                          </w:rPr>
                        </w:pPr>
                        <w:r>
                          <w:rPr>
                            <w:sz w:val="16"/>
                            <w:szCs w:val="16"/>
                            <w:lang w:val="en-US"/>
                          </w:rPr>
                          <w:t xml:space="preserve">Fintech Platforms </w:t>
                        </w:r>
                      </w:p>
                    </w:txbxContent>
                  </v:textbox>
                </v:roundrect>
                <v:roundrect id="Скругленный прямоугольник 41" o:spid="_x0000_s1053" style="position:absolute;left:276;top:4191;width:10773;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" fillcolor="white [3201]" strokecolor="#404040 [2429]" strokeweight="1pt">
                  <v:stroke joinstyle="miter"/>
                  <v:textbox>
                    <w:txbxContent>
                      <w:p w14:paraId="38C03052" w14:textId="77777777" w:rsidR="00AC0BEF" w:rsidRPr="00FE286D" w:rsidRDefault="00AC0BEF" w:rsidP="003C2536">
                        <w:pPr>
                          <w:jc w:val="center"/>
                          <w:rPr>
                            <w:sz w:val="16"/>
                            <w:szCs w:val="16"/>
                            <w:lang w:val="en-US"/>
                          </w:rPr>
                        </w:pPr>
                        <w:r w:rsidRPr="00FE286D">
                          <w:rPr>
                            <w:sz w:val="16"/>
                            <w:szCs w:val="16"/>
                            <w:lang w:val="en-US"/>
                          </w:rPr>
                          <w:t>Providers of capital (primary)</w:t>
                        </w:r>
                      </w:p>
                      <w:p w14:paraId="400A85FE" w14:textId="77777777" w:rsidR="00AC0BEF" w:rsidRPr="00FE286D" w:rsidRDefault="00AC0BEF" w:rsidP="003C2536">
                        <w:pPr>
                          <w:jc w:val="center"/>
                          <w:rPr>
                            <w:sz w:val="16"/>
                            <w:szCs w:val="16"/>
                            <w:lang w:val="en-US"/>
                          </w:rPr>
                        </w:pPr>
                        <w:r w:rsidRPr="00FE286D">
                          <w:rPr>
                            <w:sz w:val="16"/>
                            <w:szCs w:val="16"/>
                            <w:lang w:val="en-US"/>
                          </w:rPr>
                          <w:t xml:space="preserve">Investors </w:t>
                        </w:r>
                      </w:p>
                      <w:p w14:paraId="6FF07DF1" w14:textId="1A6F3E92" w:rsidR="00AC0BEF" w:rsidRDefault="00AC0BEF" w:rsidP="00BE4238">
                        <w:pPr>
                          <w:pStyle w:val="a5"/>
                          <w:spacing w:before="0" w:beforeAutospacing="0" w:after="0" w:afterAutospacing="0"/>
                          <w:jc w:val="center"/>
                        </w:pPr>
                      </w:p>
                    </w:txbxContent>
                  </v:textbox>
                </v:roundrect>
                <v:roundrect id="Скругленный прямоугольник 42" o:spid="_x0000_s1054" style="position:absolute;left:85;top:28126;width:10868;height:6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" fillcolor="white [3201]" strokecolor="#404040 [2429]" strokeweight="1pt">
                  <v:stroke joinstyle="miter"/>
                  <v:textbox>
                    <w:txbxContent>
                      <w:p w14:paraId="393C3FFF" w14:textId="77777777" w:rsidR="00AC0BEF" w:rsidRPr="00695CFE" w:rsidRDefault="00AC0BEF" w:rsidP="00695CFE">
                        <w:pPr>
                          <w:jc w:val="center"/>
                          <w:rPr>
                            <w:sz w:val="16"/>
                            <w:szCs w:val="16"/>
                            <w:lang w:val="en-US"/>
                          </w:rPr>
                        </w:pPr>
                        <w:r w:rsidRPr="00695CFE">
                          <w:rPr>
                            <w:sz w:val="16"/>
                            <w:szCs w:val="16"/>
                            <w:lang w:val="en-US"/>
                          </w:rPr>
                          <w:t>Users of capital</w:t>
                        </w:r>
                      </w:p>
                      <w:p w14:paraId="576FF460" w14:textId="77777777" w:rsidR="00AC0BEF" w:rsidRPr="00695CFE" w:rsidRDefault="00AC0BEF" w:rsidP="00695CFE">
                        <w:pPr>
                          <w:jc w:val="center"/>
                          <w:rPr>
                            <w:sz w:val="16"/>
                            <w:szCs w:val="16"/>
                            <w:lang w:val="en-US"/>
                          </w:rPr>
                        </w:pPr>
                        <w:r w:rsidRPr="00695CFE">
                          <w:rPr>
                            <w:sz w:val="16"/>
                            <w:szCs w:val="16"/>
                            <w:lang w:val="en-US"/>
                          </w:rPr>
                          <w:t xml:space="preserve">CRS Business </w:t>
                        </w:r>
                      </w:p>
                      <w:p w14:paraId="7CFEDF70" w14:textId="77777777" w:rsidR="00AC0BEF" w:rsidRPr="00695CFE" w:rsidRDefault="00AC0BEF" w:rsidP="00695CFE">
                        <w:pPr>
                          <w:jc w:val="center"/>
                          <w:rPr>
                            <w:sz w:val="16"/>
                            <w:szCs w:val="16"/>
                            <w:lang w:val="en-US"/>
                          </w:rPr>
                        </w:pPr>
                        <w:r w:rsidRPr="00695CFE">
                          <w:rPr>
                            <w:sz w:val="16"/>
                            <w:szCs w:val="16"/>
                            <w:lang w:val="en-US"/>
                          </w:rPr>
                          <w:t>Sustainable</w:t>
                        </w:r>
                      </w:p>
                      <w:p w14:paraId="58CEC05A" w14:textId="53033C35" w:rsidR="00AC0BEF" w:rsidRPr="00695CFE" w:rsidRDefault="00AC0BEF" w:rsidP="00695CFE">
                        <w:pPr>
                          <w:jc w:val="center"/>
                          <w:rPr>
                            <w:sz w:val="16"/>
                            <w:szCs w:val="16"/>
                            <w:lang w:val="en-US"/>
                          </w:rPr>
                        </w:pPr>
                        <w:r>
                          <w:rPr>
                            <w:sz w:val="16"/>
                            <w:szCs w:val="16"/>
                            <w:lang w:val="en-US"/>
                          </w:rPr>
                          <w:t>business</w:t>
                        </w:r>
                      </w:p>
                      <w:p w14:paraId="75D2953E" w14:textId="2E882D3D" w:rsidR="00AC0BEF" w:rsidRPr="00695CFE" w:rsidRDefault="00AC0BEF" w:rsidP="00BE4238">
                        <w:pPr>
                          <w:pStyle w:val="a5"/>
                          <w:spacing w:before="0" w:beforeAutospacing="0" w:after="0" w:afterAutospacing="0"/>
                          <w:jc w:val="center"/>
                          <w:rPr>
                            <w:sz w:val="16"/>
                            <w:szCs w:val="16"/>
                          </w:rPr>
                        </w:pPr>
                      </w:p>
                    </w:txbxContent>
                  </v:textbox>
                </v:roundrect>
                <v:roundrect id="Скругленный прямоугольник 80" o:spid="_x0000_s1055" style="position:absolute;left:42672;top:28160;width:11334;height:58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" fillcolor="white [3201]" strokecolor="#404040 [2429]" strokeweight="1pt">
                  <v:stroke joinstyle="miter"/>
                  <v:textbox>
                    <w:txbxContent>
                      <w:p w14:paraId="4F64E528" w14:textId="77777777" w:rsidR="00AC0BEF" w:rsidRPr="00961483" w:rsidRDefault="00AC0BEF" w:rsidP="00161FF4">
                        <w:pPr>
                          <w:jc w:val="center"/>
                          <w:rPr>
                            <w:sz w:val="16"/>
                            <w:szCs w:val="16"/>
                            <w:lang w:val="en-US"/>
                          </w:rPr>
                        </w:pPr>
                        <w:r w:rsidRPr="00961483">
                          <w:rPr>
                            <w:sz w:val="16"/>
                            <w:szCs w:val="16"/>
                            <w:lang w:val="en-US"/>
                          </w:rPr>
                          <w:t xml:space="preserve">Traders of the capital </w:t>
                        </w:r>
                      </w:p>
                      <w:p w14:paraId="6CB82098" w14:textId="77777777" w:rsidR="00AC0BEF" w:rsidRPr="00961483" w:rsidRDefault="00AC0BEF" w:rsidP="00161FF4">
                        <w:pPr>
                          <w:jc w:val="center"/>
                          <w:rPr>
                            <w:sz w:val="16"/>
                            <w:szCs w:val="16"/>
                            <w:lang w:val="en-US"/>
                          </w:rPr>
                        </w:pPr>
                        <w:r w:rsidRPr="00961483">
                          <w:rPr>
                            <w:sz w:val="16"/>
                            <w:szCs w:val="16"/>
                            <w:lang w:val="en-US"/>
                          </w:rPr>
                          <w:t>(secondary)</w:t>
                        </w:r>
                      </w:p>
                      <w:p w14:paraId="63FAAE52" w14:textId="5CDE18A9" w:rsidR="00AC0BEF" w:rsidRPr="00161FF4" w:rsidRDefault="00AC0BEF" w:rsidP="00BE4238">
                        <w:pPr>
                          <w:pStyle w:val="a5"/>
                          <w:spacing w:before="0" w:beforeAutospacing="0" w:after="0" w:afterAutospacing="0"/>
                          <w:jc w:val="center"/>
                          <w:rPr>
                            <w:sz w:val="20"/>
                            <w:szCs w:val="20"/>
                            <w:lang w:val="en-US"/>
                          </w:rPr>
                        </w:pPr>
                      </w:p>
                    </w:txbxContent>
                  </v:textbox>
                </v:roundrect>
                <v:oval id="Овал 81" o:spid="_x0000_s1056" style="position:absolute;left:7143;top:6096;width:41244;height:25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" fillcolor="white [3201]" strokecolor="black [3213]" strokeweight="1pt">
                  <v:stroke joinstyle="miter"/>
                </v:oval>
                <v:rect id="Прямоугольник 82" o:spid="_x0000_s1057" style="position:absolute;left:12287;top:10096;width:31051;height:16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" fillcolor="white [3201]" strokecolor="black [3213]" strokeweight="1pt"/>
                <v:roundrect id="Скругленный прямоугольник 83" o:spid="_x0000_s1058" style="position:absolute;left:12287;top:35909;width:31051;height:5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" fillcolor="white [3201]" strokecolor="black [3213]" strokeweight="1pt">
                  <v:stroke joinstyle="miter"/>
                  <v:textbox>
                    <w:txbxContent>
                      <w:p w14:paraId="6DCBCC0B" w14:textId="77777777" w:rsidR="00AC0BEF" w:rsidRPr="005F5669" w:rsidRDefault="00AC0BEF" w:rsidP="00BE4238">
                        <w:pPr>
                          <w:pStyle w:val="a5"/>
                          <w:spacing w:before="0" w:beforeAutospacing="0" w:after="0" w:afterAutospacing="0" w:line="276" w:lineRule="auto"/>
                          <w:jc w:val="center"/>
                          <w:rPr>
                            <w:sz w:val="16"/>
                            <w:szCs w:val="16"/>
                            <w:lang w:val="en-US"/>
                          </w:rPr>
                        </w:pPr>
                        <w:r w:rsidRPr="005F5669">
                          <w:rPr>
                            <w:sz w:val="16"/>
                            <w:szCs w:val="16"/>
                            <w:lang w:val="en-US"/>
                          </w:rPr>
                          <w:t xml:space="preserve">Development of the country </w:t>
                        </w:r>
                      </w:p>
                      <w:p w14:paraId="1D1DB7B1" w14:textId="190D727F" w:rsidR="00AC0BEF" w:rsidRPr="005F5669" w:rsidRDefault="00AC0BEF" w:rsidP="00BE4238">
                        <w:pPr>
                          <w:pStyle w:val="a5"/>
                          <w:spacing w:before="0" w:beforeAutospacing="0" w:after="0" w:afterAutospacing="0" w:line="276" w:lineRule="auto"/>
                          <w:jc w:val="center"/>
                          <w:rPr>
                            <w:sz w:val="16"/>
                            <w:szCs w:val="16"/>
                            <w:lang w:val="en-US"/>
                          </w:rPr>
                        </w:pPr>
                        <w:r w:rsidRPr="005F5669">
                          <w:rPr>
                            <w:sz w:val="16"/>
                            <w:szCs w:val="16"/>
                            <w:lang w:val="en-US"/>
                          </w:rPr>
                          <w:t>banks, Securities market,</w:t>
                        </w:r>
                      </w:p>
                      <w:p w14:paraId="13486116" w14:textId="279BBFE7" w:rsidR="00AC0BEF" w:rsidRPr="005F5669" w:rsidRDefault="00AC0BEF" w:rsidP="00BE4238">
                        <w:pPr>
                          <w:pStyle w:val="a5"/>
                          <w:spacing w:before="0" w:beforeAutospacing="0" w:after="0" w:afterAutospacing="0" w:line="276" w:lineRule="auto"/>
                          <w:jc w:val="center"/>
                          <w:rPr>
                            <w:sz w:val="16"/>
                            <w:szCs w:val="16"/>
                            <w:lang w:val="en-US"/>
                          </w:rPr>
                        </w:pPr>
                        <w:r w:rsidRPr="005F5669">
                          <w:rPr>
                            <w:sz w:val="16"/>
                            <w:szCs w:val="16"/>
                            <w:lang w:val="en-US"/>
                          </w:rPr>
                          <w:t>budget, pension funds, insurance companies</w:t>
                        </w:r>
                      </w:p>
                    </w:txbxContent>
                  </v:textbox>
                </v:roundrect>
                <v:shapetype id="_x0000_t202" coordsize="21600,21600" o:spt="202" path="m,l,21600r21600,l21600,xe">
                  <v:stroke joinstyle="miter"/>
                  <v:path gradientshapeok="t" o:connecttype="rect"/>
                </v:shapetype>
                <v:shape id="Надпись 84" o:spid="_x0000_s1059" type="#_x0000_t202" style="position:absolute;left:14630;top:10572;width:2705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" fillcolor="white [3201]" stroked="f" strokeweight=".5pt">
                  <v:textbox>
                    <w:txbxContent>
                      <w:p w14:paraId="41E07D46" w14:textId="796C82DA" w:rsidR="00AC0BEF" w:rsidRPr="002E22AC" w:rsidRDefault="00AC0BEF" w:rsidP="002E22AC">
                        <w:pPr>
                          <w:jc w:val="center"/>
                          <w:rPr>
                            <w:sz w:val="20"/>
                            <w:szCs w:val="20"/>
                            <w:lang w:val="en-US"/>
                          </w:rPr>
                        </w:pPr>
                        <w:r>
                          <w:rPr>
                            <w:sz w:val="20"/>
                            <w:szCs w:val="20"/>
                            <w:lang w:val="en-US"/>
                          </w:rPr>
                          <w:t>Islamic finance</w:t>
                        </w:r>
                      </w:p>
                    </w:txbxContent>
                  </v:textbox>
                </v:shape>
                <v:shape id="Надпись 39013" o:spid="_x0000_s1060" type="#_x0000_t202" style="position:absolute;left:38004;top:14138;width:8766;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" fillcolor="white [3201]" strokecolor="black [3213]" strokeweight=".5pt">
                  <v:textbox>
                    <w:txbxContent>
                      <w:p w14:paraId="2DF71EE6" w14:textId="77777777" w:rsidR="00AC0BEF" w:rsidRPr="003E1051" w:rsidRDefault="00AC0BEF" w:rsidP="003E1051">
                        <w:pPr>
                          <w:jc w:val="center"/>
                          <w:rPr>
                            <w:sz w:val="13"/>
                            <w:szCs w:val="13"/>
                            <w:lang w:val="en-US"/>
                          </w:rPr>
                        </w:pPr>
                        <w:r w:rsidRPr="003E1051">
                          <w:rPr>
                            <w:sz w:val="13"/>
                            <w:szCs w:val="13"/>
                            <w:lang w:val="en-US"/>
                          </w:rPr>
                          <w:t>Islamic Banks</w:t>
                        </w:r>
                      </w:p>
                      <w:p w14:paraId="7C692F13" w14:textId="77777777" w:rsidR="00AC0BEF" w:rsidRPr="003E1051" w:rsidRDefault="00AC0BEF" w:rsidP="003E1051">
                        <w:pPr>
                          <w:jc w:val="center"/>
                          <w:rPr>
                            <w:sz w:val="13"/>
                            <w:szCs w:val="13"/>
                            <w:lang w:val="en-US"/>
                          </w:rPr>
                        </w:pPr>
                        <w:r w:rsidRPr="003E1051">
                          <w:rPr>
                            <w:sz w:val="13"/>
                            <w:szCs w:val="13"/>
                            <w:lang w:val="en-US"/>
                          </w:rPr>
                          <w:t>Islamic financial institutions</w:t>
                        </w:r>
                      </w:p>
                      <w:p w14:paraId="6A3FDDB7" w14:textId="2E877F17" w:rsidR="00AC0BEF" w:rsidRPr="00FF445D" w:rsidRDefault="00AC0BEF" w:rsidP="003E1051">
                        <w:pPr>
                          <w:jc w:val="center"/>
                          <w:rPr>
                            <w:sz w:val="13"/>
                            <w:szCs w:val="13"/>
                            <w:lang w:val="en-US"/>
                          </w:rPr>
                        </w:pPr>
                        <w:r w:rsidRPr="003E1051">
                          <w:rPr>
                            <w:sz w:val="13"/>
                            <w:szCs w:val="13"/>
                            <w:lang w:val="en-US"/>
                          </w:rPr>
                          <w:t>Investment, takaful</w:t>
                        </w:r>
                        <w:r w:rsidRPr="000E4280">
                          <w:rPr>
                            <w:lang w:val="en-US"/>
                          </w:rPr>
                          <w:t xml:space="preserve"> </w:t>
                        </w:r>
                      </w:p>
                      <w:p w14:paraId="2F29B263" w14:textId="77777777" w:rsidR="00AC0BEF" w:rsidRPr="00FF445D" w:rsidRDefault="00AC0BEF" w:rsidP="003E1051">
                        <w:pPr>
                          <w:jc w:val="center"/>
                          <w:rPr>
                            <w:sz w:val="13"/>
                            <w:szCs w:val="13"/>
                            <w:lang w:val="en-US"/>
                          </w:rPr>
                        </w:pPr>
                        <w:r w:rsidRPr="00FF445D">
                          <w:rPr>
                            <w:sz w:val="13"/>
                            <w:szCs w:val="13"/>
                            <w:lang w:val="en-US"/>
                          </w:rPr>
                          <w:t>Mutual  funds, Private equity</w:t>
                        </w:r>
                      </w:p>
                      <w:p w14:paraId="6DAD51EF" w14:textId="77777777" w:rsidR="00AC0BEF" w:rsidRPr="00FF445D" w:rsidRDefault="00AC0BEF" w:rsidP="003E1051">
                        <w:pPr>
                          <w:jc w:val="center"/>
                          <w:rPr>
                            <w:sz w:val="13"/>
                            <w:szCs w:val="13"/>
                            <w:lang w:val="en-US"/>
                          </w:rPr>
                        </w:pPr>
                        <w:r w:rsidRPr="00FF445D">
                          <w:rPr>
                            <w:sz w:val="13"/>
                            <w:szCs w:val="13"/>
                            <w:lang w:val="en-US"/>
                          </w:rPr>
                          <w:t>Pension funds</w:t>
                        </w:r>
                      </w:p>
                      <w:p w14:paraId="2D2D3317" w14:textId="77777777" w:rsidR="00AC0BEF" w:rsidRPr="000E4280" w:rsidRDefault="00AC0BEF" w:rsidP="003E1051">
                        <w:pPr>
                          <w:jc w:val="center"/>
                          <w:rPr>
                            <w:lang w:val="en-US"/>
                          </w:rPr>
                        </w:pPr>
                        <w:r w:rsidRPr="000E4280">
                          <w:rPr>
                            <w:lang w:val="en-US"/>
                          </w:rPr>
                          <w:t>Shariah boards</w:t>
                        </w:r>
                      </w:p>
                      <w:p w14:paraId="23DB73A9" w14:textId="20AD287E" w:rsidR="00AC0BEF" w:rsidRDefault="00AC0BEF" w:rsidP="00BE4238">
                        <w:pPr>
                          <w:pStyle w:val="a5"/>
                          <w:spacing w:before="0" w:beforeAutospacing="0" w:after="0" w:afterAutospacing="0" w:line="276" w:lineRule="auto"/>
                          <w:jc w:val="center"/>
                        </w:pPr>
                      </w:p>
                    </w:txbxContent>
                  </v:textbox>
                </v:shape>
                <v:shape id="Надпись 39013" o:spid="_x0000_s1061" type="#_x0000_t202" style="position:absolute;left:18573;top:23526;width:1857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" fillcolor="white [3201]" strokecolor="black [3213]" strokeweight=".5pt">
                  <v:textbox>
                    <w:txbxContent>
                      <w:p w14:paraId="17D6F600" w14:textId="3EB7EC41" w:rsidR="00AC0BEF" w:rsidRPr="004F4EF7" w:rsidRDefault="00AC0BEF" w:rsidP="00BE4238">
                        <w:pPr>
                          <w:pStyle w:val="a5"/>
                          <w:spacing w:before="0" w:beforeAutospacing="0" w:after="0" w:afterAutospacing="0" w:line="276" w:lineRule="auto"/>
                          <w:jc w:val="center"/>
                          <w:rPr>
                            <w:lang w:val="en-US"/>
                          </w:rPr>
                        </w:pPr>
                        <w:r>
                          <w:rPr>
                            <w:sz w:val="20"/>
                            <w:szCs w:val="20"/>
                            <w:lang w:val="en-US"/>
                          </w:rPr>
                          <w:t>Supporting institutions</w:t>
                        </w:r>
                      </w:p>
                    </w:txbxContent>
                  </v:textbox>
                </v:shape>
                <v:shape id="Надпись 39013" o:spid="_x0000_s1062" type="#_x0000_t202" style="position:absolute;left:7819;top:15411;width:9602;height:5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" fillcolor="white [3201]" strokecolor="black [3213]" strokeweight=".5pt">
                  <v:textbox>
                    <w:txbxContent>
                      <w:p w14:paraId="79A30083" w14:textId="77777777" w:rsidR="00AC0BEF" w:rsidRPr="009C08CE" w:rsidRDefault="00AC0BEF" w:rsidP="003E1051">
                        <w:pPr>
                          <w:jc w:val="center"/>
                          <w:rPr>
                            <w:lang w:val="en-US"/>
                          </w:rPr>
                        </w:pPr>
                        <w:r w:rsidRPr="003E1051">
                          <w:rPr>
                            <w:sz w:val="16"/>
                            <w:szCs w:val="16"/>
                            <w:lang w:val="en-US"/>
                          </w:rPr>
                          <w:t>Islamic Capital Market, Sukuk</w:t>
                        </w:r>
                        <w:r w:rsidRPr="009C08CE">
                          <w:rPr>
                            <w:lang w:val="en-US"/>
                          </w:rPr>
                          <w:t xml:space="preserve"> </w:t>
                        </w:r>
                        <w:r w:rsidRPr="003E1051">
                          <w:rPr>
                            <w:sz w:val="16"/>
                            <w:szCs w:val="16"/>
                            <w:lang w:val="en-US"/>
                          </w:rPr>
                          <w:t>issuance</w:t>
                        </w:r>
                      </w:p>
                      <w:p w14:paraId="4A8D3AA2" w14:textId="7D578D55" w:rsidR="00AC0BEF" w:rsidRPr="003E1051" w:rsidRDefault="00AC0BEF" w:rsidP="00BE4238">
                        <w:pPr>
                          <w:pStyle w:val="a5"/>
                          <w:spacing w:before="0" w:beforeAutospacing="0" w:after="0" w:afterAutospacing="0" w:line="276" w:lineRule="auto"/>
                          <w:jc w:val="center"/>
                          <w:rPr>
                            <w:lang w:val="en-US"/>
                          </w:rPr>
                        </w:pPr>
                      </w:p>
                    </w:txbxContent>
                  </v:textbox>
                </v:shape>
                <v:shape id="Надпись 39013" o:spid="_x0000_s1063" type="#_x0000_t202" style="position:absolute;left:18478;top:13811;width:18764;height:7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" fillcolor="white [3201]" strokecolor="black [3213]" strokeweight=".5pt">
                  <v:textbox>
                    <w:txbxContent>
                      <w:p w14:paraId="07B01945" w14:textId="09C62DA2" w:rsidR="00AC0BEF" w:rsidRDefault="00AC0BEF" w:rsidP="003C2536">
                        <w:pPr>
                          <w:jc w:val="center"/>
                          <w:rPr>
                            <w:sz w:val="20"/>
                            <w:szCs w:val="20"/>
                            <w:lang w:val="en-US"/>
                          </w:rPr>
                        </w:pPr>
                        <w:r>
                          <w:rPr>
                            <w:sz w:val="20"/>
                            <w:szCs w:val="20"/>
                            <w:lang w:val="en-US"/>
                          </w:rPr>
                          <w:t xml:space="preserve">Islamic social finance </w:t>
                        </w:r>
                      </w:p>
                      <w:p w14:paraId="12D150DC" w14:textId="77777777" w:rsidR="00AC0BEF" w:rsidRDefault="00AC0BEF" w:rsidP="003C2536">
                        <w:pPr>
                          <w:jc w:val="center"/>
                          <w:rPr>
                            <w:sz w:val="20"/>
                            <w:szCs w:val="20"/>
                            <w:lang w:val="en-US"/>
                          </w:rPr>
                        </w:pPr>
                      </w:p>
                      <w:p w14:paraId="2D6BF5A9" w14:textId="47725192" w:rsidR="00AC0BEF" w:rsidRPr="003C2536" w:rsidRDefault="00AC0BEF" w:rsidP="003C2536">
                        <w:pPr>
                          <w:jc w:val="center"/>
                          <w:rPr>
                            <w:sz w:val="20"/>
                            <w:szCs w:val="20"/>
                            <w:lang w:val="en-US"/>
                          </w:rPr>
                        </w:pPr>
                        <w:r w:rsidRPr="003C2536">
                          <w:rPr>
                            <w:sz w:val="20"/>
                            <w:szCs w:val="20"/>
                            <w:lang w:val="en-US"/>
                          </w:rPr>
                          <w:t>Islamic social institutions</w:t>
                        </w:r>
                      </w:p>
                      <w:p w14:paraId="21BC14AF" w14:textId="77777777" w:rsidR="00AC0BEF" w:rsidRPr="003C2536" w:rsidRDefault="00AC0BEF" w:rsidP="003C2536">
                        <w:pPr>
                          <w:jc w:val="center"/>
                          <w:rPr>
                            <w:sz w:val="20"/>
                            <w:szCs w:val="20"/>
                            <w:lang w:val="en-US"/>
                          </w:rPr>
                        </w:pPr>
                        <w:r w:rsidRPr="003C2536">
                          <w:rPr>
                            <w:sz w:val="20"/>
                            <w:szCs w:val="20"/>
                            <w:lang w:val="en-US"/>
                          </w:rPr>
                          <w:t>Waqf, zakat, microfinance</w:t>
                        </w:r>
                      </w:p>
                      <w:p w14:paraId="0DEA5889" w14:textId="5B999167" w:rsidR="00AC0BEF" w:rsidRPr="004F4EF7" w:rsidRDefault="00AC0BEF" w:rsidP="00BE4238">
                        <w:pPr>
                          <w:pStyle w:val="a5"/>
                          <w:spacing w:before="0" w:beforeAutospacing="0" w:after="0" w:afterAutospacing="0" w:line="276" w:lineRule="auto"/>
                          <w:jc w:val="center"/>
                          <w:rPr>
                            <w:lang w:val="en-US"/>
                          </w:rPr>
                        </w:pPr>
                      </w:p>
                    </w:txbxContent>
                  </v:textbox>
                </v:shape>
                <v:line id="Прямая соединительная линия 92" o:spid="_x0000_s1064" style="position:absolute;flip:x;visibility:visible;mso-wrap-style:square" from="27765,26659" to="27813,3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" strokecolor="black [3200]" strokeweight=".5pt">
                  <v:stroke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9012" o:spid="_x0000_s1065" type="#_x0000_t120" style="position:absolute;left:27212;top:33528;width:1239;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" fillcolor="white [3201]" strokecolor="black [3213]" strokeweight="1pt">
                  <v:stroke joinstyle="miter"/>
                </v:shape>
                <v:shape id="Надпись 39013" o:spid="_x0000_s1066" type="#_x0000_t202" style="position:absolute;left:16182;top:26946;width:23346;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" fillcolor="white [3201]" strokecolor="black [3200]" strokeweight="1pt">
                  <v:textbox>
                    <w:txbxContent>
                      <w:p w14:paraId="7DB95FDB" w14:textId="427E9826" w:rsidR="00AC0BEF" w:rsidRPr="00BF5F8B" w:rsidRDefault="00AC0BEF" w:rsidP="00BF5F8B">
                        <w:pPr>
                          <w:pStyle w:val="a5"/>
                          <w:spacing w:before="0" w:beforeAutospacing="0" w:after="0" w:afterAutospacing="0" w:line="276" w:lineRule="auto"/>
                          <w:jc w:val="center"/>
                          <w:rPr>
                            <w:lang w:val="en-US"/>
                          </w:rPr>
                        </w:pPr>
                        <w:r>
                          <w:rPr>
                            <w:sz w:val="20"/>
                            <w:szCs w:val="20"/>
                            <w:lang w:val="en-US"/>
                          </w:rPr>
                          <w:t>National financial system</w:t>
                        </w:r>
                      </w:p>
                    </w:txbxContent>
                  </v:textbox>
                </v:shape>
                <v:shape id="Надпись 39013" o:spid="_x0000_s1067" type="#_x0000_t202" style="position:absolute;left:17421;top:7800;width:20583;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" fillcolor="white [3201]" strokecolor="black [3213]" strokeweight=".5pt">
                  <v:textbox>
                    <w:txbxContent>
                      <w:p w14:paraId="3A21D2FC" w14:textId="7763BF2C" w:rsidR="00AC0BEF" w:rsidRPr="008B7569" w:rsidRDefault="00AC0BEF" w:rsidP="00F531AA">
                        <w:pPr>
                          <w:pStyle w:val="a5"/>
                          <w:spacing w:before="0" w:beforeAutospacing="0" w:after="0" w:afterAutospacing="0" w:line="276" w:lineRule="auto"/>
                          <w:jc w:val="center"/>
                          <w:rPr>
                            <w:sz w:val="16"/>
                            <w:szCs w:val="16"/>
                            <w:lang w:val="en-US"/>
                          </w:rPr>
                        </w:pPr>
                        <w:r w:rsidRPr="008B7569">
                          <w:rPr>
                            <w:sz w:val="16"/>
                            <w:szCs w:val="16"/>
                            <w:lang w:val="en-US"/>
                          </w:rPr>
                          <w:t>National Bank, ARKRDFM</w:t>
                        </w:r>
                        <w:r>
                          <w:rPr>
                            <w:sz w:val="16"/>
                            <w:szCs w:val="16"/>
                            <w:lang w:val="en-US"/>
                          </w:rPr>
                          <w:t>,</w:t>
                        </w:r>
                        <w:r w:rsidRPr="008B7569">
                          <w:rPr>
                            <w:sz w:val="16"/>
                            <w:szCs w:val="16"/>
                            <w:lang w:val="en-US"/>
                          </w:rPr>
                          <w:t>AIFC, AAOIFI, IFSB</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0480" o:spid="_x0000_s1068" type="#_x0000_t5" style="position:absolute;left:27336;top:35147;width:762;height:8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" fillcolor="black [3200]" strokecolor="black [1600]" strokeweight="1pt"/>
                <v:shapetype id="_x0000_t32" coordsize="21600,21600" o:spt="32" o:oned="t" path="m,l21600,21600e" filled="f">
                  <v:path arrowok="t" fillok="f" o:connecttype="none"/>
                  <o:lock v:ext="edit" shapetype="t"/>
                </v:shapetype>
                <v:shape id="Прямая со стрелкой 99" o:spid="_x0000_s1069" type="#_x0000_t32" style="position:absolute;left:27765;top:4191;width:48;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" strokecolor="black [3200]" strokeweight=".5pt">
                  <v:stroke startarrow="block" endarrow="block" joinstyle="miter"/>
                </v:shape>
                <v:shape id="Прямая со стрелкой 100" o:spid="_x0000_s1070" type="#_x0000_t32" style="position:absolute;left:43338;top:8086;width:1810;height:2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" strokecolor="black [3200]" strokeweight=".5pt">
                  <v:stroke startarrow="block" endarrow="block" joinstyle="miter"/>
                </v:shape>
                <v:shape id="Прямая со стрелкой 101" o:spid="_x0000_s1071" type="#_x0000_t32" style="position:absolute;left:10668;top:8953;width:1809;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" strokecolor="black [3200]" strokeweight=".5pt">
                  <v:stroke startarrow="block" endarrow="block" joinstyle="miter"/>
                </v:shape>
                <v:shape id="Прямая со стрелкой 102" o:spid="_x0000_s1072" type="#_x0000_t32" style="position:absolute;left:10477;top:26659;width:1991;height:1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" strokecolor="black [3200]" strokeweight=".5pt">
                  <v:stroke startarrow="block" endarrow="block" joinstyle="miter"/>
                </v:shape>
                <v:shape id="Прямая со стрелкой 103" o:spid="_x0000_s1073" type="#_x0000_t32" style="position:absolute;left:43338;top:26479;width:858;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" strokecolor="black [3200]" strokeweight=".5pt">
                  <v:stroke startarrow="block" endarrow="block" joinstyle="miter"/>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Скругленная соединительная линия 105" o:spid="_x0000_s1074" type="#_x0000_t39" style="position:absolute;left:37624;top:22558;width:1429;height:1517;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" adj="-17280,55562" strokecolor="black [3200]" strokeweight=".5pt">
                  <v:stroke endarrow="block" joinstyle="miter"/>
                </v:shape>
                <v:shape id="Скругленная соединительная линия 106" o:spid="_x0000_s1075" type="#_x0000_t39" style="position:absolute;left:15716;top:21040;width:2762;height:2989;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" adj="-8938,34047" strokecolor="black [3200]" strokeweight=".5pt">
                  <v:stroke endarrow="block" joinstyle="miter"/>
                </v:shape>
                <v:shape id="Равнобедренный треугольник 20492" o:spid="_x0000_s1076" type="#_x0000_t5" style="position:absolute;left:3429;top:18954;width:666;height:128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" fillcolor="black [3200]" strokecolor="black [1600]" strokeweight="1pt"/>
                <v:shape id="Равнобедренный треугольник 400" o:spid="_x0000_s1077" type="#_x0000_t5" style="position:absolute;left:51330;top:17963;width:660;height:12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" fillcolor="black [3200]" strokecolor="black [1600]" strokeweight="1pt"/>
                <v:shape id="Равнобедренный треугольник 401" o:spid="_x0000_s1078" type="#_x0000_t5" style="position:absolute;left:36201;top:32520;width:922;height:1237;rotation:-74815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" fillcolor="black [3200]" strokecolor="black [1600]" strokeweight="1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15" o:spid="_x0000_s1079" type="#_x0000_t38" style="position:absolute;left:36709;top:11277;width:3905;height:190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" adj="34244" strokecolor="black [3200]" strokeweight=".5pt">
                  <v:stroke endarrow="block" joinstyle="miter"/>
                </v:shape>
                <v:shape id="Скругленная соединительная линия 117" o:spid="_x0000_s1080" type="#_x0000_t38" style="position:absolute;left:13847;top:11755;width:3089;height:289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" adj="-8382" strokecolor="black [3200]" strokeweight=".5pt">
                  <v:stroke endarrow="block" joinstyle="miter"/>
                </v:shape>
                <w10:anchorlock/>
              </v:group>
            </w:pict>
          </mc:Fallback>
        </mc:AlternateContent>
      </w:r>
    </w:p>
    <w:p w14:paraId="17727500" w14:textId="77777777" w:rsidR="001517AF" w:rsidRPr="00D549EE" w:rsidRDefault="001517AF" w:rsidP="00C9582F">
      <w:pPr>
        <w:pStyle w:val="a3"/>
        <w:spacing w:line="240" w:lineRule="auto"/>
        <w:ind w:left="0"/>
        <w:jc w:val="both"/>
        <w:rPr>
          <w:rFonts w:ascii="Times New Roman" w:hAnsi="Times New Roman"/>
          <w:color w:val="000000" w:themeColor="text1"/>
          <w:sz w:val="28"/>
          <w:szCs w:val="28"/>
          <w:lang w:val="en-US"/>
        </w:rPr>
      </w:pPr>
    </w:p>
    <w:p w14:paraId="4911BE2F" w14:textId="5ABEC056" w:rsidR="00CA702D" w:rsidRPr="00D549EE" w:rsidRDefault="00CA702D" w:rsidP="00C9582F">
      <w:pPr>
        <w:snapToGrid w:val="0"/>
        <w:contextualSpacing/>
        <w:jc w:val="center"/>
        <w:rPr>
          <w:color w:val="000000" w:themeColor="text1"/>
          <w:sz w:val="28"/>
          <w:szCs w:val="28"/>
          <w:lang w:val="en-US"/>
        </w:rPr>
      </w:pPr>
      <w:r w:rsidRPr="00D549EE">
        <w:rPr>
          <w:color w:val="000000" w:themeColor="text1"/>
          <w:sz w:val="28"/>
          <w:szCs w:val="28"/>
          <w:lang w:val="en-US"/>
        </w:rPr>
        <w:t>Figure 22</w:t>
      </w:r>
      <w:r w:rsidRPr="00D549EE">
        <w:rPr>
          <w:b/>
          <w:color w:val="000000" w:themeColor="text1"/>
          <w:sz w:val="28"/>
          <w:szCs w:val="28"/>
          <w:lang w:val="en-US"/>
        </w:rPr>
        <w:t xml:space="preserve"> </w:t>
      </w:r>
      <w:r w:rsidRPr="00D549EE">
        <w:rPr>
          <w:sz w:val="28"/>
          <w:szCs w:val="28"/>
          <w:lang w:val="en-US"/>
        </w:rPr>
        <w:t>–</w:t>
      </w:r>
      <w:r w:rsidRPr="00D549EE">
        <w:rPr>
          <w:b/>
          <w:color w:val="000000" w:themeColor="text1"/>
          <w:sz w:val="28"/>
          <w:szCs w:val="28"/>
          <w:lang w:val="en-US"/>
        </w:rPr>
        <w:t xml:space="preserve"> </w:t>
      </w:r>
      <w:r w:rsidR="005F5669" w:rsidRPr="00D549EE">
        <w:rPr>
          <w:sz w:val="28"/>
          <w:szCs w:val="28"/>
          <w:lang w:val="en-US"/>
        </w:rPr>
        <w:t>Islamic Social Financial Eco</w:t>
      </w:r>
      <w:r w:rsidR="001C3669" w:rsidRPr="00D549EE">
        <w:rPr>
          <w:sz w:val="28"/>
          <w:szCs w:val="28"/>
          <w:lang w:val="en-US"/>
        </w:rPr>
        <w:t>-system</w:t>
      </w:r>
      <w:r w:rsidR="005F5669" w:rsidRPr="00D549EE">
        <w:rPr>
          <w:sz w:val="28"/>
          <w:szCs w:val="28"/>
          <w:lang w:val="en-US"/>
        </w:rPr>
        <w:t xml:space="preserve"> </w:t>
      </w:r>
    </w:p>
    <w:p w14:paraId="77165228" w14:textId="77777777" w:rsidR="005F5669" w:rsidRPr="00D549EE" w:rsidRDefault="00CA702D" w:rsidP="00C9582F">
      <w:pPr>
        <w:snapToGrid w:val="0"/>
        <w:contextualSpacing/>
        <w:rPr>
          <w:color w:val="000000" w:themeColor="text1"/>
          <w:lang w:val="en-US"/>
        </w:rPr>
      </w:pPr>
      <w:r w:rsidRPr="00D549EE">
        <w:rPr>
          <w:color w:val="000000" w:themeColor="text1"/>
          <w:lang w:val="en-US"/>
        </w:rPr>
        <w:tab/>
      </w:r>
    </w:p>
    <w:p w14:paraId="48B9F6D4" w14:textId="0974572B" w:rsidR="00CA702D" w:rsidRPr="00D549EE" w:rsidRDefault="005B3EFF" w:rsidP="00C9582F">
      <w:pPr>
        <w:snapToGrid w:val="0"/>
        <w:contextualSpacing/>
        <w:rPr>
          <w:b/>
          <w:color w:val="000000" w:themeColor="text1"/>
          <w:lang w:val="en-US"/>
        </w:rPr>
      </w:pPr>
      <w:r w:rsidRPr="00D549EE">
        <w:rPr>
          <w:color w:val="000000" w:themeColor="text1"/>
          <w:lang w:val="en-US"/>
        </w:rPr>
        <w:tab/>
      </w:r>
      <w:r w:rsidR="00CA702D" w:rsidRPr="00D549EE">
        <w:rPr>
          <w:color w:val="000000" w:themeColor="text1"/>
          <w:lang w:val="en-US"/>
        </w:rPr>
        <w:t>Note – Compiled by the author</w:t>
      </w:r>
      <w:r w:rsidR="005F5669" w:rsidRPr="00D549EE">
        <w:rPr>
          <w:color w:val="000000" w:themeColor="text1"/>
          <w:lang w:val="en-US"/>
        </w:rPr>
        <w:t xml:space="preserve"> </w:t>
      </w:r>
      <w:r w:rsidR="005F5669" w:rsidRPr="00D549EE">
        <w:rPr>
          <w:lang w:val="en-US"/>
        </w:rPr>
        <w:t>on the basis of</w:t>
      </w:r>
      <w:r w:rsidR="00A322B8" w:rsidRPr="00D549EE">
        <w:rPr>
          <w:lang w:val="en-US"/>
        </w:rPr>
        <w:t xml:space="preserve"> </w:t>
      </w:r>
      <w:r w:rsidR="00104429" w:rsidRPr="00D549EE">
        <w:rPr>
          <w:lang w:val="en-US"/>
        </w:rPr>
        <w:fldChar w:fldCharType="begin" w:fldLock="1"/>
      </w:r>
      <w:r w:rsidR="005217A4" w:rsidRPr="00D549EE">
        <w:rPr>
          <w:lang w:val="en-US"/>
        </w:rPr>
        <w:instrText>ADDIN CSL_CITATION {"citationItems":[{"id":"ITEM-1","itemData":{"ISSN":"11082976","abstract":"Creation of the national innovation system and development of innovative strategies and programs have become the key tasks for the Republic of Kazakhstan in the context of establishment of the knowledge-based economy. With the purpose of defining the state and priority areas of development of the innovative infrastructure of the republic, it was analyzed based on the data collected through a questionnaire survey, study of the scientific literature and policy documents, as well as analysis of statistical data. The situational SWOT analysis was the methodical research tool. It was found during the study that the existing Kazakhstan innovative infrastructure was in imperfect state. Its operation was prevailed by economic factors, while the factors contributing to enhancing its effectiveness were noted as prevailing in its external environment. Its weaknesses have a high influence among the internal factors. 7 strategic recommendations on overcoming the existing weaknesses at the expense of the environment capabilities were offered in order to minimize the effects of weaknesses and threats of the innovation system of Kazakhstan. The findings of the study can be used to determine the state and priority areas of development of innovative infrastructure - in particular, in the development of the state policy in the field of science, innovation and technology.","author":[{"dropping-particle":"","family":"Satpayeva","given":"Zaira Tulegenovna","non-dropping-particle":"","parse-names":false,"suffix":""}],"container-title":"European Research Studies Journal","id":"ITEM-1","issue":"2","issued":{"date-parts":[["2017"]]},"page":"123-148","title":"State and prospects of development of Kazakhstan innovative infrastructure","type":"article-journal","volume":"20"},"uris":["http://www.mendeley.com/documents/?uuid=aab89afd-cf1a-4715-9014-8fc6cbf2a0da"]}],"mendeley":{"formattedCitation":"[149]","plainTextFormattedCitation":"[149]","previouslyFormattedCitation":"[150]"},"properties":{"noteIndex":0},"schema":"https://github.com/citation-style-language/schema/raw/master/csl-citation.json"}</w:instrText>
      </w:r>
      <w:r w:rsidR="00104429" w:rsidRPr="00D549EE">
        <w:rPr>
          <w:lang w:val="en-US"/>
        </w:rPr>
        <w:fldChar w:fldCharType="separate"/>
      </w:r>
      <w:r w:rsidR="005217A4" w:rsidRPr="00D549EE">
        <w:rPr>
          <w:noProof/>
          <w:lang w:val="en-US"/>
        </w:rPr>
        <w:t>[149]</w:t>
      </w:r>
      <w:r w:rsidR="00104429" w:rsidRPr="00D549EE">
        <w:rPr>
          <w:lang w:val="en-US"/>
        </w:rPr>
        <w:fldChar w:fldCharType="end"/>
      </w:r>
    </w:p>
    <w:p w14:paraId="125514C3" w14:textId="5F4A6C2C" w:rsidR="002A00CE" w:rsidRPr="00D549EE" w:rsidRDefault="002A00CE" w:rsidP="008678D0">
      <w:pPr>
        <w:pStyle w:val="a3"/>
        <w:spacing w:line="240" w:lineRule="auto"/>
        <w:ind w:left="0"/>
        <w:jc w:val="both"/>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 xml:space="preserve"> </w:t>
      </w:r>
    </w:p>
    <w:p w14:paraId="45CF47D3" w14:textId="06EF1E78" w:rsidR="008301F5" w:rsidRPr="008301F5" w:rsidRDefault="008301F5" w:rsidP="008301F5">
      <w:pPr>
        <w:ind w:firstLine="708"/>
        <w:jc w:val="both"/>
        <w:rPr>
          <w:color w:val="000000" w:themeColor="text1"/>
          <w:sz w:val="28"/>
          <w:szCs w:val="28"/>
          <w:lang w:val="en-US"/>
        </w:rPr>
      </w:pPr>
      <w:r w:rsidRPr="008301F5">
        <w:rPr>
          <w:color w:val="000000" w:themeColor="text1"/>
          <w:sz w:val="28"/>
          <w:szCs w:val="28"/>
          <w:lang w:val="en-US"/>
        </w:rPr>
        <w:t xml:space="preserve">The second stage is to identify and understand the causes of the realized problems and develop the solution taking into account initiatives already have done in the direction of the solution. </w:t>
      </w:r>
    </w:p>
    <w:p w14:paraId="3C03442B" w14:textId="0D66E962" w:rsidR="008301F5" w:rsidRPr="008301F5" w:rsidRDefault="008301F5" w:rsidP="008301F5">
      <w:pPr>
        <w:ind w:firstLine="708"/>
        <w:jc w:val="both"/>
        <w:rPr>
          <w:color w:val="000000" w:themeColor="text1"/>
          <w:sz w:val="28"/>
          <w:szCs w:val="28"/>
          <w:lang w:val="en-US"/>
        </w:rPr>
      </w:pPr>
      <w:r w:rsidRPr="008301F5">
        <w:rPr>
          <w:color w:val="000000" w:themeColor="text1"/>
          <w:sz w:val="28"/>
          <w:szCs w:val="28"/>
          <w:lang w:val="en-US"/>
        </w:rPr>
        <w:t xml:space="preserve">The third stage is the identification of the social welfare indicators. In this stage of building the ecosystem is essential to estimate and forecast all real social-economic effects and efficiency of the implementation of the system. Because many state projects started actively but did not reach the purposes and goals, or effects and outcomes were much less than the inputs. </w:t>
      </w:r>
    </w:p>
    <w:p w14:paraId="645AE948" w14:textId="0DB69351" w:rsidR="008301F5" w:rsidRPr="008301F5" w:rsidRDefault="008301F5" w:rsidP="008301F5">
      <w:pPr>
        <w:ind w:firstLine="708"/>
        <w:jc w:val="both"/>
        <w:rPr>
          <w:color w:val="000000" w:themeColor="text1"/>
          <w:sz w:val="28"/>
          <w:szCs w:val="28"/>
          <w:lang w:val="en-US"/>
        </w:rPr>
      </w:pPr>
      <w:r w:rsidRPr="008301F5">
        <w:rPr>
          <w:color w:val="000000" w:themeColor="text1"/>
          <w:sz w:val="28"/>
          <w:szCs w:val="28"/>
          <w:lang w:val="en-US"/>
        </w:rPr>
        <w:t xml:space="preserve">For the realizing and building of the ecosystem, it must be developed the road at the next stage, followed by the stage of identifying the social finance providers for the process (government, international organizations, zakat or waqf foundations, Islamic financial institutions, or social and sustainable business representatives) depends on the problem, purpose, and size of the issues identified at the first stage. </w:t>
      </w:r>
    </w:p>
    <w:p w14:paraId="0EB449D3" w14:textId="298DACE3" w:rsidR="008301F5" w:rsidRPr="008301F5" w:rsidRDefault="008301F5" w:rsidP="008301F5">
      <w:pPr>
        <w:ind w:firstLine="708"/>
        <w:jc w:val="both"/>
        <w:rPr>
          <w:color w:val="000000" w:themeColor="text1"/>
          <w:sz w:val="28"/>
          <w:szCs w:val="28"/>
          <w:lang w:val="en-US"/>
        </w:rPr>
      </w:pPr>
      <w:r w:rsidRPr="008301F5">
        <w:rPr>
          <w:color w:val="000000" w:themeColor="text1"/>
          <w:sz w:val="28"/>
          <w:szCs w:val="28"/>
          <w:lang w:val="en-US"/>
        </w:rPr>
        <w:t xml:space="preserve">The preparation process of the ecosystem is presented in two stages, identifying considered earlier coordinators, that is, responsible bodies, and determining the ecosystem's advanced mechanism accounting for the results of previous stages. In the last stage of the implementing ecosystem, using the adopted technological solutions is essential. </w:t>
      </w:r>
    </w:p>
    <w:p w14:paraId="68B32ACB" w14:textId="3580CEE3" w:rsidR="00B50285" w:rsidRPr="00D549EE" w:rsidRDefault="008301F5" w:rsidP="008301F5">
      <w:pPr>
        <w:pStyle w:val="a3"/>
        <w:spacing w:line="240" w:lineRule="auto"/>
        <w:ind w:left="0"/>
        <w:jc w:val="both"/>
        <w:rPr>
          <w:rFonts w:ascii="Times New Roman" w:hAnsi="Times New Roman"/>
          <w:color w:val="000000" w:themeColor="text1"/>
          <w:sz w:val="28"/>
          <w:szCs w:val="28"/>
          <w:lang w:val="en-US"/>
        </w:rPr>
      </w:pPr>
      <w:r w:rsidRPr="008301F5">
        <w:rPr>
          <w:rFonts w:ascii="Times New Roman" w:hAnsi="Times New Roman"/>
          <w:color w:val="000000" w:themeColor="text1"/>
          <w:sz w:val="28"/>
          <w:szCs w:val="28"/>
          <w:lang w:val="en-US"/>
        </w:rPr>
        <w:tab/>
        <w:t>The technological solutions in the Islamic social finance ecosystem can be in a crowdfunding platform, including the Islamic social institutions, fund providers, and needy people. (Figure 23)</w:t>
      </w:r>
      <w:r w:rsidR="00B50285" w:rsidRPr="00D549EE">
        <w:rPr>
          <w:rFonts w:ascii="Times New Roman" w:hAnsi="Times New Roman"/>
          <w:color w:val="000000" w:themeColor="text1"/>
          <w:sz w:val="28"/>
          <w:szCs w:val="28"/>
          <w:lang w:val="en-US"/>
        </w:rPr>
        <w:t xml:space="preserve"> </w:t>
      </w:r>
    </w:p>
    <w:p w14:paraId="3AF786ED" w14:textId="77777777" w:rsidR="00B50285" w:rsidRPr="00D549EE" w:rsidRDefault="00B50285" w:rsidP="00C9582F">
      <w:pPr>
        <w:pStyle w:val="a3"/>
        <w:spacing w:line="240" w:lineRule="auto"/>
        <w:ind w:left="0"/>
        <w:jc w:val="both"/>
        <w:rPr>
          <w:rFonts w:ascii="Times New Roman" w:hAnsi="Times New Roman"/>
          <w:color w:val="000000" w:themeColor="text1"/>
          <w:sz w:val="28"/>
          <w:szCs w:val="28"/>
          <w:lang w:val="en-US"/>
        </w:rPr>
      </w:pPr>
    </w:p>
    <w:p w14:paraId="2D60ED2A" w14:textId="25378331" w:rsidR="00B50285" w:rsidRPr="00D549EE" w:rsidRDefault="000A771F" w:rsidP="00C9582F">
      <w:pPr>
        <w:pStyle w:val="a3"/>
        <w:spacing w:line="240" w:lineRule="auto"/>
        <w:ind w:left="0"/>
        <w:jc w:val="both"/>
        <w:rPr>
          <w:rFonts w:ascii="Times New Roman" w:hAnsi="Times New Roman"/>
          <w:color w:val="000000" w:themeColor="text1"/>
          <w:sz w:val="28"/>
          <w:szCs w:val="28"/>
          <w:lang w:val="en-US"/>
        </w:rPr>
      </w:pPr>
      <w:r w:rsidRPr="00D549EE">
        <w:rPr>
          <w:rFonts w:ascii="Times New Roman" w:hAnsi="Times New Roman"/>
          <w:noProof/>
          <w:color w:val="000000" w:themeColor="text1"/>
          <w:sz w:val="28"/>
          <w:szCs w:val="28"/>
          <w:lang w:eastAsia="ru-RU"/>
        </w:rPr>
        <w:drawing>
          <wp:inline distT="0" distB="0" distL="0" distR="0" wp14:anchorId="5DB0A4E6" wp14:editId="591E3A71">
            <wp:extent cx="6116955" cy="2946400"/>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2254" cy="2948952"/>
                    </a:xfrm>
                    <a:prstGeom prst="rect">
                      <a:avLst/>
                    </a:prstGeom>
                  </pic:spPr>
                </pic:pic>
              </a:graphicData>
            </a:graphic>
          </wp:inline>
        </w:drawing>
      </w:r>
    </w:p>
    <w:p w14:paraId="48181EF9" w14:textId="77777777" w:rsidR="00B50285" w:rsidRPr="00D549EE" w:rsidRDefault="00B50285" w:rsidP="00C9582F">
      <w:pPr>
        <w:pStyle w:val="a3"/>
        <w:spacing w:line="240" w:lineRule="auto"/>
        <w:ind w:left="0"/>
        <w:jc w:val="both"/>
        <w:rPr>
          <w:rFonts w:ascii="Times New Roman" w:hAnsi="Times New Roman"/>
          <w:color w:val="000000" w:themeColor="text1"/>
          <w:sz w:val="28"/>
          <w:szCs w:val="28"/>
          <w:lang w:val="en-US"/>
        </w:rPr>
      </w:pPr>
    </w:p>
    <w:p w14:paraId="7F73E6BA" w14:textId="4CBD9306" w:rsidR="007E0E62" w:rsidRPr="00D549EE" w:rsidRDefault="00B50285" w:rsidP="00C9582F">
      <w:pPr>
        <w:pStyle w:val="a3"/>
        <w:spacing w:line="240" w:lineRule="auto"/>
        <w:ind w:left="0"/>
        <w:jc w:val="center"/>
        <w:rPr>
          <w:rFonts w:ascii="Times New Roman" w:hAnsi="Times New Roman"/>
          <w:color w:val="000000" w:themeColor="text1"/>
          <w:sz w:val="28"/>
          <w:szCs w:val="28"/>
          <w:lang w:val="en-US"/>
        </w:rPr>
      </w:pPr>
      <w:r w:rsidRPr="00D549EE">
        <w:rPr>
          <w:rFonts w:ascii="Times New Roman" w:hAnsi="Times New Roman"/>
          <w:sz w:val="28"/>
          <w:szCs w:val="28"/>
          <w:lang w:val="en-US"/>
        </w:rPr>
        <w:t xml:space="preserve">23 </w:t>
      </w:r>
      <w:r w:rsidRPr="00D549EE">
        <w:rPr>
          <w:rFonts w:ascii="Times New Roman" w:hAnsi="Times New Roman"/>
          <w:color w:val="000000" w:themeColor="text1"/>
          <w:sz w:val="28"/>
          <w:szCs w:val="28"/>
          <w:lang w:val="en-US"/>
        </w:rPr>
        <w:t>–</w:t>
      </w:r>
      <w:r w:rsidRPr="00D549EE">
        <w:rPr>
          <w:rFonts w:ascii="Times New Roman" w:hAnsi="Times New Roman"/>
          <w:sz w:val="28"/>
          <w:szCs w:val="28"/>
          <w:lang w:val="en-US"/>
        </w:rPr>
        <w:t xml:space="preserve"> The Crowdfunding platform Model</w:t>
      </w:r>
    </w:p>
    <w:p w14:paraId="0EED4DDA" w14:textId="77777777" w:rsidR="007E0E62" w:rsidRPr="00D549EE" w:rsidRDefault="007E0E62" w:rsidP="00C9582F">
      <w:pPr>
        <w:pStyle w:val="a3"/>
        <w:spacing w:line="240" w:lineRule="auto"/>
        <w:ind w:left="0"/>
        <w:jc w:val="both"/>
        <w:rPr>
          <w:rFonts w:ascii="Times New Roman" w:hAnsi="Times New Roman"/>
          <w:color w:val="000000" w:themeColor="text1"/>
          <w:sz w:val="28"/>
          <w:szCs w:val="28"/>
          <w:lang w:val="en-US"/>
        </w:rPr>
      </w:pPr>
      <w:r w:rsidRPr="00D549EE">
        <w:rPr>
          <w:rFonts w:ascii="Times New Roman" w:hAnsi="Times New Roman"/>
          <w:color w:val="000000" w:themeColor="text1"/>
          <w:sz w:val="28"/>
          <w:szCs w:val="28"/>
          <w:lang w:val="en-US"/>
        </w:rPr>
        <w:tab/>
      </w:r>
    </w:p>
    <w:p w14:paraId="44EFBD8A" w14:textId="40D0562C" w:rsidR="007E0E62" w:rsidRPr="00D549EE" w:rsidRDefault="007E0E62" w:rsidP="00C9582F">
      <w:pPr>
        <w:pStyle w:val="a3"/>
        <w:spacing w:line="240" w:lineRule="auto"/>
        <w:ind w:left="0"/>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ab/>
        <w:t>Note – Compiled by the author</w:t>
      </w:r>
    </w:p>
    <w:p w14:paraId="53625B0A" w14:textId="77777777" w:rsidR="007E0E62" w:rsidRPr="00D549EE" w:rsidRDefault="007E0E62" w:rsidP="00C9582F">
      <w:pPr>
        <w:pStyle w:val="a3"/>
        <w:spacing w:line="240" w:lineRule="auto"/>
        <w:ind w:left="0"/>
        <w:jc w:val="both"/>
        <w:rPr>
          <w:rFonts w:ascii="Times New Roman" w:hAnsi="Times New Roman"/>
          <w:color w:val="000000" w:themeColor="text1"/>
          <w:sz w:val="28"/>
          <w:szCs w:val="28"/>
          <w:lang w:val="en-US"/>
        </w:rPr>
      </w:pPr>
    </w:p>
    <w:p w14:paraId="75149E61" w14:textId="1502295C" w:rsidR="008418DF" w:rsidRPr="00D549EE" w:rsidRDefault="007E0E62" w:rsidP="00C9582F">
      <w:pPr>
        <w:pStyle w:val="a3"/>
        <w:spacing w:line="240" w:lineRule="auto"/>
        <w:ind w:left="0"/>
        <w:jc w:val="both"/>
        <w:rPr>
          <w:rFonts w:ascii="Times New Roman" w:hAnsi="Times New Roman"/>
          <w:color w:val="000000" w:themeColor="text1"/>
          <w:sz w:val="28"/>
          <w:szCs w:val="28"/>
          <w:highlight w:val="yellow"/>
          <w:lang w:val="en-US"/>
        </w:rPr>
      </w:pPr>
      <w:r w:rsidRPr="00D549EE">
        <w:rPr>
          <w:rFonts w:ascii="Times New Roman" w:hAnsi="Times New Roman"/>
          <w:color w:val="000000" w:themeColor="text1"/>
          <w:sz w:val="28"/>
          <w:szCs w:val="28"/>
          <w:lang w:val="en-US"/>
        </w:rPr>
        <w:tab/>
      </w:r>
      <w:r w:rsidR="008301F5" w:rsidRPr="008301F5">
        <w:rPr>
          <w:rFonts w:ascii="Times New Roman" w:hAnsi="Times New Roman"/>
          <w:color w:val="000000" w:themeColor="text1"/>
          <w:sz w:val="28"/>
          <w:szCs w:val="28"/>
          <w:lang w:val="en-US"/>
        </w:rPr>
        <w:t xml:space="preserve">It is significant to realize that implementing the crowdfunding platform as the solution to identified problems of needy people and poverty eradication issues and integration in the operating activity of the charity foundation will allow the development of a new system for the country – waqf-chain system (endowment). This system provides the creation of the waqf institutions industry by advancing the blockchain technology and attracting investment in the Sukuk market. The suggested our study waqf-chain model is illustrated in Figure 24.  </w:t>
      </w:r>
    </w:p>
    <w:p w14:paraId="6AB14EF9" w14:textId="6121AB30" w:rsidR="00167A1D" w:rsidRPr="00D549EE" w:rsidRDefault="00167A1D" w:rsidP="00C9582F">
      <w:pPr>
        <w:pStyle w:val="a3"/>
        <w:spacing w:line="240" w:lineRule="auto"/>
        <w:ind w:left="0"/>
        <w:jc w:val="both"/>
        <w:rPr>
          <w:rFonts w:ascii="Times New Roman" w:hAnsi="Times New Roman"/>
          <w:color w:val="000000" w:themeColor="text1"/>
          <w:sz w:val="28"/>
          <w:szCs w:val="28"/>
          <w:lang w:val="en-US"/>
        </w:rPr>
      </w:pPr>
    </w:p>
    <w:p w14:paraId="63B14A0B" w14:textId="309654A6" w:rsidR="00AD1B31" w:rsidRPr="00D549EE" w:rsidRDefault="002F259D" w:rsidP="00C9582F">
      <w:pPr>
        <w:pStyle w:val="a3"/>
        <w:spacing w:line="240" w:lineRule="auto"/>
        <w:ind w:left="0"/>
        <w:jc w:val="both"/>
        <w:rPr>
          <w:rFonts w:ascii="Times New Roman" w:hAnsi="Times New Roman"/>
          <w:color w:val="000000" w:themeColor="text1"/>
          <w:sz w:val="28"/>
          <w:szCs w:val="28"/>
          <w:lang w:val="en-US"/>
        </w:rPr>
      </w:pPr>
      <w:r w:rsidRPr="00D549EE">
        <w:rPr>
          <w:rFonts w:ascii="Times New Roman" w:hAnsi="Times New Roman"/>
          <w:noProof/>
          <w:color w:val="000000" w:themeColor="text1"/>
          <w:sz w:val="28"/>
          <w:szCs w:val="28"/>
          <w:lang w:eastAsia="ru-RU"/>
        </w:rPr>
        <w:drawing>
          <wp:inline distT="0" distB="0" distL="0" distR="0" wp14:anchorId="123A2173" wp14:editId="12F8F51A">
            <wp:extent cx="6116955" cy="2850777"/>
            <wp:effectExtent l="0" t="0" r="444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7491" cy="2855687"/>
                    </a:xfrm>
                    <a:prstGeom prst="rect">
                      <a:avLst/>
                    </a:prstGeom>
                  </pic:spPr>
                </pic:pic>
              </a:graphicData>
            </a:graphic>
          </wp:inline>
        </w:drawing>
      </w:r>
    </w:p>
    <w:p w14:paraId="51953904" w14:textId="64B92598" w:rsidR="00167A1D" w:rsidRPr="00D549EE" w:rsidRDefault="00167A1D" w:rsidP="00C9582F">
      <w:pPr>
        <w:pStyle w:val="a3"/>
        <w:spacing w:line="240" w:lineRule="auto"/>
        <w:ind w:left="0"/>
        <w:jc w:val="both"/>
        <w:rPr>
          <w:rFonts w:ascii="Times New Roman" w:hAnsi="Times New Roman"/>
          <w:color w:val="000000" w:themeColor="text1"/>
          <w:sz w:val="28"/>
          <w:szCs w:val="28"/>
          <w:lang w:val="en-US"/>
        </w:rPr>
      </w:pPr>
    </w:p>
    <w:p w14:paraId="755D7507" w14:textId="533BB414" w:rsidR="00ED6658" w:rsidRPr="00D549EE" w:rsidRDefault="00167A1D" w:rsidP="00C9582F">
      <w:pPr>
        <w:pStyle w:val="a3"/>
        <w:spacing w:line="240" w:lineRule="auto"/>
        <w:ind w:left="0"/>
        <w:jc w:val="center"/>
        <w:rPr>
          <w:rFonts w:ascii="Times New Roman" w:hAnsi="Times New Roman"/>
          <w:sz w:val="28"/>
          <w:szCs w:val="28"/>
          <w:lang w:val="en-US"/>
        </w:rPr>
      </w:pPr>
      <w:r w:rsidRPr="00D549EE">
        <w:rPr>
          <w:rFonts w:ascii="Times New Roman" w:hAnsi="Times New Roman"/>
          <w:sz w:val="28"/>
          <w:szCs w:val="28"/>
          <w:lang w:val="en-US"/>
        </w:rPr>
        <w:t>2</w:t>
      </w:r>
      <w:r w:rsidR="002F259D" w:rsidRPr="00D549EE">
        <w:rPr>
          <w:rFonts w:ascii="Times New Roman" w:hAnsi="Times New Roman"/>
          <w:sz w:val="28"/>
          <w:szCs w:val="28"/>
          <w:lang w:val="en-US"/>
        </w:rPr>
        <w:t>4</w:t>
      </w:r>
      <w:r w:rsidRPr="00D549EE">
        <w:rPr>
          <w:rFonts w:ascii="Times New Roman" w:hAnsi="Times New Roman"/>
          <w:sz w:val="28"/>
          <w:szCs w:val="28"/>
          <w:lang w:val="en-US"/>
        </w:rPr>
        <w:t xml:space="preserve"> </w:t>
      </w:r>
      <w:r w:rsidR="0049377C" w:rsidRPr="00D549EE">
        <w:rPr>
          <w:rFonts w:ascii="Times New Roman" w:hAnsi="Times New Roman"/>
          <w:color w:val="000000" w:themeColor="text1"/>
          <w:sz w:val="28"/>
          <w:szCs w:val="28"/>
          <w:lang w:val="en-US"/>
        </w:rPr>
        <w:t xml:space="preserve">– </w:t>
      </w:r>
      <w:r w:rsidRPr="00D549EE">
        <w:rPr>
          <w:rFonts w:ascii="Times New Roman" w:hAnsi="Times New Roman"/>
          <w:sz w:val="28"/>
          <w:szCs w:val="28"/>
          <w:lang w:val="en-US"/>
        </w:rPr>
        <w:t xml:space="preserve">The adopted Waqf chain model of integration ISF in the financial system of Kazakhstan </w:t>
      </w:r>
    </w:p>
    <w:p w14:paraId="733E479E" w14:textId="77777777" w:rsidR="00ED6658" w:rsidRPr="00D549EE" w:rsidRDefault="00ED6658" w:rsidP="00C9582F">
      <w:pPr>
        <w:pStyle w:val="a3"/>
        <w:spacing w:line="240" w:lineRule="auto"/>
        <w:ind w:left="0"/>
        <w:jc w:val="center"/>
        <w:rPr>
          <w:rFonts w:ascii="Times New Roman" w:hAnsi="Times New Roman"/>
          <w:sz w:val="28"/>
          <w:szCs w:val="28"/>
          <w:lang w:val="en-US"/>
        </w:rPr>
      </w:pPr>
    </w:p>
    <w:p w14:paraId="2DE41B93" w14:textId="28D12072" w:rsidR="00167A1D" w:rsidRPr="00D549EE" w:rsidRDefault="00ED6658" w:rsidP="00C9582F">
      <w:pPr>
        <w:pStyle w:val="a3"/>
        <w:spacing w:line="240" w:lineRule="auto"/>
        <w:ind w:left="0"/>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ab/>
        <w:t>Note – Compiled by the author</w:t>
      </w:r>
      <w:r w:rsidRPr="00D549EE">
        <w:rPr>
          <w:rFonts w:ascii="Times New Roman" w:hAnsi="Times New Roman"/>
          <w:sz w:val="24"/>
          <w:szCs w:val="24"/>
          <w:lang w:val="en-US"/>
        </w:rPr>
        <w:t xml:space="preserve"> </w:t>
      </w:r>
      <w:r w:rsidR="00167A1D" w:rsidRPr="00D549EE">
        <w:rPr>
          <w:rFonts w:ascii="Times New Roman" w:hAnsi="Times New Roman"/>
          <w:sz w:val="24"/>
          <w:szCs w:val="24"/>
          <w:lang w:val="en-US"/>
        </w:rPr>
        <w:t>on the basis of Fintera chain</w:t>
      </w:r>
    </w:p>
    <w:p w14:paraId="66436636" w14:textId="1A169665" w:rsidR="00893880" w:rsidRPr="00893880" w:rsidRDefault="009D7F31" w:rsidP="00893880">
      <w:pPr>
        <w:jc w:val="both"/>
        <w:rPr>
          <w:sz w:val="28"/>
          <w:szCs w:val="28"/>
          <w:lang w:val="en-US"/>
        </w:rPr>
      </w:pPr>
      <w:r w:rsidRPr="00D549EE">
        <w:rPr>
          <w:b/>
          <w:sz w:val="28"/>
          <w:szCs w:val="28"/>
          <w:lang w:val="en-US"/>
        </w:rPr>
        <w:tab/>
      </w:r>
      <w:r w:rsidR="00893880" w:rsidRPr="00893880">
        <w:rPr>
          <w:sz w:val="28"/>
          <w:szCs w:val="28"/>
          <w:lang w:val="en-US"/>
        </w:rPr>
        <w:t xml:space="preserve">The research results show that the development and promotion of Islamic finance will have positive short-term and long-term effects on the entire national economy by increasing the range of financial tools to activate all segments of the country's financial market. </w:t>
      </w:r>
    </w:p>
    <w:p w14:paraId="42B5169C" w14:textId="77777777" w:rsidR="00893880" w:rsidRPr="00893880" w:rsidRDefault="00893880" w:rsidP="00893880">
      <w:pPr>
        <w:jc w:val="both"/>
        <w:rPr>
          <w:sz w:val="28"/>
          <w:szCs w:val="28"/>
          <w:lang w:val="en-US"/>
        </w:rPr>
      </w:pPr>
      <w:r w:rsidRPr="00893880">
        <w:rPr>
          <w:sz w:val="28"/>
          <w:szCs w:val="28"/>
          <w:lang w:val="en-US"/>
        </w:rPr>
        <w:tab/>
        <w:t>The results also revealed that the possibilities of spreading Islamic finance are determined by factors like minimizing transaction costs and reducing information asymmetry and uncertainty based on Shariah values.</w:t>
      </w:r>
    </w:p>
    <w:p w14:paraId="38313537" w14:textId="77777777" w:rsidR="00893880" w:rsidRPr="00893880" w:rsidRDefault="00893880" w:rsidP="00893880">
      <w:pPr>
        <w:jc w:val="both"/>
        <w:rPr>
          <w:sz w:val="28"/>
          <w:szCs w:val="28"/>
          <w:lang w:val="en-US"/>
        </w:rPr>
      </w:pPr>
      <w:r w:rsidRPr="00893880">
        <w:rPr>
          <w:sz w:val="28"/>
          <w:szCs w:val="28"/>
          <w:lang w:val="en-US"/>
        </w:rPr>
        <w:tab/>
        <w:t>Given the results of this study, the authors recommend that the priority areas in the promotion of Islamic finance in Kazakhstan should be the preparation of relevant legislation on the integration of the Islamic sector in the country's financial system and increasing public awareness.</w:t>
      </w:r>
    </w:p>
    <w:p w14:paraId="52D350F4" w14:textId="77777777" w:rsidR="00893880" w:rsidRPr="00893880" w:rsidRDefault="00893880" w:rsidP="00893880">
      <w:pPr>
        <w:jc w:val="both"/>
        <w:rPr>
          <w:sz w:val="28"/>
          <w:szCs w:val="28"/>
          <w:lang w:val="en-US"/>
        </w:rPr>
      </w:pPr>
      <w:r w:rsidRPr="00893880">
        <w:rPr>
          <w:sz w:val="28"/>
          <w:szCs w:val="28"/>
          <w:lang w:val="en-US"/>
        </w:rPr>
        <w:tab/>
        <w:t xml:space="preserve">It should be mentioned that government support, expressed in removing tax and regulatory barriers to Islamic Financial Institutions, is needed compared to conventional financial institutions.  </w:t>
      </w:r>
    </w:p>
    <w:p w14:paraId="0FD56F8B" w14:textId="63970AA1" w:rsidR="00893880" w:rsidRPr="00893880" w:rsidRDefault="00893880" w:rsidP="00893880">
      <w:pPr>
        <w:jc w:val="both"/>
        <w:rPr>
          <w:sz w:val="28"/>
          <w:szCs w:val="28"/>
          <w:lang w:val="en-US"/>
        </w:rPr>
      </w:pPr>
      <w:r w:rsidRPr="00893880">
        <w:rPr>
          <w:sz w:val="28"/>
          <w:szCs w:val="28"/>
          <w:lang w:val="en-US"/>
        </w:rPr>
        <w:tab/>
        <w:t>The potential and prospects of Islamic finance in Kazakhstan is the most discussed issue today among experts, the country's authority, and financiers. Authorized officials, specialists in the country's financial market, and foreign experts indicate excellent potential for further developing Islamic finance in the domestic financial system. Furthermore, creating the social financial ecosystem, where Islamic finance will get the advantageous position as the most orientated financial system to the social prospects, regulated not only by civil Law or human-being framework, also by Islamic Law, allows to construct of the sustainable, healthy financial system and social-oriented and philanthropic society. On the other hand, according to the results of this research, the advancement of Islamic finance's social functions will solve the country's social problems with a socially vulnerable population and can be the decision to reduce the state spending on the addressed targeted social assistance.</w:t>
      </w:r>
      <w:r w:rsidR="00C67F4D">
        <w:rPr>
          <w:sz w:val="28"/>
          <w:szCs w:val="28"/>
          <w:lang w:val="en-US"/>
        </w:rPr>
        <w:t xml:space="preserve"> </w:t>
      </w:r>
      <w:r w:rsidRPr="00893880">
        <w:rPr>
          <w:sz w:val="28"/>
          <w:szCs w:val="28"/>
          <w:lang w:val="en-US"/>
        </w:rPr>
        <w:t>However, along with the positive prerequisites for the development of Islamic banking, such as the legislative framework, state support, and investors' interest, some tasks and a large amount of work need to be done.</w:t>
      </w:r>
    </w:p>
    <w:p w14:paraId="0A24E53E" w14:textId="77777777" w:rsidR="00893880" w:rsidRPr="00893880" w:rsidRDefault="00893880" w:rsidP="00893880">
      <w:pPr>
        <w:jc w:val="both"/>
        <w:rPr>
          <w:sz w:val="28"/>
          <w:szCs w:val="28"/>
          <w:lang w:val="en-US"/>
        </w:rPr>
      </w:pPr>
      <w:r w:rsidRPr="00893880">
        <w:rPr>
          <w:sz w:val="28"/>
          <w:szCs w:val="28"/>
          <w:lang w:val="en-US"/>
        </w:rPr>
        <w:tab/>
        <w:t>Several barriers do not allow for the complete attraction and development of Islamic social finance and Islamic finance. These obstacles can be divided into institutional barriers, including social, legal, organizational, administrative, and Economic barriers: tax, investment, and marketing. Also, technological barriers can be the solution for Islamic financial inclusion and a tool for growing trust due to the increase in Islamic social finance funding.</w:t>
      </w:r>
    </w:p>
    <w:p w14:paraId="447B2269" w14:textId="77777777" w:rsidR="00893880" w:rsidRPr="00893880" w:rsidRDefault="00893880" w:rsidP="00893880">
      <w:pPr>
        <w:jc w:val="both"/>
        <w:rPr>
          <w:sz w:val="28"/>
          <w:szCs w:val="28"/>
          <w:lang w:val="en-US"/>
        </w:rPr>
      </w:pPr>
      <w:r w:rsidRPr="00893880">
        <w:rPr>
          <w:sz w:val="28"/>
          <w:szCs w:val="28"/>
          <w:lang w:val="en-US"/>
        </w:rPr>
        <w:tab/>
        <w:t xml:space="preserve">The fundamental of the considered shortcomings that must be overcome for the efficient development and taking effects on society and economics is the lack of awareness of the population. During the research, the author investigated the big gap in awareness and knowledge between limited experts in Islamic finance of the country and population and financially included people. There is a misunderstanding of the functions and activity of Islamic financial institutions and their social orientation. Unfortunately, the central part of the financially included population has assumptions that Islamic finance is free finance. People accepted financial instruments as a charity. The most critical issues are promoting Islamic social finance tools among the population and business community and the improvement of Islamic financial literacy. The study results showed that people do charity, are aware of sadaqah and zakat on an individual level, and know about these tools of Islamic finance from their family and friends. If more than half the population knows the central concept of the riba in Islamic finance, which is encouraging value, more than one night of the population is not aware of the waqf system at all, which is a perspective Islamic financial system and solution for development social aspects of the country. </w:t>
      </w:r>
    </w:p>
    <w:p w14:paraId="42E3FA66" w14:textId="77777777" w:rsidR="00893880" w:rsidRPr="00893880" w:rsidRDefault="00893880" w:rsidP="00893880">
      <w:pPr>
        <w:jc w:val="both"/>
        <w:rPr>
          <w:sz w:val="28"/>
          <w:szCs w:val="28"/>
          <w:lang w:val="en-US"/>
        </w:rPr>
      </w:pPr>
      <w:r w:rsidRPr="00893880">
        <w:rPr>
          <w:sz w:val="28"/>
          <w:szCs w:val="28"/>
          <w:lang w:val="en-US"/>
        </w:rPr>
        <w:tab/>
        <w:t>Taking into account the results of the survey, which showed that the lack of awareness of the population plays a significant role in slowing down the development of Islamic finance, we recommend that additional work be carried out to spread them and popularize them:</w:t>
      </w:r>
    </w:p>
    <w:p w14:paraId="3F09F63E" w14:textId="77777777" w:rsidR="00893880" w:rsidRPr="00893880" w:rsidRDefault="00893880" w:rsidP="00893880">
      <w:pPr>
        <w:jc w:val="both"/>
        <w:rPr>
          <w:sz w:val="28"/>
          <w:szCs w:val="28"/>
          <w:lang w:val="en-US"/>
        </w:rPr>
      </w:pPr>
      <w:r w:rsidRPr="00893880">
        <w:rPr>
          <w:sz w:val="28"/>
          <w:szCs w:val="28"/>
          <w:lang w:val="en-US"/>
        </w:rPr>
        <w:tab/>
        <w:t>1. Promote the basic concepts of Islamic finance and social benefits among the population through the mass media, especially television and radio.</w:t>
      </w:r>
    </w:p>
    <w:p w14:paraId="7C388488" w14:textId="77777777" w:rsidR="00893880" w:rsidRPr="00893880" w:rsidRDefault="00893880" w:rsidP="00893880">
      <w:pPr>
        <w:jc w:val="both"/>
        <w:rPr>
          <w:sz w:val="28"/>
          <w:szCs w:val="28"/>
          <w:lang w:val="en-US"/>
        </w:rPr>
      </w:pPr>
      <w:r w:rsidRPr="00893880">
        <w:rPr>
          <w:sz w:val="28"/>
          <w:szCs w:val="28"/>
          <w:lang w:val="en-US"/>
        </w:rPr>
        <w:tab/>
        <w:t xml:space="preserve">2. To carry out additional work to explain the features and principles of the activities of Islamic financial institutions among enterprises, the state program Damu is one of the excellent mechanisms for increasing Islamic financial tools for enterprises. </w:t>
      </w:r>
    </w:p>
    <w:p w14:paraId="1F4157B5" w14:textId="4EEFD0F9" w:rsidR="00893880" w:rsidRPr="00893880" w:rsidRDefault="00893880" w:rsidP="00893880">
      <w:pPr>
        <w:jc w:val="both"/>
        <w:rPr>
          <w:sz w:val="28"/>
          <w:szCs w:val="28"/>
          <w:lang w:val="en-US"/>
        </w:rPr>
      </w:pPr>
      <w:r w:rsidRPr="00893880">
        <w:rPr>
          <w:sz w:val="28"/>
          <w:szCs w:val="28"/>
          <w:lang w:val="en-US"/>
        </w:rPr>
        <w:tab/>
        <w:t xml:space="preserve">3. </w:t>
      </w:r>
      <w:r w:rsidR="002D3C96">
        <w:rPr>
          <w:sz w:val="28"/>
          <w:szCs w:val="28"/>
          <w:lang w:val="en-US"/>
        </w:rPr>
        <w:t>B</w:t>
      </w:r>
      <w:r w:rsidRPr="00893880">
        <w:rPr>
          <w:sz w:val="28"/>
          <w:szCs w:val="28"/>
          <w:lang w:val="en-US"/>
        </w:rPr>
        <w:t>ased on higher education, supplement the course of lectures of disciplines in the specialties of the financial director, the basics of the tools of Islamic finance. The basis of Islamic finance and economics must be included in financial awareness as an integral part of the modern financial system and financial relations.</w:t>
      </w:r>
    </w:p>
    <w:p w14:paraId="28CE8FCD" w14:textId="00643D15" w:rsidR="00893880" w:rsidRPr="00893880" w:rsidRDefault="00893880" w:rsidP="00893880">
      <w:pPr>
        <w:jc w:val="both"/>
        <w:rPr>
          <w:sz w:val="28"/>
          <w:szCs w:val="28"/>
          <w:lang w:val="en-US"/>
        </w:rPr>
      </w:pPr>
      <w:r w:rsidRPr="00893880">
        <w:rPr>
          <w:sz w:val="28"/>
          <w:szCs w:val="28"/>
          <w:lang w:val="en-US"/>
        </w:rPr>
        <w:tab/>
        <w:t xml:space="preserve">4. </w:t>
      </w:r>
      <w:r w:rsidR="002D3C96">
        <w:rPr>
          <w:sz w:val="28"/>
          <w:szCs w:val="28"/>
          <w:lang w:val="en-US"/>
        </w:rPr>
        <w:t>B</w:t>
      </w:r>
      <w:r w:rsidRPr="00893880">
        <w:rPr>
          <w:sz w:val="28"/>
          <w:szCs w:val="28"/>
          <w:lang w:val="en-US"/>
        </w:rPr>
        <w:t>ased on religious organizations, such as mosques and religious educational institutions (2610 mosques and 10 educational institutions), it is recommended to give information on Islamic finance, Islamic financial tools, and their social effects on the society and country.</w:t>
      </w:r>
      <w:r w:rsidR="002D3C96">
        <w:rPr>
          <w:sz w:val="28"/>
          <w:szCs w:val="28"/>
          <w:lang w:val="en-US"/>
        </w:rPr>
        <w:t xml:space="preserve"> </w:t>
      </w:r>
      <w:r w:rsidRPr="00893880">
        <w:rPr>
          <w:sz w:val="28"/>
          <w:szCs w:val="28"/>
          <w:lang w:val="en-US"/>
        </w:rPr>
        <w:t xml:space="preserve">The way of realization of the recommendation consists of giving information during the Friday khutbas when more than 70% of our population go to the mosques for Friday praying. However, there is a problem with the awareness of Islamic finance of lector imams, the solution of which education imams by various terms courses in Islamic finance. About 400 imams participated the effort of the training course realization in the main four cities in 2013. By our assumption, it must be pieces of training for imams, including the online version for imams from the regions in Islamic finance in regular term, and AIFC Islamic Hub is responsible for promoting the education of imams for further multiplicative effect population. It should be noted that AIFC has an opportunity to promote this area and use practical tools, but there are some shortcomings. For example, the technical grant of the Asian Development Bank for Islamic Finance Capacity building has been organized set of training through foreign international consulting institutions Islamic Finance Advisory and Assurance Services, in 2021. However, the primary language of the training was English, a limited number of interested listeners participated in the training, and imams of the country were not involved. There must be instruments for training imams in Kazakh and Russian languages. We have to realize the number of potential listeners of the features and specifics of Islamic finance, its social functions, and the impact on the financial and societal development during the Friday khutbas from well-trained imams. </w:t>
      </w:r>
    </w:p>
    <w:p w14:paraId="176F652C" w14:textId="77777777" w:rsidR="00893880" w:rsidRPr="00893880" w:rsidRDefault="00893880" w:rsidP="00893880">
      <w:pPr>
        <w:jc w:val="both"/>
        <w:rPr>
          <w:sz w:val="28"/>
          <w:szCs w:val="28"/>
          <w:lang w:val="en-US"/>
        </w:rPr>
      </w:pPr>
      <w:r w:rsidRPr="00893880">
        <w:rPr>
          <w:sz w:val="28"/>
          <w:szCs w:val="28"/>
          <w:lang w:val="en-US"/>
        </w:rPr>
        <w:tab/>
        <w:t>5. Furthermore, it is necessary to increase the awareness of the state in the person of the financial regulator and authorities endowed with direct and indirect regulatory and supervisory powers. Because ignorance and internal resistance of them are the reason of the barriers to active development of the Islamic financial industry over the past 10 years.</w:t>
      </w:r>
    </w:p>
    <w:p w14:paraId="2788F738" w14:textId="77777777" w:rsidR="00893880" w:rsidRPr="00893880" w:rsidRDefault="00893880" w:rsidP="00893880">
      <w:pPr>
        <w:jc w:val="both"/>
        <w:rPr>
          <w:sz w:val="28"/>
          <w:szCs w:val="28"/>
          <w:lang w:val="en-US"/>
        </w:rPr>
      </w:pPr>
      <w:r w:rsidRPr="00893880">
        <w:rPr>
          <w:sz w:val="28"/>
          <w:szCs w:val="28"/>
          <w:lang w:val="en-US"/>
        </w:rPr>
        <w:tab/>
        <w:t xml:space="preserve">6. For the attracting funding to the charity through Zeket and charity foundation, as the example of charity foundation under SAMK management, from the wealthy part of the population, it is suggested to strengthen increasing awareness of the population about Islamic social instruments, sadaqah, zakat and waqf in the way of effects of the tools for social assistance to the needy people, and its ethical return. </w:t>
      </w:r>
    </w:p>
    <w:p w14:paraId="4C80D597" w14:textId="77777777" w:rsidR="00893880" w:rsidRPr="00893880" w:rsidRDefault="00893880" w:rsidP="00893880">
      <w:pPr>
        <w:jc w:val="both"/>
        <w:rPr>
          <w:sz w:val="28"/>
          <w:szCs w:val="28"/>
          <w:lang w:val="en-US"/>
        </w:rPr>
      </w:pPr>
      <w:r w:rsidRPr="00893880">
        <w:rPr>
          <w:sz w:val="28"/>
          <w:szCs w:val="28"/>
          <w:lang w:val="en-US"/>
        </w:rPr>
        <w:tab/>
        <w:t xml:space="preserve">Meanwhile, the advantages of Islamic finance, based on the value and moral potential of Shariah, are more clearly manifested in the conditions of crisis, when social inequality increases, the shortage of investment resources increases, and a higher level of public confidence in the state monetary policy is required. </w:t>
      </w:r>
    </w:p>
    <w:p w14:paraId="058EEF2E" w14:textId="77777777" w:rsidR="00893880" w:rsidRPr="00893880" w:rsidRDefault="00893880" w:rsidP="00893880">
      <w:pPr>
        <w:jc w:val="both"/>
        <w:rPr>
          <w:sz w:val="28"/>
          <w:szCs w:val="28"/>
          <w:lang w:val="en-US"/>
        </w:rPr>
      </w:pPr>
      <w:r w:rsidRPr="00893880">
        <w:rPr>
          <w:sz w:val="28"/>
          <w:szCs w:val="28"/>
          <w:lang w:val="en-US"/>
        </w:rPr>
        <w:t>At the same time, taking into account the crisis phenomena in most financial sectors of Kazakhstan, it seems appropriate to use the complimentary inclusion of Islamic financial instruments in the traditional financial system of the country. This may be the first step in demonstrating the competitive advantages of Islamic financial instruments in the post-crisis economy.</w:t>
      </w:r>
    </w:p>
    <w:p w14:paraId="577A6BB6" w14:textId="77777777" w:rsidR="00893880" w:rsidRPr="00893880" w:rsidRDefault="00893880" w:rsidP="00893880">
      <w:pPr>
        <w:jc w:val="both"/>
        <w:rPr>
          <w:sz w:val="28"/>
          <w:szCs w:val="28"/>
          <w:lang w:val="en-US"/>
        </w:rPr>
      </w:pPr>
      <w:r w:rsidRPr="00893880">
        <w:rPr>
          <w:sz w:val="28"/>
          <w:szCs w:val="28"/>
          <w:lang w:val="en-US"/>
        </w:rPr>
        <w:tab/>
        <w:t xml:space="preserve">It should be noted that the legislation on the organization and development of Islamic finance was adopted 11 years ago and has achieved significant changes and additions to the activity of Islamic financial institutions with the contribution of representatives of financial institutions and regulatory structures. However, there are still existing issues that Islamic financial institutions have to overcome or bypass during the activity. The leading institutional problem of the Islamic finance development is shortcomings in the legislative framework, even though Kazakhstan was the first country to adapt to the existing legislative framework for Islamic financial institutions and Islamic financial relationships among CIS countries. </w:t>
      </w:r>
    </w:p>
    <w:p w14:paraId="0E830135" w14:textId="77777777" w:rsidR="00893880" w:rsidRPr="00893880" w:rsidRDefault="00893880" w:rsidP="00893880">
      <w:pPr>
        <w:jc w:val="both"/>
        <w:rPr>
          <w:sz w:val="28"/>
          <w:szCs w:val="28"/>
          <w:lang w:val="en-US"/>
        </w:rPr>
      </w:pPr>
      <w:r w:rsidRPr="00893880">
        <w:rPr>
          <w:sz w:val="28"/>
          <w:szCs w:val="28"/>
          <w:lang w:val="en-US"/>
        </w:rPr>
        <w:tab/>
        <w:t>The distinctive aspect of the amendments to the Law On banks is the absence of original names of Islamic banking products, the tools are maximally adapted to the conceptual apparatus of the legislation: Amana - interest-free demand deposits, qard-hasan - bank lending operations free of charge, mudaraba – investment deposits, Murabaha - trade finance, contract for the sale of goods with murk-up, musharaka - financing of production and trading activities based on partnerships, ijara – leasing, wakala - Agency services in the framework of Islamic banking. The number of contracts and instruments, which are covered by the legislative framework in the country, is limited. The Law does not cover some contracts, diminishing musharaka, hibab, khafakla, Rahn, wadiah, and waad. Also, to the instruments mentioned above, the amendments to the Law on banking activities provide for the implementation of the following operations by Islamic banks: organization of exchange operations with foreign currency, operations with bills of exchange, factoring operations, and forfeiting operations. However, the bank is entitled to provide these services only with the approval of the Council on the Principles of Islamic Finance (Shariah Board).</w:t>
      </w:r>
    </w:p>
    <w:p w14:paraId="52D20ACC" w14:textId="77777777" w:rsidR="00893880" w:rsidRPr="00893880" w:rsidRDefault="00893880" w:rsidP="00893880">
      <w:pPr>
        <w:jc w:val="both"/>
        <w:rPr>
          <w:sz w:val="28"/>
          <w:szCs w:val="28"/>
          <w:lang w:val="en-US"/>
        </w:rPr>
      </w:pPr>
      <w:r w:rsidRPr="00893880">
        <w:rPr>
          <w:sz w:val="28"/>
          <w:szCs w:val="28"/>
          <w:lang w:val="en-US"/>
        </w:rPr>
        <w:tab/>
        <w:t xml:space="preserve">Requirements for establishing an Islamic bank in the country are the same as conventional banks. According to the National Bank of the RK and Law, the minimum capital for establishing the bank is 30.3 million US dollars and 9.1 thousand US dollars for every branch.  </w:t>
      </w:r>
    </w:p>
    <w:p w14:paraId="5EF504F5" w14:textId="77777777" w:rsidR="00893880" w:rsidRPr="00893880" w:rsidRDefault="00893880" w:rsidP="00893880">
      <w:pPr>
        <w:jc w:val="both"/>
        <w:rPr>
          <w:sz w:val="28"/>
          <w:szCs w:val="28"/>
          <w:lang w:val="en-US"/>
        </w:rPr>
      </w:pPr>
      <w:r w:rsidRPr="00893880">
        <w:rPr>
          <w:sz w:val="28"/>
          <w:szCs w:val="28"/>
          <w:lang w:val="en-US"/>
        </w:rPr>
        <w:tab/>
        <w:t>The most discussed issue in the Islamic financial industry in the country is the parallel structure of Islamic banking, which is full-fledged Islamic banks development with high requirements for the developing system in terms of capital and prudential normative. The mechanism of complementary development of Islamic banking with conventional in the form of Islamic windows could give more capacities for its overall development, as shown in the experience of Malaysia and England.</w:t>
      </w:r>
    </w:p>
    <w:p w14:paraId="78CC0477" w14:textId="77777777" w:rsidR="00893880" w:rsidRPr="00893880" w:rsidRDefault="00893880" w:rsidP="00893880">
      <w:pPr>
        <w:jc w:val="both"/>
        <w:rPr>
          <w:sz w:val="28"/>
          <w:szCs w:val="28"/>
          <w:lang w:val="en-US"/>
        </w:rPr>
      </w:pPr>
      <w:r w:rsidRPr="00893880">
        <w:rPr>
          <w:sz w:val="28"/>
          <w:szCs w:val="28"/>
          <w:lang w:val="en-US"/>
        </w:rPr>
        <w:tab/>
        <w:t>The guarantee of investment deposits in direct or indirect form is prohibited in Islamic banks. Islamic banks are not covered under the National Deposit Insurance system by the Law "On Mandatory Guarantee of Deposits Placed in Second-Tier Banks" since, from the point of view of Shariah, the bank cannot guarantee the repayment of deposits. The Islamic Bank is not a member of the mandatory deposit guarantee system, and deposits with the Islamic Bank are not guaranteed.</w:t>
      </w:r>
    </w:p>
    <w:p w14:paraId="45D444CA" w14:textId="77777777" w:rsidR="00893880" w:rsidRPr="00893880" w:rsidRDefault="00893880" w:rsidP="00893880">
      <w:pPr>
        <w:jc w:val="both"/>
        <w:rPr>
          <w:sz w:val="28"/>
          <w:szCs w:val="28"/>
          <w:lang w:val="en-US"/>
        </w:rPr>
      </w:pPr>
      <w:r w:rsidRPr="00893880">
        <w:rPr>
          <w:sz w:val="28"/>
          <w:szCs w:val="28"/>
          <w:lang w:val="en-US"/>
        </w:rPr>
        <w:tab/>
        <w:t>The essence of the amendments to the law "On state registration of rights to real estate and transactions with them" is reduced to the proper legal registration of the rights of clients of Islamic banks. The mechanism of the relationship between the bank and the client is similar to the relationship between the management company and the shareholders in a mutual investment fund. In this regard, as in the case of a mutual investment fund, the right of shared ownership is registered in the name of the Islamic Bank. However, the legal owners of the relevant asset are considered the holders of investment deposits.</w:t>
      </w:r>
    </w:p>
    <w:p w14:paraId="7B5FC116" w14:textId="77777777" w:rsidR="00893880" w:rsidRPr="00893880" w:rsidRDefault="00893880" w:rsidP="00893880">
      <w:pPr>
        <w:jc w:val="both"/>
        <w:rPr>
          <w:sz w:val="28"/>
          <w:szCs w:val="28"/>
          <w:lang w:val="en-US"/>
        </w:rPr>
      </w:pPr>
      <w:r w:rsidRPr="00893880">
        <w:rPr>
          <w:sz w:val="28"/>
          <w:szCs w:val="28"/>
          <w:lang w:val="en-US"/>
        </w:rPr>
        <w:tab/>
        <w:t xml:space="preserve">The amendments made to the Law "On Investment Funds," which provide the procedure for creating Islamic investment funds," are also significant. The Law considers the shares and units of Islamic investment funds on the Securities Market as Islamic securities. The changes and additions made to the law "On the securities market" should be noted." These changes mainly affect the possibility of issuing and trading Islamic equity securities-Sukuk. This possibility is very promising and is being discussed in the financial system of Kazakhstan. There are 14 types of Sukuk in the world practice. By Kazakhstani law, there are only three types, without interpretation of Sukuk, instead of defined shares and units of Islamic investment funds, Islamic rental certificates (Sukuk ijara), and Islamic certificates of participation (Sukuk mudaraba and Sukuk musharaka). This Law also provides that when issuing Islamic securities, the issuer does not have the right to charge a remuneration in the form of interest on the value of Islamic securities and guarantee income on Islamic securities since Islam prohibits interest. In addition, the funds received as a result of the issue and placement of Islamic securities should not be used to finance activities related to the production and trade of tobacco, alcohol, weapons, and ammunition, gambling, as well as other types of business activities, the financing of which is prohibited by the Council on the principles of Islamic finance. </w:t>
      </w:r>
    </w:p>
    <w:p w14:paraId="237F62AE" w14:textId="77777777" w:rsidR="00893880" w:rsidRPr="00893880" w:rsidRDefault="00893880" w:rsidP="00893880">
      <w:pPr>
        <w:jc w:val="both"/>
        <w:rPr>
          <w:sz w:val="28"/>
          <w:szCs w:val="28"/>
          <w:lang w:val="en-US"/>
        </w:rPr>
      </w:pPr>
      <w:r w:rsidRPr="00893880">
        <w:rPr>
          <w:sz w:val="28"/>
          <w:szCs w:val="28"/>
          <w:lang w:val="en-US"/>
        </w:rPr>
        <w:tab/>
        <w:t>It should be noted that the amendments to the law "On licensing provide for a special license" issued by the authorized body for the implementation of Islamic banking activities.</w:t>
      </w:r>
    </w:p>
    <w:p w14:paraId="68F96016" w14:textId="77777777" w:rsidR="00893880" w:rsidRPr="00893880" w:rsidRDefault="00893880" w:rsidP="00893880">
      <w:pPr>
        <w:jc w:val="both"/>
        <w:rPr>
          <w:sz w:val="28"/>
          <w:szCs w:val="28"/>
          <w:lang w:val="en-US"/>
        </w:rPr>
      </w:pPr>
      <w:r w:rsidRPr="00893880">
        <w:rPr>
          <w:sz w:val="28"/>
          <w:szCs w:val="28"/>
          <w:lang w:val="en-US"/>
        </w:rPr>
        <w:tab/>
        <w:t>If we turn to the Law for the Islamic insurance market, there is no definition of takaful and retakaful. Instead of using Islamic insurance, Islamic reinsurance and some principles of takaful are not covered and ignored. Also, according to the Law, family takaful is covered by life insurance in its conventional design.</w:t>
      </w:r>
    </w:p>
    <w:p w14:paraId="41E812A5" w14:textId="77777777" w:rsidR="00893880" w:rsidRPr="00893880" w:rsidRDefault="00893880" w:rsidP="00893880">
      <w:pPr>
        <w:jc w:val="both"/>
        <w:rPr>
          <w:sz w:val="28"/>
          <w:szCs w:val="28"/>
          <w:lang w:val="en-US"/>
        </w:rPr>
      </w:pPr>
      <w:r w:rsidRPr="00893880">
        <w:rPr>
          <w:sz w:val="28"/>
          <w:szCs w:val="28"/>
          <w:lang w:val="en-US"/>
        </w:rPr>
        <w:tab/>
        <w:t>There are restrictions on the operation of Islamic finance tools that are not covered by the legislation. In this regard, we make suggestions:</w:t>
      </w:r>
    </w:p>
    <w:p w14:paraId="7F2017EF" w14:textId="77777777" w:rsidR="00893880" w:rsidRPr="00893880" w:rsidRDefault="00893880" w:rsidP="00893880">
      <w:pPr>
        <w:jc w:val="both"/>
        <w:rPr>
          <w:sz w:val="28"/>
          <w:szCs w:val="28"/>
          <w:lang w:val="en-US"/>
        </w:rPr>
      </w:pPr>
      <w:r w:rsidRPr="00893880">
        <w:rPr>
          <w:sz w:val="28"/>
          <w:szCs w:val="28"/>
          <w:lang w:val="en-US"/>
        </w:rPr>
        <w:t>1.</w:t>
      </w:r>
      <w:r w:rsidRPr="00893880">
        <w:rPr>
          <w:sz w:val="28"/>
          <w:szCs w:val="28"/>
          <w:lang w:val="en-US"/>
        </w:rPr>
        <w:tab/>
        <w:t xml:space="preserve">Expanding the range of Islamic financial instruments offered to customers in Islamic financial institutions and developing the mechanism of each instrument's implementation. There are a limited number of offered instruments of the financial institutions, and the promotion of every toll needs years of work, including the promotion of the additions in the Law. </w:t>
      </w:r>
    </w:p>
    <w:p w14:paraId="0D431D6B" w14:textId="77777777" w:rsidR="00893880" w:rsidRPr="00893880" w:rsidRDefault="00893880" w:rsidP="00893880">
      <w:pPr>
        <w:jc w:val="both"/>
        <w:rPr>
          <w:sz w:val="28"/>
          <w:szCs w:val="28"/>
          <w:lang w:val="en-US"/>
        </w:rPr>
      </w:pPr>
      <w:r w:rsidRPr="00893880">
        <w:rPr>
          <w:sz w:val="28"/>
          <w:szCs w:val="28"/>
          <w:lang w:val="en-US"/>
        </w:rPr>
        <w:t>2.</w:t>
      </w:r>
      <w:r w:rsidRPr="00893880">
        <w:rPr>
          <w:sz w:val="28"/>
          <w:szCs w:val="28"/>
          <w:lang w:val="en-US"/>
        </w:rPr>
        <w:tab/>
        <w:t xml:space="preserve">The reducing the requirements for the minimum capital for establishing the Islamic Bank, taking into account the limited services and additional requirements for a financial institution due to specific features. Point 5 Article 16. Authorized and equity capital of the bank, of the Law "On banks and banking activity," it is necessary to provide the minimum capital for the establishment of Islamic Banks by the Resolution of the Board of the National Bank of the Republic of Kazakhstan, in the amount for 30 million US dollars. </w:t>
      </w:r>
    </w:p>
    <w:p w14:paraId="62CC536E" w14:textId="77777777" w:rsidR="00893880" w:rsidRPr="00893880" w:rsidRDefault="00893880" w:rsidP="00893880">
      <w:pPr>
        <w:jc w:val="both"/>
        <w:rPr>
          <w:sz w:val="28"/>
          <w:szCs w:val="28"/>
          <w:lang w:val="en-US"/>
        </w:rPr>
      </w:pPr>
      <w:r w:rsidRPr="00893880">
        <w:rPr>
          <w:sz w:val="28"/>
          <w:szCs w:val="28"/>
          <w:lang w:val="en-US"/>
        </w:rPr>
        <w:t>3.</w:t>
      </w:r>
      <w:r w:rsidRPr="00893880">
        <w:rPr>
          <w:sz w:val="28"/>
          <w:szCs w:val="28"/>
          <w:lang w:val="en-US"/>
        </w:rPr>
        <w:tab/>
        <w:t>The adaptation Law "On banks and banking activity" for establishment and activity of Islamic windows of conventional banks is the main way for development and advancement of the Islamic financial industry and public awareness, as the share of the population and business in the conventional banking system is high in the country. In the Law "On Banks and Banking Activities": Article 2 Basic concepts, it is necessary to add the concept of "Islamic windows" of conventional banks; to the Article 52-5 add the operations of Islamic windows. Also, it is needed to add a paragraph for regulation of Islamic windows of the conventional Banks.</w:t>
      </w:r>
    </w:p>
    <w:p w14:paraId="53A9A0B1" w14:textId="77777777" w:rsidR="00893880" w:rsidRPr="00893880" w:rsidRDefault="00893880" w:rsidP="00893880">
      <w:pPr>
        <w:jc w:val="both"/>
        <w:rPr>
          <w:sz w:val="28"/>
          <w:szCs w:val="28"/>
          <w:lang w:val="en-US"/>
        </w:rPr>
      </w:pPr>
      <w:r w:rsidRPr="00893880">
        <w:rPr>
          <w:sz w:val="28"/>
          <w:szCs w:val="28"/>
          <w:lang w:val="en-US"/>
        </w:rPr>
        <w:t>4.</w:t>
      </w:r>
      <w:r w:rsidRPr="00893880">
        <w:rPr>
          <w:sz w:val="28"/>
          <w:szCs w:val="28"/>
          <w:lang w:val="en-US"/>
        </w:rPr>
        <w:tab/>
        <w:t>Including Islamic banks in the National Deposit Insurance system by the Law "On Mandatory Guarantee of Deposits Placed in Second-Tier Banks" by using special Islamic, that is takaful mechanism, which will provide trust and growth of the clients in Islamic banks, by deleting the second point of paragraph 5-1, Article 3 - Banking system of the Republic of Kazakhstan, and by editing in the preamble of the Law "On mandatory guarantee of deposits placed in second-tier banks" relating the Islamic banks.</w:t>
      </w:r>
    </w:p>
    <w:p w14:paraId="2D867833" w14:textId="77777777" w:rsidR="00893880" w:rsidRPr="00893880" w:rsidRDefault="00893880" w:rsidP="00893880">
      <w:pPr>
        <w:jc w:val="both"/>
        <w:rPr>
          <w:sz w:val="28"/>
          <w:szCs w:val="28"/>
          <w:lang w:val="en-US"/>
        </w:rPr>
      </w:pPr>
      <w:r w:rsidRPr="00893880">
        <w:rPr>
          <w:sz w:val="28"/>
          <w:szCs w:val="28"/>
          <w:lang w:val="en-US"/>
        </w:rPr>
        <w:t>5.</w:t>
      </w:r>
      <w:r w:rsidRPr="00893880">
        <w:rPr>
          <w:sz w:val="28"/>
          <w:szCs w:val="28"/>
          <w:lang w:val="en-US"/>
        </w:rPr>
        <w:tab/>
        <w:t>The expanding the number of securities types in the country in the law "On the securities market ."Furthermore, it is necessary to expand the scope of entities acting as originators to allow the issuance of Islamic lease certificates by private companies and public institutions.</w:t>
      </w:r>
    </w:p>
    <w:p w14:paraId="1ABE0476" w14:textId="77777777" w:rsidR="00893880" w:rsidRPr="00893880" w:rsidRDefault="00893880" w:rsidP="00893880">
      <w:pPr>
        <w:jc w:val="both"/>
        <w:rPr>
          <w:sz w:val="28"/>
          <w:szCs w:val="28"/>
          <w:lang w:val="en-US"/>
        </w:rPr>
      </w:pPr>
      <w:r w:rsidRPr="00893880">
        <w:rPr>
          <w:sz w:val="28"/>
          <w:szCs w:val="28"/>
          <w:lang w:val="en-US"/>
        </w:rPr>
        <w:t>6.</w:t>
      </w:r>
      <w:r w:rsidRPr="00893880">
        <w:rPr>
          <w:sz w:val="28"/>
          <w:szCs w:val="28"/>
          <w:lang w:val="en-US"/>
        </w:rPr>
        <w:tab/>
        <w:t>Creation mechanism for Islamic insurance, as there is a lack of Islamic insurance companies in Kazakhstan. Islamic financing is subject to certain risks due to its specificity. It must be added to the principles of takaful which are not covered and ignored in the Law. There is a need to identify Family insurance and give the realization structure according to the Islamic rules, as in present low it Law is covered by life insurance in its conventional design.</w:t>
      </w:r>
    </w:p>
    <w:p w14:paraId="06BDE4BC" w14:textId="77777777" w:rsidR="00893880" w:rsidRPr="00893880" w:rsidRDefault="00893880" w:rsidP="00893880">
      <w:pPr>
        <w:jc w:val="both"/>
        <w:rPr>
          <w:sz w:val="28"/>
          <w:szCs w:val="28"/>
          <w:lang w:val="en-US"/>
        </w:rPr>
      </w:pPr>
      <w:r w:rsidRPr="00893880">
        <w:rPr>
          <w:sz w:val="28"/>
          <w:szCs w:val="28"/>
          <w:lang w:val="en-US"/>
        </w:rPr>
        <w:t>7.</w:t>
      </w:r>
      <w:r w:rsidRPr="00893880">
        <w:rPr>
          <w:sz w:val="28"/>
          <w:szCs w:val="28"/>
          <w:lang w:val="en-US"/>
        </w:rPr>
        <w:tab/>
        <w:t>There is a lack of any definition or description of the Waqf system based on the endowment. As the endowment funds are a new definition in the country's legislative framework, it is suggested to identify the Islamic endowment sector as one of the promising and prospective areas for funding in permitted financial projects and use the profit for the charity and social welfare by the Law on Charity. It will be a mechanism for attracting international financing.</w:t>
      </w:r>
    </w:p>
    <w:p w14:paraId="3DFCA6CF" w14:textId="77777777" w:rsidR="00893880" w:rsidRPr="00893880" w:rsidRDefault="00893880" w:rsidP="00893880">
      <w:pPr>
        <w:jc w:val="both"/>
        <w:rPr>
          <w:sz w:val="28"/>
          <w:szCs w:val="28"/>
          <w:lang w:val="en-US"/>
        </w:rPr>
      </w:pPr>
      <w:r w:rsidRPr="00893880">
        <w:rPr>
          <w:sz w:val="28"/>
          <w:szCs w:val="28"/>
          <w:lang w:val="en-US"/>
        </w:rPr>
        <w:tab/>
        <w:t xml:space="preserve">There is an issue in organizational and regulatory aspects of the Islamic financial institutions, and there is no dedicated special department or committee for Islamic finance. There have been special departments within National Bank until starting the activity of AIFC. However, the Islamic Finance Hub of AIFC is responsible for the regulation and development of Islamic finance under the international jurisdiction of AIFC. In this regard, it is suggested to regulate Islamic financial institutions on the Agency for regulation and development of the financial market. </w:t>
      </w:r>
    </w:p>
    <w:p w14:paraId="20983AFA" w14:textId="77777777" w:rsidR="00893880" w:rsidRPr="00893880" w:rsidRDefault="00893880" w:rsidP="00893880">
      <w:pPr>
        <w:jc w:val="both"/>
        <w:rPr>
          <w:sz w:val="28"/>
          <w:szCs w:val="28"/>
          <w:lang w:val="en-US"/>
        </w:rPr>
      </w:pPr>
      <w:r w:rsidRPr="00893880">
        <w:rPr>
          <w:sz w:val="28"/>
          <w:szCs w:val="28"/>
          <w:lang w:val="en-US"/>
        </w:rPr>
        <w:tab/>
        <w:t xml:space="preserve">There is the requirement for Islamic financial institutions to establish their own Shariah board, called Council on Islamic financial principles, but the problem is that the members of the Board have to be the notable experts in Shariah thought. As there is a lack of qualified specialists in the country, the financial institutions are forced to hire foreign experts. We suggest creating the central shariah Council within the financial market regulator represented by the Agency for regulation and development financial market of Kazakhstan. </w:t>
      </w:r>
    </w:p>
    <w:p w14:paraId="0B1B5241" w14:textId="27555288" w:rsidR="00893880" w:rsidRPr="00893880" w:rsidRDefault="00893880" w:rsidP="00893880">
      <w:pPr>
        <w:jc w:val="both"/>
        <w:rPr>
          <w:sz w:val="28"/>
          <w:szCs w:val="28"/>
          <w:lang w:val="en-US"/>
        </w:rPr>
      </w:pPr>
      <w:r w:rsidRPr="00893880">
        <w:rPr>
          <w:sz w:val="28"/>
          <w:szCs w:val="28"/>
          <w:lang w:val="en-US"/>
        </w:rPr>
        <w:tab/>
        <w:t>The slowdown in the development of Islamic finance in the country is due, along with the above conditions, to the lack of a State strategy for developing Islamic finance in the country. There is a master plan developed by AIFC Islamic Hub within the consulting of Malaysian experts for the next five years, recommendations of which are based on the assumption to reach 3% of the total financial assets of the country by Islamic financial industry, as 3% of financial assets is the goal of global Islamic financial industry for the near future. According to our assumption and study, this plan is quite ambitious for our economics and financial system. If to take into account that Islamic financial assets are much less than 1%, the global amount of the Islamic financial assets, and there are fluctuations and declining in several areas of the country's economy, such as the GDP, the state budget, financial, and banking sector and investment. From the presentation of the developed Master plan by AIFC Islamic Hub, two years have passed, but there are still four Islamic financial institutions, and the growth rate of Islamic financial assets is slow. In this regard, we recommend developing a state strategy that clearly defines the ways of developing Islamic finance in Kazakhstan. On the basis of the Master plan, taking into account the actual condition of economics, it will be appropriate to consider reaching 1% of Islamic financial assets of the country's total financial assets. The strategy must include not only Islamic banking, which is the most discussed these days, also Islamic capital market, Islamic investment, Islamic insurance, as well as Islamic social finance, especially the development of the waqf system in the country, but the total assets under global waqf also exceed 1 trillion US dollars [75</w:t>
      </w:r>
      <w:r w:rsidR="00C67F4D">
        <w:rPr>
          <w:sz w:val="28"/>
          <w:szCs w:val="28"/>
          <w:lang w:val="en-US"/>
        </w:rPr>
        <w:t>, p. 17</w:t>
      </w:r>
      <w:r w:rsidRPr="00893880">
        <w:rPr>
          <w:sz w:val="28"/>
          <w:szCs w:val="28"/>
          <w:lang w:val="en-US"/>
        </w:rPr>
        <w:t xml:space="preserve">]. </w:t>
      </w:r>
    </w:p>
    <w:p w14:paraId="322F3B64" w14:textId="77777777" w:rsidR="00893880" w:rsidRPr="00893880" w:rsidRDefault="00893880" w:rsidP="00893880">
      <w:pPr>
        <w:jc w:val="both"/>
        <w:rPr>
          <w:sz w:val="28"/>
          <w:szCs w:val="28"/>
          <w:lang w:val="en-US"/>
        </w:rPr>
      </w:pPr>
      <w:r w:rsidRPr="00893880">
        <w:rPr>
          <w:sz w:val="28"/>
          <w:szCs w:val="28"/>
          <w:lang w:val="en-US"/>
        </w:rPr>
        <w:tab/>
        <w:t>The next significant obstacle to the development of Islamic finance instruments in the country is the lack of stimulating motivation for Islamic investment, and therefore, we recommend:</w:t>
      </w:r>
    </w:p>
    <w:p w14:paraId="59063282" w14:textId="77777777" w:rsidR="00893880" w:rsidRPr="00893880" w:rsidRDefault="00893880" w:rsidP="002D3C96">
      <w:pPr>
        <w:ind w:firstLine="708"/>
        <w:jc w:val="both"/>
        <w:rPr>
          <w:sz w:val="28"/>
          <w:szCs w:val="28"/>
          <w:lang w:val="en-US"/>
        </w:rPr>
      </w:pPr>
      <w:r w:rsidRPr="00893880">
        <w:rPr>
          <w:sz w:val="28"/>
          <w:szCs w:val="28"/>
          <w:lang w:val="en-US"/>
        </w:rPr>
        <w:t>1. Create and apply investment tax incentives and preferences in the form of tax exemptions in the first year of Islamic finance institutions' activity to stimulate and expand the market of Islamic finance in the country.</w:t>
      </w:r>
    </w:p>
    <w:p w14:paraId="5DCC947E" w14:textId="77777777" w:rsidR="00893880" w:rsidRPr="00893880" w:rsidRDefault="00893880" w:rsidP="002D3C96">
      <w:pPr>
        <w:ind w:firstLine="708"/>
        <w:jc w:val="both"/>
        <w:rPr>
          <w:sz w:val="28"/>
          <w:szCs w:val="28"/>
          <w:lang w:val="en-US"/>
        </w:rPr>
      </w:pPr>
      <w:r w:rsidRPr="00893880">
        <w:rPr>
          <w:sz w:val="28"/>
          <w:szCs w:val="28"/>
          <w:lang w:val="en-US"/>
        </w:rPr>
        <w:t>2. Create the necessary organizational, legal, and economic conditions to attract investments in Islamic finance.</w:t>
      </w:r>
    </w:p>
    <w:p w14:paraId="0C699BDD" w14:textId="77777777" w:rsidR="00893880" w:rsidRPr="00893880" w:rsidRDefault="00893880" w:rsidP="00A27A2A">
      <w:pPr>
        <w:ind w:firstLine="708"/>
        <w:jc w:val="both"/>
        <w:rPr>
          <w:sz w:val="28"/>
          <w:szCs w:val="28"/>
          <w:lang w:val="en-US"/>
        </w:rPr>
      </w:pPr>
      <w:r w:rsidRPr="00893880">
        <w:rPr>
          <w:sz w:val="28"/>
          <w:szCs w:val="28"/>
          <w:lang w:val="en-US"/>
        </w:rPr>
        <w:t>According to the analysis, state support for introducing and developing Islamic finance instruments in Kazakhstan plays a major role in attracting Islamic investment. It is noteworthy that the state is directly interested in the development of Islamic banking and Islamic finance in the country, but there are some shortcomings in support of Islamic finance. In this regard, we recommend:</w:t>
      </w:r>
    </w:p>
    <w:p w14:paraId="4A8D2AF3" w14:textId="77777777" w:rsidR="00893880" w:rsidRPr="00893880" w:rsidRDefault="00893880" w:rsidP="00A27A2A">
      <w:pPr>
        <w:ind w:firstLine="708"/>
        <w:jc w:val="both"/>
        <w:rPr>
          <w:sz w:val="28"/>
          <w:szCs w:val="28"/>
          <w:lang w:val="en-US"/>
        </w:rPr>
      </w:pPr>
      <w:r w:rsidRPr="00893880">
        <w:rPr>
          <w:sz w:val="28"/>
          <w:szCs w:val="28"/>
          <w:lang w:val="en-US"/>
        </w:rPr>
        <w:t>1. To be directly involved in the involvement of Islamic finance by government agencies</w:t>
      </w:r>
    </w:p>
    <w:p w14:paraId="24B598ED" w14:textId="77777777" w:rsidR="00893880" w:rsidRPr="00893880" w:rsidRDefault="00893880" w:rsidP="00A27A2A">
      <w:pPr>
        <w:ind w:firstLine="708"/>
        <w:jc w:val="both"/>
        <w:rPr>
          <w:sz w:val="28"/>
          <w:szCs w:val="28"/>
          <w:lang w:val="en-US"/>
        </w:rPr>
      </w:pPr>
      <w:r w:rsidRPr="00893880">
        <w:rPr>
          <w:sz w:val="28"/>
          <w:szCs w:val="28"/>
          <w:lang w:val="en-US"/>
        </w:rPr>
        <w:t>2. Create an infrastructure to implement the activities of Islamic finance institutions in the country.</w:t>
      </w:r>
    </w:p>
    <w:p w14:paraId="65B87E1C" w14:textId="77777777" w:rsidR="00893880" w:rsidRPr="00893880" w:rsidRDefault="00893880" w:rsidP="00A27A2A">
      <w:pPr>
        <w:ind w:firstLine="708"/>
        <w:jc w:val="both"/>
        <w:rPr>
          <w:sz w:val="28"/>
          <w:szCs w:val="28"/>
          <w:lang w:val="en-US"/>
        </w:rPr>
      </w:pPr>
      <w:r w:rsidRPr="00893880">
        <w:rPr>
          <w:sz w:val="28"/>
          <w:szCs w:val="28"/>
          <w:lang w:val="en-US"/>
        </w:rPr>
        <w:t>3. Assist in the organization of registration and licensing of Islamic finance institutions to reduce the time required to register and open Islamic financial institutions.</w:t>
      </w:r>
    </w:p>
    <w:p w14:paraId="71CAD2FB" w14:textId="77777777" w:rsidR="00893880" w:rsidRPr="00893880" w:rsidRDefault="00893880" w:rsidP="00A27A2A">
      <w:pPr>
        <w:ind w:firstLine="708"/>
        <w:jc w:val="both"/>
        <w:rPr>
          <w:sz w:val="28"/>
          <w:szCs w:val="28"/>
          <w:lang w:val="en-US"/>
        </w:rPr>
      </w:pPr>
      <w:r w:rsidRPr="00893880">
        <w:rPr>
          <w:sz w:val="28"/>
          <w:szCs w:val="28"/>
          <w:lang w:val="en-US"/>
        </w:rPr>
        <w:t>4. To ensure conditions for the free development of Islamic finance, competing with the traditional banking system.</w:t>
      </w:r>
    </w:p>
    <w:p w14:paraId="0D0CED15" w14:textId="77777777" w:rsidR="00893880" w:rsidRPr="00893880" w:rsidRDefault="00893880" w:rsidP="00A27A2A">
      <w:pPr>
        <w:ind w:firstLine="708"/>
        <w:jc w:val="both"/>
        <w:rPr>
          <w:sz w:val="28"/>
          <w:szCs w:val="28"/>
          <w:lang w:val="en-US"/>
        </w:rPr>
      </w:pPr>
      <w:r w:rsidRPr="00893880">
        <w:rPr>
          <w:sz w:val="28"/>
          <w:szCs w:val="28"/>
          <w:lang w:val="en-US"/>
        </w:rPr>
        <w:t xml:space="preserve">There is a special state body represented by AIFC Islamic Hub, the purpose of which is the advancement of Islamic finance in the country, the attracting number of Islamic financial industry participants with a special international framework and infrastructure, which is more convenient. However, despite the fact that there are 35 institutions registered in AIFC as Islamic organizations, there are issues and problems with starting their activity and working, such as the opening correspondent account of the bank. For three years since the establishment of AIFC Islamic Hub has passed, there is still a stage of introduction. We suppose there is a time to start activity registered institutions and activate the Islamic financial industry. </w:t>
      </w:r>
    </w:p>
    <w:p w14:paraId="43F008E2" w14:textId="77777777" w:rsidR="00893880" w:rsidRPr="00893880" w:rsidRDefault="00893880" w:rsidP="00A27A2A">
      <w:pPr>
        <w:ind w:firstLine="708"/>
        <w:jc w:val="both"/>
        <w:rPr>
          <w:sz w:val="28"/>
          <w:szCs w:val="28"/>
          <w:lang w:val="en-US"/>
        </w:rPr>
      </w:pPr>
      <w:r w:rsidRPr="00893880">
        <w:rPr>
          <w:sz w:val="28"/>
          <w:szCs w:val="28"/>
          <w:lang w:val="en-US"/>
        </w:rPr>
        <w:t>As previously confirmed, the effectiveness of the tools of Islamic finance ensures the financing and development of the real sector of the economy. In order to stimulate the development of Islamic finance instruments and at the same time stimulate the development of such sectors of the economy as agriculture, processing industry, and innovation, we make proposals:</w:t>
      </w:r>
    </w:p>
    <w:p w14:paraId="6A91A02A" w14:textId="77777777" w:rsidR="00893880" w:rsidRPr="00893880" w:rsidRDefault="00893880" w:rsidP="00A27A2A">
      <w:pPr>
        <w:ind w:firstLine="708"/>
        <w:jc w:val="both"/>
        <w:rPr>
          <w:sz w:val="28"/>
          <w:szCs w:val="28"/>
          <w:lang w:val="en-US"/>
        </w:rPr>
      </w:pPr>
      <w:r w:rsidRPr="00893880">
        <w:rPr>
          <w:sz w:val="28"/>
          <w:szCs w:val="28"/>
          <w:lang w:val="en-US"/>
        </w:rPr>
        <w:t>1.</w:t>
      </w:r>
      <w:r w:rsidRPr="00893880">
        <w:rPr>
          <w:sz w:val="28"/>
          <w:szCs w:val="28"/>
          <w:lang w:val="en-US"/>
        </w:rPr>
        <w:tab/>
        <w:t>Issuance the state Islamic securities to support state projects.</w:t>
      </w:r>
    </w:p>
    <w:p w14:paraId="6FBA51D5" w14:textId="77777777" w:rsidR="00893880" w:rsidRPr="00893880" w:rsidRDefault="00893880" w:rsidP="00A27A2A">
      <w:pPr>
        <w:ind w:firstLine="708"/>
        <w:jc w:val="both"/>
        <w:rPr>
          <w:sz w:val="28"/>
          <w:szCs w:val="28"/>
          <w:lang w:val="en-US"/>
        </w:rPr>
      </w:pPr>
      <w:r w:rsidRPr="00893880">
        <w:rPr>
          <w:sz w:val="28"/>
          <w:szCs w:val="28"/>
          <w:lang w:val="en-US"/>
        </w:rPr>
        <w:t>2.</w:t>
      </w:r>
      <w:r w:rsidRPr="00893880">
        <w:rPr>
          <w:sz w:val="28"/>
          <w:szCs w:val="28"/>
          <w:lang w:val="en-US"/>
        </w:rPr>
        <w:tab/>
        <w:t xml:space="preserve">Issuance of green Islamic securities within the AIX. </w:t>
      </w:r>
    </w:p>
    <w:p w14:paraId="59E24BC4" w14:textId="0FF1C9D8" w:rsidR="00893880" w:rsidRPr="00893880" w:rsidRDefault="00893880" w:rsidP="00A27A2A">
      <w:pPr>
        <w:ind w:firstLine="708"/>
        <w:jc w:val="both"/>
        <w:rPr>
          <w:sz w:val="28"/>
          <w:szCs w:val="28"/>
          <w:lang w:val="en-US"/>
        </w:rPr>
      </w:pPr>
      <w:r w:rsidRPr="00893880">
        <w:rPr>
          <w:sz w:val="28"/>
          <w:szCs w:val="28"/>
          <w:lang w:val="en-US"/>
        </w:rPr>
        <w:t xml:space="preserve">3. </w:t>
      </w:r>
      <w:r w:rsidR="00B96B08">
        <w:rPr>
          <w:sz w:val="28"/>
          <w:szCs w:val="28"/>
          <w:lang w:val="en-US"/>
        </w:rPr>
        <w:tab/>
      </w:r>
      <w:r w:rsidRPr="00893880">
        <w:rPr>
          <w:sz w:val="28"/>
          <w:szCs w:val="28"/>
          <w:lang w:val="en-US"/>
        </w:rPr>
        <w:t>To finance agricultural projects through Islamic financing instruments, there has been one attempt in 2013 in the form of financing micro agricultural projects. However, there is no information on the outcomes of the program.</w:t>
      </w:r>
    </w:p>
    <w:p w14:paraId="598193EA" w14:textId="77777777" w:rsidR="00893880" w:rsidRPr="00893880" w:rsidRDefault="00893880" w:rsidP="00A27A2A">
      <w:pPr>
        <w:ind w:firstLine="708"/>
        <w:jc w:val="both"/>
        <w:rPr>
          <w:sz w:val="28"/>
          <w:szCs w:val="28"/>
          <w:lang w:val="en-US"/>
        </w:rPr>
      </w:pPr>
      <w:r w:rsidRPr="00893880">
        <w:rPr>
          <w:sz w:val="28"/>
          <w:szCs w:val="28"/>
          <w:lang w:val="en-US"/>
        </w:rPr>
        <w:t xml:space="preserve">Todays' structure of the SAMK organization is complicated and consists of more than 11 departments (Figure 19), some of which are duplicates of the function of each other. If to turn to the social functions of Islamic finance, there is a suggestion of restructuration of the organizational structure of the SAMK, and Zeket foundation, according to the international experience. The optimization will decline administrative spending, allowing sending the funds to charity and social welfare.   </w:t>
      </w:r>
    </w:p>
    <w:p w14:paraId="5B145F8F" w14:textId="1C0A92EF" w:rsidR="00893880" w:rsidRPr="00893880" w:rsidRDefault="00893880" w:rsidP="00A27A2A">
      <w:pPr>
        <w:ind w:firstLine="708"/>
        <w:jc w:val="both"/>
        <w:rPr>
          <w:sz w:val="28"/>
          <w:szCs w:val="28"/>
          <w:lang w:val="en-US"/>
        </w:rPr>
      </w:pPr>
      <w:r w:rsidRPr="00893880">
        <w:rPr>
          <w:sz w:val="28"/>
          <w:szCs w:val="28"/>
          <w:lang w:val="en-US"/>
        </w:rPr>
        <w:t>Waqf funds in Islamic finance are the most promising direction for developing Islamic Social Finance. The peculiarity is that it is not just a charity that has received a donation somewhere and immediately spent it. Here is the bottom line of creating a specific asset base in cash or real assets, real estate, and some other assets that can generate regular income. Accordingly, the main base is not spent on social needs or charity, and it is directed to generating income. Furthermore, this additional income is already directed to social needs, to providing any consumer baskets or other types of social assistance. Accordingly, a particular permanent source of generating social assistance is created. There is a fact, at least in those countries where Islamic finance is already highly developed in comparison with Kazakhstan, the waqf system has a certain development and has significantly large volumes that are able to generate amounts of income on a regular basis, thereby improving the country's social welfare and economics. According to estimates, the total volume of Islamic finance and the assets of Islamic financial institutions is estimated at 2.591 trillion US dollars [48]. I estimate the approximate amount of global zakat is from 200 billion US dollars to 1 trillion US dollars. People distribute these funds in the ways available to them, and this is not done centrally through specific zakat funds, specific waqf funds. If to accumulate this volume in financial institutions and direct use the tools of Islamic finance to generate profit for further social projects, the potential and prospects are impressive. Firstly, the Islamic finance industry could increase tenfold. Secondly, considered funds will be used more efficiently. Therefore, today, this is almost the main task of Islamic social finance to make this market for zakat distribution more centralized and transparent.</w:t>
      </w:r>
    </w:p>
    <w:p w14:paraId="37A2CBD7" w14:textId="77777777" w:rsidR="00893880" w:rsidRPr="00893880" w:rsidRDefault="00893880" w:rsidP="00A27A2A">
      <w:pPr>
        <w:ind w:firstLine="708"/>
        <w:jc w:val="both"/>
        <w:rPr>
          <w:sz w:val="28"/>
          <w:szCs w:val="28"/>
          <w:lang w:val="en-US"/>
        </w:rPr>
      </w:pPr>
      <w:r w:rsidRPr="00893880">
        <w:rPr>
          <w:sz w:val="28"/>
          <w:szCs w:val="28"/>
          <w:lang w:val="en-US"/>
        </w:rPr>
        <w:t xml:space="preserve">The financial technologies in the form of a crowdfunding platform in the first stage will allow to creation and development waqf system using blockchain. In this case, creating a zakat and sadaqah database in the form of a unified data center and optimizing online zakat platforms (as 77% of the population are internet users) will increase trust in Islamic social finance and impact the growth of Islamic financial inclusion accordingly. There is a suggestion to integrate the crowdfunding platform studied in section 3.1 to attract funding through transparency and a centralized non-governmental system. The social and economic effectiveness of the crowdfunding platform is approved during the study and confirmed that the social function of Islamic finance could be a mechanism of reducing state spending from the budget for assistance to the socially vulnerable part of the country's population.  </w:t>
      </w:r>
    </w:p>
    <w:p w14:paraId="7B72B73E" w14:textId="77777777" w:rsidR="00893880" w:rsidRPr="00893880" w:rsidRDefault="00893880" w:rsidP="00A27A2A">
      <w:pPr>
        <w:ind w:firstLine="708"/>
        <w:jc w:val="both"/>
        <w:rPr>
          <w:sz w:val="28"/>
          <w:szCs w:val="28"/>
          <w:lang w:val="en-US"/>
        </w:rPr>
      </w:pPr>
      <w:r w:rsidRPr="00893880">
        <w:rPr>
          <w:sz w:val="28"/>
          <w:szCs w:val="28"/>
          <w:lang w:val="en-US"/>
        </w:rPr>
        <w:t>This is important to consider Islamic finance implementation tools and methods in the country, and it is advisable to take advantage of financial technologies like blockchain, crowdfunding, electronic accounts, and cards.</w:t>
      </w:r>
    </w:p>
    <w:p w14:paraId="7AECB1F1" w14:textId="77777777" w:rsidR="00893880" w:rsidRPr="00893880" w:rsidRDefault="00893880" w:rsidP="00893880">
      <w:pPr>
        <w:jc w:val="both"/>
        <w:rPr>
          <w:sz w:val="28"/>
          <w:szCs w:val="28"/>
          <w:lang w:val="en-US"/>
        </w:rPr>
      </w:pPr>
      <w:r w:rsidRPr="00893880">
        <w:rPr>
          <w:sz w:val="28"/>
          <w:szCs w:val="28"/>
          <w:lang w:val="en-US"/>
        </w:rPr>
        <w:t>Islamic finance will make instrumental contributions toward financial inclusion and sustainability based on the following:</w:t>
      </w:r>
    </w:p>
    <w:p w14:paraId="65736475" w14:textId="77777777" w:rsidR="00893880" w:rsidRPr="00893880" w:rsidRDefault="00893880" w:rsidP="00A27A2A">
      <w:pPr>
        <w:ind w:firstLine="708"/>
        <w:jc w:val="both"/>
        <w:rPr>
          <w:sz w:val="28"/>
          <w:szCs w:val="28"/>
          <w:lang w:val="en-US"/>
        </w:rPr>
      </w:pPr>
      <w:r w:rsidRPr="00893880">
        <w:rPr>
          <w:sz w:val="28"/>
          <w:szCs w:val="28"/>
          <w:lang w:val="en-US"/>
        </w:rPr>
        <w:t>- Islamic social tools have never been considered a driver for Islamic finance development in Kazakhstan, the worth of.</w:t>
      </w:r>
    </w:p>
    <w:p w14:paraId="16E1CABA" w14:textId="77777777" w:rsidR="00893880" w:rsidRPr="00893880" w:rsidRDefault="00893880" w:rsidP="00A27A2A">
      <w:pPr>
        <w:ind w:firstLine="708"/>
        <w:jc w:val="both"/>
        <w:rPr>
          <w:sz w:val="28"/>
          <w:szCs w:val="28"/>
          <w:lang w:val="en-US"/>
        </w:rPr>
      </w:pPr>
      <w:r w:rsidRPr="00893880">
        <w:rPr>
          <w:sz w:val="28"/>
          <w:szCs w:val="28"/>
          <w:lang w:val="en-US"/>
        </w:rPr>
        <w:t>- The justifiable skepticism of zakat payers and waqf donors can be dealt with using advances in technology. Zakat payments can be calculated and made using intelligent applications that present options to payers based on their personal preferences.</w:t>
      </w:r>
    </w:p>
    <w:p w14:paraId="6F2AFC76" w14:textId="77777777" w:rsidR="00893880" w:rsidRPr="00893880" w:rsidRDefault="00893880" w:rsidP="00A27A2A">
      <w:pPr>
        <w:ind w:firstLine="708"/>
        <w:jc w:val="both"/>
        <w:rPr>
          <w:sz w:val="28"/>
          <w:szCs w:val="28"/>
          <w:lang w:val="en-US"/>
        </w:rPr>
      </w:pPr>
      <w:r w:rsidRPr="00893880">
        <w:rPr>
          <w:sz w:val="28"/>
          <w:szCs w:val="28"/>
          <w:lang w:val="en-US"/>
        </w:rPr>
        <w:t>- Islamic social finance can be promoted as a value-based finance system and an investment that would strengthen financial inclusion in the region.</w:t>
      </w:r>
    </w:p>
    <w:p w14:paraId="5F24323A" w14:textId="77777777" w:rsidR="00893880" w:rsidRPr="00893880" w:rsidRDefault="00893880" w:rsidP="00A27A2A">
      <w:pPr>
        <w:ind w:firstLine="708"/>
        <w:jc w:val="both"/>
        <w:rPr>
          <w:sz w:val="28"/>
          <w:szCs w:val="28"/>
          <w:lang w:val="en-US"/>
        </w:rPr>
      </w:pPr>
      <w:r w:rsidRPr="00893880">
        <w:rPr>
          <w:sz w:val="28"/>
          <w:szCs w:val="28"/>
          <w:lang w:val="en-US"/>
        </w:rPr>
        <w:t>- The adaptation of best international practice, considering the experience of implementing legal frameworks by adapting to the domestic market and the use of financial and technological tools to increase transparency and the use of these tools, is strongly recommended.</w:t>
      </w:r>
    </w:p>
    <w:p w14:paraId="0AA7C28D" w14:textId="77777777" w:rsidR="00893880" w:rsidRPr="00893880" w:rsidRDefault="00893880" w:rsidP="00A27A2A">
      <w:pPr>
        <w:ind w:firstLine="708"/>
        <w:jc w:val="both"/>
        <w:rPr>
          <w:sz w:val="28"/>
          <w:szCs w:val="28"/>
          <w:lang w:val="en-US"/>
        </w:rPr>
      </w:pPr>
      <w:r w:rsidRPr="00893880">
        <w:rPr>
          <w:sz w:val="28"/>
          <w:szCs w:val="28"/>
          <w:lang w:val="en-US"/>
        </w:rPr>
        <w:t xml:space="preserve">- The problem of poverty can be partially solved by ensuring the transparency of charitable funds. </w:t>
      </w:r>
    </w:p>
    <w:p w14:paraId="60DF48C7" w14:textId="77777777" w:rsidR="00893880" w:rsidRPr="00893880" w:rsidRDefault="00893880" w:rsidP="00A27A2A">
      <w:pPr>
        <w:ind w:firstLine="708"/>
        <w:jc w:val="both"/>
        <w:rPr>
          <w:sz w:val="28"/>
          <w:szCs w:val="28"/>
          <w:lang w:val="en-US"/>
        </w:rPr>
      </w:pPr>
      <w:r w:rsidRPr="00893880">
        <w:rPr>
          <w:sz w:val="28"/>
          <w:szCs w:val="28"/>
          <w:lang w:val="en-US"/>
        </w:rPr>
        <w:t>- It is possible to solve pointwise the problem of access to drinking water by using the tools of Islamic social finance since every 10 in the country does not have access to drinking water.</w:t>
      </w:r>
    </w:p>
    <w:p w14:paraId="799049A1" w14:textId="70F7E4EA" w:rsidR="002E5B2C" w:rsidRPr="00D549EE" w:rsidRDefault="00893880" w:rsidP="00A27A2A">
      <w:pPr>
        <w:ind w:firstLine="708"/>
        <w:jc w:val="both"/>
        <w:rPr>
          <w:sz w:val="28"/>
          <w:szCs w:val="28"/>
          <w:lang w:val="en-GB"/>
        </w:rPr>
      </w:pPr>
      <w:r w:rsidRPr="00893880">
        <w:rPr>
          <w:sz w:val="28"/>
          <w:szCs w:val="28"/>
          <w:lang w:val="en-US"/>
        </w:rPr>
        <w:t xml:space="preserve">Developed recommendations provide the growth of the Islamic financial industry participants, and it allows to increase financial assets in the Islamic market. We have to understand that growing Islamic financial assets is a way to improve the social impact of Islamic finance, as the zakat collection, the finance in special accounts of the Islamic financial institutions spent on the charity projects will also grow. </w:t>
      </w:r>
      <w:r w:rsidRPr="00893880">
        <w:rPr>
          <w:sz w:val="28"/>
          <w:szCs w:val="28"/>
          <w:lang w:val="en-US"/>
        </w:rPr>
        <w:tab/>
        <w:t xml:space="preserve">Furthermore, as Islamic financial services are social-oriented, even in comparison with conventional business, it will impact the social responsibility of the financial market. The social functions of Islamic finance can improve the country's social welfare.   </w:t>
      </w:r>
    </w:p>
    <w:p w14:paraId="637FCBA6" w14:textId="38B47972" w:rsidR="00C24415" w:rsidRPr="00D549EE" w:rsidRDefault="00C24415" w:rsidP="00C9582F">
      <w:pPr>
        <w:contextualSpacing/>
        <w:jc w:val="both"/>
        <w:rPr>
          <w:sz w:val="28"/>
          <w:szCs w:val="28"/>
          <w:lang w:val="en-GB"/>
        </w:rPr>
      </w:pPr>
    </w:p>
    <w:p w14:paraId="7EA3D198" w14:textId="6DACA37C" w:rsidR="00C24415" w:rsidRPr="00D549EE" w:rsidRDefault="00C24415" w:rsidP="00C9582F">
      <w:pPr>
        <w:contextualSpacing/>
        <w:jc w:val="both"/>
        <w:rPr>
          <w:sz w:val="28"/>
          <w:szCs w:val="28"/>
          <w:lang w:val="en-GB"/>
        </w:rPr>
      </w:pPr>
    </w:p>
    <w:p w14:paraId="1308C236" w14:textId="1A4AABC2" w:rsidR="00C24415" w:rsidRDefault="00C24415" w:rsidP="00C9582F">
      <w:pPr>
        <w:contextualSpacing/>
        <w:jc w:val="both"/>
        <w:rPr>
          <w:sz w:val="28"/>
          <w:szCs w:val="28"/>
          <w:lang w:val="en-GB"/>
        </w:rPr>
      </w:pPr>
    </w:p>
    <w:p w14:paraId="3DABE82D" w14:textId="06F6D0C1" w:rsidR="002561F1" w:rsidRDefault="002561F1" w:rsidP="00C9582F">
      <w:pPr>
        <w:contextualSpacing/>
        <w:jc w:val="both"/>
        <w:rPr>
          <w:sz w:val="28"/>
          <w:szCs w:val="28"/>
          <w:lang w:val="en-GB"/>
        </w:rPr>
      </w:pPr>
    </w:p>
    <w:p w14:paraId="45B33DC0" w14:textId="0854CD17" w:rsidR="002561F1" w:rsidRDefault="002561F1" w:rsidP="00C9582F">
      <w:pPr>
        <w:contextualSpacing/>
        <w:jc w:val="both"/>
        <w:rPr>
          <w:sz w:val="28"/>
          <w:szCs w:val="28"/>
          <w:lang w:val="en-GB"/>
        </w:rPr>
      </w:pPr>
    </w:p>
    <w:p w14:paraId="384C92C5" w14:textId="6CA757DF" w:rsidR="002561F1" w:rsidRDefault="002561F1" w:rsidP="00C9582F">
      <w:pPr>
        <w:contextualSpacing/>
        <w:jc w:val="both"/>
        <w:rPr>
          <w:sz w:val="28"/>
          <w:szCs w:val="28"/>
          <w:lang w:val="en-GB"/>
        </w:rPr>
      </w:pPr>
    </w:p>
    <w:p w14:paraId="6AE2EAB7" w14:textId="1E534D1E" w:rsidR="002561F1" w:rsidRDefault="002561F1" w:rsidP="00C9582F">
      <w:pPr>
        <w:contextualSpacing/>
        <w:jc w:val="both"/>
        <w:rPr>
          <w:sz w:val="28"/>
          <w:szCs w:val="28"/>
          <w:lang w:val="en-GB"/>
        </w:rPr>
      </w:pPr>
    </w:p>
    <w:p w14:paraId="7CC23B41" w14:textId="42683821" w:rsidR="002561F1" w:rsidRDefault="002561F1" w:rsidP="00C9582F">
      <w:pPr>
        <w:contextualSpacing/>
        <w:jc w:val="both"/>
        <w:rPr>
          <w:sz w:val="28"/>
          <w:szCs w:val="28"/>
          <w:lang w:val="en-GB"/>
        </w:rPr>
      </w:pPr>
    </w:p>
    <w:p w14:paraId="215AF3FA" w14:textId="49D91FC9" w:rsidR="002561F1" w:rsidRDefault="002561F1" w:rsidP="00C9582F">
      <w:pPr>
        <w:contextualSpacing/>
        <w:jc w:val="both"/>
        <w:rPr>
          <w:sz w:val="28"/>
          <w:szCs w:val="28"/>
          <w:lang w:val="en-GB"/>
        </w:rPr>
      </w:pPr>
    </w:p>
    <w:p w14:paraId="29A54454" w14:textId="77777777" w:rsidR="00B96B08" w:rsidRDefault="00B96B08" w:rsidP="00C9582F">
      <w:pPr>
        <w:contextualSpacing/>
        <w:jc w:val="both"/>
        <w:rPr>
          <w:sz w:val="28"/>
          <w:szCs w:val="28"/>
          <w:lang w:val="en-GB"/>
        </w:rPr>
      </w:pPr>
    </w:p>
    <w:p w14:paraId="13852974" w14:textId="7694088D" w:rsidR="002561F1" w:rsidRDefault="002561F1" w:rsidP="00C9582F">
      <w:pPr>
        <w:contextualSpacing/>
        <w:jc w:val="both"/>
        <w:rPr>
          <w:sz w:val="28"/>
          <w:szCs w:val="28"/>
          <w:lang w:val="en-GB"/>
        </w:rPr>
      </w:pPr>
    </w:p>
    <w:p w14:paraId="2818F904" w14:textId="77777777" w:rsidR="002561F1" w:rsidRPr="00D549EE" w:rsidRDefault="002561F1" w:rsidP="00C9582F">
      <w:pPr>
        <w:contextualSpacing/>
        <w:jc w:val="both"/>
        <w:rPr>
          <w:sz w:val="28"/>
          <w:szCs w:val="28"/>
          <w:lang w:val="en-GB"/>
        </w:rPr>
      </w:pPr>
    </w:p>
    <w:p w14:paraId="68CED1D7" w14:textId="09ED0EAA" w:rsidR="002E5B2C" w:rsidRPr="00D549EE" w:rsidRDefault="002E5B2C" w:rsidP="00C9582F">
      <w:pPr>
        <w:contextualSpacing/>
        <w:jc w:val="center"/>
        <w:rPr>
          <w:b/>
          <w:sz w:val="28"/>
          <w:szCs w:val="28"/>
          <w:lang w:val="en-GB"/>
        </w:rPr>
      </w:pPr>
      <w:r w:rsidRPr="00D549EE">
        <w:rPr>
          <w:b/>
          <w:sz w:val="28"/>
          <w:szCs w:val="28"/>
          <w:lang w:val="en-GB"/>
        </w:rPr>
        <w:t>CONCLUSION</w:t>
      </w:r>
    </w:p>
    <w:p w14:paraId="6658524B" w14:textId="6559EC79" w:rsidR="002E5B2C" w:rsidRPr="00D549EE" w:rsidRDefault="002E5B2C" w:rsidP="00C9582F">
      <w:pPr>
        <w:contextualSpacing/>
        <w:jc w:val="center"/>
        <w:rPr>
          <w:b/>
          <w:sz w:val="28"/>
          <w:szCs w:val="28"/>
          <w:lang w:val="en-GB"/>
        </w:rPr>
      </w:pPr>
    </w:p>
    <w:p w14:paraId="5B42F16C" w14:textId="77777777" w:rsidR="008B4768" w:rsidRPr="008B4768" w:rsidRDefault="00785F01" w:rsidP="008B4768">
      <w:pPr>
        <w:contextualSpacing/>
        <w:jc w:val="both"/>
        <w:rPr>
          <w:sz w:val="28"/>
          <w:szCs w:val="28"/>
          <w:lang w:val="en-GB"/>
        </w:rPr>
      </w:pPr>
      <w:r w:rsidRPr="00D549EE">
        <w:rPr>
          <w:sz w:val="28"/>
          <w:szCs w:val="28"/>
          <w:lang w:val="en-GB"/>
        </w:rPr>
        <w:tab/>
      </w:r>
      <w:r w:rsidR="008B4768" w:rsidRPr="008B4768">
        <w:rPr>
          <w:sz w:val="28"/>
          <w:szCs w:val="28"/>
          <w:lang w:val="en-GB"/>
        </w:rPr>
        <w:t>Taking stock of the thesis devoted to the study of the phenomenon of Islamic finance social effectiveness and the development of recommendations for their use to improve the welfare of the population of Kazakhstan, we can conclude that the goal has been achieved, and the following tasks have been solved:</w:t>
      </w:r>
    </w:p>
    <w:p w14:paraId="49E1F2FF" w14:textId="77777777" w:rsidR="00454445" w:rsidRDefault="008B4768" w:rsidP="008B4768">
      <w:pPr>
        <w:contextualSpacing/>
        <w:jc w:val="both"/>
        <w:rPr>
          <w:sz w:val="28"/>
          <w:szCs w:val="28"/>
          <w:lang w:val="en-GB"/>
        </w:rPr>
      </w:pPr>
      <w:r w:rsidRPr="008B4768">
        <w:rPr>
          <w:sz w:val="28"/>
          <w:szCs w:val="28"/>
          <w:lang w:val="en-GB"/>
        </w:rPr>
        <w:tab/>
        <w:t xml:space="preserve">1. Theoretical and methodological approaches to the definition of the social content and social functions of Islamic finance as an economic phenomenon based on the principles of Shariah and other spiritual Muslim sources have been studied. From the concept of the main prohibition of riba, which carries the idea of real economic development, avoiding the formation of financial and interest bubbles, Islamic finance aims to achieve the economic well-being of the agents in the economy to distribute economic resources reasonably equitably. In this regard, the phenomenon of Islamic finance, which is considered a set of methods and mechanisms alternative to interest financing and allows for compliance with Shariah principles, is of particular importance. Islamic finance is often defined by a central characteristic: the prohibition of lending at interest. In turn, the prohibition of financing haram business aims to create a healthy, both morally and physically, society without the consumption of alcohol, narcotic products, gambling, escort activities, and the use of weapons in peacetime. Islam aims to provide people with equal opportunities for economic actions in all areas - private and pervasive, internal and external - and should be aimed at ensuring social justice. </w:t>
      </w:r>
    </w:p>
    <w:p w14:paraId="323498C6" w14:textId="24CF6DEC"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The analysis of Islamic finance's social features such as equal opportunities, equitable distribution, social justice, development and growth of economics and society, wealth creation, profit, and risk-sharing allows demonstrating the set of advantages approved by the norms and working instruments of Islamic finance – efficiency, stability, establishing equity, systematic integrity, society orientation, and sustainability. One of the main distinctive features of Islamic finance and Islamic social financial instruments in connection with and covering some of the 17 UN SDGs as the goals of the Islamic financial system is the promotion of economic well-being, poverty alleviation, the meeting basic human needs, optimization in the utilization of natural resources, the realization of spiritual needs and realization of economic and social justice.</w:t>
      </w:r>
    </w:p>
    <w:p w14:paraId="26D5A3EC" w14:textId="44B8CB54"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2. The content and functions of Islamic social finance, such as zakat, waqf, and Islamic microfinance in the context of foreign experience, have been clarified. Despite the differences in the models of applying Islamic social finance in different countries, it is clarified that they play a crucial role in solving acute social problems. Summarizing several dozens of definitions of the zakat, the authors gave their own definition of zakat: Zakat is the Islamic financial instrument in the form of the payment, obliged as the pillar to the Muslims by Shariah, from the savings and profit (nisab) exceeding the equivalent of 85 grams of gold, in the amount of 2.5% for the calendar year, which directed to charity. As an economic category, Zakat carries out functions of contributing to equalization of living standards of the population, stimulating investment activity,  stimulating the production and favorable allocative effects in the economy, and stimulating economic growth of the country.</w:t>
      </w:r>
    </w:p>
    <w:p w14:paraId="6CFE4CDA" w14:textId="005D3222"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The waqf, in turn, has its mechanisms of implementation and becomes the system for solving social problems. Key among them are enhancing economic progress, eradicating poverty, restoring income distribution, preventing deficit financing, and reducing government expenditure. The analysis of waqf models, which are used and developed in Muslim countries, secular European countries, and the US, has shown the implementation mechanism as an endowment, where non-obligatory charity funds are invested in Islamic projects with stable profit. The generated profit is directed to charity by creating a source of income (business) for the needy, making it possible to raise the standard of living of the socially vulnerable population and economic activity in double volume.</w:t>
      </w:r>
    </w:p>
    <w:p w14:paraId="72D74945" w14:textId="1258E2F3"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 xml:space="preserve">As a social tool of Islamic finance, Islamic microfinancing, in comparison with conventional microfinance, allows claiming the benefits of Islamic microfinancing. These benefits are -   profit and risk-sharing between the financial institution and microbusiness, the result-oriented task for micro organization and financier of Qard-hasan, which provides financing to small and start-up businesses, and socially orientated by providing financing to the development business in a rural area. These findings underline the social specifics and components of Islamic microfinancing, which also stimulate economic growth. </w:t>
      </w:r>
    </w:p>
    <w:p w14:paraId="4822C27E" w14:textId="77073847"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3. The review of foreign and domestic scientific sources allowed to substantiate the methodology and methods of assessing the social effectiveness of Islamic finance. Since social effectiveness is difficult to measure and the impact varies considerably between countries and individuals, a methodology for assessing it at different economic hierarchy levels is proposed. At the macro level, the AHP method is proposed, which measures the social effects of Islamic investment. The study also assesses the social effects of Islamic finance in saving public resources for social spending. The micro-level method evaluates social effectiveness in the form of savings for the needy and people with limited income and considers the social effects of social business in the form of entrepreneurship. It has been concluded that the social effectiveness of Islamic finance is higher when organizing social business than direct charity.</w:t>
      </w:r>
    </w:p>
    <w:p w14:paraId="788C414C" w14:textId="6B06E63F"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4. The analysis of trends, results, and development potential of Islamic finance in the economy of the Republic of Kazakhstan have been presented. The quantitative analysis of the evolution of Islamic finance in the Republic of Kazakhstan revealed that from 2010 to 2020, Islamic banking in Kazakhstan increased more than 11 times, but the volume of assets of Islamic banks is less than 1% of all assets of the banking system. Two domestic Islamic banks have 5 branches and offices with 177 employees. More than 90% of financial transactions are based on murabaha commodity contracts and 8.5% on Ijara contracts. It is noteworthy that the growth of assets of the Islamic banking sector in 2020 amounted to 48.7% compared to 2019, despite the pandemic crisis. In general, the assessment of the Islamic finance sector in the country since 2010, based on a study of the infrastructural and legislative development of Islamic finance, showed an average growth of 34%.</w:t>
      </w:r>
    </w:p>
    <w:p w14:paraId="37B20588" w14:textId="02BBE4DE"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Two methods were used to assess the potential of Islamic financial resources. The first one, based on the average ratio of deposit funds to bank assets and the global average of 1%, showed the growth potential of assets of Islamic banks at 636 million US dollars. The second method of assessing the potential size of the assets of the Islamic banking sector, based on the number of the Muslim population of the country and the average amount of an individual's deposit, showed that the expected maximum amount of deposits of an Islamic bank could reach 16.24 billion US dollars.</w:t>
      </w:r>
    </w:p>
    <w:p w14:paraId="438B153D" w14:textId="7D47D45D"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5. The barriers hindering the development of Islamic finance in the Republic of Kazakhstan have been identified. The qualitative analysis (questionnaire and SWOT analysis) carried out during the study clarified the critical barriers to developing Islamic social finance in Kazakhstan. Intra-country barriers include lack of synchronization of legislation for the specifics of Islamic finance and the need to harmonize Sharia norms in the country; shortage of specialists with experience in Islamic finance; poor awareness of the population and business about social, financial instruments such as waqf and microfinance, as well as their effects; a prejudice that Islamic finance is just a marketing ploy of financial institutions. External barriers to the spread of Islamic finance in Kazakhstan include the emergence of pseudo-Islamic financial institutions, which will lead to a loss of confidence of part of the population in Islamic finance in general; Islamophobia; lack of tangible improvement of the investment climate; indifference on the part of a number of government agencies in the active implementation of Islamic finance.</w:t>
      </w:r>
    </w:p>
    <w:p w14:paraId="49BA8F0A" w14:textId="47AAEB13"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6. The assessment of the performance of Islamic financial institutions and non-financial social organizations and their role in the country's social welfare is proposed. In-depth interviews with representatives of Islamic financial institutions and AIFC suggest that the potential of Islamic finance and prospects for further development are significant and realistic for the country, as the business model, performance, and quality indicators for Islamic banks have shown growth over the past year. In turn, the rising profits of Islamic financial institutions increase the amount of zakat paid in the country by the financial institution itself or by shareholders, depending on the policy. There are, however, problems: the lack of complete adaptation of the legislative framework is slowing down the increase in the number of participants and the range of specific Islamic instruments, such as Mudaraba and Musharaka; the lack of awareness of the social instruments of Islamic finance; as well as the lack of definition of terms such as donation (which may be an alternative to waqf) and zakat; the lack of attention and regulation of charitable foundations, as well as the population's distrust of intermediaries (foundations) in matters of charity. However, the study estimated that the potential collection of zakat would be sufficient to cover a significant portion of the State's social expenditure.</w:t>
      </w:r>
    </w:p>
    <w:p w14:paraId="150E5039" w14:textId="0309090E"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7. The substantiation of the prospects for applying financial technologies for increasing the social effectiveness of Islamic finance in the Republic of Kazakhstan is given. Financial technologies used for customer convenience, reduced transaction costs, and increased transparency and security of financial transactions strengthen the social functions of Islamic financial services. For this purpose, the social and economic effectiveness of the crowdfunding platform was assessed as a form of promotion of Islamic social financial instruments and a financial technological solution to involve the population in the solution of the country's social problems. It concluded that using a crowdfunding platform to collect charity could lead to significant savings on public resources. At the same time, despite the complexity and time required to create and develop a platform based on blockchain technology, the work demonstrates the capacity and will enable the development of the entire technological system of finance in a country.</w:t>
      </w:r>
    </w:p>
    <w:p w14:paraId="61284929" w14:textId="0CAD06B3"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8. The thesis also provides calculations confirming the economic efficiency of a social business focused on charity.</w:t>
      </w:r>
    </w:p>
    <w:p w14:paraId="618B9B69" w14:textId="64E6C5BD" w:rsidR="008B4768" w:rsidRPr="008B4768" w:rsidRDefault="00454445" w:rsidP="008B4768">
      <w:pPr>
        <w:contextualSpacing/>
        <w:jc w:val="both"/>
        <w:rPr>
          <w:sz w:val="28"/>
          <w:szCs w:val="28"/>
          <w:lang w:val="en-GB"/>
        </w:rPr>
      </w:pPr>
      <w:r>
        <w:rPr>
          <w:sz w:val="28"/>
          <w:szCs w:val="28"/>
          <w:lang w:val="en-GB"/>
        </w:rPr>
        <w:tab/>
      </w:r>
      <w:r w:rsidR="008B4768" w:rsidRPr="008B4768">
        <w:rPr>
          <w:sz w:val="28"/>
          <w:szCs w:val="28"/>
          <w:lang w:val="en-GB"/>
        </w:rPr>
        <w:t>The conceptual model of institutional support for ensuring the social effectiveness of Islamic finance in the Republic of Kazakhstan has been developed.</w:t>
      </w:r>
    </w:p>
    <w:p w14:paraId="4BE47AC5" w14:textId="043CC3CA" w:rsidR="002465CB" w:rsidRPr="00D549EE" w:rsidRDefault="00454445" w:rsidP="008B4768">
      <w:pPr>
        <w:contextualSpacing/>
        <w:jc w:val="both"/>
        <w:rPr>
          <w:noProof/>
          <w:sz w:val="28"/>
          <w:szCs w:val="28"/>
          <w:lang w:val="en-US"/>
        </w:rPr>
      </w:pPr>
      <w:r>
        <w:rPr>
          <w:sz w:val="28"/>
          <w:szCs w:val="28"/>
          <w:lang w:val="en-GB"/>
        </w:rPr>
        <w:tab/>
      </w:r>
      <w:r w:rsidR="008B4768" w:rsidRPr="008B4768">
        <w:rPr>
          <w:sz w:val="28"/>
          <w:szCs w:val="28"/>
          <w:lang w:val="en-GB"/>
        </w:rPr>
        <w:t>For the successful development of Islamic finance and the realization of its social function, it is necessary to overcome institutional barriers, which are associated with the implementation of legislative, organizational, and economic measures that can form the basis of the Strategy for the Development of Islamic Finance in the Republic of Kazakhstan. The relevant proposals on amendments and additions to the current legislation and the integration of financial technologies to ensure the social effectiveness of Islamic finance in the Republic of Kazakhstan have been made in the research.</w:t>
      </w:r>
    </w:p>
    <w:p w14:paraId="0F8663A5" w14:textId="31A96551" w:rsidR="002465CB" w:rsidRPr="00D549EE" w:rsidRDefault="002465CB" w:rsidP="00C9582F">
      <w:pPr>
        <w:pStyle w:val="a5"/>
        <w:ind w:firstLine="709"/>
        <w:contextualSpacing/>
        <w:jc w:val="both"/>
        <w:rPr>
          <w:noProof/>
          <w:sz w:val="28"/>
          <w:szCs w:val="28"/>
          <w:lang w:val="en-US"/>
        </w:rPr>
      </w:pPr>
    </w:p>
    <w:p w14:paraId="4AA0ACFE" w14:textId="11195A94" w:rsidR="002465CB" w:rsidRPr="00D549EE" w:rsidRDefault="002465CB" w:rsidP="00C9582F">
      <w:pPr>
        <w:pStyle w:val="a5"/>
        <w:ind w:firstLine="709"/>
        <w:contextualSpacing/>
        <w:jc w:val="both"/>
        <w:rPr>
          <w:noProof/>
          <w:sz w:val="28"/>
          <w:szCs w:val="28"/>
          <w:lang w:val="en-US"/>
        </w:rPr>
      </w:pPr>
    </w:p>
    <w:p w14:paraId="14B48C20" w14:textId="6D706F7B" w:rsidR="002465CB" w:rsidRPr="00D549EE" w:rsidRDefault="002465CB" w:rsidP="00C9582F">
      <w:pPr>
        <w:pStyle w:val="a5"/>
        <w:ind w:firstLine="709"/>
        <w:contextualSpacing/>
        <w:jc w:val="both"/>
        <w:rPr>
          <w:noProof/>
          <w:sz w:val="28"/>
          <w:szCs w:val="28"/>
          <w:lang w:val="en-US"/>
        </w:rPr>
      </w:pPr>
    </w:p>
    <w:p w14:paraId="0D71A2F2" w14:textId="5B84C8B2" w:rsidR="002465CB" w:rsidRPr="00D549EE" w:rsidRDefault="002465CB" w:rsidP="00C9582F">
      <w:pPr>
        <w:pStyle w:val="a5"/>
        <w:ind w:firstLine="709"/>
        <w:contextualSpacing/>
        <w:jc w:val="both"/>
        <w:rPr>
          <w:noProof/>
          <w:sz w:val="28"/>
          <w:szCs w:val="28"/>
          <w:lang w:val="en-US"/>
        </w:rPr>
      </w:pPr>
    </w:p>
    <w:p w14:paraId="10144A01" w14:textId="7567CD12" w:rsidR="002465CB" w:rsidRPr="00D549EE" w:rsidRDefault="002465CB" w:rsidP="00C9582F">
      <w:pPr>
        <w:pStyle w:val="a5"/>
        <w:ind w:firstLine="709"/>
        <w:contextualSpacing/>
        <w:jc w:val="both"/>
        <w:rPr>
          <w:noProof/>
          <w:sz w:val="28"/>
          <w:szCs w:val="28"/>
          <w:lang w:val="en-US"/>
        </w:rPr>
      </w:pPr>
    </w:p>
    <w:p w14:paraId="2A331B09" w14:textId="05A0E68A" w:rsidR="002465CB" w:rsidRPr="00D549EE" w:rsidRDefault="002465CB" w:rsidP="00C9582F">
      <w:pPr>
        <w:pStyle w:val="a5"/>
        <w:ind w:firstLine="709"/>
        <w:contextualSpacing/>
        <w:jc w:val="both"/>
        <w:rPr>
          <w:noProof/>
          <w:sz w:val="28"/>
          <w:szCs w:val="28"/>
          <w:lang w:val="en-US"/>
        </w:rPr>
      </w:pPr>
    </w:p>
    <w:p w14:paraId="08B8ED70" w14:textId="3979A918" w:rsidR="002465CB" w:rsidRPr="00D549EE" w:rsidRDefault="002465CB" w:rsidP="00C9582F">
      <w:pPr>
        <w:pStyle w:val="a5"/>
        <w:ind w:firstLine="709"/>
        <w:contextualSpacing/>
        <w:jc w:val="both"/>
        <w:rPr>
          <w:noProof/>
          <w:sz w:val="28"/>
          <w:szCs w:val="28"/>
          <w:lang w:val="en-US"/>
        </w:rPr>
      </w:pPr>
    </w:p>
    <w:p w14:paraId="0B58DB88" w14:textId="6AEAB3C4" w:rsidR="002465CB" w:rsidRPr="00D549EE" w:rsidRDefault="002465CB" w:rsidP="00C9582F">
      <w:pPr>
        <w:pStyle w:val="a5"/>
        <w:ind w:firstLine="709"/>
        <w:contextualSpacing/>
        <w:jc w:val="both"/>
        <w:rPr>
          <w:noProof/>
          <w:sz w:val="28"/>
          <w:szCs w:val="28"/>
          <w:lang w:val="en-US"/>
        </w:rPr>
      </w:pPr>
    </w:p>
    <w:p w14:paraId="48FF4B5B" w14:textId="04FAC44B" w:rsidR="002465CB" w:rsidRPr="00D549EE" w:rsidRDefault="002465CB" w:rsidP="00C9582F">
      <w:pPr>
        <w:pStyle w:val="a5"/>
        <w:ind w:firstLine="709"/>
        <w:contextualSpacing/>
        <w:jc w:val="both"/>
        <w:rPr>
          <w:noProof/>
          <w:sz w:val="28"/>
          <w:szCs w:val="28"/>
          <w:lang w:val="en-US"/>
        </w:rPr>
      </w:pPr>
    </w:p>
    <w:p w14:paraId="234929BE" w14:textId="77777777" w:rsidR="002465CB" w:rsidRPr="00D549EE" w:rsidRDefault="002465CB" w:rsidP="00C9582F">
      <w:pPr>
        <w:pStyle w:val="a5"/>
        <w:ind w:firstLine="709"/>
        <w:contextualSpacing/>
        <w:jc w:val="both"/>
        <w:rPr>
          <w:noProof/>
          <w:sz w:val="28"/>
          <w:szCs w:val="28"/>
          <w:lang w:val="en-US"/>
        </w:rPr>
      </w:pPr>
    </w:p>
    <w:p w14:paraId="7DE92E53" w14:textId="48D33637" w:rsidR="00C05DA5" w:rsidRPr="00D549EE" w:rsidRDefault="00C05DA5" w:rsidP="00C9582F">
      <w:pPr>
        <w:contextualSpacing/>
        <w:jc w:val="both"/>
        <w:rPr>
          <w:sz w:val="28"/>
          <w:szCs w:val="28"/>
          <w:lang w:val="en-US"/>
        </w:rPr>
      </w:pPr>
    </w:p>
    <w:p w14:paraId="69D3ADCD" w14:textId="78BF78CC" w:rsidR="002465CB" w:rsidRPr="00D549EE" w:rsidRDefault="002465CB" w:rsidP="00C9582F">
      <w:pPr>
        <w:contextualSpacing/>
        <w:jc w:val="both"/>
        <w:rPr>
          <w:sz w:val="28"/>
          <w:szCs w:val="28"/>
          <w:lang w:val="en-US"/>
        </w:rPr>
      </w:pPr>
    </w:p>
    <w:p w14:paraId="648A1674" w14:textId="208C5328" w:rsidR="002465CB" w:rsidRPr="00D549EE" w:rsidRDefault="002465CB" w:rsidP="00C9582F">
      <w:pPr>
        <w:contextualSpacing/>
        <w:jc w:val="both"/>
        <w:rPr>
          <w:sz w:val="28"/>
          <w:szCs w:val="28"/>
          <w:lang w:val="en-US"/>
        </w:rPr>
      </w:pPr>
    </w:p>
    <w:p w14:paraId="425EF867" w14:textId="506C5D36" w:rsidR="002465CB" w:rsidRPr="00D549EE" w:rsidRDefault="002465CB" w:rsidP="00C9582F">
      <w:pPr>
        <w:contextualSpacing/>
        <w:jc w:val="both"/>
        <w:rPr>
          <w:sz w:val="28"/>
          <w:szCs w:val="28"/>
          <w:lang w:val="en-US"/>
        </w:rPr>
      </w:pPr>
    </w:p>
    <w:p w14:paraId="6840B9A1" w14:textId="161E4D9A" w:rsidR="002465CB" w:rsidRPr="00D549EE" w:rsidRDefault="002465CB" w:rsidP="00C9582F">
      <w:pPr>
        <w:contextualSpacing/>
        <w:jc w:val="both"/>
        <w:rPr>
          <w:sz w:val="28"/>
          <w:szCs w:val="28"/>
          <w:lang w:val="en-US"/>
        </w:rPr>
      </w:pPr>
    </w:p>
    <w:p w14:paraId="2393C6F1" w14:textId="7743D5A7" w:rsidR="002465CB" w:rsidRPr="00D549EE" w:rsidRDefault="002465CB" w:rsidP="00C9582F">
      <w:pPr>
        <w:contextualSpacing/>
        <w:jc w:val="both"/>
        <w:rPr>
          <w:sz w:val="28"/>
          <w:szCs w:val="28"/>
          <w:lang w:val="en-US"/>
        </w:rPr>
      </w:pPr>
    </w:p>
    <w:p w14:paraId="00685A2A" w14:textId="3E579F5A" w:rsidR="002465CB" w:rsidRPr="00D549EE" w:rsidRDefault="002465CB" w:rsidP="00C9582F">
      <w:pPr>
        <w:contextualSpacing/>
        <w:jc w:val="both"/>
        <w:rPr>
          <w:sz w:val="28"/>
          <w:szCs w:val="28"/>
          <w:lang w:val="en-US"/>
        </w:rPr>
      </w:pPr>
    </w:p>
    <w:p w14:paraId="42890BF9" w14:textId="1E9D343D" w:rsidR="002465CB" w:rsidRPr="00D549EE" w:rsidRDefault="002465CB" w:rsidP="00C9582F">
      <w:pPr>
        <w:contextualSpacing/>
        <w:jc w:val="both"/>
        <w:rPr>
          <w:sz w:val="28"/>
          <w:szCs w:val="28"/>
          <w:lang w:val="en-US"/>
        </w:rPr>
      </w:pPr>
    </w:p>
    <w:p w14:paraId="0FE9C767" w14:textId="370F6E92" w:rsidR="002465CB" w:rsidRPr="00D549EE" w:rsidRDefault="002465CB" w:rsidP="00C9582F">
      <w:pPr>
        <w:contextualSpacing/>
        <w:jc w:val="both"/>
        <w:rPr>
          <w:sz w:val="28"/>
          <w:szCs w:val="28"/>
          <w:lang w:val="en-US"/>
        </w:rPr>
      </w:pPr>
    </w:p>
    <w:p w14:paraId="6611A1BE" w14:textId="77777777" w:rsidR="00B651FA" w:rsidRPr="00D549EE" w:rsidRDefault="00B651FA" w:rsidP="00C9582F">
      <w:pPr>
        <w:contextualSpacing/>
        <w:jc w:val="both"/>
        <w:rPr>
          <w:sz w:val="28"/>
          <w:szCs w:val="28"/>
          <w:lang w:val="en-US"/>
        </w:rPr>
      </w:pPr>
    </w:p>
    <w:p w14:paraId="32AC27B1" w14:textId="117B6D9F" w:rsidR="002465CB" w:rsidRPr="00D549EE" w:rsidRDefault="002465CB" w:rsidP="00C9582F">
      <w:pPr>
        <w:contextualSpacing/>
        <w:jc w:val="both"/>
        <w:rPr>
          <w:sz w:val="28"/>
          <w:szCs w:val="28"/>
          <w:lang w:val="en-US"/>
        </w:rPr>
      </w:pPr>
    </w:p>
    <w:p w14:paraId="472928B4" w14:textId="110B6739" w:rsidR="002465CB" w:rsidRPr="00D549EE" w:rsidRDefault="002465CB" w:rsidP="00C9582F">
      <w:pPr>
        <w:contextualSpacing/>
        <w:jc w:val="both"/>
        <w:rPr>
          <w:sz w:val="28"/>
          <w:szCs w:val="28"/>
          <w:lang w:val="en-US"/>
        </w:rPr>
      </w:pPr>
    </w:p>
    <w:p w14:paraId="4C55B248" w14:textId="06392D80" w:rsidR="00FB76E6" w:rsidRPr="00D549EE" w:rsidRDefault="00FB76E6" w:rsidP="00FB76E6">
      <w:pPr>
        <w:contextualSpacing/>
        <w:jc w:val="center"/>
        <w:rPr>
          <w:sz w:val="28"/>
          <w:szCs w:val="28"/>
          <w:lang w:val="en-US"/>
        </w:rPr>
      </w:pPr>
    </w:p>
    <w:p w14:paraId="053DB401" w14:textId="77777777" w:rsidR="00454445" w:rsidRDefault="00454445" w:rsidP="00C93A59">
      <w:pPr>
        <w:contextualSpacing/>
        <w:jc w:val="center"/>
        <w:rPr>
          <w:b/>
          <w:sz w:val="28"/>
          <w:szCs w:val="28"/>
          <w:lang w:val="en-US"/>
        </w:rPr>
      </w:pPr>
    </w:p>
    <w:p w14:paraId="50DF7632" w14:textId="77777777" w:rsidR="00454445" w:rsidRDefault="00454445" w:rsidP="00C93A59">
      <w:pPr>
        <w:contextualSpacing/>
        <w:jc w:val="center"/>
        <w:rPr>
          <w:b/>
          <w:sz w:val="28"/>
          <w:szCs w:val="28"/>
          <w:lang w:val="en-US"/>
        </w:rPr>
      </w:pPr>
    </w:p>
    <w:p w14:paraId="7B7FA59C" w14:textId="77777777" w:rsidR="00454445" w:rsidRDefault="00454445" w:rsidP="00C93A59">
      <w:pPr>
        <w:contextualSpacing/>
        <w:jc w:val="center"/>
        <w:rPr>
          <w:b/>
          <w:sz w:val="28"/>
          <w:szCs w:val="28"/>
          <w:lang w:val="en-US"/>
        </w:rPr>
      </w:pPr>
    </w:p>
    <w:p w14:paraId="28EBDB5F" w14:textId="77777777" w:rsidR="00454445" w:rsidRDefault="00454445" w:rsidP="00C93A59">
      <w:pPr>
        <w:contextualSpacing/>
        <w:jc w:val="center"/>
        <w:rPr>
          <w:b/>
          <w:sz w:val="28"/>
          <w:szCs w:val="28"/>
          <w:lang w:val="en-US"/>
        </w:rPr>
      </w:pPr>
    </w:p>
    <w:p w14:paraId="1FF0C0EC" w14:textId="77777777" w:rsidR="00454445" w:rsidRDefault="00454445" w:rsidP="00C93A59">
      <w:pPr>
        <w:contextualSpacing/>
        <w:jc w:val="center"/>
        <w:rPr>
          <w:b/>
          <w:sz w:val="28"/>
          <w:szCs w:val="28"/>
          <w:lang w:val="en-US"/>
        </w:rPr>
      </w:pPr>
    </w:p>
    <w:p w14:paraId="05DBB7AF" w14:textId="77777777" w:rsidR="0086759A" w:rsidRPr="00C9582F" w:rsidRDefault="0086759A" w:rsidP="0086759A">
      <w:pPr>
        <w:contextualSpacing/>
        <w:jc w:val="center"/>
        <w:rPr>
          <w:b/>
          <w:sz w:val="28"/>
          <w:szCs w:val="28"/>
          <w:lang w:val="en-US"/>
        </w:rPr>
      </w:pPr>
      <w:r w:rsidRPr="00C9582F">
        <w:rPr>
          <w:b/>
          <w:sz w:val="28"/>
          <w:szCs w:val="28"/>
          <w:lang w:val="en-US"/>
        </w:rPr>
        <w:t>REFERENCES</w:t>
      </w:r>
    </w:p>
    <w:p w14:paraId="59225A1D" w14:textId="77777777" w:rsidR="0086759A" w:rsidRPr="00C9582F" w:rsidRDefault="0086759A" w:rsidP="0086759A">
      <w:pPr>
        <w:contextualSpacing/>
        <w:jc w:val="center"/>
        <w:rPr>
          <w:sz w:val="28"/>
          <w:szCs w:val="28"/>
          <w:lang w:val="en-US"/>
        </w:rPr>
      </w:pPr>
    </w:p>
    <w:p w14:paraId="15E7E474" w14:textId="77777777" w:rsidR="0086759A" w:rsidRPr="001C63FB" w:rsidRDefault="0086759A" w:rsidP="0086759A">
      <w:pPr>
        <w:widowControl w:val="0"/>
        <w:autoSpaceDE w:val="0"/>
        <w:autoSpaceDN w:val="0"/>
        <w:adjustRightInd w:val="0"/>
        <w:jc w:val="both"/>
        <w:rPr>
          <w:noProof/>
          <w:sz w:val="28"/>
          <w:lang w:val="en-US"/>
        </w:rPr>
      </w:pPr>
      <w:r>
        <w:rPr>
          <w:sz w:val="28"/>
          <w:szCs w:val="28"/>
          <w:lang w:val="en-GB"/>
        </w:rPr>
        <w:tab/>
      </w:r>
      <w:r>
        <w:rPr>
          <w:sz w:val="28"/>
          <w:szCs w:val="28"/>
          <w:lang w:val="en-GB"/>
        </w:rPr>
        <w:fldChar w:fldCharType="begin" w:fldLock="1"/>
      </w:r>
      <w:r>
        <w:rPr>
          <w:sz w:val="28"/>
          <w:szCs w:val="28"/>
          <w:lang w:val="en-GB"/>
        </w:rPr>
        <w:instrText xml:space="preserve">ADDIN Mendeley Bibliography CSL_BIBLIOGRAPHY </w:instrText>
      </w:r>
      <w:r>
        <w:rPr>
          <w:sz w:val="28"/>
          <w:szCs w:val="28"/>
          <w:lang w:val="en-GB"/>
        </w:rPr>
        <w:fldChar w:fldCharType="separate"/>
      </w:r>
      <w:r w:rsidRPr="001C63FB">
        <w:rPr>
          <w:noProof/>
          <w:sz w:val="28"/>
          <w:lang w:val="en-US"/>
        </w:rPr>
        <w:t>1</w:t>
      </w:r>
      <w:r>
        <w:rPr>
          <w:noProof/>
          <w:sz w:val="28"/>
          <w:lang w:val="en-US"/>
        </w:rPr>
        <w:t xml:space="preserve"> </w:t>
      </w:r>
      <w:r w:rsidRPr="001C63FB">
        <w:rPr>
          <w:noProof/>
          <w:sz w:val="28"/>
          <w:lang w:val="en-US"/>
        </w:rPr>
        <w:t xml:space="preserve">Abduh M. </w:t>
      </w:r>
      <w:r>
        <w:rPr>
          <w:noProof/>
          <w:sz w:val="28"/>
          <w:lang w:val="en-US"/>
        </w:rPr>
        <w:t>T</w:t>
      </w:r>
      <w:r w:rsidRPr="001C63FB">
        <w:rPr>
          <w:noProof/>
          <w:sz w:val="28"/>
          <w:lang w:val="en-US"/>
        </w:rPr>
        <w:t xml:space="preserve">he role of islamic social finance in achieving </w:t>
      </w:r>
      <w:r>
        <w:rPr>
          <w:noProof/>
          <w:sz w:val="28"/>
          <w:lang w:val="kk-KZ"/>
        </w:rPr>
        <w:t xml:space="preserve"> </w:t>
      </w:r>
      <w:r>
        <w:rPr>
          <w:noProof/>
          <w:sz w:val="28"/>
          <w:lang w:val="en-US"/>
        </w:rPr>
        <w:t>SDG</w:t>
      </w:r>
      <w:r w:rsidRPr="001C63FB">
        <w:rPr>
          <w:noProof/>
          <w:sz w:val="28"/>
          <w:lang w:val="en-US"/>
        </w:rPr>
        <w:t xml:space="preserve"> number 2: end hunger, achieve food security and improved nutrition and promote sustainable agriculture // </w:t>
      </w:r>
      <w:r>
        <w:rPr>
          <w:noProof/>
          <w:sz w:val="28"/>
          <w:lang w:val="en-US"/>
        </w:rPr>
        <w:t>A</w:t>
      </w:r>
      <w:r w:rsidRPr="001C63FB">
        <w:rPr>
          <w:noProof/>
          <w:sz w:val="28"/>
          <w:lang w:val="en-US"/>
        </w:rPr>
        <w:t>l-shajarah</w:t>
      </w:r>
      <w:r>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2019. –</w:t>
      </w:r>
      <w:r>
        <w:rPr>
          <w:noProof/>
          <w:sz w:val="28"/>
          <w:lang w:val="en-US"/>
        </w:rPr>
        <w:t xml:space="preserve"> </w:t>
      </w:r>
      <w:r w:rsidRPr="001C63FB">
        <w:rPr>
          <w:noProof/>
          <w:sz w:val="28"/>
          <w:lang w:val="en-US"/>
        </w:rPr>
        <w:t>№ 2. –</w:t>
      </w:r>
      <w:r>
        <w:rPr>
          <w:noProof/>
          <w:sz w:val="28"/>
          <w:lang w:val="en-US"/>
        </w:rPr>
        <w:t xml:space="preserve"> </w:t>
      </w:r>
      <w:r w:rsidRPr="001C63FB">
        <w:rPr>
          <w:noProof/>
          <w:sz w:val="28"/>
          <w:lang w:val="en-US"/>
        </w:rPr>
        <w:t>P. 185–206.</w:t>
      </w:r>
    </w:p>
    <w:p w14:paraId="7C33E86A"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2</w:t>
      </w:r>
      <w:r>
        <w:rPr>
          <w:noProof/>
          <w:sz w:val="28"/>
          <w:lang w:val="en-US"/>
        </w:rPr>
        <w:t xml:space="preserve"> </w:t>
      </w:r>
      <w:r w:rsidRPr="001C63FB">
        <w:rPr>
          <w:noProof/>
          <w:sz w:val="28"/>
          <w:lang w:val="en-US"/>
        </w:rPr>
        <w:t>Weitz N. et al. Towards systemic and contextual priority setting for implementing the 2030 agenda // Sustain. Sci. Springer Tokyo</w:t>
      </w:r>
      <w:r>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2018. –</w:t>
      </w:r>
      <w:r>
        <w:rPr>
          <w:noProof/>
          <w:sz w:val="28"/>
          <w:lang w:val="en-US"/>
        </w:rPr>
        <w:t xml:space="preserve"> </w:t>
      </w:r>
      <w:r w:rsidRPr="001C63FB">
        <w:rPr>
          <w:noProof/>
          <w:sz w:val="28"/>
          <w:lang w:val="en-US"/>
        </w:rPr>
        <w:t>Vol. 13</w:t>
      </w:r>
      <w:r>
        <w:rPr>
          <w:noProof/>
          <w:sz w:val="28"/>
          <w:lang w:val="en-US"/>
        </w:rPr>
        <w:t>,</w:t>
      </w:r>
      <w:r w:rsidRPr="001C63FB">
        <w:rPr>
          <w:noProof/>
          <w:sz w:val="28"/>
          <w:lang w:val="en-US"/>
        </w:rPr>
        <w:t xml:space="preserve"> № 2. –</w:t>
      </w:r>
      <w:r>
        <w:rPr>
          <w:noProof/>
          <w:sz w:val="28"/>
          <w:lang w:val="en-US"/>
        </w:rPr>
        <w:t xml:space="preserve"> </w:t>
      </w:r>
      <w:r w:rsidRPr="001C63FB">
        <w:rPr>
          <w:noProof/>
          <w:sz w:val="28"/>
          <w:lang w:val="en-US"/>
        </w:rPr>
        <w:t>P. 531–548.</w:t>
      </w:r>
    </w:p>
    <w:p w14:paraId="6E682623"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w:t>
      </w:r>
      <w:r>
        <w:rPr>
          <w:noProof/>
          <w:sz w:val="28"/>
          <w:lang w:val="en-US"/>
        </w:rPr>
        <w:t xml:space="preserve"> </w:t>
      </w:r>
      <w:r w:rsidRPr="001C63FB">
        <w:rPr>
          <w:noProof/>
          <w:sz w:val="28"/>
          <w:lang w:val="en-US"/>
        </w:rPr>
        <w:t>Mahomed Z. Islamic Social Finance: Relevance and Recognition with Responsibility // Islamic Finance Hub.</w:t>
      </w:r>
      <w:r w:rsidRPr="009E2F7B">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2017.</w:t>
      </w:r>
    </w:p>
    <w:p w14:paraId="2C8C01D4"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4</w:t>
      </w:r>
      <w:r>
        <w:rPr>
          <w:noProof/>
          <w:sz w:val="28"/>
          <w:lang w:val="en-US"/>
        </w:rPr>
        <w:t xml:space="preserve"> </w:t>
      </w:r>
      <w:r w:rsidRPr="001C63FB">
        <w:rPr>
          <w:noProof/>
          <w:sz w:val="28"/>
          <w:lang w:val="en-US"/>
        </w:rPr>
        <w:t>Dinar Standard. State of the Global Islamic Economy Report: Thriving in Uncertainty 2020-2021 // DinarStandard. –</w:t>
      </w:r>
      <w:r>
        <w:rPr>
          <w:noProof/>
          <w:sz w:val="28"/>
          <w:lang w:val="en-US"/>
        </w:rPr>
        <w:t xml:space="preserve"> </w:t>
      </w:r>
      <w:r w:rsidRPr="001C63FB">
        <w:rPr>
          <w:noProof/>
          <w:sz w:val="28"/>
          <w:lang w:val="en-US"/>
        </w:rPr>
        <w:t>2020. –</w:t>
      </w:r>
      <w:r>
        <w:rPr>
          <w:noProof/>
          <w:sz w:val="28"/>
          <w:lang w:val="en-US"/>
        </w:rPr>
        <w:t xml:space="preserve"> </w:t>
      </w:r>
      <w:r w:rsidRPr="001C63FB">
        <w:rPr>
          <w:noProof/>
          <w:sz w:val="28"/>
          <w:lang w:val="en-US"/>
        </w:rPr>
        <w:t>P.</w:t>
      </w:r>
      <w:r>
        <w:rPr>
          <w:noProof/>
          <w:sz w:val="28"/>
          <w:lang w:val="en-US"/>
        </w:rPr>
        <w:t xml:space="preserve"> </w:t>
      </w:r>
      <w:r w:rsidRPr="001C63FB">
        <w:rPr>
          <w:noProof/>
          <w:sz w:val="28"/>
          <w:lang w:val="en-US"/>
        </w:rPr>
        <w:t>205.</w:t>
      </w:r>
    </w:p>
    <w:p w14:paraId="122EF843"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5</w:t>
      </w:r>
      <w:r>
        <w:rPr>
          <w:noProof/>
          <w:sz w:val="28"/>
          <w:lang w:val="en-US"/>
        </w:rPr>
        <w:t xml:space="preserve"> </w:t>
      </w:r>
      <w:r w:rsidRPr="001C63FB">
        <w:rPr>
          <w:noProof/>
          <w:sz w:val="28"/>
          <w:lang w:val="en-US"/>
        </w:rPr>
        <w:t>Tokayev K.-Z. Unity of the People and Systemic Reforms - a solid basis of prosperity of the country. –</w:t>
      </w:r>
      <w:r>
        <w:rPr>
          <w:noProof/>
          <w:sz w:val="28"/>
          <w:lang w:val="en-US"/>
        </w:rPr>
        <w:t xml:space="preserve"> </w:t>
      </w:r>
      <w:r w:rsidRPr="001C63FB">
        <w:rPr>
          <w:noProof/>
          <w:sz w:val="28"/>
          <w:lang w:val="en-US"/>
        </w:rPr>
        <w:t>2021.</w:t>
      </w:r>
    </w:p>
    <w:p w14:paraId="2EF6D870"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6</w:t>
      </w:r>
      <w:r>
        <w:rPr>
          <w:noProof/>
          <w:sz w:val="28"/>
          <w:lang w:val="en-US"/>
        </w:rPr>
        <w:t xml:space="preserve"> </w:t>
      </w:r>
      <w:r w:rsidRPr="001C63FB">
        <w:rPr>
          <w:noProof/>
          <w:sz w:val="28"/>
          <w:lang w:val="en-US"/>
        </w:rPr>
        <w:t>Siukiiainen L. Legal foundations of the Islamic economy : interaction of Islamic and European legal cultures // PAX Islam. –</w:t>
      </w:r>
      <w:r>
        <w:rPr>
          <w:noProof/>
          <w:sz w:val="28"/>
          <w:lang w:val="en-US"/>
        </w:rPr>
        <w:t xml:space="preserve"> </w:t>
      </w:r>
      <w:r w:rsidRPr="001C63FB">
        <w:rPr>
          <w:noProof/>
          <w:sz w:val="28"/>
          <w:lang w:val="en-US"/>
        </w:rPr>
        <w:t>2010. –</w:t>
      </w:r>
      <w:r>
        <w:rPr>
          <w:noProof/>
          <w:sz w:val="28"/>
          <w:lang w:val="en-US"/>
        </w:rPr>
        <w:t xml:space="preserve"> </w:t>
      </w:r>
      <w:r w:rsidRPr="001C63FB">
        <w:rPr>
          <w:noProof/>
          <w:sz w:val="28"/>
          <w:lang w:val="en-US"/>
        </w:rPr>
        <w:t>№ 1. –</w:t>
      </w:r>
      <w:r>
        <w:rPr>
          <w:noProof/>
          <w:sz w:val="28"/>
          <w:lang w:val="en-US"/>
        </w:rPr>
        <w:t xml:space="preserve"> </w:t>
      </w:r>
      <w:r w:rsidRPr="001C63FB">
        <w:rPr>
          <w:noProof/>
          <w:sz w:val="28"/>
          <w:lang w:val="en-US"/>
        </w:rPr>
        <w:t>P. 163–180.</w:t>
      </w:r>
    </w:p>
    <w:p w14:paraId="4EDA2012"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7</w:t>
      </w:r>
      <w:r>
        <w:rPr>
          <w:noProof/>
          <w:sz w:val="28"/>
          <w:lang w:val="en-US"/>
        </w:rPr>
        <w:t xml:space="preserve"> </w:t>
      </w:r>
      <w:r w:rsidRPr="001C63FB">
        <w:rPr>
          <w:noProof/>
          <w:sz w:val="28"/>
          <w:lang w:val="en-US"/>
        </w:rPr>
        <w:t>Ali M.S. The Holy-Quran, Arabic text and English Translation. Islam International publications Limited</w:t>
      </w:r>
      <w:r>
        <w:rPr>
          <w:noProof/>
          <w:sz w:val="28"/>
          <w:lang w:val="en-US"/>
        </w:rPr>
        <w:t>.</w:t>
      </w:r>
      <w:r w:rsidRPr="009E2F7B">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2015. –</w:t>
      </w:r>
      <w:r>
        <w:rPr>
          <w:noProof/>
          <w:sz w:val="28"/>
          <w:lang w:val="en-US"/>
        </w:rPr>
        <w:t xml:space="preserve"> </w:t>
      </w:r>
      <w:r w:rsidRPr="001C63FB">
        <w:rPr>
          <w:noProof/>
          <w:sz w:val="28"/>
          <w:lang w:val="en-US"/>
        </w:rPr>
        <w:t>836 p.</w:t>
      </w:r>
    </w:p>
    <w:p w14:paraId="210D3526"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8</w:t>
      </w:r>
      <w:r>
        <w:rPr>
          <w:noProof/>
          <w:sz w:val="28"/>
          <w:lang w:val="en-US"/>
        </w:rPr>
        <w:t xml:space="preserve"> </w:t>
      </w:r>
      <w:r w:rsidRPr="001C63FB">
        <w:rPr>
          <w:noProof/>
          <w:sz w:val="28"/>
          <w:lang w:val="en-US"/>
        </w:rPr>
        <w:t>Bekkin R. Muslim business // Tatar World. –</w:t>
      </w:r>
      <w:r>
        <w:rPr>
          <w:noProof/>
          <w:sz w:val="28"/>
          <w:lang w:val="en-US"/>
        </w:rPr>
        <w:t xml:space="preserve"> </w:t>
      </w:r>
      <w:r w:rsidRPr="001C63FB">
        <w:rPr>
          <w:noProof/>
          <w:sz w:val="28"/>
          <w:lang w:val="en-US"/>
        </w:rPr>
        <w:t>2003. –</w:t>
      </w:r>
      <w:r>
        <w:rPr>
          <w:noProof/>
          <w:sz w:val="28"/>
          <w:lang w:val="en-US"/>
        </w:rPr>
        <w:t xml:space="preserve"> </w:t>
      </w:r>
      <w:r w:rsidRPr="001C63FB">
        <w:rPr>
          <w:noProof/>
          <w:sz w:val="28"/>
          <w:lang w:val="en-US"/>
        </w:rPr>
        <w:t>Vol. 18, № 28. –</w:t>
      </w:r>
      <w:r>
        <w:rPr>
          <w:noProof/>
          <w:sz w:val="28"/>
          <w:lang w:val="en-US"/>
        </w:rPr>
        <w:t xml:space="preserve"> </w:t>
      </w:r>
      <w:r w:rsidRPr="001C63FB">
        <w:rPr>
          <w:noProof/>
          <w:sz w:val="28"/>
          <w:lang w:val="en-US"/>
        </w:rPr>
        <w:t>P. 8.</w:t>
      </w:r>
    </w:p>
    <w:p w14:paraId="12BCA7C8"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9</w:t>
      </w:r>
      <w:r>
        <w:rPr>
          <w:noProof/>
          <w:sz w:val="28"/>
          <w:lang w:val="en-US"/>
        </w:rPr>
        <w:t xml:space="preserve"> </w:t>
      </w:r>
      <w:r w:rsidRPr="001C63FB">
        <w:rPr>
          <w:noProof/>
          <w:sz w:val="28"/>
          <w:lang w:val="en-US"/>
        </w:rPr>
        <w:t>Rew Research Center. The Future of World Religions : Population Growth Projections , 2010-2050 Why Muslims Are Rising Fastest and the Unaffiliated Are. –</w:t>
      </w:r>
      <w:r>
        <w:rPr>
          <w:noProof/>
          <w:sz w:val="28"/>
          <w:lang w:val="en-US"/>
        </w:rPr>
        <w:t xml:space="preserve"> </w:t>
      </w:r>
      <w:r w:rsidRPr="001C63FB">
        <w:rPr>
          <w:noProof/>
          <w:sz w:val="28"/>
          <w:lang w:val="en-US"/>
        </w:rPr>
        <w:t>2015.</w:t>
      </w:r>
    </w:p>
    <w:p w14:paraId="6A7D673D"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10</w:t>
      </w:r>
      <w:r>
        <w:rPr>
          <w:noProof/>
          <w:sz w:val="28"/>
          <w:lang w:val="en-US"/>
        </w:rPr>
        <w:t xml:space="preserve"> </w:t>
      </w:r>
      <w:r w:rsidRPr="001C63FB">
        <w:rPr>
          <w:noProof/>
          <w:sz w:val="28"/>
          <w:lang w:val="en-US"/>
        </w:rPr>
        <w:t>Maududi A.A. A history of Muslim Philosophy: Advent Of Islam, Fundamental Teachings Of The Quran // 2. Pakistan: Pakistan Philosophical Congress 3. –</w:t>
      </w:r>
      <w:r>
        <w:rPr>
          <w:noProof/>
          <w:sz w:val="28"/>
          <w:lang w:val="en-US"/>
        </w:rPr>
        <w:t xml:space="preserve"> </w:t>
      </w:r>
      <w:r w:rsidRPr="001C63FB">
        <w:rPr>
          <w:noProof/>
          <w:sz w:val="28"/>
          <w:lang w:val="en-US"/>
        </w:rPr>
        <w:t>P. 68.</w:t>
      </w:r>
    </w:p>
    <w:p w14:paraId="67EE8937"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11</w:t>
      </w:r>
      <w:r>
        <w:rPr>
          <w:noProof/>
          <w:sz w:val="28"/>
          <w:lang w:val="en-US"/>
        </w:rPr>
        <w:t xml:space="preserve"> </w:t>
      </w:r>
      <w:r w:rsidRPr="001C63FB">
        <w:rPr>
          <w:noProof/>
          <w:sz w:val="28"/>
          <w:lang w:val="en-US"/>
        </w:rPr>
        <w:t>Billah M.M. Islamic Financial Products Principles, Instruments. Jeddah, Saudi Arabia ISB: Pulgrave macmillan</w:t>
      </w:r>
      <w:r>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2019. –</w:t>
      </w:r>
      <w:r>
        <w:rPr>
          <w:noProof/>
          <w:sz w:val="28"/>
          <w:lang w:val="en-US"/>
        </w:rPr>
        <w:t xml:space="preserve"> </w:t>
      </w:r>
      <w:r w:rsidRPr="001C63FB">
        <w:rPr>
          <w:noProof/>
          <w:sz w:val="28"/>
          <w:lang w:val="en-US"/>
        </w:rPr>
        <w:t>443 p.</w:t>
      </w:r>
    </w:p>
    <w:p w14:paraId="4512FF10"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12</w:t>
      </w:r>
      <w:r>
        <w:rPr>
          <w:noProof/>
          <w:sz w:val="28"/>
          <w:lang w:val="en-US"/>
        </w:rPr>
        <w:t xml:space="preserve"> </w:t>
      </w:r>
      <w:r w:rsidRPr="001C63FB">
        <w:rPr>
          <w:noProof/>
          <w:sz w:val="28"/>
          <w:lang w:val="en-US"/>
        </w:rPr>
        <w:t>Ali A. et al. Islamic Finance: Instruments and Markets. London</w:t>
      </w:r>
      <w:r>
        <w:rPr>
          <w:noProof/>
          <w:sz w:val="28"/>
          <w:lang w:val="en-US"/>
        </w:rPr>
        <w:t>.</w:t>
      </w:r>
      <w:r w:rsidRPr="004F0E8E">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2010. –</w:t>
      </w:r>
      <w:r>
        <w:rPr>
          <w:noProof/>
          <w:sz w:val="28"/>
          <w:lang w:val="en-US"/>
        </w:rPr>
        <w:t xml:space="preserve"> </w:t>
      </w:r>
      <w:r w:rsidRPr="001C63FB">
        <w:rPr>
          <w:noProof/>
          <w:sz w:val="28"/>
          <w:lang w:val="en-US"/>
        </w:rPr>
        <w:t>238 p.</w:t>
      </w:r>
    </w:p>
    <w:p w14:paraId="04CFDADD"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13</w:t>
      </w:r>
      <w:r>
        <w:rPr>
          <w:noProof/>
          <w:sz w:val="28"/>
          <w:lang w:val="en-US"/>
        </w:rPr>
        <w:t xml:space="preserve"> </w:t>
      </w:r>
      <w:r w:rsidRPr="001C63FB">
        <w:rPr>
          <w:noProof/>
          <w:sz w:val="28"/>
          <w:lang w:val="en-US"/>
        </w:rPr>
        <w:t>Bible. Leviticus. Old Testament.</w:t>
      </w:r>
    </w:p>
    <w:p w14:paraId="350BFFCA"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14</w:t>
      </w:r>
      <w:r>
        <w:rPr>
          <w:noProof/>
          <w:sz w:val="28"/>
          <w:lang w:val="en-US"/>
        </w:rPr>
        <w:t xml:space="preserve"> </w:t>
      </w:r>
      <w:r w:rsidRPr="001C63FB">
        <w:rPr>
          <w:noProof/>
          <w:sz w:val="28"/>
          <w:lang w:val="en-US"/>
        </w:rPr>
        <w:t>Visser W., Melntosh A. A short review of the historical critique of usury // Accounting, Bus. Financ</w:t>
      </w:r>
      <w:r>
        <w:rPr>
          <w:noProof/>
          <w:sz w:val="28"/>
          <w:lang w:val="en-US"/>
        </w:rPr>
        <w:t>e</w:t>
      </w:r>
      <w:r w:rsidRPr="001C63FB">
        <w:rPr>
          <w:noProof/>
          <w:sz w:val="28"/>
          <w:lang w:val="en-US"/>
        </w:rPr>
        <w:t>. Hist. –</w:t>
      </w:r>
      <w:r>
        <w:rPr>
          <w:noProof/>
          <w:sz w:val="28"/>
          <w:lang w:val="en-US"/>
        </w:rPr>
        <w:t xml:space="preserve"> </w:t>
      </w:r>
      <w:r w:rsidRPr="001C63FB">
        <w:rPr>
          <w:noProof/>
          <w:sz w:val="28"/>
          <w:lang w:val="en-US"/>
        </w:rPr>
        <w:t>1998.</w:t>
      </w:r>
      <w:r w:rsidRPr="004F0E8E">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Vol. 8, № 2. –</w:t>
      </w:r>
      <w:r>
        <w:rPr>
          <w:noProof/>
          <w:sz w:val="28"/>
          <w:lang w:val="en-US"/>
        </w:rPr>
        <w:t xml:space="preserve"> </w:t>
      </w:r>
      <w:r w:rsidRPr="001C63FB">
        <w:rPr>
          <w:noProof/>
          <w:sz w:val="28"/>
          <w:lang w:val="en-US"/>
        </w:rPr>
        <w:t>P. 175–190.</w:t>
      </w:r>
    </w:p>
    <w:p w14:paraId="2860C85E"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15</w:t>
      </w:r>
      <w:r>
        <w:rPr>
          <w:noProof/>
          <w:sz w:val="28"/>
          <w:lang w:val="en-US"/>
        </w:rPr>
        <w:t xml:space="preserve"> </w:t>
      </w:r>
      <w:r w:rsidRPr="001C63FB">
        <w:rPr>
          <w:noProof/>
          <w:sz w:val="28"/>
          <w:lang w:val="en-US"/>
        </w:rPr>
        <w:t>Ushama T., Osmani N.M. Sayyid Mawdudi ’ s Contribution towards Islamic Revivalism. –</w:t>
      </w:r>
      <w:r>
        <w:rPr>
          <w:noProof/>
          <w:sz w:val="28"/>
          <w:lang w:val="en-US"/>
        </w:rPr>
        <w:t xml:space="preserve"> </w:t>
      </w:r>
      <w:r w:rsidRPr="001C63FB">
        <w:rPr>
          <w:noProof/>
          <w:sz w:val="28"/>
          <w:lang w:val="en-US"/>
        </w:rPr>
        <w:t>2006. –</w:t>
      </w:r>
      <w:r>
        <w:rPr>
          <w:noProof/>
          <w:sz w:val="28"/>
          <w:lang w:val="en-US"/>
        </w:rPr>
        <w:t xml:space="preserve"> </w:t>
      </w:r>
      <w:r w:rsidRPr="001C63FB">
        <w:rPr>
          <w:noProof/>
          <w:sz w:val="28"/>
          <w:lang w:val="en-US"/>
        </w:rPr>
        <w:t>Vol. 3, № December. –</w:t>
      </w:r>
      <w:r>
        <w:rPr>
          <w:noProof/>
          <w:sz w:val="28"/>
          <w:lang w:val="en-US"/>
        </w:rPr>
        <w:t xml:space="preserve"> </w:t>
      </w:r>
      <w:r w:rsidRPr="001C63FB">
        <w:rPr>
          <w:noProof/>
          <w:sz w:val="28"/>
          <w:lang w:val="en-US"/>
        </w:rPr>
        <w:t>P. 93–104.</w:t>
      </w:r>
    </w:p>
    <w:p w14:paraId="23F38BC7"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16</w:t>
      </w:r>
      <w:r>
        <w:rPr>
          <w:noProof/>
          <w:sz w:val="28"/>
          <w:lang w:val="en-US"/>
        </w:rPr>
        <w:t xml:space="preserve"> </w:t>
      </w:r>
      <w:r w:rsidRPr="001C63FB">
        <w:rPr>
          <w:noProof/>
          <w:sz w:val="28"/>
          <w:lang w:val="en-US"/>
        </w:rPr>
        <w:t>Usmani M.T. An introduction to Islamic finance. –</w:t>
      </w:r>
      <w:r>
        <w:rPr>
          <w:noProof/>
          <w:sz w:val="28"/>
          <w:lang w:val="en-US"/>
        </w:rPr>
        <w:t xml:space="preserve"> </w:t>
      </w:r>
      <w:r w:rsidRPr="001C63FB">
        <w:rPr>
          <w:noProof/>
          <w:sz w:val="28"/>
          <w:lang w:val="en-US"/>
        </w:rPr>
        <w:t>2002. –</w:t>
      </w:r>
      <w:r>
        <w:rPr>
          <w:noProof/>
          <w:sz w:val="28"/>
          <w:lang w:val="en-US"/>
        </w:rPr>
        <w:t xml:space="preserve"> </w:t>
      </w:r>
      <w:r w:rsidRPr="001C63FB">
        <w:rPr>
          <w:noProof/>
          <w:sz w:val="28"/>
          <w:lang w:val="en-US"/>
        </w:rPr>
        <w:t>Vol. 169.</w:t>
      </w:r>
    </w:p>
    <w:p w14:paraId="51460BA9"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17</w:t>
      </w:r>
      <w:r>
        <w:rPr>
          <w:noProof/>
          <w:sz w:val="28"/>
          <w:lang w:val="en-US"/>
        </w:rPr>
        <w:t xml:space="preserve"> </w:t>
      </w:r>
      <w:r w:rsidRPr="001C63FB">
        <w:rPr>
          <w:noProof/>
          <w:sz w:val="28"/>
          <w:lang w:val="en-US"/>
        </w:rPr>
        <w:t xml:space="preserve">Mirakhor A., Iqbal Z. An Introduction to Islamic Finance: theory and practice. </w:t>
      </w:r>
      <w:r>
        <w:rPr>
          <w:noProof/>
          <w:sz w:val="28"/>
          <w:lang w:val="en-US"/>
        </w:rPr>
        <w:t>//</w:t>
      </w:r>
      <w:r w:rsidRPr="001C63FB">
        <w:rPr>
          <w:noProof/>
          <w:sz w:val="28"/>
          <w:lang w:val="en-US"/>
        </w:rPr>
        <w:t>2nd ed. Singapore: John Wiley &amp; Sons (Asia) Pte. Ltd. –</w:t>
      </w:r>
      <w:r>
        <w:rPr>
          <w:noProof/>
          <w:sz w:val="28"/>
          <w:lang w:val="en-US"/>
        </w:rPr>
        <w:t xml:space="preserve"> </w:t>
      </w:r>
      <w:r w:rsidRPr="001C63FB">
        <w:rPr>
          <w:noProof/>
          <w:sz w:val="28"/>
          <w:lang w:val="en-US"/>
        </w:rPr>
        <w:t>2011. –</w:t>
      </w:r>
      <w:r>
        <w:rPr>
          <w:noProof/>
          <w:sz w:val="28"/>
          <w:lang w:val="en-US"/>
        </w:rPr>
        <w:t xml:space="preserve"> </w:t>
      </w:r>
      <w:r w:rsidRPr="001C63FB">
        <w:rPr>
          <w:noProof/>
          <w:sz w:val="28"/>
          <w:lang w:val="en-US"/>
        </w:rPr>
        <w:t>410 p.</w:t>
      </w:r>
    </w:p>
    <w:p w14:paraId="073A3F58"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18</w:t>
      </w:r>
      <w:r>
        <w:rPr>
          <w:noProof/>
          <w:sz w:val="28"/>
          <w:lang w:val="en-US"/>
        </w:rPr>
        <w:t xml:space="preserve"> </w:t>
      </w:r>
      <w:r w:rsidRPr="001C63FB">
        <w:rPr>
          <w:noProof/>
          <w:sz w:val="28"/>
          <w:lang w:val="en-US"/>
        </w:rPr>
        <w:t>H</w:t>
      </w:r>
      <w:r>
        <w:rPr>
          <w:noProof/>
          <w:sz w:val="28"/>
          <w:lang w:val="en-US"/>
        </w:rPr>
        <w:t>.</w:t>
      </w:r>
      <w:r w:rsidRPr="001C63FB">
        <w:rPr>
          <w:noProof/>
          <w:sz w:val="28"/>
          <w:lang w:val="en-US"/>
        </w:rPr>
        <w:t xml:space="preserve"> van Greuning, Iqbal Z. Risk Analysis for Islamic Banks. Washington</w:t>
      </w:r>
      <w:r>
        <w:rPr>
          <w:noProof/>
          <w:sz w:val="28"/>
          <w:lang w:val="en-US"/>
        </w:rPr>
        <w:t>.</w:t>
      </w:r>
      <w:r w:rsidRPr="004F0E8E">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2008. –</w:t>
      </w:r>
      <w:r>
        <w:rPr>
          <w:noProof/>
          <w:sz w:val="28"/>
          <w:lang w:val="en-US"/>
        </w:rPr>
        <w:t xml:space="preserve"> </w:t>
      </w:r>
      <w:r w:rsidRPr="001C63FB">
        <w:rPr>
          <w:noProof/>
          <w:sz w:val="28"/>
          <w:lang w:val="en-US"/>
        </w:rPr>
        <w:t>336 p.</w:t>
      </w:r>
    </w:p>
    <w:p w14:paraId="609CCA7D"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19</w:t>
      </w:r>
      <w:r>
        <w:rPr>
          <w:noProof/>
          <w:sz w:val="28"/>
          <w:lang w:val="en-US"/>
        </w:rPr>
        <w:t xml:space="preserve"> </w:t>
      </w:r>
      <w:r w:rsidRPr="001C63FB">
        <w:rPr>
          <w:noProof/>
          <w:sz w:val="28"/>
          <w:lang w:val="en-US"/>
        </w:rPr>
        <w:t>Hassan M. ul. An Explanation of Rationale behind the Prohibition of Riba in the Doctrines of three major Religions : with special reference to Islam // Oikonomica (</w:t>
      </w:r>
      <w:r w:rsidRPr="00AA02F0">
        <w:rPr>
          <w:rFonts w:ascii="MS Mincho" w:eastAsia="MS Mincho" w:hAnsi="MS Mincho" w:cs="MS Mincho" w:hint="eastAsia"/>
          <w:noProof/>
          <w:sz w:val="28"/>
        </w:rPr>
        <w:t>オイコノミカ</w:t>
      </w:r>
      <w:r w:rsidRPr="001C63FB">
        <w:rPr>
          <w:noProof/>
          <w:sz w:val="28"/>
          <w:lang w:val="en-US"/>
        </w:rPr>
        <w:t>). –</w:t>
      </w:r>
      <w:r>
        <w:rPr>
          <w:noProof/>
          <w:sz w:val="28"/>
          <w:lang w:val="en-US"/>
        </w:rPr>
        <w:t xml:space="preserve"> </w:t>
      </w:r>
      <w:r w:rsidRPr="001C63FB">
        <w:rPr>
          <w:noProof/>
          <w:sz w:val="28"/>
          <w:lang w:val="en-US"/>
        </w:rPr>
        <w:t>2005. –</w:t>
      </w:r>
      <w:r>
        <w:rPr>
          <w:noProof/>
          <w:sz w:val="28"/>
          <w:lang w:val="en-US"/>
        </w:rPr>
        <w:t xml:space="preserve"> </w:t>
      </w:r>
      <w:r w:rsidRPr="001C63FB">
        <w:rPr>
          <w:noProof/>
          <w:sz w:val="28"/>
          <w:lang w:val="en-US"/>
        </w:rPr>
        <w:t>Vol. 2, № 42. –</w:t>
      </w:r>
      <w:r>
        <w:rPr>
          <w:noProof/>
          <w:sz w:val="28"/>
          <w:lang w:val="en-US"/>
        </w:rPr>
        <w:t xml:space="preserve"> </w:t>
      </w:r>
      <w:r w:rsidRPr="001C63FB">
        <w:rPr>
          <w:noProof/>
          <w:sz w:val="28"/>
          <w:lang w:val="en-US"/>
        </w:rPr>
        <w:t>P. 73–87.</w:t>
      </w:r>
    </w:p>
    <w:p w14:paraId="7A110E19"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20</w:t>
      </w:r>
      <w:r>
        <w:rPr>
          <w:noProof/>
          <w:sz w:val="28"/>
          <w:lang w:val="en-US"/>
        </w:rPr>
        <w:t xml:space="preserve"> </w:t>
      </w:r>
      <w:r w:rsidRPr="001C63FB">
        <w:rPr>
          <w:noProof/>
          <w:sz w:val="28"/>
          <w:lang w:val="en-US"/>
        </w:rPr>
        <w:t>Baidaulet Y. Basics of Ethical finance. Pavlodar</w:t>
      </w:r>
      <w:r>
        <w:rPr>
          <w:noProof/>
          <w:sz w:val="28"/>
          <w:lang w:val="en-US"/>
        </w:rPr>
        <w:t>.</w:t>
      </w:r>
      <w:r w:rsidRPr="004F0E8E">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2014. –</w:t>
      </w:r>
      <w:r>
        <w:rPr>
          <w:noProof/>
          <w:sz w:val="28"/>
          <w:lang w:val="en-US"/>
        </w:rPr>
        <w:t xml:space="preserve"> </w:t>
      </w:r>
      <w:r w:rsidRPr="001C63FB">
        <w:rPr>
          <w:noProof/>
          <w:sz w:val="28"/>
          <w:lang w:val="en-US"/>
        </w:rPr>
        <w:t>326 p.</w:t>
      </w:r>
    </w:p>
    <w:p w14:paraId="7B56DC79"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21</w:t>
      </w:r>
      <w:r>
        <w:rPr>
          <w:noProof/>
          <w:sz w:val="28"/>
          <w:lang w:val="en-US"/>
        </w:rPr>
        <w:t xml:space="preserve"> </w:t>
      </w:r>
      <w:r w:rsidRPr="001C63FB">
        <w:rPr>
          <w:noProof/>
          <w:sz w:val="28"/>
          <w:lang w:val="en-US"/>
        </w:rPr>
        <w:t>Abdulkader Thomas, Stella Cox B.C. Structuring Islamic Finance Transactions. London: Euromany Books</w:t>
      </w:r>
      <w:r>
        <w:rPr>
          <w:noProof/>
          <w:sz w:val="28"/>
          <w:lang w:val="en-US"/>
        </w:rPr>
        <w:t>.</w:t>
      </w:r>
      <w:r w:rsidRPr="004F0E8E">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2005. –</w:t>
      </w:r>
      <w:r>
        <w:rPr>
          <w:noProof/>
          <w:sz w:val="28"/>
          <w:lang w:val="en-US"/>
        </w:rPr>
        <w:t xml:space="preserve"> </w:t>
      </w:r>
      <w:r w:rsidRPr="001C63FB">
        <w:rPr>
          <w:noProof/>
          <w:sz w:val="28"/>
          <w:lang w:val="en-US"/>
        </w:rPr>
        <w:t>226 p.</w:t>
      </w:r>
    </w:p>
    <w:p w14:paraId="4E5516DA"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22</w:t>
      </w:r>
      <w:r>
        <w:rPr>
          <w:noProof/>
          <w:sz w:val="28"/>
          <w:lang w:val="en-US"/>
        </w:rPr>
        <w:t xml:space="preserve"> </w:t>
      </w:r>
      <w:r w:rsidRPr="001C63FB">
        <w:rPr>
          <w:noProof/>
          <w:sz w:val="28"/>
          <w:lang w:val="en-US"/>
        </w:rPr>
        <w:t xml:space="preserve">Chapra M.U. </w:t>
      </w:r>
      <w:r>
        <w:rPr>
          <w:noProof/>
          <w:sz w:val="28"/>
          <w:lang w:val="en-US"/>
        </w:rPr>
        <w:t>W</w:t>
      </w:r>
      <w:r w:rsidRPr="001C63FB">
        <w:rPr>
          <w:noProof/>
          <w:sz w:val="28"/>
          <w:lang w:val="en-US"/>
        </w:rPr>
        <w:t>hat is islamic economics ? Jeddah</w:t>
      </w:r>
      <w:r>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2001. –</w:t>
      </w:r>
      <w:r>
        <w:rPr>
          <w:noProof/>
          <w:sz w:val="28"/>
          <w:lang w:val="en-US"/>
        </w:rPr>
        <w:t xml:space="preserve"> </w:t>
      </w:r>
      <w:r w:rsidRPr="001C63FB">
        <w:rPr>
          <w:noProof/>
          <w:sz w:val="28"/>
          <w:lang w:val="en-US"/>
        </w:rPr>
        <w:t>73 p.</w:t>
      </w:r>
    </w:p>
    <w:p w14:paraId="315A7DA4"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23</w:t>
      </w:r>
      <w:r>
        <w:rPr>
          <w:noProof/>
          <w:sz w:val="28"/>
          <w:lang w:val="en-US"/>
        </w:rPr>
        <w:t xml:space="preserve"> </w:t>
      </w:r>
      <w:r w:rsidRPr="001C63FB">
        <w:rPr>
          <w:noProof/>
          <w:sz w:val="28"/>
          <w:lang w:val="en-US"/>
        </w:rPr>
        <w:t>Khan M. Islamic Interest-Free Banking: A Theoretical Analysis // Staff Pap</w:t>
      </w:r>
      <w:r>
        <w:rPr>
          <w:noProof/>
          <w:sz w:val="28"/>
          <w:lang w:val="en-US"/>
        </w:rPr>
        <w:t xml:space="preserve">er. </w:t>
      </w:r>
      <w:r w:rsidRPr="001C63FB">
        <w:rPr>
          <w:noProof/>
          <w:sz w:val="28"/>
          <w:lang w:val="en-US"/>
        </w:rPr>
        <w:t>–</w:t>
      </w:r>
      <w:r>
        <w:rPr>
          <w:noProof/>
          <w:sz w:val="28"/>
          <w:lang w:val="en-US"/>
        </w:rPr>
        <w:t xml:space="preserve"> </w:t>
      </w:r>
      <w:r w:rsidRPr="001C63FB">
        <w:rPr>
          <w:noProof/>
          <w:sz w:val="28"/>
          <w:lang w:val="en-US"/>
        </w:rPr>
        <w:t xml:space="preserve"> 1986. –</w:t>
      </w:r>
      <w:r>
        <w:rPr>
          <w:noProof/>
          <w:sz w:val="28"/>
          <w:lang w:val="en-US"/>
        </w:rPr>
        <w:t xml:space="preserve"> </w:t>
      </w:r>
      <w:r w:rsidRPr="001C63FB">
        <w:rPr>
          <w:noProof/>
          <w:sz w:val="28"/>
          <w:lang w:val="en-US"/>
        </w:rPr>
        <w:t>Vol. 33, № 1.</w:t>
      </w:r>
      <w:r w:rsidRPr="00C00186">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P. 27.</w:t>
      </w:r>
    </w:p>
    <w:p w14:paraId="7792CB40"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24</w:t>
      </w:r>
      <w:r>
        <w:rPr>
          <w:noProof/>
          <w:sz w:val="28"/>
          <w:lang w:val="en-US"/>
        </w:rPr>
        <w:t xml:space="preserve"> </w:t>
      </w:r>
      <w:r w:rsidRPr="001C63FB">
        <w:rPr>
          <w:noProof/>
          <w:sz w:val="28"/>
          <w:lang w:val="en-US"/>
        </w:rPr>
        <w:t>Chartered Institute for Securities &amp; Investment. Islamic Finance Qualification ( IFQ ). 8th ed. Shikder M.N. London</w:t>
      </w:r>
      <w:r>
        <w:rPr>
          <w:noProof/>
          <w:sz w:val="28"/>
          <w:lang w:val="en-US"/>
        </w:rPr>
        <w:t>.</w:t>
      </w:r>
      <w:r w:rsidRPr="00C00186">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2018. –</w:t>
      </w:r>
      <w:r>
        <w:rPr>
          <w:noProof/>
          <w:sz w:val="28"/>
          <w:lang w:val="en-US"/>
        </w:rPr>
        <w:t xml:space="preserve"> </w:t>
      </w:r>
      <w:r w:rsidRPr="001C63FB">
        <w:rPr>
          <w:noProof/>
          <w:sz w:val="28"/>
          <w:lang w:val="en-US"/>
        </w:rPr>
        <w:t>294 p.</w:t>
      </w:r>
    </w:p>
    <w:p w14:paraId="558C4BD0"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25</w:t>
      </w:r>
      <w:r>
        <w:rPr>
          <w:noProof/>
          <w:sz w:val="28"/>
          <w:lang w:val="en-US"/>
        </w:rPr>
        <w:t xml:space="preserve"> </w:t>
      </w:r>
      <w:r w:rsidRPr="001C63FB">
        <w:rPr>
          <w:noProof/>
          <w:sz w:val="28"/>
          <w:lang w:val="en-US"/>
        </w:rPr>
        <w:t xml:space="preserve">Zarqa M. </w:t>
      </w:r>
      <w:r>
        <w:rPr>
          <w:noProof/>
          <w:sz w:val="28"/>
          <w:lang w:val="en-US"/>
        </w:rPr>
        <w:t>A</w:t>
      </w:r>
      <w:r w:rsidRPr="001C63FB">
        <w:rPr>
          <w:noProof/>
          <w:sz w:val="28"/>
          <w:lang w:val="en-US"/>
        </w:rPr>
        <w:t>l-majalla al ahkam al adaliyyah (The Ottoman Courts Manual  Hanafi) // Joint ownership.</w:t>
      </w:r>
    </w:p>
    <w:p w14:paraId="02454441"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26</w:t>
      </w:r>
      <w:r>
        <w:rPr>
          <w:noProof/>
          <w:sz w:val="28"/>
          <w:lang w:val="en-US"/>
        </w:rPr>
        <w:t xml:space="preserve"> </w:t>
      </w:r>
      <w:r w:rsidRPr="001C63FB">
        <w:rPr>
          <w:noProof/>
          <w:sz w:val="28"/>
          <w:lang w:val="en-US"/>
        </w:rPr>
        <w:t>Mirzoev. Values and principles of the Islamic economy. Sadra / ed. V A. Moscow</w:t>
      </w:r>
      <w:r>
        <w:rPr>
          <w:noProof/>
          <w:sz w:val="28"/>
          <w:lang w:val="en-US"/>
        </w:rPr>
        <w:t>.</w:t>
      </w:r>
      <w:r w:rsidRPr="00C00186">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2017. –</w:t>
      </w:r>
      <w:r>
        <w:rPr>
          <w:noProof/>
          <w:sz w:val="28"/>
          <w:lang w:val="en-US"/>
        </w:rPr>
        <w:t xml:space="preserve"> </w:t>
      </w:r>
      <w:r w:rsidRPr="001C63FB">
        <w:rPr>
          <w:noProof/>
          <w:sz w:val="28"/>
          <w:lang w:val="en-US"/>
        </w:rPr>
        <w:t>174 p.</w:t>
      </w:r>
    </w:p>
    <w:p w14:paraId="36583559"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27</w:t>
      </w:r>
      <w:r>
        <w:rPr>
          <w:noProof/>
          <w:sz w:val="28"/>
          <w:lang w:val="en-US"/>
        </w:rPr>
        <w:t xml:space="preserve"> </w:t>
      </w:r>
      <w:r w:rsidRPr="001C63FB">
        <w:rPr>
          <w:noProof/>
          <w:sz w:val="28"/>
          <w:lang w:val="en-US"/>
        </w:rPr>
        <w:t>Tatyana Ignatova, Dobayev A. THE “</w:t>
      </w:r>
      <w:r>
        <w:rPr>
          <w:noProof/>
          <w:sz w:val="28"/>
          <w:lang w:val="en-US"/>
        </w:rPr>
        <w:t>H</w:t>
      </w:r>
      <w:r w:rsidRPr="001C63FB">
        <w:rPr>
          <w:noProof/>
          <w:sz w:val="28"/>
          <w:lang w:val="en-US"/>
        </w:rPr>
        <w:t>awala” system in the islamic economy // Muslim World. –</w:t>
      </w:r>
      <w:r>
        <w:rPr>
          <w:noProof/>
          <w:sz w:val="28"/>
          <w:lang w:val="en-US"/>
        </w:rPr>
        <w:t xml:space="preserve"> </w:t>
      </w:r>
      <w:r w:rsidRPr="001C63FB">
        <w:rPr>
          <w:noProof/>
          <w:sz w:val="28"/>
          <w:lang w:val="en-US"/>
        </w:rPr>
        <w:t>2017. –</w:t>
      </w:r>
      <w:r>
        <w:rPr>
          <w:noProof/>
          <w:sz w:val="28"/>
          <w:lang w:val="en-US"/>
        </w:rPr>
        <w:t xml:space="preserve"> </w:t>
      </w:r>
      <w:r w:rsidRPr="001C63FB">
        <w:rPr>
          <w:noProof/>
          <w:sz w:val="28"/>
          <w:lang w:val="en-US"/>
        </w:rPr>
        <w:t>№ 2. –</w:t>
      </w:r>
      <w:r>
        <w:rPr>
          <w:noProof/>
          <w:sz w:val="28"/>
          <w:lang w:val="en-US"/>
        </w:rPr>
        <w:t xml:space="preserve"> </w:t>
      </w:r>
      <w:r w:rsidRPr="001C63FB">
        <w:rPr>
          <w:noProof/>
          <w:sz w:val="28"/>
          <w:lang w:val="en-US"/>
        </w:rPr>
        <w:t>P. 39–55.</w:t>
      </w:r>
    </w:p>
    <w:p w14:paraId="710378F7"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28</w:t>
      </w:r>
      <w:r>
        <w:rPr>
          <w:noProof/>
          <w:sz w:val="28"/>
          <w:lang w:val="en-US"/>
        </w:rPr>
        <w:t xml:space="preserve"> </w:t>
      </w:r>
      <w:r w:rsidRPr="001C63FB">
        <w:rPr>
          <w:noProof/>
          <w:sz w:val="28"/>
          <w:lang w:val="en-US"/>
        </w:rPr>
        <w:t>Siddiqi M.N. Lecture One: The Foundations of Islamic Finance</w:t>
      </w:r>
      <w:r>
        <w:rPr>
          <w:noProof/>
          <w:sz w:val="28"/>
          <w:lang w:val="en-US"/>
        </w:rPr>
        <w:t xml:space="preserve"> </w:t>
      </w:r>
      <w:r w:rsidRPr="001C63FB">
        <w:rPr>
          <w:noProof/>
          <w:sz w:val="28"/>
          <w:lang w:val="en-US"/>
        </w:rPr>
        <w:t>// www.siddiqi.com.</w:t>
      </w:r>
      <w:r>
        <w:rPr>
          <w:noProof/>
          <w:sz w:val="28"/>
          <w:lang w:val="en-US"/>
        </w:rPr>
        <w:t xml:space="preserve"> 05.10.</w:t>
      </w:r>
      <w:r w:rsidRPr="001C63FB">
        <w:rPr>
          <w:noProof/>
          <w:sz w:val="28"/>
          <w:lang w:val="en-US"/>
        </w:rPr>
        <w:t xml:space="preserve">2008. </w:t>
      </w:r>
    </w:p>
    <w:p w14:paraId="2D448036"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29</w:t>
      </w:r>
      <w:r>
        <w:rPr>
          <w:noProof/>
          <w:sz w:val="28"/>
          <w:lang w:val="en-US"/>
        </w:rPr>
        <w:t xml:space="preserve"> </w:t>
      </w:r>
      <w:r w:rsidRPr="001C63FB">
        <w:rPr>
          <w:noProof/>
          <w:sz w:val="28"/>
          <w:lang w:val="en-US"/>
        </w:rPr>
        <w:t>Asutay M. Conceptualising and Locating the Social Failure of Islamic Finance: Aspirations of Islamic Moral Economy vs the Realities of Islamic Finance // Asian African area Stud. –</w:t>
      </w:r>
      <w:r>
        <w:rPr>
          <w:noProof/>
          <w:sz w:val="28"/>
          <w:lang w:val="en-US"/>
        </w:rPr>
        <w:t xml:space="preserve"> </w:t>
      </w:r>
      <w:r w:rsidRPr="001C63FB">
        <w:rPr>
          <w:noProof/>
          <w:sz w:val="28"/>
          <w:lang w:val="en-US"/>
        </w:rPr>
        <w:t>2012. –</w:t>
      </w:r>
      <w:r>
        <w:rPr>
          <w:noProof/>
          <w:sz w:val="28"/>
          <w:lang w:val="en-US"/>
        </w:rPr>
        <w:t xml:space="preserve"> </w:t>
      </w:r>
      <w:r w:rsidRPr="001C63FB">
        <w:rPr>
          <w:noProof/>
          <w:sz w:val="28"/>
          <w:lang w:val="en-US"/>
        </w:rPr>
        <w:t>Vol. 11, № 2. –</w:t>
      </w:r>
      <w:r>
        <w:rPr>
          <w:noProof/>
          <w:sz w:val="28"/>
          <w:lang w:val="en-US"/>
        </w:rPr>
        <w:t xml:space="preserve"> </w:t>
      </w:r>
      <w:r w:rsidRPr="001C63FB">
        <w:rPr>
          <w:noProof/>
          <w:sz w:val="28"/>
          <w:lang w:val="en-US"/>
        </w:rPr>
        <w:t>P. 93–113.</w:t>
      </w:r>
    </w:p>
    <w:p w14:paraId="37F7616C"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30</w:t>
      </w:r>
      <w:r>
        <w:rPr>
          <w:noProof/>
          <w:sz w:val="28"/>
          <w:lang w:val="en-US"/>
        </w:rPr>
        <w:t xml:space="preserve"> </w:t>
      </w:r>
      <w:r w:rsidRPr="001C63FB">
        <w:rPr>
          <w:noProof/>
          <w:sz w:val="28"/>
          <w:lang w:val="en-US"/>
        </w:rPr>
        <w:t>Siddiqi M.N. Lecture two: Recent History of Islamic Banking and Finance  //</w:t>
      </w:r>
      <w:r>
        <w:rPr>
          <w:noProof/>
          <w:sz w:val="28"/>
          <w:lang w:val="en-US"/>
        </w:rPr>
        <w:t xml:space="preserve"> </w:t>
      </w:r>
      <w:r w:rsidRPr="001C63FB">
        <w:rPr>
          <w:noProof/>
          <w:sz w:val="28"/>
          <w:lang w:val="en-US"/>
        </w:rPr>
        <w:t>www.siddiqi.com.</w:t>
      </w:r>
      <w:r w:rsidRPr="000F1387">
        <w:rPr>
          <w:noProof/>
          <w:sz w:val="28"/>
          <w:lang w:val="en-US"/>
        </w:rPr>
        <w:t xml:space="preserve"> </w:t>
      </w:r>
      <w:r w:rsidRPr="001C63FB">
        <w:rPr>
          <w:noProof/>
          <w:sz w:val="28"/>
          <w:lang w:val="en-US"/>
        </w:rPr>
        <w:t>–</w:t>
      </w:r>
      <w:r>
        <w:rPr>
          <w:noProof/>
          <w:sz w:val="28"/>
          <w:lang w:val="en-US"/>
        </w:rPr>
        <w:t xml:space="preserve"> 11.11.</w:t>
      </w:r>
      <w:r w:rsidRPr="001C63FB">
        <w:rPr>
          <w:noProof/>
          <w:sz w:val="28"/>
          <w:lang w:val="en-US"/>
        </w:rPr>
        <w:t>2001 URL:http://www.iefpedia.com/english/wp-content/uploads/2009/11/Recent-History-of-Islamic-Banking-and-Finance.doc.</w:t>
      </w:r>
      <w:r>
        <w:rPr>
          <w:noProof/>
          <w:sz w:val="28"/>
          <w:lang w:val="en-US"/>
        </w:rPr>
        <w:t>01.04.2019</w:t>
      </w:r>
    </w:p>
    <w:p w14:paraId="286142DA"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31</w:t>
      </w:r>
      <w:r>
        <w:rPr>
          <w:noProof/>
          <w:sz w:val="28"/>
          <w:lang w:val="en-US"/>
        </w:rPr>
        <w:t xml:space="preserve"> </w:t>
      </w:r>
      <w:r w:rsidRPr="001C63FB">
        <w:rPr>
          <w:noProof/>
          <w:sz w:val="28"/>
          <w:lang w:val="en-US"/>
        </w:rPr>
        <w:t>Kuanova L.A., Sagiyeva R., Shirazi N.S. Islamic social finance: a literature review and future research directions // J</w:t>
      </w:r>
      <w:r>
        <w:rPr>
          <w:noProof/>
          <w:sz w:val="28"/>
          <w:lang w:val="en-US"/>
        </w:rPr>
        <w:t>ournal of</w:t>
      </w:r>
      <w:r w:rsidRPr="001C63FB">
        <w:rPr>
          <w:noProof/>
          <w:sz w:val="28"/>
          <w:lang w:val="en-US"/>
        </w:rPr>
        <w:t xml:space="preserve"> Islam</w:t>
      </w:r>
      <w:r>
        <w:rPr>
          <w:noProof/>
          <w:sz w:val="28"/>
          <w:lang w:val="en-US"/>
        </w:rPr>
        <w:t>ic</w:t>
      </w:r>
      <w:r w:rsidRPr="001C63FB">
        <w:rPr>
          <w:noProof/>
          <w:sz w:val="28"/>
          <w:lang w:val="en-US"/>
        </w:rPr>
        <w:t xml:space="preserve"> Account</w:t>
      </w:r>
      <w:r>
        <w:rPr>
          <w:noProof/>
          <w:sz w:val="28"/>
          <w:lang w:val="en-US"/>
        </w:rPr>
        <w:t>ing and</w:t>
      </w:r>
      <w:r w:rsidRPr="001C63FB">
        <w:rPr>
          <w:noProof/>
          <w:sz w:val="28"/>
          <w:lang w:val="en-US"/>
        </w:rPr>
        <w:t xml:space="preserve"> Bus</w:t>
      </w:r>
      <w:r>
        <w:rPr>
          <w:noProof/>
          <w:sz w:val="28"/>
          <w:lang w:val="en-US"/>
        </w:rPr>
        <w:t>iness</w:t>
      </w:r>
      <w:r w:rsidRPr="001C63FB">
        <w:rPr>
          <w:noProof/>
          <w:sz w:val="28"/>
          <w:lang w:val="en-US"/>
        </w:rPr>
        <w:t xml:space="preserve"> Res</w:t>
      </w:r>
      <w:r>
        <w:rPr>
          <w:noProof/>
          <w:sz w:val="28"/>
          <w:lang w:val="en-US"/>
        </w:rPr>
        <w:t>earch.</w:t>
      </w:r>
      <w:r w:rsidRPr="000F1387">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2021. –</w:t>
      </w:r>
      <w:r>
        <w:rPr>
          <w:noProof/>
          <w:sz w:val="28"/>
          <w:lang w:val="en-US"/>
        </w:rPr>
        <w:t xml:space="preserve"> </w:t>
      </w:r>
      <w:r w:rsidRPr="001C63FB">
        <w:rPr>
          <w:noProof/>
          <w:sz w:val="28"/>
          <w:lang w:val="en-US"/>
        </w:rPr>
        <w:t>Vol. 12, № 5. –</w:t>
      </w:r>
      <w:r>
        <w:rPr>
          <w:noProof/>
          <w:sz w:val="28"/>
          <w:lang w:val="en-US"/>
        </w:rPr>
        <w:t xml:space="preserve"> </w:t>
      </w:r>
      <w:r w:rsidRPr="001C63FB">
        <w:rPr>
          <w:noProof/>
          <w:sz w:val="28"/>
          <w:lang w:val="en-US"/>
        </w:rPr>
        <w:t>P. 707–728.</w:t>
      </w:r>
      <w:r w:rsidRPr="00CF3C04">
        <w:rPr>
          <w:rFonts w:ascii="Garamond" w:hAnsi="Garamond" w:cs="AppleSystemUIFont"/>
          <w:i/>
          <w:color w:val="000000"/>
          <w:lang w:val="en-US"/>
        </w:rPr>
        <w:t xml:space="preserve"> </w:t>
      </w:r>
      <w:hyperlink r:id="rId88" w:history="1">
        <w:r w:rsidRPr="00CF3C04">
          <w:rPr>
            <w:color w:val="000000"/>
            <w:sz w:val="28"/>
            <w:szCs w:val="28"/>
            <w:u w:val="single" w:color="DCA10D"/>
            <w:lang w:val="en-US"/>
          </w:rPr>
          <w:t>https://doi.org/10.1108/JIABR-11-2020-0356</w:t>
        </w:r>
      </w:hyperlink>
      <w:r>
        <w:rPr>
          <w:color w:val="000000"/>
          <w:sz w:val="28"/>
          <w:szCs w:val="28"/>
          <w:u w:val="single" w:color="DCA10D"/>
          <w:lang w:val="en-US"/>
        </w:rPr>
        <w:t>. 12.02.2022</w:t>
      </w:r>
    </w:p>
    <w:p w14:paraId="364E7E23"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32</w:t>
      </w:r>
      <w:r>
        <w:rPr>
          <w:noProof/>
          <w:sz w:val="28"/>
          <w:lang w:val="en-US"/>
        </w:rPr>
        <w:t xml:space="preserve"> </w:t>
      </w:r>
      <w:r w:rsidRPr="001C63FB">
        <w:rPr>
          <w:noProof/>
          <w:sz w:val="28"/>
          <w:lang w:val="en-US"/>
        </w:rPr>
        <w:t xml:space="preserve">Kuanova L. </w:t>
      </w:r>
      <w:r>
        <w:rPr>
          <w:noProof/>
          <w:sz w:val="28"/>
          <w:lang w:val="en-US"/>
        </w:rPr>
        <w:t>S</w:t>
      </w:r>
      <w:r w:rsidRPr="001C63FB">
        <w:rPr>
          <w:noProof/>
          <w:sz w:val="28"/>
          <w:lang w:val="en-US"/>
        </w:rPr>
        <w:t xml:space="preserve">ocial responsibility and efficiency of </w:t>
      </w:r>
      <w:r>
        <w:rPr>
          <w:noProof/>
          <w:sz w:val="28"/>
          <w:lang w:val="en-US"/>
        </w:rPr>
        <w:t>I</w:t>
      </w:r>
      <w:r w:rsidRPr="001C63FB">
        <w:rPr>
          <w:noProof/>
          <w:sz w:val="28"/>
          <w:lang w:val="en-US"/>
        </w:rPr>
        <w:t>slamic financial institutions // 2021 International Young Scholars’Conference. –</w:t>
      </w:r>
      <w:r>
        <w:rPr>
          <w:noProof/>
          <w:sz w:val="28"/>
          <w:lang w:val="en-US"/>
        </w:rPr>
        <w:t xml:space="preserve"> </w:t>
      </w:r>
      <w:r w:rsidRPr="001C63FB">
        <w:rPr>
          <w:noProof/>
          <w:sz w:val="28"/>
          <w:lang w:val="en-US"/>
        </w:rPr>
        <w:t>2021. –</w:t>
      </w:r>
      <w:r>
        <w:rPr>
          <w:noProof/>
          <w:sz w:val="28"/>
          <w:lang w:val="en-US"/>
        </w:rPr>
        <w:t xml:space="preserve"> </w:t>
      </w:r>
      <w:r w:rsidRPr="001C63FB">
        <w:rPr>
          <w:noProof/>
          <w:sz w:val="28"/>
          <w:lang w:val="en-US"/>
        </w:rPr>
        <w:t>P. 504–523.</w:t>
      </w:r>
    </w:p>
    <w:p w14:paraId="7C49CF7D"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33</w:t>
      </w:r>
      <w:r>
        <w:rPr>
          <w:noProof/>
          <w:sz w:val="28"/>
          <w:lang w:val="en-US"/>
        </w:rPr>
        <w:t xml:space="preserve"> </w:t>
      </w:r>
      <w:r w:rsidRPr="001C63FB">
        <w:rPr>
          <w:noProof/>
          <w:sz w:val="28"/>
          <w:lang w:val="en-US"/>
        </w:rPr>
        <w:t>Bank Negara Malaysia. Shariah Resolution in Islamic Finance // Bank Negara Malaysia. Malaysia</w:t>
      </w:r>
      <w:r>
        <w:rPr>
          <w:noProof/>
          <w:sz w:val="28"/>
          <w:lang w:val="en-US"/>
        </w:rPr>
        <w:t>.</w:t>
      </w:r>
      <w:r w:rsidRPr="000F1387">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2010. –</w:t>
      </w:r>
      <w:r>
        <w:rPr>
          <w:noProof/>
          <w:sz w:val="28"/>
          <w:lang w:val="en-US"/>
        </w:rPr>
        <w:t xml:space="preserve"> </w:t>
      </w:r>
      <w:r w:rsidRPr="001C63FB">
        <w:rPr>
          <w:noProof/>
          <w:sz w:val="28"/>
          <w:lang w:val="en-US"/>
        </w:rPr>
        <w:t>P. 215.</w:t>
      </w:r>
    </w:p>
    <w:p w14:paraId="36A9F941"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34</w:t>
      </w:r>
      <w:r>
        <w:rPr>
          <w:noProof/>
          <w:sz w:val="28"/>
          <w:lang w:val="en-US"/>
        </w:rPr>
        <w:t xml:space="preserve"> </w:t>
      </w:r>
      <w:r w:rsidRPr="001C63FB">
        <w:rPr>
          <w:noProof/>
          <w:sz w:val="28"/>
          <w:lang w:val="en-US"/>
        </w:rPr>
        <w:t>Zulkipli Z.N.B. Late Payment Penalty: Ta’widh And Gharamah Imposed To Debtor From The Shariah Perspective // Yuridika. 2019. –</w:t>
      </w:r>
      <w:r>
        <w:rPr>
          <w:noProof/>
          <w:sz w:val="28"/>
          <w:lang w:val="en-US"/>
        </w:rPr>
        <w:t xml:space="preserve"> </w:t>
      </w:r>
      <w:r w:rsidRPr="001C63FB">
        <w:rPr>
          <w:noProof/>
          <w:sz w:val="28"/>
          <w:lang w:val="en-US"/>
        </w:rPr>
        <w:t>Vol. 35, № 1. –</w:t>
      </w:r>
      <w:r>
        <w:rPr>
          <w:noProof/>
          <w:sz w:val="28"/>
          <w:lang w:val="en-US"/>
        </w:rPr>
        <w:t xml:space="preserve"> </w:t>
      </w:r>
      <w:r w:rsidRPr="001C63FB">
        <w:rPr>
          <w:noProof/>
          <w:sz w:val="28"/>
          <w:lang w:val="en-US"/>
        </w:rPr>
        <w:t>P. 187.</w:t>
      </w:r>
    </w:p>
    <w:p w14:paraId="31CBFC6B"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35</w:t>
      </w:r>
      <w:r>
        <w:rPr>
          <w:noProof/>
          <w:sz w:val="28"/>
          <w:lang w:val="en-US"/>
        </w:rPr>
        <w:t xml:space="preserve"> </w:t>
      </w:r>
      <w:r w:rsidRPr="001C63FB">
        <w:rPr>
          <w:noProof/>
          <w:sz w:val="28"/>
          <w:lang w:val="en-US"/>
        </w:rPr>
        <w:t>Mumtaz Hussain, Shahmoradi A., Turk R. An Overview of Islamic Finance // June. 2015. –</w:t>
      </w:r>
      <w:r>
        <w:rPr>
          <w:noProof/>
          <w:sz w:val="28"/>
          <w:lang w:val="en-US"/>
        </w:rPr>
        <w:t xml:space="preserve"> </w:t>
      </w:r>
      <w:r w:rsidRPr="001C63FB">
        <w:rPr>
          <w:noProof/>
          <w:sz w:val="28"/>
          <w:lang w:val="en-US"/>
        </w:rPr>
        <w:t>35 p.</w:t>
      </w:r>
    </w:p>
    <w:p w14:paraId="799F6B7C"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36</w:t>
      </w:r>
      <w:r>
        <w:rPr>
          <w:noProof/>
          <w:sz w:val="28"/>
          <w:lang w:val="en-US"/>
        </w:rPr>
        <w:t xml:space="preserve"> </w:t>
      </w:r>
      <w:r w:rsidRPr="001C63FB">
        <w:rPr>
          <w:noProof/>
          <w:sz w:val="28"/>
          <w:lang w:val="en-US"/>
        </w:rPr>
        <w:t>Yu.N. G., S.N. M. Islamic finance: features of formation and development // Russ. J. Entrep. –</w:t>
      </w:r>
      <w:r>
        <w:rPr>
          <w:noProof/>
          <w:sz w:val="28"/>
          <w:lang w:val="en-US"/>
        </w:rPr>
        <w:t xml:space="preserve"> </w:t>
      </w:r>
      <w:r w:rsidRPr="001C63FB">
        <w:rPr>
          <w:noProof/>
          <w:sz w:val="28"/>
          <w:lang w:val="en-US"/>
        </w:rPr>
        <w:t>2018. –</w:t>
      </w:r>
      <w:r>
        <w:rPr>
          <w:noProof/>
          <w:sz w:val="28"/>
          <w:lang w:val="en-US"/>
        </w:rPr>
        <w:t xml:space="preserve"> </w:t>
      </w:r>
      <w:r w:rsidRPr="001C63FB">
        <w:rPr>
          <w:noProof/>
          <w:sz w:val="28"/>
          <w:lang w:val="en-US"/>
        </w:rPr>
        <w:t>Vol. 19, № 1. –</w:t>
      </w:r>
      <w:r>
        <w:rPr>
          <w:noProof/>
          <w:sz w:val="28"/>
          <w:lang w:val="en-US"/>
        </w:rPr>
        <w:t xml:space="preserve"> </w:t>
      </w:r>
      <w:r w:rsidRPr="001C63FB">
        <w:rPr>
          <w:noProof/>
          <w:sz w:val="28"/>
          <w:lang w:val="en-US"/>
        </w:rPr>
        <w:t>P. 335.</w:t>
      </w:r>
    </w:p>
    <w:p w14:paraId="73EB7359"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37</w:t>
      </w:r>
      <w:r>
        <w:rPr>
          <w:noProof/>
          <w:sz w:val="28"/>
          <w:lang w:val="en-US"/>
        </w:rPr>
        <w:t xml:space="preserve"> </w:t>
      </w:r>
      <w:r w:rsidRPr="001C63FB">
        <w:rPr>
          <w:noProof/>
          <w:sz w:val="28"/>
          <w:lang w:val="en-US"/>
        </w:rPr>
        <w:t>AAOIFI. Sariah Standarts. Manama, 2015. –</w:t>
      </w:r>
      <w:r>
        <w:rPr>
          <w:noProof/>
          <w:sz w:val="28"/>
          <w:lang w:val="en-US"/>
        </w:rPr>
        <w:t xml:space="preserve"> </w:t>
      </w:r>
      <w:r w:rsidRPr="001C63FB">
        <w:rPr>
          <w:noProof/>
          <w:sz w:val="28"/>
          <w:lang w:val="en-US"/>
        </w:rPr>
        <w:t>1262 p.</w:t>
      </w:r>
    </w:p>
    <w:p w14:paraId="2AB50E8D"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38</w:t>
      </w:r>
      <w:r>
        <w:rPr>
          <w:noProof/>
          <w:sz w:val="28"/>
          <w:lang w:val="en-US"/>
        </w:rPr>
        <w:t xml:space="preserve"> </w:t>
      </w:r>
      <w:r w:rsidRPr="001C63FB">
        <w:rPr>
          <w:noProof/>
          <w:sz w:val="28"/>
          <w:lang w:val="en-US"/>
        </w:rPr>
        <w:t>EthicaI Institute. Handbook of Islamic Finance. US Newark: Ethica Institute of Islamic finance</w:t>
      </w:r>
      <w:r>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2016. –</w:t>
      </w:r>
      <w:r>
        <w:rPr>
          <w:noProof/>
          <w:sz w:val="28"/>
          <w:lang w:val="en-US"/>
        </w:rPr>
        <w:t xml:space="preserve"> </w:t>
      </w:r>
      <w:r w:rsidRPr="001C63FB">
        <w:rPr>
          <w:noProof/>
          <w:sz w:val="28"/>
          <w:lang w:val="en-US"/>
        </w:rPr>
        <w:t>1–800 p.</w:t>
      </w:r>
    </w:p>
    <w:p w14:paraId="7EFBFC61"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39</w:t>
      </w:r>
      <w:r>
        <w:rPr>
          <w:noProof/>
          <w:sz w:val="28"/>
          <w:lang w:val="en-US"/>
        </w:rPr>
        <w:t xml:space="preserve"> </w:t>
      </w:r>
      <w:r w:rsidRPr="001C63FB">
        <w:rPr>
          <w:noProof/>
          <w:sz w:val="28"/>
          <w:lang w:val="en-US"/>
        </w:rPr>
        <w:t>Beck T., Demirgüç-Kunt A., Merrouche O. Islamic vs. conventional banking: Business model, efficiency and stability // J. Bank. Financ. –</w:t>
      </w:r>
      <w:r>
        <w:rPr>
          <w:noProof/>
          <w:sz w:val="28"/>
          <w:lang w:val="en-US"/>
        </w:rPr>
        <w:t xml:space="preserve"> </w:t>
      </w:r>
      <w:r w:rsidRPr="001C63FB">
        <w:rPr>
          <w:noProof/>
          <w:sz w:val="28"/>
          <w:lang w:val="en-US"/>
        </w:rPr>
        <w:t>2013. –</w:t>
      </w:r>
      <w:r>
        <w:rPr>
          <w:noProof/>
          <w:sz w:val="28"/>
          <w:lang w:val="en-US"/>
        </w:rPr>
        <w:t xml:space="preserve"> </w:t>
      </w:r>
      <w:r w:rsidRPr="001C63FB">
        <w:rPr>
          <w:noProof/>
          <w:sz w:val="28"/>
          <w:lang w:val="en-US"/>
        </w:rPr>
        <w:t>Vol. 37, № 2. –</w:t>
      </w:r>
      <w:r>
        <w:rPr>
          <w:noProof/>
          <w:sz w:val="28"/>
          <w:lang w:val="en-US"/>
        </w:rPr>
        <w:t xml:space="preserve"> </w:t>
      </w:r>
      <w:r w:rsidRPr="001C63FB">
        <w:rPr>
          <w:noProof/>
          <w:sz w:val="28"/>
          <w:lang w:val="en-US"/>
        </w:rPr>
        <w:t>P. 433–447.</w:t>
      </w:r>
    </w:p>
    <w:p w14:paraId="240E082E"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40</w:t>
      </w:r>
      <w:r>
        <w:rPr>
          <w:noProof/>
          <w:sz w:val="28"/>
          <w:lang w:val="en-US"/>
        </w:rPr>
        <w:t xml:space="preserve"> </w:t>
      </w:r>
      <w:r w:rsidRPr="001C63FB">
        <w:rPr>
          <w:noProof/>
          <w:sz w:val="28"/>
          <w:lang w:val="en-US"/>
        </w:rPr>
        <w:t>Billah M.M. Islamic Financial Products Principles , Instruments. Jeddah, Saudi Arabia ISB: Pulgrave macmillan</w:t>
      </w:r>
      <w:r>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2019. –</w:t>
      </w:r>
      <w:r>
        <w:rPr>
          <w:noProof/>
          <w:sz w:val="28"/>
          <w:lang w:val="en-US"/>
        </w:rPr>
        <w:t xml:space="preserve"> </w:t>
      </w:r>
      <w:r w:rsidRPr="001C63FB">
        <w:rPr>
          <w:noProof/>
          <w:sz w:val="28"/>
          <w:lang w:val="en-US"/>
        </w:rPr>
        <w:t>443 p.</w:t>
      </w:r>
    </w:p>
    <w:p w14:paraId="495C98C3"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41</w:t>
      </w:r>
      <w:r>
        <w:rPr>
          <w:noProof/>
          <w:sz w:val="28"/>
          <w:lang w:val="en-US"/>
        </w:rPr>
        <w:t xml:space="preserve"> </w:t>
      </w:r>
      <w:r w:rsidRPr="00CF3C04">
        <w:rPr>
          <w:noProof/>
          <w:sz w:val="28"/>
          <w:szCs w:val="28"/>
          <w:lang w:val="en-US"/>
        </w:rPr>
        <w:t xml:space="preserve">Akhter W., Pappas V., Khan S.U. A comparison of Islamic and conventional insurance demand: Worldwide evidence during the Global Financial Crisis // </w:t>
      </w:r>
      <w:r w:rsidRPr="00CF3C04">
        <w:rPr>
          <w:sz w:val="28"/>
          <w:szCs w:val="28"/>
          <w:lang w:val="en-US"/>
        </w:rPr>
        <w:t>Research in International Business and Finance</w:t>
      </w:r>
      <w:r w:rsidRPr="00CF3C04">
        <w:rPr>
          <w:noProof/>
          <w:sz w:val="28"/>
          <w:szCs w:val="28"/>
          <w:lang w:val="en-US"/>
        </w:rPr>
        <w:t xml:space="preserve">. – 2017. </w:t>
      </w:r>
    </w:p>
    <w:p w14:paraId="005D58B2" w14:textId="77777777" w:rsidR="0086759A"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F33794">
        <w:rPr>
          <w:noProof/>
          <w:sz w:val="28"/>
          <w:szCs w:val="28"/>
          <w:lang w:val="en-US"/>
        </w:rPr>
        <w:t>42</w:t>
      </w:r>
      <w:r>
        <w:rPr>
          <w:noProof/>
          <w:sz w:val="28"/>
          <w:szCs w:val="28"/>
          <w:lang w:val="en-US"/>
        </w:rPr>
        <w:t xml:space="preserve"> </w:t>
      </w:r>
      <w:r w:rsidRPr="00F33794">
        <w:rPr>
          <w:noProof/>
          <w:sz w:val="28"/>
          <w:szCs w:val="28"/>
          <w:lang w:val="en-US"/>
        </w:rPr>
        <w:t xml:space="preserve">Shirazi N., Kuanova L., Ryskulov A., Mukusheva. </w:t>
      </w:r>
      <w:r w:rsidRPr="00F33794">
        <w:rPr>
          <w:sz w:val="28"/>
          <w:szCs w:val="28"/>
          <w:lang w:val="en-US"/>
        </w:rPr>
        <w:t xml:space="preserve">Qualitative Research in Financial Markets. </w:t>
      </w:r>
      <w:r w:rsidRPr="00F33794">
        <w:rPr>
          <w:noProof/>
          <w:sz w:val="28"/>
          <w:szCs w:val="28"/>
          <w:lang w:val="en-US"/>
        </w:rPr>
        <w:t>– 2021.</w:t>
      </w:r>
      <w:r w:rsidRPr="00017994">
        <w:rPr>
          <w:rFonts w:ascii="Garamond" w:hAnsi="Garamond"/>
          <w:color w:val="000000"/>
          <w:lang w:val="en-US"/>
        </w:rPr>
        <w:t xml:space="preserve"> </w:t>
      </w:r>
      <w:hyperlink r:id="rId89" w:history="1">
        <w:r w:rsidRPr="00017994">
          <w:rPr>
            <w:color w:val="000000"/>
            <w:sz w:val="28"/>
            <w:szCs w:val="28"/>
            <w:u w:val="single" w:color="DCA10D"/>
            <w:lang w:val="en-US"/>
          </w:rPr>
          <w:t>10.1108/QRFM-03-2020-0023</w:t>
        </w:r>
      </w:hyperlink>
      <w:r>
        <w:rPr>
          <w:color w:val="000000"/>
          <w:sz w:val="28"/>
          <w:szCs w:val="28"/>
          <w:u w:val="single" w:color="DCA10D"/>
          <w:lang w:val="en-US"/>
        </w:rPr>
        <w:t>. 25.01.2022</w:t>
      </w:r>
    </w:p>
    <w:p w14:paraId="18204EB4" w14:textId="77777777" w:rsidR="0086759A" w:rsidRDefault="0086759A" w:rsidP="0086759A">
      <w:pPr>
        <w:widowControl w:val="0"/>
        <w:autoSpaceDE w:val="0"/>
        <w:autoSpaceDN w:val="0"/>
        <w:adjustRightInd w:val="0"/>
        <w:jc w:val="both"/>
        <w:rPr>
          <w:noProof/>
          <w:sz w:val="28"/>
          <w:lang w:val="en-US"/>
        </w:rPr>
      </w:pPr>
      <w:r>
        <w:rPr>
          <w:noProof/>
          <w:sz w:val="28"/>
          <w:lang w:val="en-US"/>
        </w:rPr>
        <w:tab/>
        <w:t xml:space="preserve">43 </w:t>
      </w:r>
      <w:r w:rsidRPr="006F2B8C">
        <w:rPr>
          <w:noProof/>
          <w:sz w:val="28"/>
          <w:lang w:val="en-US"/>
        </w:rPr>
        <w:t xml:space="preserve">Kuanova L. Alternative financing of the economy - Islamic finance in Kazakhstan // Innovative and enterpreneurial education in the context of improving the quality of life. </w:t>
      </w:r>
      <w:r w:rsidRPr="00F33794">
        <w:rPr>
          <w:noProof/>
          <w:sz w:val="28"/>
          <w:szCs w:val="28"/>
          <w:lang w:val="en-US"/>
        </w:rPr>
        <w:t>–</w:t>
      </w:r>
      <w:r>
        <w:rPr>
          <w:noProof/>
          <w:sz w:val="28"/>
          <w:szCs w:val="28"/>
          <w:lang w:val="en-US"/>
        </w:rPr>
        <w:t xml:space="preserve"> </w:t>
      </w:r>
      <w:r w:rsidRPr="006F2B8C">
        <w:rPr>
          <w:noProof/>
          <w:sz w:val="28"/>
          <w:lang w:val="en-US"/>
        </w:rPr>
        <w:t xml:space="preserve">2019. </w:t>
      </w:r>
      <w:r w:rsidRPr="00F33794">
        <w:rPr>
          <w:noProof/>
          <w:sz w:val="28"/>
          <w:szCs w:val="28"/>
          <w:lang w:val="en-US"/>
        </w:rPr>
        <w:t>–</w:t>
      </w:r>
      <w:r>
        <w:rPr>
          <w:noProof/>
          <w:sz w:val="28"/>
          <w:szCs w:val="28"/>
          <w:lang w:val="en-US"/>
        </w:rPr>
        <w:t xml:space="preserve"> </w:t>
      </w:r>
      <w:r w:rsidRPr="006F2B8C">
        <w:rPr>
          <w:noProof/>
          <w:sz w:val="28"/>
          <w:lang w:val="en-US"/>
        </w:rPr>
        <w:t>P. 17–21.</w:t>
      </w:r>
    </w:p>
    <w:p w14:paraId="2A77FF0C" w14:textId="77777777" w:rsidR="0086759A" w:rsidRPr="0055389B" w:rsidRDefault="0086759A" w:rsidP="0086759A">
      <w:pPr>
        <w:widowControl w:val="0"/>
        <w:autoSpaceDE w:val="0"/>
        <w:autoSpaceDN w:val="0"/>
        <w:adjustRightInd w:val="0"/>
        <w:jc w:val="both"/>
        <w:rPr>
          <w:noProof/>
          <w:sz w:val="28"/>
          <w:lang w:val="en-US"/>
        </w:rPr>
      </w:pPr>
      <w:r>
        <w:rPr>
          <w:noProof/>
          <w:sz w:val="28"/>
          <w:lang w:val="en-US"/>
        </w:rPr>
        <w:tab/>
        <w:t xml:space="preserve">44 </w:t>
      </w:r>
      <w:r w:rsidRPr="001C63FB">
        <w:rPr>
          <w:noProof/>
          <w:sz w:val="28"/>
          <w:lang w:val="en-US"/>
        </w:rPr>
        <w:t>I</w:t>
      </w:r>
      <w:r>
        <w:rPr>
          <w:noProof/>
          <w:sz w:val="28"/>
          <w:lang w:val="en-US"/>
        </w:rPr>
        <w:t>FSB</w:t>
      </w:r>
      <w:r w:rsidRPr="001C63FB">
        <w:rPr>
          <w:noProof/>
          <w:sz w:val="28"/>
          <w:lang w:val="en-US"/>
        </w:rPr>
        <w:t xml:space="preserve"> C.A.R. Prudential and Structural Islamic Financial Indicators (PSIFIs) for Islamic Banks Additional Prudential Islamic Financial Indicators (PIFIs). Kuala Lumpur</w:t>
      </w:r>
      <w:r>
        <w:rPr>
          <w:noProof/>
          <w:sz w:val="28"/>
          <w:lang w:val="en-US"/>
        </w:rPr>
        <w:t>.</w:t>
      </w:r>
      <w:r w:rsidRPr="00F33794">
        <w:rPr>
          <w:noProof/>
          <w:sz w:val="28"/>
          <w:lang w:val="en-US"/>
        </w:rPr>
        <w:t xml:space="preserve"> </w:t>
      </w:r>
      <w:r w:rsidRPr="001C63FB">
        <w:rPr>
          <w:noProof/>
          <w:sz w:val="28"/>
          <w:lang w:val="en-US"/>
        </w:rPr>
        <w:t>– 2019. –</w:t>
      </w:r>
      <w:r>
        <w:rPr>
          <w:noProof/>
          <w:sz w:val="28"/>
          <w:lang w:val="en-US"/>
        </w:rPr>
        <w:t xml:space="preserve"> </w:t>
      </w:r>
      <w:r w:rsidRPr="001C63FB">
        <w:rPr>
          <w:noProof/>
          <w:sz w:val="28"/>
          <w:lang w:val="en-US"/>
        </w:rPr>
        <w:t>1–5 p.</w:t>
      </w:r>
    </w:p>
    <w:p w14:paraId="58804548"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4</w:t>
      </w:r>
      <w:r>
        <w:rPr>
          <w:noProof/>
          <w:sz w:val="28"/>
          <w:lang w:val="en-US"/>
        </w:rPr>
        <w:t xml:space="preserve">5 </w:t>
      </w:r>
      <w:r w:rsidRPr="00CB7068">
        <w:rPr>
          <w:noProof/>
          <w:sz w:val="28"/>
          <w:szCs w:val="28"/>
          <w:lang w:val="en-US"/>
        </w:rPr>
        <w:t xml:space="preserve">Al-Jarhi M. Remedy for Banking Crises: What Chicago and Islam Have In Common: A Comment // </w:t>
      </w:r>
      <w:r w:rsidRPr="00CB7068">
        <w:rPr>
          <w:sz w:val="28"/>
          <w:szCs w:val="28"/>
          <w:lang w:val="en-US"/>
        </w:rPr>
        <w:t>Islamic Economic Studies</w:t>
      </w:r>
      <w:r w:rsidRPr="00CB7068">
        <w:rPr>
          <w:noProof/>
          <w:sz w:val="28"/>
          <w:szCs w:val="28"/>
          <w:lang w:val="en-US"/>
        </w:rPr>
        <w:t>. –2004. –Vol. 11, № 2. – P. 23–42.</w:t>
      </w:r>
    </w:p>
    <w:p w14:paraId="4BEEC9FA" w14:textId="77777777" w:rsidR="0086759A" w:rsidRDefault="0086759A" w:rsidP="0086759A">
      <w:pPr>
        <w:widowControl w:val="0"/>
        <w:autoSpaceDE w:val="0"/>
        <w:autoSpaceDN w:val="0"/>
        <w:adjustRightInd w:val="0"/>
        <w:jc w:val="both"/>
        <w:rPr>
          <w:noProof/>
          <w:sz w:val="28"/>
          <w:szCs w:val="28"/>
          <w:lang w:val="en-US"/>
        </w:rPr>
      </w:pPr>
      <w:r>
        <w:rPr>
          <w:noProof/>
          <w:sz w:val="28"/>
          <w:lang w:val="en-US"/>
        </w:rPr>
        <w:tab/>
      </w:r>
      <w:r w:rsidRPr="001C63FB">
        <w:rPr>
          <w:noProof/>
          <w:sz w:val="28"/>
          <w:lang w:val="en-US"/>
        </w:rPr>
        <w:t>4</w:t>
      </w:r>
      <w:r>
        <w:rPr>
          <w:noProof/>
          <w:sz w:val="28"/>
          <w:szCs w:val="28"/>
          <w:lang w:val="en-US"/>
        </w:rPr>
        <w:t xml:space="preserve">6 </w:t>
      </w:r>
      <w:r w:rsidRPr="00CB7068">
        <w:rPr>
          <w:noProof/>
          <w:sz w:val="28"/>
          <w:szCs w:val="28"/>
          <w:lang w:val="en-US"/>
        </w:rPr>
        <w:t xml:space="preserve">Al-Jarhi M.A. An economic theory of Islamic finance // </w:t>
      </w:r>
      <w:r w:rsidRPr="00CB7068">
        <w:rPr>
          <w:sz w:val="28"/>
          <w:szCs w:val="28"/>
          <w:lang w:val="en-US"/>
        </w:rPr>
        <w:t>ISRA International Journal of Islamic Finance</w:t>
      </w:r>
      <w:r>
        <w:rPr>
          <w:noProof/>
          <w:sz w:val="28"/>
          <w:szCs w:val="28"/>
          <w:lang w:val="en-US"/>
        </w:rPr>
        <w:t xml:space="preserve">. </w:t>
      </w:r>
      <w:r w:rsidRPr="001C63FB">
        <w:rPr>
          <w:noProof/>
          <w:sz w:val="28"/>
          <w:lang w:val="en-US"/>
        </w:rPr>
        <w:t>–</w:t>
      </w:r>
      <w:r>
        <w:rPr>
          <w:noProof/>
          <w:sz w:val="28"/>
          <w:lang w:val="en-US"/>
        </w:rPr>
        <w:t xml:space="preserve"> </w:t>
      </w:r>
      <w:r w:rsidRPr="00CB7068">
        <w:rPr>
          <w:noProof/>
          <w:sz w:val="28"/>
          <w:szCs w:val="28"/>
          <w:lang w:val="en-US"/>
        </w:rPr>
        <w:t xml:space="preserve">2017. </w:t>
      </w:r>
      <w:r w:rsidRPr="001C63FB">
        <w:rPr>
          <w:noProof/>
          <w:sz w:val="28"/>
          <w:lang w:val="en-US"/>
        </w:rPr>
        <w:t>–</w:t>
      </w:r>
      <w:r>
        <w:rPr>
          <w:noProof/>
          <w:sz w:val="28"/>
          <w:lang w:val="en-US"/>
        </w:rPr>
        <w:t xml:space="preserve"> </w:t>
      </w:r>
      <w:r w:rsidRPr="00CB7068">
        <w:rPr>
          <w:noProof/>
          <w:sz w:val="28"/>
          <w:szCs w:val="28"/>
          <w:lang w:val="en-US"/>
        </w:rPr>
        <w:t xml:space="preserve">Vol. 9, № 2. </w:t>
      </w:r>
      <w:r w:rsidRPr="001C63FB">
        <w:rPr>
          <w:noProof/>
          <w:sz w:val="28"/>
          <w:lang w:val="en-US"/>
        </w:rPr>
        <w:t>–</w:t>
      </w:r>
      <w:r>
        <w:rPr>
          <w:noProof/>
          <w:sz w:val="28"/>
          <w:lang w:val="en-US"/>
        </w:rPr>
        <w:t xml:space="preserve"> </w:t>
      </w:r>
      <w:r w:rsidRPr="00CB7068">
        <w:rPr>
          <w:noProof/>
          <w:sz w:val="28"/>
          <w:szCs w:val="28"/>
          <w:lang w:val="en-US"/>
        </w:rPr>
        <w:t>P. 117–132.</w:t>
      </w:r>
    </w:p>
    <w:p w14:paraId="22C74819" w14:textId="77777777" w:rsidR="0086759A" w:rsidRPr="009C5EFF" w:rsidRDefault="0086759A" w:rsidP="0086759A">
      <w:pPr>
        <w:widowControl w:val="0"/>
        <w:autoSpaceDE w:val="0"/>
        <w:autoSpaceDN w:val="0"/>
        <w:adjustRightInd w:val="0"/>
        <w:jc w:val="both"/>
        <w:rPr>
          <w:noProof/>
          <w:sz w:val="28"/>
          <w:lang w:val="en-US"/>
        </w:rPr>
      </w:pPr>
      <w:r>
        <w:rPr>
          <w:noProof/>
          <w:sz w:val="28"/>
          <w:lang w:val="en-US"/>
        </w:rPr>
        <w:tab/>
        <w:t xml:space="preserve">47 </w:t>
      </w:r>
      <w:r w:rsidRPr="009C5EFF">
        <w:rPr>
          <w:noProof/>
          <w:sz w:val="28"/>
          <w:lang w:val="en-US"/>
        </w:rPr>
        <w:t>Azmi S. Global Islamic Finance Report. Artificial intelligence and innovation in Islamic finance // Textbook of family medicine. London. – 2019. – 1–2 p.</w:t>
      </w:r>
    </w:p>
    <w:p w14:paraId="5225BD79"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4</w:t>
      </w:r>
      <w:r>
        <w:rPr>
          <w:noProof/>
          <w:sz w:val="28"/>
          <w:lang w:val="en-US"/>
        </w:rPr>
        <w:t xml:space="preserve">8 </w:t>
      </w:r>
      <w:r w:rsidRPr="001C63FB">
        <w:rPr>
          <w:noProof/>
          <w:sz w:val="28"/>
          <w:lang w:val="en-US"/>
        </w:rPr>
        <w:t>Standard &amp;Poor’s Global. Islamic Finance Outlook 2020.</w:t>
      </w:r>
      <w:r w:rsidRPr="00CB7068">
        <w:rPr>
          <w:noProof/>
          <w:sz w:val="28"/>
          <w:lang w:val="en-US"/>
        </w:rPr>
        <w:t xml:space="preserve"> </w:t>
      </w:r>
      <w:r w:rsidRPr="001C63FB">
        <w:rPr>
          <w:noProof/>
          <w:sz w:val="28"/>
          <w:lang w:val="en-US"/>
        </w:rPr>
        <w:t>–</w:t>
      </w:r>
      <w:r>
        <w:rPr>
          <w:noProof/>
          <w:sz w:val="28"/>
          <w:lang w:val="en-US"/>
        </w:rPr>
        <w:t xml:space="preserve"> </w:t>
      </w:r>
      <w:r w:rsidRPr="001C63FB">
        <w:rPr>
          <w:noProof/>
          <w:sz w:val="28"/>
          <w:lang w:val="en-US"/>
        </w:rPr>
        <w:t xml:space="preserve"> 2020. –</w:t>
      </w:r>
      <w:r>
        <w:rPr>
          <w:noProof/>
          <w:sz w:val="28"/>
          <w:lang w:val="en-US"/>
        </w:rPr>
        <w:t xml:space="preserve"> </w:t>
      </w:r>
      <w:r w:rsidRPr="001C63FB">
        <w:rPr>
          <w:noProof/>
          <w:sz w:val="28"/>
          <w:lang w:val="en-US"/>
        </w:rPr>
        <w:t>№ January.</w:t>
      </w:r>
    </w:p>
    <w:p w14:paraId="0CE2B55C"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4</w:t>
      </w:r>
      <w:r>
        <w:rPr>
          <w:noProof/>
          <w:sz w:val="28"/>
          <w:lang w:val="en-US"/>
        </w:rPr>
        <w:t xml:space="preserve">9 </w:t>
      </w:r>
      <w:r w:rsidRPr="001C63FB">
        <w:rPr>
          <w:noProof/>
          <w:sz w:val="28"/>
          <w:lang w:val="en-US"/>
        </w:rPr>
        <w:t>GSIA. Global Sustainable Investment Review</w:t>
      </w:r>
      <w:r>
        <w:rPr>
          <w:noProof/>
          <w:sz w:val="28"/>
          <w:lang w:val="en-US"/>
        </w:rPr>
        <w:t xml:space="preserve"> </w:t>
      </w:r>
      <w:r w:rsidRPr="001C63FB">
        <w:rPr>
          <w:noProof/>
          <w:sz w:val="28"/>
          <w:lang w:val="en-US"/>
        </w:rPr>
        <w:t>2012. –</w:t>
      </w:r>
      <w:r>
        <w:rPr>
          <w:noProof/>
          <w:sz w:val="28"/>
          <w:lang w:val="en-US"/>
        </w:rPr>
        <w:t xml:space="preserve"> </w:t>
      </w:r>
      <w:r w:rsidRPr="001C63FB">
        <w:rPr>
          <w:noProof/>
          <w:sz w:val="28"/>
          <w:lang w:val="en-US"/>
        </w:rPr>
        <w:t>2012.</w:t>
      </w:r>
    </w:p>
    <w:p w14:paraId="70543B33"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t xml:space="preserve">50 </w:t>
      </w:r>
      <w:r w:rsidRPr="001C63FB">
        <w:rPr>
          <w:noProof/>
          <w:sz w:val="28"/>
          <w:lang w:val="en-US"/>
        </w:rPr>
        <w:t xml:space="preserve">GSIA. Global </w:t>
      </w:r>
      <w:r>
        <w:rPr>
          <w:noProof/>
          <w:sz w:val="28"/>
          <w:lang w:val="en-US"/>
        </w:rPr>
        <w:t>S</w:t>
      </w:r>
      <w:r w:rsidRPr="001C63FB">
        <w:rPr>
          <w:noProof/>
          <w:sz w:val="28"/>
          <w:lang w:val="en-US"/>
        </w:rPr>
        <w:t xml:space="preserve">ustainable </w:t>
      </w:r>
      <w:r>
        <w:rPr>
          <w:noProof/>
          <w:sz w:val="28"/>
          <w:lang w:val="en-US"/>
        </w:rPr>
        <w:t>I</w:t>
      </w:r>
      <w:r w:rsidRPr="001C63FB">
        <w:rPr>
          <w:noProof/>
          <w:sz w:val="28"/>
          <w:lang w:val="en-US"/>
        </w:rPr>
        <w:t xml:space="preserve">nvestment </w:t>
      </w:r>
      <w:r>
        <w:rPr>
          <w:noProof/>
          <w:sz w:val="28"/>
          <w:lang w:val="en-US"/>
        </w:rPr>
        <w:t>R</w:t>
      </w:r>
      <w:r w:rsidRPr="001C63FB">
        <w:rPr>
          <w:noProof/>
          <w:sz w:val="28"/>
          <w:lang w:val="en-US"/>
        </w:rPr>
        <w:t>eview 2018. –</w:t>
      </w:r>
      <w:r>
        <w:rPr>
          <w:noProof/>
          <w:sz w:val="28"/>
          <w:lang w:val="en-US"/>
        </w:rPr>
        <w:t xml:space="preserve"> </w:t>
      </w:r>
      <w:r w:rsidRPr="001C63FB">
        <w:rPr>
          <w:noProof/>
          <w:sz w:val="28"/>
          <w:lang w:val="en-US"/>
        </w:rPr>
        <w:t>2019. –</w:t>
      </w:r>
      <w:r>
        <w:rPr>
          <w:noProof/>
          <w:sz w:val="28"/>
          <w:lang w:val="en-US"/>
        </w:rPr>
        <w:t xml:space="preserve"> </w:t>
      </w:r>
      <w:r w:rsidRPr="001C63FB">
        <w:rPr>
          <w:noProof/>
          <w:sz w:val="28"/>
          <w:lang w:val="en-US"/>
        </w:rPr>
        <w:t>P. 1–29.</w:t>
      </w:r>
    </w:p>
    <w:p w14:paraId="6A6FF6E1" w14:textId="77777777" w:rsidR="0086759A" w:rsidRPr="00CB7068" w:rsidRDefault="0086759A" w:rsidP="0086759A">
      <w:pPr>
        <w:jc w:val="both"/>
        <w:rPr>
          <w:lang w:val="en-US"/>
        </w:rPr>
      </w:pPr>
      <w:r>
        <w:rPr>
          <w:noProof/>
          <w:sz w:val="28"/>
          <w:lang w:val="en-US"/>
        </w:rPr>
        <w:tab/>
      </w:r>
      <w:r w:rsidRPr="001C63FB">
        <w:rPr>
          <w:noProof/>
          <w:sz w:val="28"/>
          <w:lang w:val="en-US"/>
        </w:rPr>
        <w:t>5</w:t>
      </w:r>
      <w:r>
        <w:rPr>
          <w:noProof/>
          <w:sz w:val="28"/>
          <w:lang w:val="en-US"/>
        </w:rPr>
        <w:t xml:space="preserve">1 </w:t>
      </w:r>
      <w:r w:rsidRPr="00CB7068">
        <w:rPr>
          <w:noProof/>
          <w:sz w:val="28"/>
          <w:szCs w:val="28"/>
          <w:lang w:val="en-US"/>
        </w:rPr>
        <w:t>L. Salvia, A.</w:t>
      </w:r>
      <w:r w:rsidRPr="00CB7068">
        <w:rPr>
          <w:sz w:val="28"/>
          <w:szCs w:val="28"/>
          <w:lang w:val="en-US"/>
        </w:rPr>
        <w:t xml:space="preserve"> </w:t>
      </w:r>
      <w:r w:rsidRPr="007E1F85">
        <w:rPr>
          <w:sz w:val="28"/>
          <w:szCs w:val="28"/>
          <w:lang w:val="en-US"/>
        </w:rPr>
        <w:t>Filho</w:t>
      </w:r>
      <w:r w:rsidRPr="00CB7068">
        <w:rPr>
          <w:sz w:val="28"/>
          <w:szCs w:val="28"/>
          <w:lang w:val="en-US"/>
        </w:rPr>
        <w:t xml:space="preserve">, </w:t>
      </w:r>
      <w:r w:rsidRPr="00CB7068">
        <w:rPr>
          <w:noProof/>
          <w:sz w:val="28"/>
          <w:szCs w:val="28"/>
          <w:lang w:val="en-US"/>
        </w:rPr>
        <w:t xml:space="preserve"> W. </w:t>
      </w:r>
      <w:r w:rsidRPr="007E1F85">
        <w:rPr>
          <w:sz w:val="28"/>
          <w:szCs w:val="28"/>
          <w:lang w:val="en-US"/>
        </w:rPr>
        <w:t>Brandli</w:t>
      </w:r>
      <w:r w:rsidRPr="00CB7068">
        <w:rPr>
          <w:noProof/>
          <w:sz w:val="28"/>
          <w:szCs w:val="28"/>
          <w:lang w:val="en-US"/>
        </w:rPr>
        <w:t xml:space="preserve">, L. </w:t>
      </w:r>
      <w:r w:rsidRPr="00CB7068">
        <w:rPr>
          <w:sz w:val="28"/>
          <w:szCs w:val="28"/>
          <w:lang w:val="en-US"/>
        </w:rPr>
        <w:t>Griebeler</w:t>
      </w:r>
      <w:r w:rsidRPr="00CB7068">
        <w:rPr>
          <w:noProof/>
          <w:sz w:val="28"/>
          <w:szCs w:val="28"/>
          <w:lang w:val="en-US"/>
        </w:rPr>
        <w:t xml:space="preserve">, J. </w:t>
      </w:r>
      <w:r w:rsidRPr="00CB7068">
        <w:rPr>
          <w:sz w:val="28"/>
          <w:szCs w:val="28"/>
          <w:lang w:val="en-US"/>
        </w:rPr>
        <w:t xml:space="preserve">Sapper. </w:t>
      </w:r>
      <w:r w:rsidRPr="001C63FB">
        <w:rPr>
          <w:noProof/>
          <w:sz w:val="28"/>
          <w:lang w:val="en-US"/>
        </w:rPr>
        <w:t>Assessing research trends related to Sustainable Development Goals: local and global issues. –</w:t>
      </w:r>
      <w:r>
        <w:rPr>
          <w:noProof/>
          <w:sz w:val="28"/>
          <w:lang w:val="en-US"/>
        </w:rPr>
        <w:t xml:space="preserve"> </w:t>
      </w:r>
      <w:r w:rsidRPr="001C63FB">
        <w:rPr>
          <w:noProof/>
          <w:sz w:val="28"/>
          <w:lang w:val="en-US"/>
        </w:rPr>
        <w:t>2018.</w:t>
      </w:r>
    </w:p>
    <w:p w14:paraId="645F108B"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5</w:t>
      </w:r>
      <w:r>
        <w:rPr>
          <w:noProof/>
          <w:sz w:val="28"/>
          <w:lang w:val="en-US"/>
        </w:rPr>
        <w:t xml:space="preserve">2 </w:t>
      </w:r>
      <w:r w:rsidRPr="001C63FB">
        <w:rPr>
          <w:noProof/>
          <w:sz w:val="28"/>
          <w:lang w:val="en-US"/>
        </w:rPr>
        <w:t>OCHA. Global Humanitarian overview 2020. –</w:t>
      </w:r>
      <w:r>
        <w:rPr>
          <w:noProof/>
          <w:sz w:val="28"/>
          <w:lang w:val="en-US"/>
        </w:rPr>
        <w:t xml:space="preserve"> </w:t>
      </w:r>
      <w:r w:rsidRPr="001C63FB">
        <w:rPr>
          <w:noProof/>
          <w:sz w:val="28"/>
          <w:lang w:val="en-US"/>
        </w:rPr>
        <w:t>2019. –</w:t>
      </w:r>
      <w:r>
        <w:rPr>
          <w:noProof/>
          <w:sz w:val="28"/>
          <w:lang w:val="en-US"/>
        </w:rPr>
        <w:t xml:space="preserve"> </w:t>
      </w:r>
      <w:r w:rsidRPr="001C63FB">
        <w:rPr>
          <w:noProof/>
          <w:sz w:val="28"/>
          <w:lang w:val="en-US"/>
        </w:rPr>
        <w:t>P. 80.</w:t>
      </w:r>
    </w:p>
    <w:p w14:paraId="2E0A9989"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5</w:t>
      </w:r>
      <w:r>
        <w:rPr>
          <w:noProof/>
          <w:sz w:val="28"/>
          <w:lang w:val="en-US"/>
        </w:rPr>
        <w:t xml:space="preserve">3 </w:t>
      </w:r>
      <w:r w:rsidRPr="001C63FB">
        <w:rPr>
          <w:noProof/>
          <w:sz w:val="28"/>
          <w:lang w:val="en-US"/>
        </w:rPr>
        <w:t>Moyer J.D., Hedden S. Are we on the right path to achieve the sustainable development goals</w:t>
      </w:r>
      <w:r w:rsidRPr="00C7361A">
        <w:rPr>
          <w:noProof/>
          <w:sz w:val="28"/>
          <w:szCs w:val="28"/>
          <w:lang w:val="en-US"/>
        </w:rPr>
        <w:t xml:space="preserve">? // </w:t>
      </w:r>
      <w:r w:rsidRPr="00C7361A">
        <w:rPr>
          <w:sz w:val="28"/>
          <w:szCs w:val="28"/>
          <w:lang w:val="en-US"/>
        </w:rPr>
        <w:t>World Development</w:t>
      </w:r>
      <w:r w:rsidRPr="00C7361A">
        <w:rPr>
          <w:noProof/>
          <w:sz w:val="28"/>
          <w:szCs w:val="28"/>
          <w:lang w:val="en-US"/>
        </w:rPr>
        <w:t xml:space="preserve">. </w:t>
      </w:r>
      <w:r w:rsidRPr="001C63FB">
        <w:rPr>
          <w:noProof/>
          <w:sz w:val="28"/>
          <w:lang w:val="en-US"/>
        </w:rPr>
        <w:t>–</w:t>
      </w:r>
      <w:r>
        <w:rPr>
          <w:noProof/>
          <w:sz w:val="28"/>
          <w:lang w:val="en-US"/>
        </w:rPr>
        <w:t xml:space="preserve"> </w:t>
      </w:r>
      <w:r w:rsidRPr="001C63FB">
        <w:rPr>
          <w:noProof/>
          <w:sz w:val="28"/>
          <w:lang w:val="en-US"/>
        </w:rPr>
        <w:t>2020. –</w:t>
      </w:r>
      <w:r>
        <w:rPr>
          <w:noProof/>
          <w:sz w:val="28"/>
          <w:lang w:val="en-US"/>
        </w:rPr>
        <w:t xml:space="preserve"> </w:t>
      </w:r>
      <w:r w:rsidRPr="001C63FB">
        <w:rPr>
          <w:noProof/>
          <w:sz w:val="28"/>
          <w:lang w:val="en-US"/>
        </w:rPr>
        <w:t>Vol. 127.</w:t>
      </w:r>
    </w:p>
    <w:p w14:paraId="67B0EBF7"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5</w:t>
      </w:r>
      <w:r>
        <w:rPr>
          <w:noProof/>
          <w:sz w:val="28"/>
          <w:lang w:val="en-US"/>
        </w:rPr>
        <w:t xml:space="preserve">4 </w:t>
      </w:r>
      <w:r w:rsidRPr="001C63FB">
        <w:rPr>
          <w:noProof/>
          <w:sz w:val="28"/>
          <w:lang w:val="en-US"/>
        </w:rPr>
        <w:t xml:space="preserve">Muhammad S.A., Saad R.A.-J. Moderating Effect of Attitude toward Zakat Payment on the Relationship between Moral Reasoning and Intention to Pay </w:t>
      </w:r>
      <w:r w:rsidRPr="00C7361A">
        <w:rPr>
          <w:noProof/>
          <w:sz w:val="28"/>
          <w:szCs w:val="28"/>
          <w:lang w:val="en-US"/>
        </w:rPr>
        <w:t xml:space="preserve">Zakat // </w:t>
      </w:r>
      <w:r w:rsidRPr="00C7361A">
        <w:rPr>
          <w:sz w:val="28"/>
          <w:szCs w:val="28"/>
          <w:lang w:val="en-US"/>
        </w:rPr>
        <w:t>Procedia - Social and Behavioral Sciences</w:t>
      </w:r>
      <w:r w:rsidRPr="00C7361A">
        <w:rPr>
          <w:noProof/>
          <w:sz w:val="28"/>
          <w:szCs w:val="28"/>
          <w:lang w:val="en-US"/>
        </w:rPr>
        <w:t>.</w:t>
      </w:r>
      <w:r w:rsidRPr="001C63FB">
        <w:rPr>
          <w:noProof/>
          <w:sz w:val="28"/>
          <w:lang w:val="en-US"/>
        </w:rPr>
        <w:t xml:space="preserve"> –2016.</w:t>
      </w:r>
      <w:r w:rsidRPr="00C7361A">
        <w:rPr>
          <w:noProof/>
          <w:sz w:val="28"/>
          <w:lang w:val="en-US"/>
        </w:rPr>
        <w:t xml:space="preserve"> </w:t>
      </w:r>
      <w:r w:rsidRPr="001C63FB">
        <w:rPr>
          <w:noProof/>
          <w:sz w:val="28"/>
          <w:lang w:val="en-US"/>
        </w:rPr>
        <w:t>– Vol. 219. –P. 520–527.</w:t>
      </w:r>
    </w:p>
    <w:p w14:paraId="095962B6" w14:textId="77777777" w:rsidR="0086759A"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5</w:t>
      </w:r>
      <w:r>
        <w:rPr>
          <w:noProof/>
          <w:sz w:val="28"/>
          <w:lang w:val="en-US"/>
        </w:rPr>
        <w:t xml:space="preserve">5 </w:t>
      </w:r>
      <w:r w:rsidRPr="001C63FB">
        <w:rPr>
          <w:noProof/>
          <w:sz w:val="28"/>
          <w:lang w:val="en-US"/>
        </w:rPr>
        <w:t>Zarka M.A., Shirazi N.S. Social tax and transfers for poverty alleviation: a case for low- and middle- income countries // Handbook of Empirical Research on Islam and Economic Life. –</w:t>
      </w:r>
      <w:r>
        <w:rPr>
          <w:noProof/>
          <w:sz w:val="28"/>
          <w:lang w:val="en-US"/>
        </w:rPr>
        <w:t xml:space="preserve"> </w:t>
      </w:r>
      <w:r w:rsidRPr="001C63FB">
        <w:rPr>
          <w:noProof/>
          <w:sz w:val="28"/>
          <w:lang w:val="en-US"/>
        </w:rPr>
        <w:t>2017. –</w:t>
      </w:r>
      <w:r>
        <w:rPr>
          <w:noProof/>
          <w:sz w:val="28"/>
          <w:lang w:val="en-US"/>
        </w:rPr>
        <w:t xml:space="preserve"> </w:t>
      </w:r>
      <w:r w:rsidRPr="001C63FB">
        <w:rPr>
          <w:noProof/>
          <w:sz w:val="28"/>
          <w:lang w:val="en-US"/>
        </w:rPr>
        <w:t>P. 253–272.</w:t>
      </w:r>
    </w:p>
    <w:p w14:paraId="452C9CE2"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t xml:space="preserve">56 </w:t>
      </w:r>
      <w:r w:rsidRPr="001C63FB">
        <w:rPr>
          <w:noProof/>
          <w:sz w:val="28"/>
          <w:lang w:val="en-US"/>
        </w:rPr>
        <w:t xml:space="preserve">Tahiri Jouti A. An integrated approach for building sustainable Islamic social finance ecosystems // </w:t>
      </w:r>
      <w:r w:rsidRPr="00CB7068">
        <w:rPr>
          <w:sz w:val="28"/>
          <w:szCs w:val="28"/>
          <w:lang w:val="en-US"/>
        </w:rPr>
        <w:t>ISRA International Journal of Islamic Finance</w:t>
      </w:r>
      <w:r>
        <w:rPr>
          <w:noProof/>
          <w:sz w:val="28"/>
          <w:szCs w:val="28"/>
          <w:lang w:val="en-US"/>
        </w:rPr>
        <w:t xml:space="preserve">. </w:t>
      </w:r>
      <w:r w:rsidRPr="001C63FB">
        <w:rPr>
          <w:noProof/>
          <w:sz w:val="28"/>
          <w:lang w:val="en-US"/>
        </w:rPr>
        <w:t>– 2019.</w:t>
      </w:r>
      <w:r w:rsidRPr="00BD5B34">
        <w:rPr>
          <w:noProof/>
          <w:sz w:val="28"/>
          <w:lang w:val="en-US"/>
        </w:rPr>
        <w:t xml:space="preserve"> </w:t>
      </w:r>
      <w:r w:rsidRPr="001C63FB">
        <w:rPr>
          <w:noProof/>
          <w:sz w:val="28"/>
          <w:lang w:val="en-US"/>
        </w:rPr>
        <w:t>–  Vol. 11, № 2. – P. 246–266.</w:t>
      </w:r>
    </w:p>
    <w:p w14:paraId="5B8B6FDA"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5</w:t>
      </w:r>
      <w:r>
        <w:rPr>
          <w:noProof/>
          <w:sz w:val="28"/>
          <w:lang w:val="en-US"/>
        </w:rPr>
        <w:t xml:space="preserve">7 </w:t>
      </w:r>
      <w:r w:rsidRPr="001C63FB">
        <w:rPr>
          <w:noProof/>
          <w:sz w:val="28"/>
          <w:lang w:val="en-US"/>
        </w:rPr>
        <w:t>Qardawi Y. Al. Fiqh al zakah: a comparative study of zakah, regulations and philosophy in the light of qur’an and sunnah. Valume 2. Jeddah: Scientific Publishing Centre King Abdulaziz University</w:t>
      </w:r>
      <w:r>
        <w:rPr>
          <w:noProof/>
          <w:sz w:val="28"/>
          <w:lang w:val="en-US"/>
        </w:rPr>
        <w:t xml:space="preserve">. </w:t>
      </w:r>
      <w:r w:rsidRPr="001C63FB">
        <w:rPr>
          <w:noProof/>
          <w:sz w:val="28"/>
          <w:lang w:val="en-US"/>
        </w:rPr>
        <w:t>–  1999. – 345 p.</w:t>
      </w:r>
    </w:p>
    <w:p w14:paraId="0F4EF1AA"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5</w:t>
      </w:r>
      <w:r>
        <w:rPr>
          <w:noProof/>
          <w:sz w:val="28"/>
          <w:lang w:val="en-US"/>
        </w:rPr>
        <w:t xml:space="preserve">8 </w:t>
      </w:r>
      <w:r w:rsidRPr="001C63FB">
        <w:rPr>
          <w:noProof/>
          <w:sz w:val="28"/>
          <w:lang w:val="en-US"/>
        </w:rPr>
        <w:t>Lord P. Ending Poverty // SSRN Electronic Journal. –2018. URL:https://www.un.org/en/sections/issues-depth/poverty/.</w:t>
      </w:r>
      <w:r>
        <w:rPr>
          <w:noProof/>
          <w:sz w:val="28"/>
          <w:lang w:val="en-US"/>
        </w:rPr>
        <w:t>10.09.2019</w:t>
      </w:r>
    </w:p>
    <w:p w14:paraId="6299B6B6"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5</w:t>
      </w:r>
      <w:r>
        <w:rPr>
          <w:noProof/>
          <w:sz w:val="28"/>
          <w:lang w:val="en-US"/>
        </w:rPr>
        <w:t xml:space="preserve">9 </w:t>
      </w:r>
      <w:r w:rsidRPr="00BD5B34">
        <w:rPr>
          <w:noProof/>
          <w:sz w:val="28"/>
          <w:szCs w:val="28"/>
          <w:lang w:val="en-US"/>
        </w:rPr>
        <w:t xml:space="preserve">Ummulkhayr A., Owoyemi M.Y., Cusairi R. Zakah Administration and its Importance: A Review // </w:t>
      </w:r>
      <w:r w:rsidRPr="00BD5B34">
        <w:rPr>
          <w:sz w:val="28"/>
          <w:szCs w:val="28"/>
          <w:lang w:val="en-US"/>
        </w:rPr>
        <w:t>IOSR Journal Of Humanities And Social Science</w:t>
      </w:r>
      <w:r w:rsidRPr="00BD5B34">
        <w:rPr>
          <w:noProof/>
          <w:sz w:val="28"/>
          <w:szCs w:val="28"/>
          <w:lang w:val="en-US"/>
        </w:rPr>
        <w:t>. 2016. –Vol. 21, № 6. – P. 115–120.</w:t>
      </w:r>
    </w:p>
    <w:p w14:paraId="3E03478C"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t xml:space="preserve">60 </w:t>
      </w:r>
      <w:r w:rsidRPr="0014630E">
        <w:rPr>
          <w:noProof/>
          <w:sz w:val="28"/>
          <w:szCs w:val="28"/>
          <w:lang w:val="en-US"/>
        </w:rPr>
        <w:t xml:space="preserve">Kahf M. Zakah Estimation in some Muslim Countries // </w:t>
      </w:r>
      <w:r w:rsidRPr="0014630E">
        <w:rPr>
          <w:sz w:val="28"/>
          <w:szCs w:val="28"/>
          <w:lang w:val="en-US"/>
        </w:rPr>
        <w:t>IIUM Journal of Economics and Management</w:t>
      </w:r>
      <w:r w:rsidRPr="0014630E">
        <w:rPr>
          <w:noProof/>
          <w:sz w:val="28"/>
          <w:szCs w:val="28"/>
          <w:lang w:val="en-US"/>
        </w:rPr>
        <w:t>. – 1989. – Vol. 2, № 1. – P. 1–22.</w:t>
      </w:r>
    </w:p>
    <w:p w14:paraId="1EDCA120"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6</w:t>
      </w:r>
      <w:r>
        <w:rPr>
          <w:noProof/>
          <w:sz w:val="28"/>
          <w:lang w:val="en-US"/>
        </w:rPr>
        <w:t xml:space="preserve">1 </w:t>
      </w:r>
      <w:r w:rsidRPr="001C63FB">
        <w:rPr>
          <w:noProof/>
          <w:sz w:val="28"/>
          <w:lang w:val="en-US"/>
        </w:rPr>
        <w:t>Islamic Relief. Nisab</w:t>
      </w:r>
      <w:r>
        <w:rPr>
          <w:noProof/>
          <w:sz w:val="28"/>
          <w:lang w:val="en-US"/>
        </w:rPr>
        <w:t xml:space="preserve"> //</w:t>
      </w:r>
      <w:r w:rsidRPr="001C63FB">
        <w:rPr>
          <w:noProof/>
          <w:sz w:val="28"/>
          <w:lang w:val="en-US"/>
        </w:rPr>
        <w:t xml:space="preserve"> https://www.islamic-relief.org/zakat/nisab/.</w:t>
      </w:r>
      <w:r>
        <w:rPr>
          <w:noProof/>
          <w:sz w:val="28"/>
          <w:lang w:val="en-US"/>
        </w:rPr>
        <w:t xml:space="preserve"> 04.2019.</w:t>
      </w:r>
    </w:p>
    <w:p w14:paraId="111E053F"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6</w:t>
      </w:r>
      <w:r>
        <w:rPr>
          <w:noProof/>
          <w:sz w:val="28"/>
          <w:lang w:val="en-US"/>
        </w:rPr>
        <w:t xml:space="preserve">2 </w:t>
      </w:r>
      <w:r w:rsidRPr="001C63FB">
        <w:rPr>
          <w:noProof/>
          <w:sz w:val="28"/>
          <w:lang w:val="en-US"/>
        </w:rPr>
        <w:t xml:space="preserve">AAOIFI. AAOIFI Financial Accounting Standard 39. </w:t>
      </w:r>
      <w:r w:rsidRPr="00BD5B34">
        <w:rPr>
          <w:noProof/>
          <w:sz w:val="28"/>
          <w:szCs w:val="28"/>
          <w:lang w:val="en-US"/>
        </w:rPr>
        <w:t xml:space="preserve">– </w:t>
      </w:r>
      <w:r w:rsidRPr="001C63FB">
        <w:rPr>
          <w:noProof/>
          <w:sz w:val="28"/>
          <w:lang w:val="en-US"/>
        </w:rPr>
        <w:t xml:space="preserve">2022. </w:t>
      </w:r>
      <w:r w:rsidRPr="00BD5B34">
        <w:rPr>
          <w:noProof/>
          <w:sz w:val="28"/>
          <w:szCs w:val="28"/>
          <w:lang w:val="en-US"/>
        </w:rPr>
        <w:t xml:space="preserve">– </w:t>
      </w:r>
      <w:r w:rsidRPr="001C63FB">
        <w:rPr>
          <w:noProof/>
          <w:sz w:val="28"/>
          <w:lang w:val="en-US"/>
        </w:rPr>
        <w:t>13 p.</w:t>
      </w:r>
    </w:p>
    <w:p w14:paraId="47BBF357"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6</w:t>
      </w:r>
      <w:r>
        <w:rPr>
          <w:noProof/>
          <w:sz w:val="28"/>
          <w:lang w:val="en-US"/>
        </w:rPr>
        <w:t xml:space="preserve">3 </w:t>
      </w:r>
      <w:r w:rsidRPr="001C63FB">
        <w:rPr>
          <w:noProof/>
          <w:sz w:val="28"/>
          <w:lang w:val="en-US"/>
        </w:rPr>
        <w:t xml:space="preserve">Mohammed Obaidullah, Shirazi N., Izhar H. Islamic Social Finance Report 2014. </w:t>
      </w:r>
      <w:r w:rsidRPr="00BD5B34">
        <w:rPr>
          <w:noProof/>
          <w:sz w:val="28"/>
          <w:szCs w:val="28"/>
          <w:lang w:val="en-US"/>
        </w:rPr>
        <w:t xml:space="preserve">– </w:t>
      </w:r>
      <w:r w:rsidRPr="001C63FB">
        <w:rPr>
          <w:noProof/>
          <w:sz w:val="28"/>
          <w:lang w:val="en-US"/>
        </w:rPr>
        <w:t xml:space="preserve">2014. </w:t>
      </w:r>
      <w:r w:rsidRPr="00BD5B34">
        <w:rPr>
          <w:noProof/>
          <w:sz w:val="28"/>
          <w:szCs w:val="28"/>
          <w:lang w:val="en-US"/>
        </w:rPr>
        <w:t xml:space="preserve">– </w:t>
      </w:r>
      <w:r w:rsidRPr="001C63FB">
        <w:rPr>
          <w:noProof/>
          <w:sz w:val="28"/>
          <w:lang w:val="en-US"/>
        </w:rPr>
        <w:t>64 p.</w:t>
      </w:r>
    </w:p>
    <w:p w14:paraId="107325F4"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6</w:t>
      </w:r>
      <w:r>
        <w:rPr>
          <w:noProof/>
          <w:sz w:val="28"/>
          <w:lang w:val="en-US"/>
        </w:rPr>
        <w:t>4 Population by religion//</w:t>
      </w:r>
      <w:r w:rsidRPr="001C63FB">
        <w:rPr>
          <w:noProof/>
          <w:sz w:val="28"/>
          <w:lang w:val="en-US"/>
        </w:rPr>
        <w:t>www.pbs.gov.pk</w:t>
      </w:r>
      <w:r>
        <w:rPr>
          <w:noProof/>
          <w:sz w:val="28"/>
          <w:lang w:val="en-US"/>
        </w:rPr>
        <w:t>. 22.12.</w:t>
      </w:r>
      <w:r w:rsidRPr="001C63FB">
        <w:rPr>
          <w:noProof/>
          <w:sz w:val="28"/>
          <w:lang w:val="en-US"/>
        </w:rPr>
        <w:t>2017. URL:http://www.pbs.gov.pk/sites/default/files//tables/population by religion.pdf.</w:t>
      </w:r>
    </w:p>
    <w:p w14:paraId="2C83B0D9"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6</w:t>
      </w:r>
      <w:r>
        <w:rPr>
          <w:noProof/>
          <w:sz w:val="28"/>
          <w:lang w:val="en-US"/>
        </w:rPr>
        <w:t xml:space="preserve">5 </w:t>
      </w:r>
      <w:r w:rsidRPr="001C63FB">
        <w:rPr>
          <w:noProof/>
          <w:sz w:val="28"/>
          <w:lang w:val="en-US"/>
        </w:rPr>
        <w:t xml:space="preserve">Kahf M. Zakah. </w:t>
      </w:r>
      <w:r w:rsidRPr="00BD5B34">
        <w:rPr>
          <w:noProof/>
          <w:sz w:val="28"/>
          <w:szCs w:val="28"/>
          <w:lang w:val="en-US"/>
        </w:rPr>
        <w:t xml:space="preserve">– </w:t>
      </w:r>
      <w:r w:rsidRPr="001C63FB">
        <w:rPr>
          <w:noProof/>
          <w:sz w:val="28"/>
          <w:lang w:val="en-US"/>
        </w:rPr>
        <w:t xml:space="preserve">2013. </w:t>
      </w:r>
      <w:r w:rsidRPr="00BD5B34">
        <w:rPr>
          <w:noProof/>
          <w:sz w:val="28"/>
          <w:szCs w:val="28"/>
          <w:lang w:val="en-US"/>
        </w:rPr>
        <w:t xml:space="preserve">– </w:t>
      </w:r>
      <w:r w:rsidRPr="001C63FB">
        <w:rPr>
          <w:noProof/>
          <w:sz w:val="28"/>
          <w:lang w:val="en-US"/>
        </w:rPr>
        <w:t>18 p.</w:t>
      </w:r>
    </w:p>
    <w:p w14:paraId="532438F1"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6</w:t>
      </w:r>
      <w:r>
        <w:rPr>
          <w:noProof/>
          <w:sz w:val="28"/>
          <w:lang w:val="en-US"/>
        </w:rPr>
        <w:t xml:space="preserve">6 </w:t>
      </w:r>
      <w:r w:rsidRPr="001C63FB">
        <w:rPr>
          <w:noProof/>
          <w:sz w:val="28"/>
          <w:lang w:val="en-US"/>
        </w:rPr>
        <w:t>Ahmed Shaikh S. Zakat Collectible in OIC Countries for Poverty Alleviation: A Primer on Empirical Estimation //</w:t>
      </w:r>
      <w:r w:rsidRPr="0014630E">
        <w:rPr>
          <w:noProof/>
          <w:sz w:val="28"/>
          <w:szCs w:val="28"/>
          <w:lang w:val="en-US"/>
        </w:rPr>
        <w:t xml:space="preserve"> </w:t>
      </w:r>
      <w:r w:rsidRPr="0014630E">
        <w:rPr>
          <w:sz w:val="28"/>
          <w:szCs w:val="28"/>
          <w:lang w:val="en-US"/>
        </w:rPr>
        <w:t>International Journal of Zakat</w:t>
      </w:r>
      <w:r w:rsidRPr="0014630E">
        <w:rPr>
          <w:noProof/>
          <w:sz w:val="28"/>
          <w:szCs w:val="28"/>
          <w:lang w:val="en-US"/>
        </w:rPr>
        <w:t xml:space="preserve">. </w:t>
      </w:r>
      <w:r w:rsidRPr="00BD5B34">
        <w:rPr>
          <w:noProof/>
          <w:sz w:val="28"/>
          <w:szCs w:val="28"/>
          <w:lang w:val="en-US"/>
        </w:rPr>
        <w:t xml:space="preserve">– </w:t>
      </w:r>
      <w:r w:rsidRPr="001C63FB">
        <w:rPr>
          <w:noProof/>
          <w:sz w:val="28"/>
          <w:lang w:val="en-US"/>
        </w:rPr>
        <w:t xml:space="preserve">2016. </w:t>
      </w:r>
      <w:r w:rsidRPr="00BD5B34">
        <w:rPr>
          <w:noProof/>
          <w:sz w:val="28"/>
          <w:szCs w:val="28"/>
          <w:lang w:val="en-US"/>
        </w:rPr>
        <w:t xml:space="preserve">– </w:t>
      </w:r>
      <w:r w:rsidRPr="001C63FB">
        <w:rPr>
          <w:noProof/>
          <w:sz w:val="28"/>
          <w:lang w:val="en-US"/>
        </w:rPr>
        <w:t xml:space="preserve">Vol. 1, № 1. </w:t>
      </w:r>
      <w:r w:rsidRPr="00BD5B34">
        <w:rPr>
          <w:noProof/>
          <w:sz w:val="28"/>
          <w:szCs w:val="28"/>
          <w:lang w:val="en-US"/>
        </w:rPr>
        <w:t xml:space="preserve">– </w:t>
      </w:r>
      <w:r w:rsidRPr="001C63FB">
        <w:rPr>
          <w:noProof/>
          <w:sz w:val="28"/>
          <w:lang w:val="en-US"/>
        </w:rPr>
        <w:t>P. 17–35.</w:t>
      </w:r>
    </w:p>
    <w:p w14:paraId="2FA953A9"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6</w:t>
      </w:r>
      <w:r>
        <w:rPr>
          <w:noProof/>
          <w:sz w:val="28"/>
          <w:lang w:val="en-US"/>
        </w:rPr>
        <w:t xml:space="preserve">7 </w:t>
      </w:r>
      <w:r w:rsidRPr="001C63FB">
        <w:rPr>
          <w:noProof/>
          <w:sz w:val="28"/>
          <w:lang w:val="en-US"/>
        </w:rPr>
        <w:t>Obaidullah M., Shirazi N.S. Islamic Social Finance report 2014 // Islam</w:t>
      </w:r>
      <w:r>
        <w:rPr>
          <w:noProof/>
          <w:sz w:val="28"/>
          <w:lang w:val="en-US"/>
        </w:rPr>
        <w:t>ic</w:t>
      </w:r>
      <w:r w:rsidRPr="001C63FB">
        <w:rPr>
          <w:noProof/>
          <w:sz w:val="28"/>
          <w:lang w:val="en-US"/>
        </w:rPr>
        <w:t xml:space="preserve"> Re</w:t>
      </w:r>
      <w:r>
        <w:rPr>
          <w:noProof/>
          <w:sz w:val="28"/>
          <w:lang w:val="en-US"/>
        </w:rPr>
        <w:t>search</w:t>
      </w:r>
      <w:r w:rsidRPr="001C63FB">
        <w:rPr>
          <w:noProof/>
          <w:sz w:val="28"/>
          <w:lang w:val="en-US"/>
        </w:rPr>
        <w:t xml:space="preserve"> </w:t>
      </w:r>
      <w:r>
        <w:rPr>
          <w:noProof/>
          <w:sz w:val="28"/>
          <w:lang w:val="en-US"/>
        </w:rPr>
        <w:t xml:space="preserve">and </w:t>
      </w:r>
      <w:r w:rsidRPr="001C63FB">
        <w:rPr>
          <w:noProof/>
          <w:sz w:val="28"/>
          <w:lang w:val="en-US"/>
        </w:rPr>
        <w:t>Train</w:t>
      </w:r>
      <w:r>
        <w:rPr>
          <w:noProof/>
          <w:sz w:val="28"/>
          <w:lang w:val="en-US"/>
        </w:rPr>
        <w:t>ing</w:t>
      </w:r>
      <w:r w:rsidRPr="001C63FB">
        <w:rPr>
          <w:noProof/>
          <w:sz w:val="28"/>
          <w:lang w:val="en-US"/>
        </w:rPr>
        <w:t xml:space="preserve"> Inst</w:t>
      </w:r>
      <w:r>
        <w:rPr>
          <w:noProof/>
          <w:sz w:val="28"/>
          <w:lang w:val="en-US"/>
        </w:rPr>
        <w:t>itute.</w:t>
      </w:r>
      <w:r w:rsidRPr="001C63FB">
        <w:rPr>
          <w:noProof/>
          <w:sz w:val="28"/>
          <w:lang w:val="en-US"/>
        </w:rPr>
        <w:t xml:space="preserve"> </w:t>
      </w:r>
      <w:r w:rsidRPr="00BD5B34">
        <w:rPr>
          <w:noProof/>
          <w:sz w:val="28"/>
          <w:szCs w:val="28"/>
          <w:lang w:val="en-US"/>
        </w:rPr>
        <w:t xml:space="preserve">– </w:t>
      </w:r>
      <w:r w:rsidRPr="001C63FB">
        <w:rPr>
          <w:noProof/>
          <w:sz w:val="28"/>
          <w:lang w:val="en-US"/>
        </w:rPr>
        <w:t xml:space="preserve">2015. </w:t>
      </w:r>
      <w:r w:rsidRPr="00BD5B34">
        <w:rPr>
          <w:noProof/>
          <w:sz w:val="28"/>
          <w:szCs w:val="28"/>
          <w:lang w:val="en-US"/>
        </w:rPr>
        <w:t xml:space="preserve">– </w:t>
      </w:r>
      <w:r w:rsidRPr="001C63FB">
        <w:rPr>
          <w:noProof/>
          <w:sz w:val="28"/>
          <w:lang w:val="en-US"/>
        </w:rPr>
        <w:t>№ January.</w:t>
      </w:r>
    </w:p>
    <w:p w14:paraId="0DFB59A2" w14:textId="77777777" w:rsidR="0086759A" w:rsidRPr="00F106C4"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F106C4">
        <w:rPr>
          <w:noProof/>
          <w:sz w:val="28"/>
          <w:szCs w:val="28"/>
          <w:lang w:val="en-US"/>
        </w:rPr>
        <w:t>6</w:t>
      </w:r>
      <w:r>
        <w:rPr>
          <w:noProof/>
          <w:sz w:val="28"/>
          <w:szCs w:val="28"/>
          <w:lang w:val="en-US"/>
        </w:rPr>
        <w:t xml:space="preserve">8 </w:t>
      </w:r>
      <w:r w:rsidRPr="00F106C4">
        <w:rPr>
          <w:noProof/>
          <w:sz w:val="28"/>
          <w:szCs w:val="28"/>
          <w:lang w:val="en-US"/>
        </w:rPr>
        <w:t xml:space="preserve">Nazri F., Rahman R.A., Omar N. Zakat and Poverty Alleviation : Roles of Zakat Institutions in Malaysia // </w:t>
      </w:r>
      <w:r w:rsidRPr="00F106C4">
        <w:rPr>
          <w:sz w:val="28"/>
          <w:szCs w:val="28"/>
          <w:lang w:val="en-US"/>
        </w:rPr>
        <w:t>International Journal of Arts and Commerce</w:t>
      </w:r>
      <w:r w:rsidRPr="00F106C4">
        <w:rPr>
          <w:noProof/>
          <w:sz w:val="28"/>
          <w:szCs w:val="28"/>
          <w:lang w:val="en-US"/>
        </w:rPr>
        <w:t>. – 2012. – Vol. 1, № 7. – P. 61–72.</w:t>
      </w:r>
    </w:p>
    <w:p w14:paraId="7EAA4A27"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6</w:t>
      </w:r>
      <w:r>
        <w:rPr>
          <w:noProof/>
          <w:sz w:val="28"/>
          <w:lang w:val="en-US"/>
        </w:rPr>
        <w:t xml:space="preserve">9 </w:t>
      </w:r>
      <w:r w:rsidRPr="001C63FB">
        <w:rPr>
          <w:noProof/>
          <w:sz w:val="28"/>
          <w:lang w:val="en-US"/>
        </w:rPr>
        <w:t xml:space="preserve">Obaidullah M., Shirazi N.S. IRTI Islamic Social Finance Report 2017. </w:t>
      </w:r>
      <w:r w:rsidRPr="00BD5B34">
        <w:rPr>
          <w:noProof/>
          <w:sz w:val="28"/>
          <w:szCs w:val="28"/>
          <w:lang w:val="en-US"/>
        </w:rPr>
        <w:t xml:space="preserve">– </w:t>
      </w:r>
      <w:r w:rsidRPr="001C63FB">
        <w:rPr>
          <w:noProof/>
          <w:sz w:val="28"/>
          <w:lang w:val="en-US"/>
        </w:rPr>
        <w:t>2018. № June.</w:t>
      </w:r>
    </w:p>
    <w:p w14:paraId="65EBC41C"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t xml:space="preserve">70 </w:t>
      </w:r>
      <w:r w:rsidRPr="001C63FB">
        <w:rPr>
          <w:noProof/>
          <w:sz w:val="28"/>
          <w:lang w:val="en-US"/>
        </w:rPr>
        <w:t xml:space="preserve">Obaidullah M., Shirazi N.S. Islamic Social Finance report (2015). </w:t>
      </w:r>
      <w:r w:rsidRPr="00BD5B34">
        <w:rPr>
          <w:noProof/>
          <w:sz w:val="28"/>
          <w:szCs w:val="28"/>
          <w:lang w:val="en-US"/>
        </w:rPr>
        <w:t xml:space="preserve">– </w:t>
      </w:r>
      <w:r w:rsidRPr="001C63FB">
        <w:rPr>
          <w:noProof/>
          <w:sz w:val="28"/>
          <w:lang w:val="en-US"/>
        </w:rPr>
        <w:t xml:space="preserve">2015. </w:t>
      </w:r>
      <w:r w:rsidRPr="00BD5B34">
        <w:rPr>
          <w:noProof/>
          <w:sz w:val="28"/>
          <w:szCs w:val="28"/>
          <w:lang w:val="en-US"/>
        </w:rPr>
        <w:t xml:space="preserve">– </w:t>
      </w:r>
      <w:r w:rsidRPr="001C63FB">
        <w:rPr>
          <w:noProof/>
          <w:sz w:val="28"/>
          <w:lang w:val="en-US"/>
        </w:rPr>
        <w:t>1–164 p.</w:t>
      </w:r>
    </w:p>
    <w:p w14:paraId="20CF4F73"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7</w:t>
      </w:r>
      <w:r>
        <w:rPr>
          <w:noProof/>
          <w:sz w:val="28"/>
          <w:lang w:val="en-US"/>
        </w:rPr>
        <w:t xml:space="preserve">1 </w:t>
      </w:r>
      <w:r w:rsidRPr="001C63FB">
        <w:rPr>
          <w:noProof/>
          <w:sz w:val="28"/>
          <w:lang w:val="en-US"/>
        </w:rPr>
        <w:t>Mohammad M.T.S., Mar Iman A.H. Obstacles of the Current Concept of Waqf to the Development of Waqf Properties and the Recommended Alternative // Malaysian J</w:t>
      </w:r>
      <w:r>
        <w:rPr>
          <w:noProof/>
          <w:sz w:val="28"/>
          <w:lang w:val="en-US"/>
        </w:rPr>
        <w:t>ournal of</w:t>
      </w:r>
      <w:r w:rsidRPr="001C63FB">
        <w:rPr>
          <w:noProof/>
          <w:sz w:val="28"/>
          <w:lang w:val="en-US"/>
        </w:rPr>
        <w:t xml:space="preserve"> Real Estate. </w:t>
      </w:r>
      <w:r w:rsidRPr="00BD5B34">
        <w:rPr>
          <w:noProof/>
          <w:sz w:val="28"/>
          <w:szCs w:val="28"/>
          <w:lang w:val="en-US"/>
        </w:rPr>
        <w:t xml:space="preserve">– </w:t>
      </w:r>
      <w:r w:rsidRPr="001C63FB">
        <w:rPr>
          <w:noProof/>
          <w:sz w:val="28"/>
          <w:lang w:val="en-US"/>
        </w:rPr>
        <w:t xml:space="preserve">2006. </w:t>
      </w:r>
      <w:r w:rsidRPr="00BD5B34">
        <w:rPr>
          <w:noProof/>
          <w:sz w:val="28"/>
          <w:szCs w:val="28"/>
          <w:lang w:val="en-US"/>
        </w:rPr>
        <w:t xml:space="preserve">– </w:t>
      </w:r>
      <w:r w:rsidRPr="001C63FB">
        <w:rPr>
          <w:noProof/>
          <w:sz w:val="28"/>
          <w:lang w:val="en-US"/>
        </w:rPr>
        <w:t xml:space="preserve"> Vol. 1, № 1. </w:t>
      </w:r>
      <w:r w:rsidRPr="00BD5B34">
        <w:rPr>
          <w:noProof/>
          <w:sz w:val="28"/>
          <w:szCs w:val="28"/>
          <w:lang w:val="en-US"/>
        </w:rPr>
        <w:t xml:space="preserve">– </w:t>
      </w:r>
      <w:r w:rsidRPr="001C63FB">
        <w:rPr>
          <w:noProof/>
          <w:sz w:val="28"/>
          <w:lang w:val="en-US"/>
        </w:rPr>
        <w:t>P. 27–38.</w:t>
      </w:r>
    </w:p>
    <w:p w14:paraId="4C27AA1F"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7</w:t>
      </w:r>
      <w:r>
        <w:rPr>
          <w:noProof/>
          <w:sz w:val="28"/>
          <w:lang w:val="en-US"/>
        </w:rPr>
        <w:t xml:space="preserve">2 </w:t>
      </w:r>
      <w:r w:rsidRPr="001C63FB">
        <w:rPr>
          <w:noProof/>
          <w:sz w:val="28"/>
          <w:lang w:val="en-US"/>
        </w:rPr>
        <w:t xml:space="preserve">Global Islamic Finance. Overview of the global islamic finance industry. </w:t>
      </w:r>
      <w:r w:rsidRPr="00BD5B34">
        <w:rPr>
          <w:noProof/>
          <w:sz w:val="28"/>
          <w:szCs w:val="28"/>
          <w:lang w:val="en-US"/>
        </w:rPr>
        <w:t xml:space="preserve">– </w:t>
      </w:r>
      <w:r w:rsidRPr="001C63FB">
        <w:rPr>
          <w:noProof/>
          <w:sz w:val="28"/>
          <w:lang w:val="en-US"/>
        </w:rPr>
        <w:t xml:space="preserve"> 2017. </w:t>
      </w:r>
      <w:r w:rsidRPr="00BD5B34">
        <w:rPr>
          <w:noProof/>
          <w:sz w:val="28"/>
          <w:szCs w:val="28"/>
          <w:lang w:val="en-US"/>
        </w:rPr>
        <w:t xml:space="preserve">– </w:t>
      </w:r>
      <w:r w:rsidRPr="001C63FB">
        <w:rPr>
          <w:noProof/>
          <w:sz w:val="28"/>
          <w:lang w:val="en-US"/>
        </w:rPr>
        <w:t>36–46 p.</w:t>
      </w:r>
    </w:p>
    <w:p w14:paraId="28B63BB5"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7</w:t>
      </w:r>
      <w:r>
        <w:rPr>
          <w:noProof/>
          <w:sz w:val="28"/>
          <w:lang w:val="en-US"/>
        </w:rPr>
        <w:t xml:space="preserve">3 </w:t>
      </w:r>
      <w:r w:rsidRPr="001C63FB">
        <w:rPr>
          <w:noProof/>
          <w:sz w:val="28"/>
          <w:lang w:val="en-US"/>
        </w:rPr>
        <w:t xml:space="preserve">Raissouni A. Islamic “Waqf Endowment”: Scope and Implication. </w:t>
      </w:r>
      <w:r w:rsidRPr="00BD5B34">
        <w:rPr>
          <w:noProof/>
          <w:sz w:val="28"/>
          <w:szCs w:val="28"/>
          <w:lang w:val="en-US"/>
        </w:rPr>
        <w:t xml:space="preserve">– </w:t>
      </w:r>
      <w:r w:rsidRPr="001C63FB">
        <w:rPr>
          <w:noProof/>
          <w:sz w:val="28"/>
          <w:lang w:val="en-US"/>
        </w:rPr>
        <w:t xml:space="preserve">2001. </w:t>
      </w:r>
      <w:r w:rsidRPr="00BD5B34">
        <w:rPr>
          <w:noProof/>
          <w:sz w:val="28"/>
          <w:szCs w:val="28"/>
          <w:lang w:val="en-US"/>
        </w:rPr>
        <w:t xml:space="preserve">– </w:t>
      </w:r>
      <w:r w:rsidRPr="001C63FB">
        <w:rPr>
          <w:noProof/>
          <w:sz w:val="28"/>
          <w:lang w:val="en-US"/>
        </w:rPr>
        <w:t>69 p.</w:t>
      </w:r>
    </w:p>
    <w:p w14:paraId="721D5D6D"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7</w:t>
      </w:r>
      <w:r>
        <w:rPr>
          <w:noProof/>
          <w:sz w:val="28"/>
          <w:szCs w:val="28"/>
          <w:lang w:val="en-US"/>
        </w:rPr>
        <w:t xml:space="preserve">4 </w:t>
      </w:r>
      <w:r w:rsidRPr="00D21CF8">
        <w:rPr>
          <w:noProof/>
          <w:sz w:val="28"/>
          <w:szCs w:val="28"/>
          <w:lang w:val="en-US"/>
        </w:rPr>
        <w:t xml:space="preserve">Yalawae A., Tahir I.M. The Role of Islamic Institution in Achieving Equality and Human Development: Waqf or Endowment // </w:t>
      </w:r>
      <w:r w:rsidRPr="00D21CF8">
        <w:rPr>
          <w:sz w:val="28"/>
          <w:szCs w:val="28"/>
          <w:lang w:val="en-US"/>
        </w:rPr>
        <w:t>Paper presented at the 5th annual conference of the HDCA, Delhi, India</w:t>
      </w:r>
      <w:r w:rsidRPr="00D21CF8">
        <w:rPr>
          <w:noProof/>
          <w:sz w:val="28"/>
          <w:szCs w:val="28"/>
          <w:lang w:val="en-US"/>
        </w:rPr>
        <w:t>. –</w:t>
      </w:r>
      <w:r>
        <w:rPr>
          <w:noProof/>
          <w:sz w:val="28"/>
          <w:szCs w:val="28"/>
          <w:lang w:val="en-US"/>
        </w:rPr>
        <w:t xml:space="preserve"> </w:t>
      </w:r>
      <w:r w:rsidRPr="00D21CF8">
        <w:rPr>
          <w:noProof/>
          <w:sz w:val="28"/>
          <w:szCs w:val="28"/>
          <w:lang w:val="en-US"/>
        </w:rPr>
        <w:t>2008. – P. 1–16.</w:t>
      </w:r>
    </w:p>
    <w:p w14:paraId="6B961428"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7</w:t>
      </w:r>
      <w:r>
        <w:rPr>
          <w:noProof/>
          <w:sz w:val="28"/>
          <w:lang w:val="en-US"/>
        </w:rPr>
        <w:t xml:space="preserve">5 </w:t>
      </w:r>
      <w:r w:rsidRPr="001C63FB">
        <w:rPr>
          <w:noProof/>
          <w:sz w:val="28"/>
          <w:lang w:val="en-US"/>
        </w:rPr>
        <w:t>GIFR. Global Islamic Finance Report 2018: Key Highlights. 2018.</w:t>
      </w:r>
    </w:p>
    <w:p w14:paraId="77904295"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7</w:t>
      </w:r>
      <w:r>
        <w:rPr>
          <w:noProof/>
          <w:sz w:val="28"/>
          <w:lang w:val="en-US"/>
        </w:rPr>
        <w:t xml:space="preserve">6 </w:t>
      </w:r>
      <w:r w:rsidRPr="001C63FB">
        <w:rPr>
          <w:noProof/>
          <w:sz w:val="28"/>
          <w:lang w:val="en-US"/>
        </w:rPr>
        <w:t xml:space="preserve">Allah Pitchay A. et al. Cooperative-waqf model: a proposal to develop idle waqf lands in Malaysia // </w:t>
      </w:r>
      <w:r w:rsidRPr="00CB7068">
        <w:rPr>
          <w:sz w:val="28"/>
          <w:szCs w:val="28"/>
          <w:lang w:val="en-US"/>
        </w:rPr>
        <w:t>ISRA International Journal of Islamic Finance</w:t>
      </w:r>
      <w:r>
        <w:rPr>
          <w:noProof/>
          <w:sz w:val="28"/>
          <w:szCs w:val="28"/>
          <w:lang w:val="en-US"/>
        </w:rPr>
        <w:t>.</w:t>
      </w:r>
      <w:r>
        <w:rPr>
          <w:noProof/>
          <w:sz w:val="28"/>
          <w:lang w:val="en-US"/>
        </w:rPr>
        <w:t xml:space="preserve"> </w:t>
      </w:r>
      <w:r w:rsidRPr="00D21CF8">
        <w:rPr>
          <w:noProof/>
          <w:sz w:val="28"/>
          <w:szCs w:val="28"/>
          <w:lang w:val="en-US"/>
        </w:rPr>
        <w:t>–</w:t>
      </w:r>
      <w:r>
        <w:rPr>
          <w:noProof/>
          <w:sz w:val="28"/>
          <w:szCs w:val="28"/>
          <w:lang w:val="en-US"/>
        </w:rPr>
        <w:t xml:space="preserve"> </w:t>
      </w:r>
      <w:r w:rsidRPr="001C63FB">
        <w:rPr>
          <w:noProof/>
          <w:sz w:val="28"/>
          <w:lang w:val="en-US"/>
        </w:rPr>
        <w:t xml:space="preserve"> 2018. </w:t>
      </w:r>
      <w:r w:rsidRPr="00D21CF8">
        <w:rPr>
          <w:noProof/>
          <w:sz w:val="28"/>
          <w:szCs w:val="28"/>
          <w:lang w:val="en-US"/>
        </w:rPr>
        <w:t>–</w:t>
      </w:r>
      <w:r>
        <w:rPr>
          <w:noProof/>
          <w:sz w:val="28"/>
          <w:szCs w:val="28"/>
          <w:lang w:val="en-US"/>
        </w:rPr>
        <w:t xml:space="preserve"> </w:t>
      </w:r>
      <w:r w:rsidRPr="001C63FB">
        <w:rPr>
          <w:noProof/>
          <w:sz w:val="28"/>
          <w:lang w:val="en-US"/>
        </w:rPr>
        <w:t xml:space="preserve">Vol. 10, № 2. </w:t>
      </w:r>
      <w:r w:rsidRPr="00D21CF8">
        <w:rPr>
          <w:noProof/>
          <w:sz w:val="28"/>
          <w:szCs w:val="28"/>
          <w:lang w:val="en-US"/>
        </w:rPr>
        <w:t>–</w:t>
      </w:r>
      <w:r>
        <w:rPr>
          <w:noProof/>
          <w:sz w:val="28"/>
          <w:szCs w:val="28"/>
          <w:lang w:val="en-US"/>
        </w:rPr>
        <w:t xml:space="preserve"> </w:t>
      </w:r>
      <w:r w:rsidRPr="001C63FB">
        <w:rPr>
          <w:noProof/>
          <w:sz w:val="28"/>
          <w:lang w:val="en-US"/>
        </w:rPr>
        <w:t>P. 225–236.</w:t>
      </w:r>
    </w:p>
    <w:p w14:paraId="7457384D" w14:textId="77777777" w:rsidR="0086759A" w:rsidRPr="00436FB6" w:rsidRDefault="0086759A" w:rsidP="0086759A">
      <w:pPr>
        <w:widowControl w:val="0"/>
        <w:autoSpaceDE w:val="0"/>
        <w:autoSpaceDN w:val="0"/>
        <w:adjustRightInd w:val="0"/>
        <w:jc w:val="both"/>
        <w:rPr>
          <w:noProof/>
          <w:sz w:val="28"/>
          <w:szCs w:val="28"/>
          <w:lang w:val="en-US"/>
        </w:rPr>
      </w:pPr>
      <w:r>
        <w:rPr>
          <w:noProof/>
          <w:sz w:val="28"/>
          <w:lang w:val="en-US"/>
        </w:rPr>
        <w:tab/>
      </w:r>
      <w:r w:rsidRPr="001C63FB">
        <w:rPr>
          <w:noProof/>
          <w:sz w:val="28"/>
          <w:lang w:val="en-US"/>
        </w:rPr>
        <w:t>7</w:t>
      </w:r>
      <w:r>
        <w:rPr>
          <w:noProof/>
          <w:sz w:val="28"/>
          <w:lang w:val="en-US"/>
        </w:rPr>
        <w:t xml:space="preserve">7 </w:t>
      </w:r>
      <w:r w:rsidRPr="001C63FB">
        <w:rPr>
          <w:noProof/>
          <w:sz w:val="28"/>
          <w:lang w:val="en-US"/>
        </w:rPr>
        <w:t>Kuran T. Why the Middle East is economically underdeveloped: Historical mechanisms of institutional stagnation //</w:t>
      </w:r>
      <w:r w:rsidRPr="00436FB6">
        <w:rPr>
          <w:noProof/>
          <w:sz w:val="28"/>
          <w:szCs w:val="28"/>
          <w:lang w:val="en-US"/>
        </w:rPr>
        <w:t xml:space="preserve"> </w:t>
      </w:r>
      <w:r w:rsidRPr="00436FB6">
        <w:rPr>
          <w:sz w:val="28"/>
          <w:szCs w:val="28"/>
          <w:lang w:val="en-US"/>
        </w:rPr>
        <w:t>Journal of Economic Perspectives</w:t>
      </w:r>
      <w:r w:rsidRPr="00436FB6">
        <w:rPr>
          <w:noProof/>
          <w:sz w:val="28"/>
          <w:szCs w:val="28"/>
          <w:lang w:val="en-US"/>
        </w:rPr>
        <w:t>. – 2004. – Vol. 18, № 3. – P. 71–90.</w:t>
      </w:r>
    </w:p>
    <w:p w14:paraId="5117CAA6"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7</w:t>
      </w:r>
      <w:r>
        <w:rPr>
          <w:noProof/>
          <w:sz w:val="28"/>
          <w:lang w:val="en-US"/>
        </w:rPr>
        <w:t xml:space="preserve">8 </w:t>
      </w:r>
      <w:r w:rsidRPr="00D21CF8">
        <w:rPr>
          <w:noProof/>
          <w:sz w:val="28"/>
          <w:szCs w:val="28"/>
          <w:lang w:val="en-US"/>
        </w:rPr>
        <w:t xml:space="preserve">Kuran T. The Provision of Public Goods under Islamic Law : Origins , Impact, and Limitations of the Waqf System // </w:t>
      </w:r>
      <w:r w:rsidRPr="00D21CF8">
        <w:rPr>
          <w:sz w:val="28"/>
          <w:szCs w:val="28"/>
          <w:lang w:val="en-US"/>
        </w:rPr>
        <w:t>The journal of Law and Society Association</w:t>
      </w:r>
      <w:r w:rsidRPr="00D21CF8">
        <w:rPr>
          <w:noProof/>
          <w:sz w:val="28"/>
          <w:szCs w:val="28"/>
          <w:lang w:val="en-US"/>
        </w:rPr>
        <w:t>. –2001. – Vol. 35, № 4. – P. 841–898.</w:t>
      </w:r>
    </w:p>
    <w:p w14:paraId="18C612B5"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7</w:t>
      </w:r>
      <w:r>
        <w:rPr>
          <w:noProof/>
          <w:sz w:val="28"/>
          <w:lang w:val="en-US"/>
        </w:rPr>
        <w:t xml:space="preserve">9 </w:t>
      </w:r>
      <w:r w:rsidRPr="00436FB6">
        <w:rPr>
          <w:noProof/>
          <w:sz w:val="28"/>
          <w:szCs w:val="28"/>
          <w:lang w:val="en-US"/>
        </w:rPr>
        <w:t xml:space="preserve">Kuran T. The Absence of the Corporation in Islamic Law: Origins and Persistence // </w:t>
      </w:r>
      <w:r w:rsidRPr="00436FB6">
        <w:rPr>
          <w:sz w:val="28"/>
          <w:szCs w:val="28"/>
          <w:lang w:val="en-US"/>
        </w:rPr>
        <w:t>The American Journal of Comparative Law</w:t>
      </w:r>
      <w:r w:rsidRPr="00436FB6">
        <w:rPr>
          <w:noProof/>
          <w:sz w:val="28"/>
          <w:szCs w:val="28"/>
          <w:lang w:val="en-US"/>
        </w:rPr>
        <w:t>. – 2005. – Vol. 53, № 4. – P. 785–834.</w:t>
      </w:r>
    </w:p>
    <w:p w14:paraId="01C8596A"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t xml:space="preserve">80 </w:t>
      </w:r>
      <w:r w:rsidRPr="001C63FB">
        <w:rPr>
          <w:noProof/>
          <w:sz w:val="28"/>
          <w:lang w:val="en-US"/>
        </w:rPr>
        <w:t xml:space="preserve">Mohammed Obaidullah. Introduction of Islamic Microfinance // Journal of Social Issues in Southeast Asia. </w:t>
      </w:r>
      <w:r w:rsidRPr="00D21CF8">
        <w:rPr>
          <w:noProof/>
          <w:sz w:val="28"/>
          <w:szCs w:val="28"/>
          <w:lang w:val="en-US"/>
        </w:rPr>
        <w:t>–</w:t>
      </w:r>
      <w:r>
        <w:rPr>
          <w:noProof/>
          <w:sz w:val="28"/>
          <w:szCs w:val="28"/>
          <w:lang w:val="en-US"/>
        </w:rPr>
        <w:t xml:space="preserve"> </w:t>
      </w:r>
      <w:r w:rsidRPr="001C63FB">
        <w:rPr>
          <w:noProof/>
          <w:sz w:val="28"/>
          <w:lang w:val="en-US"/>
        </w:rPr>
        <w:t xml:space="preserve">2008. </w:t>
      </w:r>
      <w:r w:rsidRPr="00D21CF8">
        <w:rPr>
          <w:noProof/>
          <w:sz w:val="28"/>
          <w:szCs w:val="28"/>
          <w:lang w:val="en-US"/>
        </w:rPr>
        <w:t>–</w:t>
      </w:r>
      <w:r>
        <w:rPr>
          <w:noProof/>
          <w:sz w:val="28"/>
          <w:szCs w:val="28"/>
          <w:lang w:val="en-US"/>
        </w:rPr>
        <w:t xml:space="preserve"> </w:t>
      </w:r>
      <w:r w:rsidRPr="001C63FB">
        <w:rPr>
          <w:noProof/>
          <w:sz w:val="28"/>
          <w:lang w:val="en-US"/>
        </w:rPr>
        <w:t xml:space="preserve">Vol. 23, № 1. </w:t>
      </w:r>
      <w:r w:rsidRPr="00D21CF8">
        <w:rPr>
          <w:noProof/>
          <w:sz w:val="28"/>
          <w:szCs w:val="28"/>
          <w:lang w:val="en-US"/>
        </w:rPr>
        <w:t>–</w:t>
      </w:r>
      <w:r>
        <w:rPr>
          <w:noProof/>
          <w:sz w:val="28"/>
          <w:szCs w:val="28"/>
          <w:lang w:val="en-US"/>
        </w:rPr>
        <w:t xml:space="preserve"> </w:t>
      </w:r>
      <w:r w:rsidRPr="001C63FB">
        <w:rPr>
          <w:noProof/>
          <w:sz w:val="28"/>
          <w:lang w:val="en-US"/>
        </w:rPr>
        <w:t>86–103 p.</w:t>
      </w:r>
    </w:p>
    <w:p w14:paraId="7E1AD8B3"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8</w:t>
      </w:r>
      <w:r>
        <w:rPr>
          <w:noProof/>
          <w:sz w:val="28"/>
          <w:lang w:val="en-US"/>
        </w:rPr>
        <w:t xml:space="preserve">1 </w:t>
      </w:r>
      <w:r w:rsidRPr="001C63FB">
        <w:rPr>
          <w:noProof/>
          <w:sz w:val="28"/>
          <w:lang w:val="en-US"/>
        </w:rPr>
        <w:t>Khan A.A. Islamic Microfinance Theory, Policy and Practice. Birmingham: Islamic Relief Worldwide</w:t>
      </w:r>
      <w:r>
        <w:rPr>
          <w:noProof/>
          <w:sz w:val="28"/>
          <w:lang w:val="en-US"/>
        </w:rPr>
        <w:t>.</w:t>
      </w:r>
      <w:r w:rsidRPr="002C03D5">
        <w:rPr>
          <w:noProof/>
          <w:sz w:val="28"/>
          <w:szCs w:val="28"/>
          <w:lang w:val="en-US"/>
        </w:rPr>
        <w:t xml:space="preserve"> </w:t>
      </w:r>
      <w:r w:rsidRPr="00D21CF8">
        <w:rPr>
          <w:noProof/>
          <w:sz w:val="28"/>
          <w:szCs w:val="28"/>
          <w:lang w:val="en-US"/>
        </w:rPr>
        <w:t>–</w:t>
      </w:r>
      <w:r w:rsidRPr="001C63FB">
        <w:rPr>
          <w:noProof/>
          <w:sz w:val="28"/>
          <w:lang w:val="en-US"/>
        </w:rPr>
        <w:t xml:space="preserve"> 2008.</w:t>
      </w:r>
      <w:r w:rsidRPr="002C03D5">
        <w:rPr>
          <w:noProof/>
          <w:sz w:val="28"/>
          <w:szCs w:val="28"/>
          <w:lang w:val="en-US"/>
        </w:rPr>
        <w:t xml:space="preserve"> </w:t>
      </w:r>
      <w:r w:rsidRPr="00D21CF8">
        <w:rPr>
          <w:noProof/>
          <w:sz w:val="28"/>
          <w:szCs w:val="28"/>
          <w:lang w:val="en-US"/>
        </w:rPr>
        <w:t>–</w:t>
      </w:r>
      <w:r w:rsidRPr="001C63FB">
        <w:rPr>
          <w:noProof/>
          <w:sz w:val="28"/>
          <w:lang w:val="en-US"/>
        </w:rPr>
        <w:t xml:space="preserve"> № February.</w:t>
      </w:r>
    </w:p>
    <w:p w14:paraId="66F836C6"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8</w:t>
      </w:r>
      <w:r>
        <w:rPr>
          <w:noProof/>
          <w:sz w:val="28"/>
          <w:lang w:val="en-US"/>
        </w:rPr>
        <w:t xml:space="preserve">2 </w:t>
      </w:r>
      <w:r w:rsidRPr="001C63FB">
        <w:rPr>
          <w:noProof/>
          <w:sz w:val="28"/>
          <w:lang w:val="en-US"/>
        </w:rPr>
        <w:t xml:space="preserve">Islamic Financial Services Board. </w:t>
      </w:r>
      <w:r>
        <w:rPr>
          <w:noProof/>
          <w:sz w:val="28"/>
          <w:lang w:val="en-US"/>
        </w:rPr>
        <w:t>F</w:t>
      </w:r>
      <w:r w:rsidRPr="001C63FB">
        <w:rPr>
          <w:noProof/>
          <w:sz w:val="28"/>
          <w:lang w:val="en-US"/>
        </w:rPr>
        <w:t xml:space="preserve">ramework and strategies for development of </w:t>
      </w:r>
      <w:r>
        <w:rPr>
          <w:noProof/>
          <w:sz w:val="28"/>
          <w:lang w:val="en-US"/>
        </w:rPr>
        <w:t>I</w:t>
      </w:r>
      <w:r w:rsidRPr="001C63FB">
        <w:rPr>
          <w:noProof/>
          <w:sz w:val="28"/>
          <w:lang w:val="en-US"/>
        </w:rPr>
        <w:t xml:space="preserve">slamic microfinance services. </w:t>
      </w:r>
      <w:r w:rsidRPr="00D21CF8">
        <w:rPr>
          <w:noProof/>
          <w:sz w:val="28"/>
          <w:szCs w:val="28"/>
          <w:lang w:val="en-US"/>
        </w:rPr>
        <w:t>–</w:t>
      </w:r>
      <w:r>
        <w:rPr>
          <w:noProof/>
          <w:sz w:val="28"/>
          <w:szCs w:val="28"/>
          <w:lang w:val="en-US"/>
        </w:rPr>
        <w:t xml:space="preserve"> </w:t>
      </w:r>
      <w:r w:rsidRPr="001C63FB">
        <w:rPr>
          <w:noProof/>
          <w:sz w:val="28"/>
          <w:lang w:val="en-US"/>
        </w:rPr>
        <w:t xml:space="preserve">2007. </w:t>
      </w:r>
      <w:r w:rsidRPr="00D21CF8">
        <w:rPr>
          <w:noProof/>
          <w:sz w:val="28"/>
          <w:szCs w:val="28"/>
          <w:lang w:val="en-US"/>
        </w:rPr>
        <w:t>–</w:t>
      </w:r>
      <w:r>
        <w:rPr>
          <w:noProof/>
          <w:sz w:val="28"/>
          <w:szCs w:val="28"/>
          <w:lang w:val="en-US"/>
        </w:rPr>
        <w:t xml:space="preserve"> </w:t>
      </w:r>
      <w:r w:rsidRPr="001C63FB">
        <w:rPr>
          <w:noProof/>
          <w:sz w:val="28"/>
          <w:lang w:val="en-US"/>
        </w:rPr>
        <w:t>79 p.</w:t>
      </w:r>
    </w:p>
    <w:p w14:paraId="5B5A427D"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8</w:t>
      </w:r>
      <w:r>
        <w:rPr>
          <w:noProof/>
          <w:sz w:val="28"/>
          <w:lang w:val="en-US"/>
        </w:rPr>
        <w:t xml:space="preserve">3 </w:t>
      </w:r>
      <w:r w:rsidRPr="001C63FB">
        <w:rPr>
          <w:noProof/>
          <w:sz w:val="28"/>
          <w:lang w:val="en-US"/>
        </w:rPr>
        <w:t>Ahmed H. Waqf -Based Microfinance: Realizing The Social Role of Islamic Finance // Integrating Awqaf in the Islamic Financial Sector / ed. Group I.R. and T.I.I.D.B. Singapore</w:t>
      </w:r>
      <w:r>
        <w:rPr>
          <w:noProof/>
          <w:sz w:val="28"/>
          <w:lang w:val="en-US"/>
        </w:rPr>
        <w:t xml:space="preserve">. </w:t>
      </w:r>
      <w:r w:rsidRPr="00D21CF8">
        <w:rPr>
          <w:noProof/>
          <w:sz w:val="28"/>
          <w:szCs w:val="28"/>
          <w:lang w:val="en-US"/>
        </w:rPr>
        <w:t>–</w:t>
      </w:r>
      <w:r w:rsidRPr="001C63FB">
        <w:rPr>
          <w:noProof/>
          <w:sz w:val="28"/>
          <w:lang w:val="en-US"/>
        </w:rPr>
        <w:t xml:space="preserve"> 2007. </w:t>
      </w:r>
      <w:r w:rsidRPr="00D21CF8">
        <w:rPr>
          <w:noProof/>
          <w:sz w:val="28"/>
          <w:szCs w:val="28"/>
          <w:lang w:val="en-US"/>
        </w:rPr>
        <w:t>–</w:t>
      </w:r>
      <w:r>
        <w:rPr>
          <w:noProof/>
          <w:sz w:val="28"/>
          <w:szCs w:val="28"/>
          <w:lang w:val="en-US"/>
        </w:rPr>
        <w:t xml:space="preserve"> </w:t>
      </w:r>
      <w:r w:rsidRPr="001C63FB">
        <w:rPr>
          <w:noProof/>
          <w:sz w:val="28"/>
          <w:lang w:val="en-US"/>
        </w:rPr>
        <w:t>P. 1–22.</w:t>
      </w:r>
    </w:p>
    <w:p w14:paraId="30B59937" w14:textId="77777777" w:rsidR="0086759A"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8</w:t>
      </w:r>
      <w:r>
        <w:rPr>
          <w:noProof/>
          <w:sz w:val="28"/>
          <w:lang w:val="en-US"/>
        </w:rPr>
        <w:t xml:space="preserve">4 </w:t>
      </w:r>
      <w:r w:rsidRPr="00F50843">
        <w:rPr>
          <w:noProof/>
          <w:sz w:val="28"/>
          <w:lang w:val="en-US"/>
        </w:rPr>
        <w:t xml:space="preserve">Kuanova L., Kohakhmed Z. </w:t>
      </w:r>
      <w:r>
        <w:rPr>
          <w:noProof/>
          <w:sz w:val="28"/>
          <w:lang w:val="en-US"/>
        </w:rPr>
        <w:t>R</w:t>
      </w:r>
      <w:r w:rsidRPr="00F50843">
        <w:rPr>
          <w:noProof/>
          <w:sz w:val="28"/>
          <w:lang w:val="en-US"/>
        </w:rPr>
        <w:t>isk analysis of murabaha financing and leasing // Kazakhstan in a Multipolar World: Economic Scenarios. Qazaq Universitei</w:t>
      </w:r>
      <w:r>
        <w:rPr>
          <w:noProof/>
          <w:sz w:val="28"/>
          <w:lang w:val="en-US"/>
        </w:rPr>
        <w:t>.</w:t>
      </w:r>
      <w:r w:rsidRPr="00F50843">
        <w:rPr>
          <w:noProof/>
          <w:sz w:val="28"/>
          <w:lang w:val="en-US"/>
        </w:rPr>
        <w:t xml:space="preserve"> Almaty</w:t>
      </w:r>
      <w:r>
        <w:rPr>
          <w:noProof/>
          <w:sz w:val="28"/>
          <w:lang w:val="en-US"/>
        </w:rPr>
        <w:t xml:space="preserve">. </w:t>
      </w:r>
      <w:r w:rsidRPr="00D21CF8">
        <w:rPr>
          <w:noProof/>
          <w:sz w:val="28"/>
          <w:szCs w:val="28"/>
          <w:lang w:val="en-US"/>
        </w:rPr>
        <w:t>–</w:t>
      </w:r>
      <w:r>
        <w:rPr>
          <w:noProof/>
          <w:sz w:val="28"/>
          <w:szCs w:val="28"/>
          <w:lang w:val="en-US"/>
        </w:rPr>
        <w:t xml:space="preserve"> </w:t>
      </w:r>
      <w:r w:rsidRPr="00F50843">
        <w:rPr>
          <w:noProof/>
          <w:sz w:val="28"/>
          <w:lang w:val="en-US"/>
        </w:rPr>
        <w:t xml:space="preserve">2019. </w:t>
      </w:r>
      <w:r w:rsidRPr="00D21CF8">
        <w:rPr>
          <w:noProof/>
          <w:sz w:val="28"/>
          <w:szCs w:val="28"/>
          <w:lang w:val="en-US"/>
        </w:rPr>
        <w:t>–</w:t>
      </w:r>
      <w:r>
        <w:rPr>
          <w:noProof/>
          <w:sz w:val="28"/>
          <w:szCs w:val="28"/>
          <w:lang w:val="en-US"/>
        </w:rPr>
        <w:t xml:space="preserve"> </w:t>
      </w:r>
      <w:r w:rsidRPr="00F50843">
        <w:rPr>
          <w:noProof/>
          <w:sz w:val="28"/>
          <w:lang w:val="en-US"/>
        </w:rPr>
        <w:t>P. 333–337.</w:t>
      </w:r>
    </w:p>
    <w:p w14:paraId="41C3AAB9" w14:textId="77777777" w:rsidR="0086759A" w:rsidRPr="00016D5D" w:rsidRDefault="0086759A" w:rsidP="0086759A">
      <w:pPr>
        <w:widowControl w:val="0"/>
        <w:autoSpaceDE w:val="0"/>
        <w:autoSpaceDN w:val="0"/>
        <w:adjustRightInd w:val="0"/>
        <w:jc w:val="both"/>
        <w:rPr>
          <w:noProof/>
          <w:sz w:val="28"/>
          <w:lang w:val="en-US"/>
        </w:rPr>
      </w:pPr>
      <w:r>
        <w:rPr>
          <w:noProof/>
          <w:sz w:val="28"/>
          <w:lang w:val="en-US"/>
        </w:rPr>
        <w:tab/>
        <w:t xml:space="preserve">85 </w:t>
      </w:r>
      <w:r w:rsidRPr="001C63FB">
        <w:rPr>
          <w:noProof/>
          <w:sz w:val="28"/>
          <w:lang w:val="en-US"/>
        </w:rPr>
        <w:t>Kahf M., Kh</w:t>
      </w:r>
      <w:r w:rsidRPr="002C03D5">
        <w:rPr>
          <w:noProof/>
          <w:sz w:val="28"/>
          <w:szCs w:val="28"/>
          <w:lang w:val="en-US"/>
        </w:rPr>
        <w:t xml:space="preserve">an T. Principles of Islamic Economics // </w:t>
      </w:r>
      <w:r w:rsidRPr="002C03D5">
        <w:rPr>
          <w:sz w:val="28"/>
          <w:szCs w:val="28"/>
          <w:lang w:val="en-US"/>
        </w:rPr>
        <w:t>Middle Eastern Studies</w:t>
      </w:r>
      <w:r w:rsidRPr="002C03D5">
        <w:rPr>
          <w:noProof/>
          <w:sz w:val="28"/>
          <w:szCs w:val="28"/>
          <w:lang w:val="en-US"/>
        </w:rPr>
        <w:t>. –  1983. – Vol. 19, № 1. – P. 93–103.</w:t>
      </w:r>
    </w:p>
    <w:p w14:paraId="0A794996" w14:textId="77777777" w:rsidR="0086759A" w:rsidRPr="002C03D5"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2C03D5">
        <w:rPr>
          <w:noProof/>
          <w:sz w:val="28"/>
          <w:szCs w:val="28"/>
          <w:lang w:val="en-US"/>
        </w:rPr>
        <w:t>8</w:t>
      </w:r>
      <w:r>
        <w:rPr>
          <w:noProof/>
          <w:sz w:val="28"/>
          <w:szCs w:val="28"/>
          <w:lang w:val="en-US"/>
        </w:rPr>
        <w:t xml:space="preserve">6 </w:t>
      </w:r>
      <w:r w:rsidRPr="002C03D5">
        <w:rPr>
          <w:noProof/>
          <w:sz w:val="28"/>
          <w:szCs w:val="28"/>
          <w:lang w:val="en-US"/>
        </w:rPr>
        <w:t xml:space="preserve">Shirazi N.S., Bin Amin M.F. Poverty elimination through potential zakat collection in the OIC-member countries: Revisited // </w:t>
      </w:r>
      <w:r w:rsidRPr="002C03D5">
        <w:rPr>
          <w:sz w:val="28"/>
          <w:szCs w:val="28"/>
          <w:lang w:val="en-US"/>
        </w:rPr>
        <w:t>Pakistan Development Review</w:t>
      </w:r>
      <w:r w:rsidRPr="002C03D5">
        <w:rPr>
          <w:noProof/>
          <w:sz w:val="28"/>
          <w:szCs w:val="28"/>
          <w:lang w:val="en-US"/>
        </w:rPr>
        <w:t>. – 2009. – Vol. 48, № 4. – P. 739–753.</w:t>
      </w:r>
    </w:p>
    <w:p w14:paraId="6A08B2D1"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8</w:t>
      </w:r>
      <w:r>
        <w:rPr>
          <w:noProof/>
          <w:sz w:val="28"/>
          <w:lang w:val="en-US"/>
        </w:rPr>
        <w:t xml:space="preserve">7 </w:t>
      </w:r>
      <w:r w:rsidRPr="001C63FB">
        <w:rPr>
          <w:noProof/>
          <w:sz w:val="28"/>
          <w:lang w:val="en-US"/>
        </w:rPr>
        <w:t xml:space="preserve">Karim W. The Economic Crisis, Capitalism and Islam: The Making of a New Economic Order? // Globalizations. </w:t>
      </w:r>
      <w:r w:rsidRPr="002C03D5">
        <w:rPr>
          <w:noProof/>
          <w:sz w:val="28"/>
          <w:szCs w:val="28"/>
          <w:lang w:val="en-US"/>
        </w:rPr>
        <w:t>–</w:t>
      </w:r>
      <w:r>
        <w:rPr>
          <w:noProof/>
          <w:sz w:val="28"/>
          <w:szCs w:val="28"/>
          <w:lang w:val="en-US"/>
        </w:rPr>
        <w:t xml:space="preserve"> </w:t>
      </w:r>
      <w:r w:rsidRPr="001C63FB">
        <w:rPr>
          <w:noProof/>
          <w:sz w:val="28"/>
          <w:lang w:val="en-US"/>
        </w:rPr>
        <w:t xml:space="preserve">2010. </w:t>
      </w:r>
      <w:r w:rsidRPr="002C03D5">
        <w:rPr>
          <w:noProof/>
          <w:sz w:val="28"/>
          <w:szCs w:val="28"/>
          <w:lang w:val="en-US"/>
        </w:rPr>
        <w:t>–</w:t>
      </w:r>
      <w:r>
        <w:rPr>
          <w:noProof/>
          <w:sz w:val="28"/>
          <w:szCs w:val="28"/>
          <w:lang w:val="en-US"/>
        </w:rPr>
        <w:t xml:space="preserve"> </w:t>
      </w:r>
      <w:r w:rsidRPr="001C63FB">
        <w:rPr>
          <w:noProof/>
          <w:sz w:val="28"/>
          <w:lang w:val="en-US"/>
        </w:rPr>
        <w:t xml:space="preserve">Vol. 7, № 1–2. </w:t>
      </w:r>
      <w:r w:rsidRPr="002C03D5">
        <w:rPr>
          <w:noProof/>
          <w:sz w:val="28"/>
          <w:szCs w:val="28"/>
          <w:lang w:val="en-US"/>
        </w:rPr>
        <w:t>–</w:t>
      </w:r>
      <w:r>
        <w:rPr>
          <w:noProof/>
          <w:sz w:val="28"/>
          <w:szCs w:val="28"/>
          <w:lang w:val="en-US"/>
        </w:rPr>
        <w:t xml:space="preserve"> </w:t>
      </w:r>
      <w:r w:rsidRPr="001C63FB">
        <w:rPr>
          <w:noProof/>
          <w:sz w:val="28"/>
          <w:lang w:val="en-US"/>
        </w:rPr>
        <w:t>P. 105–125.</w:t>
      </w:r>
    </w:p>
    <w:p w14:paraId="6AC0E606"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8</w:t>
      </w:r>
      <w:r>
        <w:rPr>
          <w:noProof/>
          <w:sz w:val="28"/>
          <w:lang w:val="en-US"/>
        </w:rPr>
        <w:t xml:space="preserve">8 </w:t>
      </w:r>
      <w:r w:rsidRPr="001A2793">
        <w:rPr>
          <w:noProof/>
          <w:sz w:val="28"/>
          <w:szCs w:val="28"/>
          <w:lang w:val="en-US"/>
        </w:rPr>
        <w:t xml:space="preserve">Rethel L. Whose legitimacy? Islamic finance and the global financial order // </w:t>
      </w:r>
      <w:r w:rsidRPr="001A2793">
        <w:rPr>
          <w:sz w:val="28"/>
          <w:szCs w:val="28"/>
          <w:lang w:val="en-US"/>
        </w:rPr>
        <w:t>Review of International Political Economy</w:t>
      </w:r>
      <w:r w:rsidRPr="001A2793">
        <w:rPr>
          <w:noProof/>
          <w:sz w:val="28"/>
          <w:szCs w:val="28"/>
          <w:lang w:val="en-US"/>
        </w:rPr>
        <w:t>. – 2011. –  Vol. 18, № 1. – P. 75–98.</w:t>
      </w:r>
    </w:p>
    <w:p w14:paraId="054555D1"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8</w:t>
      </w:r>
      <w:r>
        <w:rPr>
          <w:noProof/>
          <w:sz w:val="28"/>
          <w:lang w:val="en-US"/>
        </w:rPr>
        <w:t xml:space="preserve">9 </w:t>
      </w:r>
      <w:r w:rsidRPr="001A2793">
        <w:rPr>
          <w:noProof/>
          <w:sz w:val="28"/>
          <w:szCs w:val="28"/>
          <w:lang w:val="en-US"/>
        </w:rPr>
        <w:t xml:space="preserve">Kamla R., Rammal H.G. Social reporting by Islamic banks: Does social justice matter? // </w:t>
      </w:r>
      <w:r w:rsidRPr="001A2793">
        <w:rPr>
          <w:sz w:val="28"/>
          <w:szCs w:val="28"/>
          <w:lang w:val="en-US"/>
        </w:rPr>
        <w:t>Accounting, Auditing and Accountability Journal</w:t>
      </w:r>
      <w:r w:rsidRPr="001A2793">
        <w:rPr>
          <w:noProof/>
          <w:sz w:val="28"/>
          <w:szCs w:val="28"/>
          <w:lang w:val="en-US"/>
        </w:rPr>
        <w:t>. – 2013. – Vol. 26, № 6. – P. 911–945.</w:t>
      </w:r>
    </w:p>
    <w:p w14:paraId="4FF9DA0A" w14:textId="77777777" w:rsidR="0086759A" w:rsidRPr="00B8504F" w:rsidRDefault="0086759A" w:rsidP="0086759A">
      <w:pPr>
        <w:widowControl w:val="0"/>
        <w:autoSpaceDE w:val="0"/>
        <w:autoSpaceDN w:val="0"/>
        <w:adjustRightInd w:val="0"/>
        <w:jc w:val="both"/>
        <w:rPr>
          <w:noProof/>
          <w:sz w:val="28"/>
          <w:szCs w:val="28"/>
          <w:lang w:val="en-US"/>
        </w:rPr>
      </w:pPr>
      <w:r>
        <w:rPr>
          <w:noProof/>
          <w:sz w:val="28"/>
          <w:lang w:val="en-US"/>
        </w:rPr>
        <w:tab/>
        <w:t xml:space="preserve">90 </w:t>
      </w:r>
      <w:r w:rsidRPr="00B8504F">
        <w:rPr>
          <w:noProof/>
          <w:sz w:val="28"/>
          <w:szCs w:val="28"/>
          <w:lang w:val="en-US"/>
        </w:rPr>
        <w:t xml:space="preserve">Zulkhibri M. Financial inclusion, financial inclusion policy and Islamic finance // </w:t>
      </w:r>
      <w:r w:rsidRPr="00B8504F">
        <w:rPr>
          <w:sz w:val="28"/>
          <w:szCs w:val="28"/>
          <w:lang w:val="en-US"/>
        </w:rPr>
        <w:t>Macroeconomics and Finance in Emerging Market Economies</w:t>
      </w:r>
      <w:r w:rsidRPr="00B8504F">
        <w:rPr>
          <w:noProof/>
          <w:sz w:val="28"/>
          <w:szCs w:val="28"/>
          <w:lang w:val="en-US"/>
        </w:rPr>
        <w:t>. – 2016. – Vol. 9, № 3. – P. 303–320.</w:t>
      </w:r>
    </w:p>
    <w:p w14:paraId="3F2E846E" w14:textId="77777777" w:rsidR="0086759A" w:rsidRPr="00DD6D1A" w:rsidRDefault="0086759A" w:rsidP="0086759A">
      <w:pPr>
        <w:widowControl w:val="0"/>
        <w:autoSpaceDE w:val="0"/>
        <w:autoSpaceDN w:val="0"/>
        <w:adjustRightInd w:val="0"/>
        <w:jc w:val="both"/>
        <w:rPr>
          <w:noProof/>
          <w:sz w:val="28"/>
          <w:szCs w:val="28"/>
          <w:lang w:val="en-US"/>
        </w:rPr>
      </w:pPr>
      <w:r>
        <w:rPr>
          <w:noProof/>
          <w:sz w:val="28"/>
          <w:szCs w:val="28"/>
          <w:lang w:val="en-US"/>
        </w:rPr>
        <w:tab/>
        <w:t xml:space="preserve">91 </w:t>
      </w:r>
      <w:r w:rsidRPr="00B8504F">
        <w:rPr>
          <w:noProof/>
          <w:sz w:val="28"/>
          <w:szCs w:val="28"/>
          <w:lang w:val="en-US"/>
        </w:rPr>
        <w:t>A</w:t>
      </w:r>
      <w:r w:rsidRPr="00DD6D1A">
        <w:rPr>
          <w:noProof/>
          <w:sz w:val="28"/>
          <w:szCs w:val="28"/>
          <w:lang w:val="en-US"/>
        </w:rPr>
        <w:t xml:space="preserve">liyu S. et al. Islamic Banking Sustainability: A Review of Literature and Directions for Future Research // </w:t>
      </w:r>
      <w:r w:rsidRPr="00DD6D1A">
        <w:rPr>
          <w:sz w:val="28"/>
          <w:szCs w:val="28"/>
          <w:lang w:val="en-US"/>
        </w:rPr>
        <w:t>Emerging Markets Finance and Trade</w:t>
      </w:r>
      <w:r w:rsidRPr="00DD6D1A">
        <w:rPr>
          <w:noProof/>
          <w:sz w:val="28"/>
          <w:szCs w:val="28"/>
          <w:lang w:val="en-US"/>
        </w:rPr>
        <w:t>. – 2017. – Vol. 53, № 2. – P. 440–470.</w:t>
      </w:r>
    </w:p>
    <w:p w14:paraId="769B3EC8" w14:textId="77777777" w:rsidR="0086759A" w:rsidRPr="00DD6D1A"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DD6D1A">
        <w:rPr>
          <w:noProof/>
          <w:sz w:val="28"/>
          <w:szCs w:val="28"/>
          <w:lang w:val="en-US"/>
        </w:rPr>
        <w:t>9</w:t>
      </w:r>
      <w:r>
        <w:rPr>
          <w:noProof/>
          <w:sz w:val="28"/>
          <w:szCs w:val="28"/>
          <w:lang w:val="en-US"/>
        </w:rPr>
        <w:t xml:space="preserve">2 </w:t>
      </w:r>
      <w:r w:rsidRPr="00DD6D1A">
        <w:rPr>
          <w:noProof/>
          <w:sz w:val="28"/>
          <w:szCs w:val="28"/>
          <w:lang w:val="en-US"/>
        </w:rPr>
        <w:t xml:space="preserve">Haridan N.M., Hassan A.F.S., Karbhari Y. Governance, religious assurance and Islamic banks : Do Shariah boards effectively serve? // </w:t>
      </w:r>
      <w:r w:rsidRPr="00DD6D1A">
        <w:rPr>
          <w:sz w:val="28"/>
          <w:szCs w:val="28"/>
          <w:lang w:val="en-US"/>
        </w:rPr>
        <w:t>Journal of Management and Governance</w:t>
      </w:r>
      <w:r w:rsidRPr="00DD6D1A">
        <w:rPr>
          <w:noProof/>
          <w:sz w:val="28"/>
          <w:szCs w:val="28"/>
          <w:lang w:val="en-US"/>
        </w:rPr>
        <w:t>. Springer US. – 2018. – Vol. 22, № 4. – P. 1015–1043.</w:t>
      </w:r>
    </w:p>
    <w:p w14:paraId="3CC48228" w14:textId="77777777" w:rsidR="0086759A" w:rsidRPr="00DD6D1A"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DD6D1A">
        <w:rPr>
          <w:noProof/>
          <w:sz w:val="28"/>
          <w:szCs w:val="28"/>
          <w:lang w:val="en-US"/>
        </w:rPr>
        <w:t>9</w:t>
      </w:r>
      <w:r>
        <w:rPr>
          <w:noProof/>
          <w:sz w:val="28"/>
          <w:szCs w:val="28"/>
          <w:lang w:val="en-US"/>
        </w:rPr>
        <w:t xml:space="preserve">3 </w:t>
      </w:r>
      <w:r w:rsidRPr="00DD6D1A">
        <w:rPr>
          <w:noProof/>
          <w:sz w:val="28"/>
          <w:szCs w:val="28"/>
          <w:lang w:val="en-US"/>
        </w:rPr>
        <w:t>A. Kaakeh, M. Kabir Hassan, Factors affecting customers’ attitude towards Islamic banking in UAE // I</w:t>
      </w:r>
      <w:r w:rsidRPr="00DD6D1A">
        <w:rPr>
          <w:sz w:val="28"/>
          <w:szCs w:val="28"/>
          <w:lang w:val="en-US"/>
        </w:rPr>
        <w:t>nternational Journal of Emerging Markets</w:t>
      </w:r>
      <w:r w:rsidRPr="00DD6D1A">
        <w:rPr>
          <w:noProof/>
          <w:sz w:val="28"/>
          <w:szCs w:val="28"/>
          <w:lang w:val="en-US"/>
        </w:rPr>
        <w:t>. – 2019. – Vol. 14, № 4.</w:t>
      </w:r>
    </w:p>
    <w:p w14:paraId="59C209FA" w14:textId="77777777" w:rsidR="0086759A" w:rsidRPr="00DD6D1A"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DD6D1A">
        <w:rPr>
          <w:noProof/>
          <w:sz w:val="28"/>
          <w:szCs w:val="28"/>
          <w:lang w:val="en-US"/>
        </w:rPr>
        <w:t>9</w:t>
      </w:r>
      <w:r>
        <w:rPr>
          <w:noProof/>
          <w:sz w:val="28"/>
          <w:szCs w:val="28"/>
          <w:lang w:val="en-US"/>
        </w:rPr>
        <w:t xml:space="preserve">4 </w:t>
      </w:r>
      <w:r w:rsidRPr="00DD6D1A">
        <w:rPr>
          <w:noProof/>
          <w:sz w:val="28"/>
          <w:szCs w:val="28"/>
          <w:lang w:val="en-US"/>
        </w:rPr>
        <w:t xml:space="preserve">A. Andam, A. Oman. </w:t>
      </w:r>
      <w:r w:rsidRPr="00DD6D1A">
        <w:rPr>
          <w:sz w:val="28"/>
          <w:szCs w:val="28"/>
          <w:lang w:val="en-US"/>
        </w:rPr>
        <w:t>Determinants of intention to give zakat on employment income</w:t>
      </w:r>
      <w:r w:rsidRPr="00DD6D1A">
        <w:rPr>
          <w:noProof/>
          <w:sz w:val="28"/>
          <w:szCs w:val="28"/>
          <w:lang w:val="en-US"/>
        </w:rPr>
        <w:t xml:space="preserve"> // </w:t>
      </w:r>
      <w:r w:rsidRPr="00DD6D1A">
        <w:rPr>
          <w:sz w:val="28"/>
          <w:szCs w:val="28"/>
          <w:lang w:val="en-US"/>
        </w:rPr>
        <w:t>Journal of Islamic Accounting and Business Research</w:t>
      </w:r>
      <w:r w:rsidRPr="00DD6D1A">
        <w:rPr>
          <w:noProof/>
          <w:sz w:val="28"/>
          <w:szCs w:val="28"/>
          <w:lang w:val="en-US"/>
        </w:rPr>
        <w:t>. – 2019. – Vol. 10, № 4. – P. 528–545.</w:t>
      </w:r>
    </w:p>
    <w:p w14:paraId="0405A6AC"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9</w:t>
      </w:r>
      <w:r>
        <w:rPr>
          <w:noProof/>
          <w:sz w:val="28"/>
          <w:lang w:val="en-US"/>
        </w:rPr>
        <w:t xml:space="preserve">5 </w:t>
      </w:r>
      <w:r w:rsidRPr="001C63FB">
        <w:rPr>
          <w:noProof/>
          <w:sz w:val="28"/>
          <w:lang w:val="en-US"/>
        </w:rPr>
        <w:t xml:space="preserve">Fukuyama F. The End of History and the Last Man (1992). </w:t>
      </w:r>
      <w:r w:rsidRPr="00DD6D1A">
        <w:rPr>
          <w:noProof/>
          <w:sz w:val="28"/>
          <w:szCs w:val="28"/>
          <w:lang w:val="en-US"/>
        </w:rPr>
        <w:t xml:space="preserve">– </w:t>
      </w:r>
      <w:r w:rsidRPr="001C63FB">
        <w:rPr>
          <w:noProof/>
          <w:sz w:val="28"/>
          <w:lang w:val="en-US"/>
        </w:rPr>
        <w:t xml:space="preserve">2005. </w:t>
      </w:r>
      <w:r w:rsidRPr="00DD6D1A">
        <w:rPr>
          <w:noProof/>
          <w:sz w:val="28"/>
          <w:szCs w:val="28"/>
          <w:lang w:val="en-US"/>
        </w:rPr>
        <w:t xml:space="preserve">– </w:t>
      </w:r>
      <w:r w:rsidRPr="001C63FB">
        <w:rPr>
          <w:noProof/>
          <w:sz w:val="28"/>
          <w:lang w:val="en-US"/>
        </w:rPr>
        <w:t>№ 1992.</w:t>
      </w:r>
      <w:r w:rsidRPr="00DD6D1A">
        <w:rPr>
          <w:noProof/>
          <w:sz w:val="28"/>
          <w:szCs w:val="28"/>
          <w:lang w:val="en-US"/>
        </w:rPr>
        <w:t xml:space="preserve"> – </w:t>
      </w:r>
      <w:r w:rsidRPr="001C63FB">
        <w:rPr>
          <w:noProof/>
          <w:sz w:val="28"/>
          <w:lang w:val="en-US"/>
        </w:rPr>
        <w:t xml:space="preserve"> P. 432.</w:t>
      </w:r>
    </w:p>
    <w:p w14:paraId="67D7C8B5"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9</w:t>
      </w:r>
      <w:r>
        <w:rPr>
          <w:noProof/>
          <w:sz w:val="28"/>
          <w:lang w:val="en-US"/>
        </w:rPr>
        <w:t xml:space="preserve">6 </w:t>
      </w:r>
      <w:r w:rsidRPr="001C63FB">
        <w:rPr>
          <w:noProof/>
          <w:sz w:val="28"/>
          <w:lang w:val="en-US"/>
        </w:rPr>
        <w:t>Lomovtseva O.A., Soboleva S.Y. Methodological aspects of defining the essence and efficiency of social investments //</w:t>
      </w:r>
      <w:r w:rsidRPr="008873FE">
        <w:rPr>
          <w:noProof/>
          <w:sz w:val="28"/>
          <w:szCs w:val="28"/>
          <w:lang w:val="en-US"/>
        </w:rPr>
        <w:t xml:space="preserve"> </w:t>
      </w:r>
      <w:r w:rsidRPr="008873FE">
        <w:rPr>
          <w:sz w:val="28"/>
          <w:szCs w:val="28"/>
          <w:lang w:val="en-US"/>
        </w:rPr>
        <w:t>Scientific Statements</w:t>
      </w:r>
      <w:r w:rsidRPr="008873FE">
        <w:rPr>
          <w:noProof/>
          <w:sz w:val="28"/>
          <w:szCs w:val="28"/>
          <w:lang w:val="en-US"/>
        </w:rPr>
        <w:t xml:space="preserve">. </w:t>
      </w:r>
      <w:r w:rsidRPr="00DD6D1A">
        <w:rPr>
          <w:noProof/>
          <w:sz w:val="28"/>
          <w:szCs w:val="28"/>
          <w:lang w:val="en-US"/>
        </w:rPr>
        <w:t xml:space="preserve">– </w:t>
      </w:r>
      <w:r w:rsidRPr="001C63FB">
        <w:rPr>
          <w:noProof/>
          <w:sz w:val="28"/>
          <w:lang w:val="en-US"/>
        </w:rPr>
        <w:t xml:space="preserve">2009. </w:t>
      </w:r>
      <w:r w:rsidRPr="00DD6D1A">
        <w:rPr>
          <w:noProof/>
          <w:sz w:val="28"/>
          <w:szCs w:val="28"/>
          <w:lang w:val="en-US"/>
        </w:rPr>
        <w:t xml:space="preserve">– </w:t>
      </w:r>
      <w:r w:rsidRPr="001C63FB">
        <w:rPr>
          <w:noProof/>
          <w:sz w:val="28"/>
          <w:lang w:val="en-US"/>
        </w:rPr>
        <w:t>Vol. 1 (56).</w:t>
      </w:r>
    </w:p>
    <w:p w14:paraId="5C3BB8BF"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9</w:t>
      </w:r>
      <w:r>
        <w:rPr>
          <w:noProof/>
          <w:sz w:val="28"/>
          <w:lang w:val="en-US"/>
        </w:rPr>
        <w:t xml:space="preserve">7 </w:t>
      </w:r>
      <w:r w:rsidRPr="001C63FB">
        <w:rPr>
          <w:noProof/>
          <w:sz w:val="28"/>
          <w:lang w:val="en-US"/>
        </w:rPr>
        <w:t>Samuelson P.A., Nordhaus W.D. Economics. 19th ed. / ed. Fisher K.L. Duglas Reiner</w:t>
      </w:r>
      <w:r>
        <w:rPr>
          <w:noProof/>
          <w:sz w:val="28"/>
          <w:lang w:val="en-US"/>
        </w:rPr>
        <w:t>.</w:t>
      </w:r>
      <w:r w:rsidRPr="001C63FB">
        <w:rPr>
          <w:noProof/>
          <w:sz w:val="28"/>
          <w:lang w:val="en-US"/>
        </w:rPr>
        <w:t xml:space="preserve"> </w:t>
      </w:r>
      <w:r>
        <w:rPr>
          <w:noProof/>
          <w:sz w:val="28"/>
          <w:lang w:val="en-US"/>
        </w:rPr>
        <w:t xml:space="preserve"> </w:t>
      </w:r>
      <w:r w:rsidRPr="00DD6D1A">
        <w:rPr>
          <w:noProof/>
          <w:sz w:val="28"/>
          <w:szCs w:val="28"/>
          <w:lang w:val="en-US"/>
        </w:rPr>
        <w:t>–</w:t>
      </w:r>
      <w:r w:rsidRPr="001C63FB">
        <w:rPr>
          <w:noProof/>
          <w:sz w:val="28"/>
          <w:lang w:val="en-US"/>
        </w:rPr>
        <w:t xml:space="preserve">2010. </w:t>
      </w:r>
      <w:r w:rsidRPr="00DD6D1A">
        <w:rPr>
          <w:noProof/>
          <w:sz w:val="28"/>
          <w:szCs w:val="28"/>
          <w:lang w:val="en-US"/>
        </w:rPr>
        <w:t>–</w:t>
      </w:r>
      <w:r>
        <w:rPr>
          <w:noProof/>
          <w:sz w:val="28"/>
          <w:szCs w:val="28"/>
          <w:lang w:val="en-US"/>
        </w:rPr>
        <w:t xml:space="preserve"> </w:t>
      </w:r>
      <w:r w:rsidRPr="001C63FB">
        <w:rPr>
          <w:noProof/>
          <w:sz w:val="28"/>
          <w:lang w:val="en-US"/>
        </w:rPr>
        <w:t>745 p.</w:t>
      </w:r>
    </w:p>
    <w:p w14:paraId="7A2B4DED" w14:textId="77777777" w:rsidR="0086759A" w:rsidRPr="008873FE" w:rsidRDefault="0086759A" w:rsidP="0086759A">
      <w:pPr>
        <w:widowControl w:val="0"/>
        <w:autoSpaceDE w:val="0"/>
        <w:autoSpaceDN w:val="0"/>
        <w:adjustRightInd w:val="0"/>
        <w:jc w:val="both"/>
        <w:rPr>
          <w:noProof/>
          <w:sz w:val="28"/>
          <w:szCs w:val="28"/>
          <w:lang w:val="en-US"/>
        </w:rPr>
      </w:pPr>
      <w:r>
        <w:rPr>
          <w:noProof/>
          <w:sz w:val="28"/>
          <w:lang w:val="en-US"/>
        </w:rPr>
        <w:tab/>
      </w:r>
      <w:r w:rsidRPr="001C63FB">
        <w:rPr>
          <w:noProof/>
          <w:sz w:val="28"/>
          <w:lang w:val="en-US"/>
        </w:rPr>
        <w:t>9</w:t>
      </w:r>
      <w:r>
        <w:rPr>
          <w:noProof/>
          <w:sz w:val="28"/>
          <w:lang w:val="en-US"/>
        </w:rPr>
        <w:t xml:space="preserve">8 </w:t>
      </w:r>
      <w:r w:rsidRPr="001C63FB">
        <w:rPr>
          <w:noProof/>
          <w:sz w:val="28"/>
          <w:lang w:val="en-US"/>
        </w:rPr>
        <w:t xml:space="preserve">Vanclay F. International principles for social impact assessment // </w:t>
      </w:r>
      <w:r w:rsidRPr="008873FE">
        <w:rPr>
          <w:lang w:val="en-US"/>
        </w:rPr>
        <w:t xml:space="preserve">Impact </w:t>
      </w:r>
      <w:r w:rsidRPr="008873FE">
        <w:rPr>
          <w:sz w:val="28"/>
          <w:szCs w:val="28"/>
          <w:lang w:val="en-US"/>
        </w:rPr>
        <w:t>Assessment and Project Appraisal</w:t>
      </w:r>
      <w:r w:rsidRPr="008873FE">
        <w:rPr>
          <w:noProof/>
          <w:sz w:val="28"/>
          <w:szCs w:val="28"/>
          <w:lang w:val="en-US"/>
        </w:rPr>
        <w:t>. – 2003. – Vol. 21, № 1. – P. 5–12.</w:t>
      </w:r>
    </w:p>
    <w:p w14:paraId="6A59756E" w14:textId="77777777" w:rsidR="0086759A" w:rsidRPr="008873FE"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8873FE">
        <w:rPr>
          <w:noProof/>
          <w:sz w:val="28"/>
          <w:szCs w:val="28"/>
          <w:lang w:val="en-US"/>
        </w:rPr>
        <w:t>9</w:t>
      </w:r>
      <w:r>
        <w:rPr>
          <w:noProof/>
          <w:sz w:val="28"/>
          <w:szCs w:val="28"/>
          <w:lang w:val="en-US"/>
        </w:rPr>
        <w:t xml:space="preserve">9 </w:t>
      </w:r>
      <w:r w:rsidRPr="008873FE">
        <w:rPr>
          <w:noProof/>
          <w:sz w:val="28"/>
          <w:szCs w:val="28"/>
          <w:lang w:val="en-US"/>
        </w:rPr>
        <w:t xml:space="preserve">Yonk R.M., Smith J.T., Wardle A.R. Building a Quality of Life Index // </w:t>
      </w:r>
      <w:r w:rsidRPr="008873FE">
        <w:rPr>
          <w:sz w:val="28"/>
          <w:szCs w:val="28"/>
          <w:lang w:val="en-US"/>
        </w:rPr>
        <w:t>Quality of Life and Quality of Working Life</w:t>
      </w:r>
      <w:r w:rsidRPr="008873FE">
        <w:rPr>
          <w:noProof/>
          <w:sz w:val="28"/>
          <w:szCs w:val="28"/>
          <w:lang w:val="en-US"/>
        </w:rPr>
        <w:t>. – 2017. – № May.</w:t>
      </w:r>
    </w:p>
    <w:p w14:paraId="04FAF261"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t xml:space="preserve">100 </w:t>
      </w:r>
      <w:r w:rsidRPr="001C63FB">
        <w:rPr>
          <w:noProof/>
          <w:sz w:val="28"/>
          <w:lang w:val="en-US"/>
        </w:rPr>
        <w:t xml:space="preserve">United Nations Development Programme. Human Development Indices and Indicators 2018 // Human Development Indices and Indicators 2018. </w:t>
      </w:r>
      <w:r w:rsidRPr="00DD6D1A">
        <w:rPr>
          <w:noProof/>
          <w:sz w:val="28"/>
          <w:szCs w:val="28"/>
          <w:lang w:val="en-US"/>
        </w:rPr>
        <w:t>–</w:t>
      </w:r>
      <w:r>
        <w:rPr>
          <w:noProof/>
          <w:sz w:val="28"/>
          <w:szCs w:val="28"/>
          <w:lang w:val="en-US"/>
        </w:rPr>
        <w:t xml:space="preserve"> </w:t>
      </w:r>
      <w:r w:rsidRPr="001C63FB">
        <w:rPr>
          <w:noProof/>
          <w:sz w:val="28"/>
          <w:lang w:val="en-US"/>
        </w:rPr>
        <w:t xml:space="preserve">2018. </w:t>
      </w:r>
      <w:r w:rsidRPr="00DD6D1A">
        <w:rPr>
          <w:noProof/>
          <w:sz w:val="28"/>
          <w:szCs w:val="28"/>
          <w:lang w:val="en-US"/>
        </w:rPr>
        <w:t>–</w:t>
      </w:r>
      <w:r>
        <w:rPr>
          <w:noProof/>
          <w:sz w:val="28"/>
          <w:szCs w:val="28"/>
          <w:lang w:val="en-US"/>
        </w:rPr>
        <w:t xml:space="preserve"> </w:t>
      </w:r>
      <w:r w:rsidRPr="001C63FB">
        <w:rPr>
          <w:noProof/>
          <w:sz w:val="28"/>
          <w:lang w:val="en-US"/>
        </w:rPr>
        <w:t>123 p.</w:t>
      </w:r>
    </w:p>
    <w:p w14:paraId="2A31188E" w14:textId="77777777" w:rsidR="0086759A" w:rsidRPr="008873FE" w:rsidRDefault="0086759A" w:rsidP="0086759A">
      <w:pPr>
        <w:widowControl w:val="0"/>
        <w:autoSpaceDE w:val="0"/>
        <w:autoSpaceDN w:val="0"/>
        <w:adjustRightInd w:val="0"/>
        <w:jc w:val="both"/>
        <w:rPr>
          <w:noProof/>
          <w:sz w:val="28"/>
          <w:lang w:val="en-US"/>
        </w:rPr>
      </w:pPr>
      <w:r>
        <w:rPr>
          <w:noProof/>
          <w:sz w:val="28"/>
          <w:lang w:val="en-US"/>
        </w:rPr>
        <w:tab/>
        <w:t xml:space="preserve">101 </w:t>
      </w:r>
      <w:r w:rsidRPr="0019004C">
        <w:rPr>
          <w:noProof/>
          <w:sz w:val="28"/>
          <w:szCs w:val="28"/>
          <w:lang w:val="en-US"/>
        </w:rPr>
        <w:t xml:space="preserve">Zidane T., Olsson E. Defining project efficiency, effectiveness and efficacy // </w:t>
      </w:r>
      <w:r w:rsidRPr="0019004C">
        <w:rPr>
          <w:sz w:val="28"/>
          <w:szCs w:val="28"/>
          <w:lang w:val="en-US"/>
        </w:rPr>
        <w:t>International Journal of Managing Projects in Business</w:t>
      </w:r>
      <w:r w:rsidRPr="0019004C">
        <w:rPr>
          <w:noProof/>
          <w:sz w:val="28"/>
          <w:szCs w:val="28"/>
          <w:lang w:val="en-US"/>
        </w:rPr>
        <w:t>. – 2017. – Vol. 10, № 3. – P. 621–641.</w:t>
      </w:r>
    </w:p>
    <w:p w14:paraId="3887C498"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0F05B4">
        <w:rPr>
          <w:noProof/>
          <w:sz w:val="28"/>
          <w:lang w:val="en-US"/>
        </w:rPr>
        <w:t>10</w:t>
      </w:r>
      <w:r>
        <w:rPr>
          <w:noProof/>
          <w:sz w:val="28"/>
          <w:lang w:val="en-US"/>
        </w:rPr>
        <w:t xml:space="preserve">2 </w:t>
      </w:r>
      <w:r w:rsidRPr="000F05B4">
        <w:rPr>
          <w:noProof/>
          <w:sz w:val="28"/>
          <w:lang w:val="en-US"/>
        </w:rPr>
        <w:t xml:space="preserve">Andreeva E., Gorshkova I., Kovalevskaya A. Recommendations for assessing the socio-economic effectiveness of social programs. </w:t>
      </w:r>
      <w:r w:rsidRPr="001C63FB">
        <w:rPr>
          <w:noProof/>
          <w:sz w:val="28"/>
          <w:lang w:val="en-US"/>
        </w:rPr>
        <w:t>Moscow: Prospect</w:t>
      </w:r>
      <w:r>
        <w:rPr>
          <w:noProof/>
          <w:sz w:val="28"/>
          <w:lang w:val="en-US"/>
        </w:rPr>
        <w:t xml:space="preserve">. </w:t>
      </w:r>
      <w:r w:rsidRPr="00DD6D1A">
        <w:rPr>
          <w:noProof/>
          <w:sz w:val="28"/>
          <w:szCs w:val="28"/>
          <w:lang w:val="en-US"/>
        </w:rPr>
        <w:t>–</w:t>
      </w:r>
      <w:r>
        <w:rPr>
          <w:noProof/>
          <w:sz w:val="28"/>
          <w:szCs w:val="28"/>
          <w:lang w:val="en-US"/>
        </w:rPr>
        <w:t xml:space="preserve"> </w:t>
      </w:r>
      <w:r w:rsidRPr="001C63FB">
        <w:rPr>
          <w:noProof/>
          <w:sz w:val="28"/>
          <w:lang w:val="en-US"/>
        </w:rPr>
        <w:t xml:space="preserve">2014. </w:t>
      </w:r>
      <w:r w:rsidRPr="00DD6D1A">
        <w:rPr>
          <w:noProof/>
          <w:sz w:val="28"/>
          <w:szCs w:val="28"/>
          <w:lang w:val="en-US"/>
        </w:rPr>
        <w:t>–</w:t>
      </w:r>
      <w:r>
        <w:rPr>
          <w:noProof/>
          <w:sz w:val="28"/>
          <w:szCs w:val="28"/>
          <w:lang w:val="en-US"/>
        </w:rPr>
        <w:t xml:space="preserve"> </w:t>
      </w:r>
      <w:r w:rsidRPr="001C63FB">
        <w:rPr>
          <w:noProof/>
          <w:sz w:val="28"/>
          <w:lang w:val="en-US"/>
        </w:rPr>
        <w:t>73 p.</w:t>
      </w:r>
    </w:p>
    <w:p w14:paraId="4B8DE039" w14:textId="77777777" w:rsidR="0086759A" w:rsidRPr="00714620" w:rsidRDefault="0086759A" w:rsidP="0086759A">
      <w:pPr>
        <w:widowControl w:val="0"/>
        <w:autoSpaceDE w:val="0"/>
        <w:autoSpaceDN w:val="0"/>
        <w:adjustRightInd w:val="0"/>
        <w:ind w:left="640" w:hanging="640"/>
        <w:jc w:val="both"/>
        <w:rPr>
          <w:noProof/>
          <w:sz w:val="28"/>
          <w:szCs w:val="28"/>
          <w:lang w:val="en-US"/>
        </w:rPr>
      </w:pPr>
      <w:r>
        <w:rPr>
          <w:noProof/>
          <w:sz w:val="28"/>
          <w:lang w:val="en-US"/>
        </w:rPr>
        <w:tab/>
      </w:r>
      <w:r w:rsidRPr="001C63FB">
        <w:rPr>
          <w:noProof/>
          <w:sz w:val="28"/>
          <w:lang w:val="en-US"/>
        </w:rPr>
        <w:t>10</w:t>
      </w:r>
      <w:r>
        <w:rPr>
          <w:noProof/>
          <w:sz w:val="28"/>
          <w:szCs w:val="28"/>
          <w:lang w:val="en-US"/>
        </w:rPr>
        <w:t xml:space="preserve">3 </w:t>
      </w:r>
      <w:r w:rsidRPr="00714620">
        <w:rPr>
          <w:noProof/>
          <w:sz w:val="28"/>
          <w:szCs w:val="28"/>
          <w:lang w:val="en-US"/>
        </w:rPr>
        <w:t>Saaty T.. The Analytic Hierarchy Process. New York: McGraw-Hill. – 1980.</w:t>
      </w:r>
    </w:p>
    <w:p w14:paraId="1CDFBEDB" w14:textId="77777777" w:rsidR="0086759A" w:rsidRPr="00714620"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714620">
        <w:rPr>
          <w:noProof/>
          <w:sz w:val="28"/>
          <w:szCs w:val="28"/>
          <w:lang w:val="en-US"/>
        </w:rPr>
        <w:t>10</w:t>
      </w:r>
      <w:r>
        <w:rPr>
          <w:noProof/>
          <w:sz w:val="28"/>
          <w:szCs w:val="28"/>
          <w:lang w:val="en-US"/>
        </w:rPr>
        <w:t xml:space="preserve">4 </w:t>
      </w:r>
      <w:r w:rsidRPr="00714620">
        <w:rPr>
          <w:noProof/>
          <w:sz w:val="28"/>
          <w:szCs w:val="28"/>
          <w:lang w:val="en-US"/>
        </w:rPr>
        <w:t xml:space="preserve">Wu G., Duan K., Zuo J., Xianbo Zh., </w:t>
      </w:r>
      <w:r w:rsidRPr="00714620">
        <w:rPr>
          <w:sz w:val="28"/>
          <w:szCs w:val="28"/>
          <w:lang w:val="en-US"/>
        </w:rPr>
        <w:t>Daizhong T</w:t>
      </w:r>
      <w:r w:rsidRPr="00714620">
        <w:rPr>
          <w:noProof/>
          <w:sz w:val="28"/>
          <w:szCs w:val="28"/>
          <w:lang w:val="en-US"/>
        </w:rPr>
        <w:t xml:space="preserve">. Integrated sustainability assessment of public rental housing community based on a hybrid method of AHP-entropyweight and cloud model // </w:t>
      </w:r>
      <w:r w:rsidRPr="00714620">
        <w:rPr>
          <w:sz w:val="28"/>
          <w:szCs w:val="28"/>
          <w:lang w:val="en-US"/>
        </w:rPr>
        <w:t>Sustainability (Switzerland)</w:t>
      </w:r>
      <w:r w:rsidRPr="00714620">
        <w:rPr>
          <w:noProof/>
          <w:sz w:val="28"/>
          <w:szCs w:val="28"/>
          <w:lang w:val="en-US"/>
        </w:rPr>
        <w:t>. – 2017. –  Vol. 9, № 4.</w:t>
      </w:r>
    </w:p>
    <w:p w14:paraId="4EA98A5C" w14:textId="77777777" w:rsidR="0086759A" w:rsidRPr="00714620"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714620">
        <w:rPr>
          <w:noProof/>
          <w:sz w:val="28"/>
          <w:szCs w:val="28"/>
          <w:lang w:val="en-US"/>
        </w:rPr>
        <w:t>10</w:t>
      </w:r>
      <w:r>
        <w:rPr>
          <w:noProof/>
          <w:sz w:val="28"/>
          <w:szCs w:val="28"/>
          <w:lang w:val="en-US"/>
        </w:rPr>
        <w:t xml:space="preserve">5 </w:t>
      </w:r>
      <w:r w:rsidRPr="00714620">
        <w:rPr>
          <w:noProof/>
          <w:sz w:val="28"/>
          <w:szCs w:val="28"/>
          <w:lang w:val="en-US"/>
        </w:rPr>
        <w:t xml:space="preserve">Rakhmatullayeva D.Z., Bobkov V.N., Zhatkanbayev Y.B. Modeling of social effect of foreign direct investment in the regions of Kazakhstan // </w:t>
      </w:r>
      <w:r w:rsidRPr="00714620">
        <w:rPr>
          <w:sz w:val="28"/>
          <w:szCs w:val="28"/>
          <w:lang w:val="en-US"/>
        </w:rPr>
        <w:t>Economy of Region</w:t>
      </w:r>
      <w:r w:rsidRPr="00714620">
        <w:rPr>
          <w:noProof/>
          <w:sz w:val="28"/>
          <w:szCs w:val="28"/>
          <w:lang w:val="en-US"/>
        </w:rPr>
        <w:t>. – 2015. – Vol. 2, № 2. – P. 285–300.</w:t>
      </w:r>
    </w:p>
    <w:p w14:paraId="592DCB1B" w14:textId="77777777" w:rsidR="0086759A" w:rsidRPr="00714620"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714620">
        <w:rPr>
          <w:noProof/>
          <w:sz w:val="28"/>
          <w:szCs w:val="28"/>
          <w:lang w:val="en-US"/>
        </w:rPr>
        <w:t>10</w:t>
      </w:r>
      <w:r>
        <w:rPr>
          <w:noProof/>
          <w:sz w:val="28"/>
          <w:szCs w:val="28"/>
          <w:lang w:val="en-US"/>
        </w:rPr>
        <w:t xml:space="preserve">6 </w:t>
      </w:r>
      <w:r w:rsidRPr="00714620">
        <w:rPr>
          <w:noProof/>
          <w:sz w:val="28"/>
          <w:szCs w:val="28"/>
          <w:lang w:val="en-US"/>
        </w:rPr>
        <w:t xml:space="preserve">Yoga I.M.S. et al. Socio-Economic Factors Affecting Poverty in Bali Province, Indonesia // </w:t>
      </w:r>
      <w:r w:rsidRPr="00714620">
        <w:rPr>
          <w:sz w:val="28"/>
          <w:szCs w:val="28"/>
          <w:lang w:val="en-US"/>
        </w:rPr>
        <w:t>Russian Journal of Agricultural and Socio-Economic Sciences</w:t>
      </w:r>
      <w:r w:rsidRPr="00714620">
        <w:rPr>
          <w:noProof/>
          <w:sz w:val="28"/>
          <w:szCs w:val="28"/>
          <w:lang w:val="en-US"/>
        </w:rPr>
        <w:t>. – 2019. –Vol. 90, № 6. – P. 192–202.</w:t>
      </w:r>
    </w:p>
    <w:p w14:paraId="4CD5A2EC" w14:textId="77777777" w:rsidR="0086759A" w:rsidRPr="00FF4E18"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714620">
        <w:rPr>
          <w:noProof/>
          <w:sz w:val="28"/>
          <w:szCs w:val="28"/>
          <w:lang w:val="en-US"/>
        </w:rPr>
        <w:t>10</w:t>
      </w:r>
      <w:r>
        <w:rPr>
          <w:noProof/>
          <w:sz w:val="28"/>
          <w:szCs w:val="28"/>
          <w:lang w:val="en-US"/>
        </w:rPr>
        <w:t xml:space="preserve">7 </w:t>
      </w:r>
      <w:r w:rsidRPr="00714620">
        <w:rPr>
          <w:noProof/>
          <w:sz w:val="28"/>
          <w:szCs w:val="28"/>
          <w:lang w:val="en-US"/>
        </w:rPr>
        <w:t>Shirazi N.S. Providing for the Resource Shortfall for Poverty Elimination Through the Instituti</w:t>
      </w:r>
      <w:r w:rsidRPr="00FF4E18">
        <w:rPr>
          <w:noProof/>
          <w:sz w:val="28"/>
          <w:szCs w:val="28"/>
          <w:lang w:val="en-US"/>
        </w:rPr>
        <w:t xml:space="preserve">on of Zakat in Low-Income Muslim Countries // </w:t>
      </w:r>
      <w:r w:rsidRPr="00FF4E18">
        <w:rPr>
          <w:sz w:val="28"/>
          <w:szCs w:val="28"/>
          <w:lang w:val="en-US"/>
        </w:rPr>
        <w:t>IIUM Journal of Economics and Management</w:t>
      </w:r>
      <w:r w:rsidRPr="00FF4E18">
        <w:rPr>
          <w:noProof/>
          <w:sz w:val="28"/>
          <w:szCs w:val="28"/>
          <w:lang w:val="en-US"/>
        </w:rPr>
        <w:t>. – 2006. – Vol. 14, № 1. – P. 1–28.</w:t>
      </w:r>
    </w:p>
    <w:p w14:paraId="3AD828F4" w14:textId="77777777" w:rsidR="0086759A" w:rsidRPr="00FF4E18"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FF4E18">
        <w:rPr>
          <w:noProof/>
          <w:sz w:val="28"/>
          <w:szCs w:val="28"/>
          <w:lang w:val="en-US"/>
        </w:rPr>
        <w:t>10</w:t>
      </w:r>
      <w:r>
        <w:rPr>
          <w:noProof/>
          <w:sz w:val="28"/>
          <w:szCs w:val="28"/>
          <w:lang w:val="en-US"/>
        </w:rPr>
        <w:t xml:space="preserve">8 </w:t>
      </w:r>
      <w:r w:rsidRPr="00FF4E18">
        <w:rPr>
          <w:noProof/>
          <w:sz w:val="28"/>
          <w:szCs w:val="28"/>
          <w:lang w:val="en-US"/>
        </w:rPr>
        <w:t>Terziev V. Social Efficiency as a Measure of Social Activities // SOCIOINT 2019- 6th International Conference on Education, Social Sciences and Humanities 24-26. Istanbul. – 2019. – № June.</w:t>
      </w:r>
    </w:p>
    <w:p w14:paraId="11A7DDBA" w14:textId="77777777" w:rsidR="0086759A" w:rsidRPr="00FF4E18"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FF4E18">
        <w:rPr>
          <w:noProof/>
          <w:sz w:val="28"/>
          <w:szCs w:val="28"/>
          <w:lang w:val="en-US"/>
        </w:rPr>
        <w:t>10</w:t>
      </w:r>
      <w:r>
        <w:rPr>
          <w:noProof/>
          <w:sz w:val="28"/>
          <w:szCs w:val="28"/>
          <w:lang w:val="en-US"/>
        </w:rPr>
        <w:t xml:space="preserve">9 </w:t>
      </w:r>
      <w:r w:rsidRPr="00FF4E18">
        <w:rPr>
          <w:noProof/>
          <w:sz w:val="28"/>
          <w:szCs w:val="28"/>
          <w:lang w:val="en-US"/>
        </w:rPr>
        <w:t>Bohm P. Necessary Conditions for Pareto Optimality // Social Efficiency. 2nd ed. London. – 1987. – P. 155–183.</w:t>
      </w:r>
    </w:p>
    <w:p w14:paraId="6FF1EE2D" w14:textId="77777777" w:rsidR="0086759A" w:rsidRPr="00FF4E18"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FF4E18">
        <w:rPr>
          <w:noProof/>
          <w:sz w:val="28"/>
          <w:szCs w:val="28"/>
          <w:lang w:val="en-US"/>
        </w:rPr>
        <w:t>1</w:t>
      </w:r>
      <w:r>
        <w:rPr>
          <w:noProof/>
          <w:sz w:val="28"/>
          <w:szCs w:val="28"/>
          <w:lang w:val="en-US"/>
        </w:rPr>
        <w:t xml:space="preserve">10 </w:t>
      </w:r>
      <w:r w:rsidRPr="00FF4E18">
        <w:rPr>
          <w:noProof/>
          <w:sz w:val="28"/>
          <w:szCs w:val="28"/>
          <w:lang w:val="en-US"/>
        </w:rPr>
        <w:t xml:space="preserve">Afinogenova I.N. Economic efficiency and social justice // </w:t>
      </w:r>
      <w:r w:rsidRPr="00FF4E18">
        <w:rPr>
          <w:sz w:val="28"/>
          <w:szCs w:val="28"/>
          <w:lang w:val="en-US"/>
        </w:rPr>
        <w:t>The territory of science</w:t>
      </w:r>
      <w:r w:rsidRPr="00FF4E18">
        <w:rPr>
          <w:noProof/>
          <w:sz w:val="28"/>
          <w:szCs w:val="28"/>
          <w:lang w:val="en-US"/>
        </w:rPr>
        <w:t>. – 2013. –№ 1. P. 54–60.</w:t>
      </w:r>
    </w:p>
    <w:p w14:paraId="2F4B2ABC"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w:t>
      </w:r>
      <w:r>
        <w:rPr>
          <w:noProof/>
          <w:sz w:val="28"/>
          <w:lang w:val="en-US"/>
        </w:rPr>
        <w:t xml:space="preserve">11 </w:t>
      </w:r>
      <w:r w:rsidRPr="001C63FB">
        <w:rPr>
          <w:noProof/>
          <w:sz w:val="28"/>
          <w:lang w:val="en-US"/>
        </w:rPr>
        <w:t xml:space="preserve">Petkov N., Wu H., Powell R. Cost-benefit analysis of condition monitoring on DEMO remote maintenance system // </w:t>
      </w:r>
      <w:r w:rsidRPr="00FF4E18">
        <w:rPr>
          <w:lang w:val="en-US"/>
        </w:rPr>
        <w:t>Fusion Engineering and Design</w:t>
      </w:r>
      <w:r w:rsidRPr="001C63FB">
        <w:rPr>
          <w:noProof/>
          <w:sz w:val="28"/>
          <w:lang w:val="en-US"/>
        </w:rPr>
        <w:t xml:space="preserve">. </w:t>
      </w:r>
      <w:r w:rsidRPr="00FF4E18">
        <w:rPr>
          <w:noProof/>
          <w:sz w:val="28"/>
          <w:szCs w:val="28"/>
          <w:lang w:val="en-US"/>
        </w:rPr>
        <w:t>–</w:t>
      </w:r>
      <w:r>
        <w:rPr>
          <w:noProof/>
          <w:sz w:val="28"/>
          <w:szCs w:val="28"/>
          <w:lang w:val="en-US"/>
        </w:rPr>
        <w:t xml:space="preserve"> </w:t>
      </w:r>
      <w:r w:rsidRPr="001C63FB">
        <w:rPr>
          <w:noProof/>
          <w:sz w:val="28"/>
          <w:lang w:val="en-US"/>
        </w:rPr>
        <w:t xml:space="preserve">2020. </w:t>
      </w:r>
      <w:r w:rsidRPr="00FF4E18">
        <w:rPr>
          <w:noProof/>
          <w:sz w:val="28"/>
          <w:szCs w:val="28"/>
          <w:lang w:val="en-US"/>
        </w:rPr>
        <w:t>–</w:t>
      </w:r>
      <w:r>
        <w:rPr>
          <w:noProof/>
          <w:sz w:val="28"/>
          <w:szCs w:val="28"/>
          <w:lang w:val="en-US"/>
        </w:rPr>
        <w:t xml:space="preserve"> </w:t>
      </w:r>
      <w:r w:rsidRPr="001C63FB">
        <w:rPr>
          <w:noProof/>
          <w:sz w:val="28"/>
          <w:lang w:val="en-US"/>
        </w:rPr>
        <w:t>Vol. 160, № 33053.</w:t>
      </w:r>
    </w:p>
    <w:p w14:paraId="71B347D5"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w:t>
      </w:r>
      <w:r>
        <w:rPr>
          <w:noProof/>
          <w:sz w:val="28"/>
          <w:lang w:val="en-US"/>
        </w:rPr>
        <w:t xml:space="preserve">12 </w:t>
      </w:r>
      <w:r w:rsidRPr="001C63FB">
        <w:rPr>
          <w:noProof/>
          <w:sz w:val="28"/>
          <w:lang w:val="en-US"/>
        </w:rPr>
        <w:t>Bureau of National Statistics. The main socio-economic indicators of the Republic of Kazakhstan</w:t>
      </w:r>
      <w:r>
        <w:rPr>
          <w:noProof/>
          <w:sz w:val="28"/>
          <w:lang w:val="en-US"/>
        </w:rPr>
        <w:t xml:space="preserve"> -</w:t>
      </w:r>
      <w:r>
        <w:rPr>
          <w:noProof/>
          <w:sz w:val="28"/>
          <w:szCs w:val="28"/>
          <w:lang w:val="en-US"/>
        </w:rPr>
        <w:t xml:space="preserve"> </w:t>
      </w:r>
      <w:r w:rsidRPr="001C63FB">
        <w:rPr>
          <w:noProof/>
          <w:sz w:val="28"/>
          <w:lang w:val="en-US"/>
        </w:rPr>
        <w:t>2020.</w:t>
      </w:r>
      <w:r>
        <w:rPr>
          <w:noProof/>
          <w:sz w:val="28"/>
          <w:lang w:val="en-US"/>
        </w:rPr>
        <w:t xml:space="preserve"> // </w:t>
      </w:r>
      <w:r w:rsidRPr="001C63FB">
        <w:rPr>
          <w:noProof/>
          <w:sz w:val="28"/>
          <w:lang w:val="en-US"/>
        </w:rPr>
        <w:t>https://stat.gov.kz/official/dynamic.</w:t>
      </w:r>
      <w:r>
        <w:rPr>
          <w:noProof/>
          <w:sz w:val="28"/>
          <w:lang w:val="en-US"/>
        </w:rPr>
        <w:t>01.06.2021</w:t>
      </w:r>
    </w:p>
    <w:p w14:paraId="05D7B8E8"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11</w:t>
      </w:r>
      <w:r>
        <w:rPr>
          <w:noProof/>
          <w:sz w:val="28"/>
          <w:lang w:val="en-US"/>
        </w:rPr>
        <w:t xml:space="preserve">3 </w:t>
      </w:r>
      <w:r w:rsidRPr="001C63FB">
        <w:rPr>
          <w:noProof/>
          <w:sz w:val="28"/>
          <w:lang w:val="en-US"/>
        </w:rPr>
        <w:t>Hieminga G., Patterson W. Energy outlook 2021 // The Bipartisan Policy Center.</w:t>
      </w:r>
      <w:r>
        <w:rPr>
          <w:noProof/>
          <w:sz w:val="28"/>
          <w:lang w:val="en-US"/>
        </w:rPr>
        <w:t xml:space="preserve"> </w:t>
      </w:r>
      <w:r w:rsidRPr="00FF4E18">
        <w:rPr>
          <w:noProof/>
          <w:sz w:val="28"/>
          <w:szCs w:val="28"/>
          <w:lang w:val="en-US"/>
        </w:rPr>
        <w:t>–</w:t>
      </w:r>
      <w:r w:rsidRPr="001C63FB">
        <w:rPr>
          <w:noProof/>
          <w:sz w:val="28"/>
          <w:lang w:val="en-US"/>
        </w:rPr>
        <w:t xml:space="preserve"> 2021. </w:t>
      </w:r>
      <w:r w:rsidRPr="00FF4E18">
        <w:rPr>
          <w:noProof/>
          <w:sz w:val="28"/>
          <w:szCs w:val="28"/>
          <w:lang w:val="en-US"/>
        </w:rPr>
        <w:t>–</w:t>
      </w:r>
      <w:r>
        <w:rPr>
          <w:noProof/>
          <w:sz w:val="28"/>
          <w:szCs w:val="28"/>
          <w:lang w:val="en-US"/>
        </w:rPr>
        <w:t xml:space="preserve"> </w:t>
      </w:r>
      <w:r w:rsidRPr="001C63FB">
        <w:rPr>
          <w:noProof/>
          <w:sz w:val="28"/>
          <w:lang w:val="en-US"/>
        </w:rPr>
        <w:t xml:space="preserve">Vol. 2021, № January. </w:t>
      </w:r>
      <w:r w:rsidRPr="00FF4E18">
        <w:rPr>
          <w:noProof/>
          <w:sz w:val="28"/>
          <w:szCs w:val="28"/>
          <w:lang w:val="en-US"/>
        </w:rPr>
        <w:t>–</w:t>
      </w:r>
      <w:r>
        <w:rPr>
          <w:noProof/>
          <w:sz w:val="28"/>
          <w:szCs w:val="28"/>
          <w:lang w:val="en-US"/>
        </w:rPr>
        <w:t xml:space="preserve"> </w:t>
      </w:r>
      <w:r w:rsidRPr="001C63FB">
        <w:rPr>
          <w:noProof/>
          <w:sz w:val="28"/>
          <w:lang w:val="en-US"/>
        </w:rPr>
        <w:t>1–22 p.</w:t>
      </w:r>
    </w:p>
    <w:p w14:paraId="3FDD5FF1"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11</w:t>
      </w:r>
      <w:r>
        <w:rPr>
          <w:noProof/>
          <w:sz w:val="28"/>
          <w:lang w:val="en-US"/>
        </w:rPr>
        <w:t xml:space="preserve">4 </w:t>
      </w:r>
      <w:r w:rsidRPr="001C63FB">
        <w:rPr>
          <w:noProof/>
          <w:sz w:val="28"/>
          <w:lang w:val="en-US"/>
        </w:rPr>
        <w:t xml:space="preserve">Dosym Satpayev. A new “lost generation” is being formed in Kazakhstan // Forbs Kazakhstan. </w:t>
      </w:r>
      <w:r w:rsidRPr="00FF4E18">
        <w:rPr>
          <w:noProof/>
          <w:sz w:val="28"/>
          <w:szCs w:val="28"/>
          <w:lang w:val="en-US"/>
        </w:rPr>
        <w:t>–</w:t>
      </w:r>
      <w:r>
        <w:rPr>
          <w:noProof/>
          <w:sz w:val="28"/>
          <w:szCs w:val="28"/>
          <w:lang w:val="en-US"/>
        </w:rPr>
        <w:t xml:space="preserve"> </w:t>
      </w:r>
      <w:r w:rsidRPr="001C63FB">
        <w:rPr>
          <w:noProof/>
          <w:sz w:val="28"/>
          <w:lang w:val="en-US"/>
        </w:rPr>
        <w:t>Almaty</w:t>
      </w:r>
      <w:r>
        <w:rPr>
          <w:noProof/>
          <w:sz w:val="28"/>
          <w:lang w:val="en-US"/>
        </w:rPr>
        <w:t xml:space="preserve">. </w:t>
      </w:r>
      <w:r w:rsidRPr="00FF4E18">
        <w:rPr>
          <w:noProof/>
          <w:sz w:val="28"/>
          <w:szCs w:val="28"/>
          <w:lang w:val="en-US"/>
        </w:rPr>
        <w:t>–</w:t>
      </w:r>
      <w:r w:rsidRPr="001C63FB">
        <w:rPr>
          <w:noProof/>
          <w:sz w:val="28"/>
          <w:lang w:val="en-US"/>
        </w:rPr>
        <w:t xml:space="preserve"> 2020.</w:t>
      </w:r>
    </w:p>
    <w:p w14:paraId="2AB67B37" w14:textId="77777777" w:rsidR="0086759A" w:rsidRPr="001C63FB" w:rsidRDefault="0086759A" w:rsidP="0086759A">
      <w:pPr>
        <w:widowControl w:val="0"/>
        <w:autoSpaceDE w:val="0"/>
        <w:autoSpaceDN w:val="0"/>
        <w:adjustRightInd w:val="0"/>
        <w:ind w:left="142" w:hanging="142"/>
        <w:jc w:val="both"/>
        <w:rPr>
          <w:noProof/>
          <w:sz w:val="28"/>
          <w:lang w:val="en-US"/>
        </w:rPr>
      </w:pPr>
      <w:r>
        <w:rPr>
          <w:noProof/>
          <w:sz w:val="28"/>
          <w:lang w:val="en-US"/>
        </w:rPr>
        <w:tab/>
      </w:r>
      <w:r>
        <w:rPr>
          <w:noProof/>
          <w:sz w:val="28"/>
          <w:lang w:val="en-US"/>
        </w:rPr>
        <w:tab/>
      </w:r>
      <w:r w:rsidRPr="001C63FB">
        <w:rPr>
          <w:noProof/>
          <w:sz w:val="28"/>
          <w:lang w:val="en-US"/>
        </w:rPr>
        <w:t>11</w:t>
      </w:r>
      <w:r>
        <w:rPr>
          <w:noProof/>
          <w:sz w:val="28"/>
          <w:lang w:val="en-US"/>
        </w:rPr>
        <w:t xml:space="preserve">5 </w:t>
      </w:r>
      <w:r w:rsidRPr="001C63FB">
        <w:rPr>
          <w:noProof/>
          <w:sz w:val="28"/>
          <w:lang w:val="en-US"/>
        </w:rPr>
        <w:t>Kovyazina K. State housing program “7-20-25”: affordable housing is not for everyone? // Ekonomist. Almaty</w:t>
      </w:r>
      <w:r>
        <w:rPr>
          <w:noProof/>
          <w:sz w:val="28"/>
          <w:lang w:val="en-US"/>
        </w:rPr>
        <w:t xml:space="preserve">. </w:t>
      </w:r>
      <w:r w:rsidRPr="00FF4E18">
        <w:rPr>
          <w:noProof/>
          <w:sz w:val="28"/>
          <w:szCs w:val="28"/>
          <w:lang w:val="en-US"/>
        </w:rPr>
        <w:t>–</w:t>
      </w:r>
      <w:r w:rsidRPr="001C63FB">
        <w:rPr>
          <w:noProof/>
          <w:sz w:val="28"/>
          <w:lang w:val="en-US"/>
        </w:rPr>
        <w:t xml:space="preserve"> 2019.</w:t>
      </w:r>
    </w:p>
    <w:p w14:paraId="35A1BE94"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11</w:t>
      </w:r>
      <w:r>
        <w:rPr>
          <w:noProof/>
          <w:sz w:val="28"/>
          <w:lang w:val="en-US"/>
        </w:rPr>
        <w:t xml:space="preserve">6 </w:t>
      </w:r>
      <w:r w:rsidRPr="001C63FB">
        <w:rPr>
          <w:noProof/>
          <w:sz w:val="28"/>
          <w:lang w:val="en-US"/>
        </w:rPr>
        <w:t xml:space="preserve">National Bank of Kazakhstan. Second Tier banks of Kazakhstan </w:t>
      </w:r>
      <w:r w:rsidRPr="00FF4E18">
        <w:rPr>
          <w:noProof/>
          <w:sz w:val="28"/>
          <w:szCs w:val="28"/>
          <w:lang w:val="en-US"/>
        </w:rPr>
        <w:t>–</w:t>
      </w:r>
      <w:r>
        <w:rPr>
          <w:noProof/>
          <w:sz w:val="28"/>
          <w:szCs w:val="28"/>
          <w:lang w:val="en-US"/>
        </w:rPr>
        <w:t xml:space="preserve"> </w:t>
      </w:r>
      <w:r w:rsidRPr="001C63FB">
        <w:rPr>
          <w:noProof/>
          <w:sz w:val="28"/>
          <w:lang w:val="en-US"/>
        </w:rPr>
        <w:t>2019</w:t>
      </w:r>
      <w:r>
        <w:rPr>
          <w:noProof/>
          <w:sz w:val="28"/>
          <w:lang w:val="en-US"/>
        </w:rPr>
        <w:t xml:space="preserve"> //</w:t>
      </w:r>
      <w:r w:rsidRPr="001C63FB">
        <w:rPr>
          <w:noProof/>
          <w:sz w:val="28"/>
          <w:lang w:val="en-US"/>
        </w:rPr>
        <w:t xml:space="preserve"> https://nationalbank.kz/?docid=3009&amp;switch=english.</w:t>
      </w:r>
      <w:r>
        <w:rPr>
          <w:noProof/>
          <w:sz w:val="28"/>
          <w:lang w:val="en-US"/>
        </w:rPr>
        <w:t xml:space="preserve"> 01.12.2021</w:t>
      </w:r>
    </w:p>
    <w:p w14:paraId="19190630"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11</w:t>
      </w:r>
      <w:r>
        <w:rPr>
          <w:noProof/>
          <w:sz w:val="28"/>
          <w:lang w:val="en-US"/>
        </w:rPr>
        <w:t>7 The Agency of the Republic of Kazakhstan for regulation and development of financial market. (</w:t>
      </w:r>
      <w:r w:rsidRPr="001C63FB">
        <w:rPr>
          <w:noProof/>
          <w:sz w:val="28"/>
          <w:lang w:val="en-US"/>
        </w:rPr>
        <w:t>ARKRDFM</w:t>
      </w:r>
      <w:r>
        <w:rPr>
          <w:noProof/>
          <w:sz w:val="28"/>
          <w:lang w:val="en-US"/>
        </w:rPr>
        <w:t>)</w:t>
      </w:r>
      <w:r w:rsidRPr="001C63FB">
        <w:rPr>
          <w:noProof/>
          <w:sz w:val="28"/>
          <w:lang w:val="en-US"/>
        </w:rPr>
        <w:t xml:space="preserve">. </w:t>
      </w:r>
      <w:r>
        <w:rPr>
          <w:noProof/>
          <w:sz w:val="28"/>
          <w:lang w:val="en-US"/>
        </w:rPr>
        <w:t>C</w:t>
      </w:r>
      <w:r w:rsidRPr="001C63FB">
        <w:rPr>
          <w:noProof/>
          <w:sz w:val="28"/>
          <w:lang w:val="en-US"/>
        </w:rPr>
        <w:t>urrent state of the banking sector of the republic of kazakhstan. Almaty</w:t>
      </w:r>
      <w:r>
        <w:rPr>
          <w:noProof/>
          <w:sz w:val="28"/>
          <w:lang w:val="en-US"/>
        </w:rPr>
        <w:t xml:space="preserve">. </w:t>
      </w:r>
      <w:r w:rsidRPr="00FF4E18">
        <w:rPr>
          <w:noProof/>
          <w:sz w:val="28"/>
          <w:szCs w:val="28"/>
          <w:lang w:val="en-US"/>
        </w:rPr>
        <w:t>–</w:t>
      </w:r>
      <w:r>
        <w:rPr>
          <w:noProof/>
          <w:sz w:val="28"/>
          <w:szCs w:val="28"/>
          <w:lang w:val="en-US"/>
        </w:rPr>
        <w:t xml:space="preserve"> </w:t>
      </w:r>
      <w:r w:rsidRPr="001C63FB">
        <w:rPr>
          <w:noProof/>
          <w:sz w:val="28"/>
          <w:lang w:val="en-US"/>
        </w:rPr>
        <w:t xml:space="preserve">2020. </w:t>
      </w:r>
      <w:r w:rsidRPr="00FF4E18">
        <w:rPr>
          <w:noProof/>
          <w:sz w:val="28"/>
          <w:szCs w:val="28"/>
          <w:lang w:val="en-US"/>
        </w:rPr>
        <w:t>–</w:t>
      </w:r>
      <w:r>
        <w:rPr>
          <w:noProof/>
          <w:sz w:val="28"/>
          <w:szCs w:val="28"/>
          <w:lang w:val="en-US"/>
        </w:rPr>
        <w:t xml:space="preserve"> </w:t>
      </w:r>
      <w:r w:rsidRPr="001C63FB">
        <w:rPr>
          <w:noProof/>
          <w:sz w:val="28"/>
          <w:lang w:val="en-US"/>
        </w:rPr>
        <w:t>1–19 p.</w:t>
      </w:r>
    </w:p>
    <w:p w14:paraId="700F31C8"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11</w:t>
      </w:r>
      <w:r>
        <w:rPr>
          <w:noProof/>
          <w:sz w:val="28"/>
          <w:lang w:val="en-US"/>
        </w:rPr>
        <w:t>8 The Agency of the Republic of Kazakhstan for regulation and development of financial market. (</w:t>
      </w:r>
      <w:r w:rsidRPr="001C63FB">
        <w:rPr>
          <w:noProof/>
          <w:sz w:val="28"/>
          <w:lang w:val="en-US"/>
        </w:rPr>
        <w:t>ARKRDFM</w:t>
      </w:r>
      <w:r>
        <w:rPr>
          <w:noProof/>
          <w:sz w:val="28"/>
          <w:lang w:val="en-US"/>
        </w:rPr>
        <w:t>)</w:t>
      </w:r>
      <w:r w:rsidRPr="001C63FB">
        <w:rPr>
          <w:noProof/>
          <w:sz w:val="28"/>
          <w:lang w:val="en-US"/>
        </w:rPr>
        <w:t>. Current state of the securities market of the Republic of Kazakhstan. Almaty</w:t>
      </w:r>
      <w:r>
        <w:rPr>
          <w:noProof/>
          <w:sz w:val="28"/>
          <w:lang w:val="en-US"/>
        </w:rPr>
        <w:t xml:space="preserve">. </w:t>
      </w:r>
      <w:r w:rsidRPr="001C63FB">
        <w:rPr>
          <w:noProof/>
          <w:sz w:val="28"/>
          <w:lang w:val="en-US"/>
        </w:rPr>
        <w:t>– 2020. –</w:t>
      </w:r>
      <w:r>
        <w:rPr>
          <w:noProof/>
          <w:sz w:val="28"/>
          <w:lang w:val="en-US"/>
        </w:rPr>
        <w:t xml:space="preserve"> </w:t>
      </w:r>
      <w:r w:rsidRPr="001C63FB">
        <w:rPr>
          <w:noProof/>
          <w:sz w:val="28"/>
          <w:lang w:val="en-US"/>
        </w:rPr>
        <w:t>1–11 p.</w:t>
      </w:r>
    </w:p>
    <w:p w14:paraId="11F5B767"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11</w:t>
      </w:r>
      <w:r>
        <w:rPr>
          <w:noProof/>
          <w:sz w:val="28"/>
          <w:lang w:val="en-US"/>
        </w:rPr>
        <w:t xml:space="preserve">9 </w:t>
      </w:r>
      <w:r w:rsidRPr="001C63FB">
        <w:rPr>
          <w:noProof/>
          <w:sz w:val="28"/>
          <w:lang w:val="en-US"/>
        </w:rPr>
        <w:t>National Bank of Kazakhstan. A new frontier for Islamic finance // Kazakhstan Islamic Finance. Almaty</w:t>
      </w:r>
      <w:r>
        <w:rPr>
          <w:noProof/>
          <w:sz w:val="28"/>
          <w:lang w:val="en-US"/>
        </w:rPr>
        <w:t xml:space="preserve">. </w:t>
      </w:r>
      <w:r w:rsidRPr="001C63FB">
        <w:rPr>
          <w:noProof/>
          <w:sz w:val="28"/>
          <w:lang w:val="en-US"/>
        </w:rPr>
        <w:t>– 2016.</w:t>
      </w:r>
      <w:r>
        <w:rPr>
          <w:noProof/>
          <w:sz w:val="28"/>
          <w:lang w:val="en-US"/>
        </w:rPr>
        <w:t xml:space="preserve"> </w:t>
      </w:r>
      <w:r w:rsidRPr="001C63FB">
        <w:rPr>
          <w:noProof/>
          <w:sz w:val="28"/>
          <w:lang w:val="en-US"/>
        </w:rPr>
        <w:t>– 1–140 p.</w:t>
      </w:r>
    </w:p>
    <w:p w14:paraId="1A8993B5" w14:textId="77777777" w:rsidR="0086759A" w:rsidRPr="004F52B5"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7970F9">
        <w:rPr>
          <w:noProof/>
          <w:sz w:val="28"/>
          <w:szCs w:val="28"/>
          <w:lang w:val="en-US"/>
        </w:rPr>
        <w:t>1</w:t>
      </w:r>
      <w:r>
        <w:rPr>
          <w:noProof/>
          <w:sz w:val="28"/>
          <w:szCs w:val="28"/>
          <w:lang w:val="en-US"/>
        </w:rPr>
        <w:t xml:space="preserve">20 </w:t>
      </w:r>
      <w:r w:rsidRPr="004F52B5">
        <w:rPr>
          <w:noProof/>
          <w:sz w:val="28"/>
          <w:szCs w:val="28"/>
          <w:lang w:val="en-US"/>
        </w:rPr>
        <w:t>Sagiyeva R.</w:t>
      </w:r>
      <w:r w:rsidRPr="004F52B5">
        <w:rPr>
          <w:noProof/>
          <w:sz w:val="28"/>
          <w:szCs w:val="28"/>
        </w:rPr>
        <w:t>К</w:t>
      </w:r>
      <w:r w:rsidRPr="004F52B5">
        <w:rPr>
          <w:noProof/>
          <w:sz w:val="28"/>
          <w:szCs w:val="28"/>
          <w:lang w:val="en-US"/>
        </w:rPr>
        <w:t xml:space="preserve">., Kuanova L.A. Islamic finance in Kazakhstan: adaptation of foreign experience // </w:t>
      </w:r>
      <w:r w:rsidRPr="004F52B5">
        <w:rPr>
          <w:sz w:val="28"/>
          <w:szCs w:val="28"/>
          <w:lang w:val="en-US"/>
        </w:rPr>
        <w:t>The Journal of Economic Research and Business Administration</w:t>
      </w:r>
      <w:r w:rsidRPr="004F52B5">
        <w:rPr>
          <w:noProof/>
          <w:sz w:val="28"/>
          <w:szCs w:val="28"/>
          <w:lang w:val="en-US"/>
        </w:rPr>
        <w:t xml:space="preserve">. – 2019. –  Vol. 3, № 14. – P. </w:t>
      </w:r>
      <w:r>
        <w:rPr>
          <w:noProof/>
          <w:sz w:val="28"/>
          <w:szCs w:val="28"/>
          <w:lang w:val="en-US"/>
        </w:rPr>
        <w:t>56</w:t>
      </w:r>
      <w:r w:rsidRPr="004F52B5">
        <w:rPr>
          <w:noProof/>
          <w:sz w:val="28"/>
          <w:szCs w:val="28"/>
          <w:lang w:val="en-US"/>
        </w:rPr>
        <w:t>–</w:t>
      </w:r>
      <w:r>
        <w:rPr>
          <w:noProof/>
          <w:sz w:val="28"/>
          <w:szCs w:val="28"/>
          <w:lang w:val="en-US"/>
        </w:rPr>
        <w:t>65</w:t>
      </w:r>
      <w:r w:rsidRPr="004F52B5">
        <w:rPr>
          <w:noProof/>
          <w:sz w:val="28"/>
          <w:szCs w:val="28"/>
          <w:lang w:val="en-US"/>
        </w:rPr>
        <w:t>.</w:t>
      </w:r>
    </w:p>
    <w:p w14:paraId="2AF43D74" w14:textId="77777777" w:rsidR="0086759A" w:rsidRPr="009E47DC" w:rsidRDefault="0086759A" w:rsidP="0086759A">
      <w:pPr>
        <w:widowControl w:val="0"/>
        <w:autoSpaceDE w:val="0"/>
        <w:autoSpaceDN w:val="0"/>
        <w:adjustRightInd w:val="0"/>
        <w:jc w:val="both"/>
        <w:rPr>
          <w:noProof/>
          <w:sz w:val="28"/>
          <w:szCs w:val="28"/>
          <w:lang w:val="en-US"/>
        </w:rPr>
      </w:pPr>
      <w:r>
        <w:rPr>
          <w:noProof/>
          <w:sz w:val="28"/>
          <w:lang w:val="en-US"/>
        </w:rPr>
        <w:tab/>
        <w:t xml:space="preserve">121 </w:t>
      </w:r>
      <w:r w:rsidRPr="00F50843">
        <w:rPr>
          <w:noProof/>
          <w:sz w:val="28"/>
          <w:lang w:val="en-US"/>
        </w:rPr>
        <w:t>Kuanova L., Sagiyeva R. Islamic finance in Kazakhstan and economic qrowth: potential and prospects // Innovative and enterpreneurial education in the context of improving the quality of life. Almaty: Turan University</w:t>
      </w:r>
      <w:r>
        <w:rPr>
          <w:noProof/>
          <w:sz w:val="28"/>
          <w:lang w:val="en-US"/>
        </w:rPr>
        <w:t xml:space="preserve">. </w:t>
      </w:r>
      <w:r w:rsidRPr="004F52B5">
        <w:rPr>
          <w:noProof/>
          <w:sz w:val="28"/>
          <w:szCs w:val="28"/>
          <w:lang w:val="en-US"/>
        </w:rPr>
        <w:t xml:space="preserve">– </w:t>
      </w:r>
      <w:r w:rsidRPr="00F50843">
        <w:rPr>
          <w:noProof/>
          <w:sz w:val="28"/>
          <w:lang w:val="en-US"/>
        </w:rPr>
        <w:t>2018. P. 12–17.</w:t>
      </w:r>
    </w:p>
    <w:p w14:paraId="76E6558B" w14:textId="77777777" w:rsidR="0086759A" w:rsidRPr="00051130" w:rsidRDefault="0086759A" w:rsidP="0086759A">
      <w:pPr>
        <w:widowControl w:val="0"/>
        <w:autoSpaceDE w:val="0"/>
        <w:autoSpaceDN w:val="0"/>
        <w:adjustRightInd w:val="0"/>
        <w:jc w:val="both"/>
        <w:rPr>
          <w:noProof/>
          <w:sz w:val="28"/>
          <w:szCs w:val="28"/>
          <w:lang w:val="en-US"/>
        </w:rPr>
      </w:pPr>
      <w:r>
        <w:rPr>
          <w:noProof/>
          <w:sz w:val="28"/>
          <w:lang w:val="en-US"/>
        </w:rPr>
        <w:tab/>
      </w:r>
      <w:r w:rsidRPr="00F50843">
        <w:rPr>
          <w:noProof/>
          <w:sz w:val="28"/>
          <w:lang w:val="en-US"/>
        </w:rPr>
        <w:t>122</w:t>
      </w:r>
      <w:r>
        <w:rPr>
          <w:noProof/>
          <w:sz w:val="28"/>
          <w:lang w:val="en-US"/>
        </w:rPr>
        <w:t xml:space="preserve"> </w:t>
      </w:r>
      <w:r w:rsidRPr="004F52B5">
        <w:rPr>
          <w:noProof/>
          <w:sz w:val="28"/>
          <w:szCs w:val="28"/>
          <w:lang w:val="en-US"/>
        </w:rPr>
        <w:t>Sagiyeva R.</w:t>
      </w:r>
      <w:r w:rsidRPr="004F52B5">
        <w:rPr>
          <w:noProof/>
          <w:sz w:val="28"/>
          <w:szCs w:val="28"/>
        </w:rPr>
        <w:t>К</w:t>
      </w:r>
      <w:r w:rsidRPr="004F52B5">
        <w:rPr>
          <w:noProof/>
          <w:sz w:val="28"/>
          <w:szCs w:val="28"/>
          <w:lang w:val="en-US"/>
        </w:rPr>
        <w:t xml:space="preserve">., Kuanova L.A. Analysis of Islamic Finance development in Kazakhstan : overview and prospects // </w:t>
      </w:r>
      <w:r w:rsidRPr="004F52B5">
        <w:rPr>
          <w:sz w:val="28"/>
          <w:szCs w:val="28"/>
          <w:lang w:val="en-US"/>
        </w:rPr>
        <w:t>Economy: Strategy and Practice</w:t>
      </w:r>
      <w:r w:rsidRPr="004F52B5">
        <w:rPr>
          <w:noProof/>
          <w:sz w:val="28"/>
          <w:szCs w:val="28"/>
          <w:lang w:val="en-US"/>
        </w:rPr>
        <w:t xml:space="preserve">. – 2019. – Vol. 3, № 14. – P. </w:t>
      </w:r>
      <w:r>
        <w:rPr>
          <w:noProof/>
          <w:sz w:val="28"/>
          <w:szCs w:val="28"/>
          <w:lang w:val="en-US"/>
        </w:rPr>
        <w:t>57</w:t>
      </w:r>
      <w:r w:rsidRPr="004F52B5">
        <w:rPr>
          <w:noProof/>
          <w:sz w:val="28"/>
          <w:szCs w:val="28"/>
          <w:lang w:val="en-US"/>
        </w:rPr>
        <w:t>–</w:t>
      </w:r>
      <w:r>
        <w:rPr>
          <w:noProof/>
          <w:sz w:val="28"/>
          <w:szCs w:val="28"/>
          <w:lang w:val="en-US"/>
        </w:rPr>
        <w:t>65</w:t>
      </w:r>
      <w:r w:rsidRPr="004F52B5">
        <w:rPr>
          <w:noProof/>
          <w:sz w:val="28"/>
          <w:szCs w:val="28"/>
          <w:lang w:val="en-US"/>
        </w:rPr>
        <w:t>.</w:t>
      </w:r>
    </w:p>
    <w:p w14:paraId="7D6C9D7E" w14:textId="77777777" w:rsidR="0086759A" w:rsidRPr="00F50843" w:rsidRDefault="0086759A" w:rsidP="0086759A">
      <w:pPr>
        <w:widowControl w:val="0"/>
        <w:autoSpaceDE w:val="0"/>
        <w:autoSpaceDN w:val="0"/>
        <w:adjustRightInd w:val="0"/>
        <w:jc w:val="both"/>
        <w:rPr>
          <w:noProof/>
          <w:sz w:val="28"/>
          <w:lang w:val="en-US"/>
        </w:rPr>
      </w:pPr>
      <w:r>
        <w:rPr>
          <w:noProof/>
          <w:sz w:val="28"/>
          <w:lang w:val="en-US"/>
        </w:rPr>
        <w:tab/>
      </w:r>
      <w:r w:rsidRPr="00F50843">
        <w:rPr>
          <w:noProof/>
          <w:sz w:val="28"/>
          <w:lang w:val="en-US"/>
        </w:rPr>
        <w:t>123</w:t>
      </w:r>
      <w:r>
        <w:rPr>
          <w:noProof/>
          <w:sz w:val="28"/>
          <w:lang w:val="en-US"/>
        </w:rPr>
        <w:t xml:space="preserve"> </w:t>
      </w:r>
      <w:r w:rsidRPr="00F50843">
        <w:rPr>
          <w:noProof/>
          <w:sz w:val="28"/>
          <w:lang w:val="en-US"/>
        </w:rPr>
        <w:t>Kuanova L. Econometric model of the development of Islamic finance in Kazakhstan // Transit Econ</w:t>
      </w:r>
      <w:r>
        <w:rPr>
          <w:noProof/>
          <w:sz w:val="28"/>
          <w:lang w:val="en-US"/>
        </w:rPr>
        <w:t>omics.</w:t>
      </w:r>
      <w:r w:rsidRPr="00F50843">
        <w:rPr>
          <w:noProof/>
          <w:sz w:val="28"/>
          <w:lang w:val="en-US"/>
        </w:rPr>
        <w:t xml:space="preserve"> </w:t>
      </w:r>
      <w:r w:rsidRPr="004F52B5">
        <w:rPr>
          <w:noProof/>
          <w:sz w:val="28"/>
          <w:szCs w:val="28"/>
          <w:lang w:val="en-US"/>
        </w:rPr>
        <w:t>–</w:t>
      </w:r>
      <w:r>
        <w:rPr>
          <w:noProof/>
          <w:sz w:val="28"/>
          <w:szCs w:val="28"/>
          <w:lang w:val="en-US"/>
        </w:rPr>
        <w:t xml:space="preserve">  </w:t>
      </w:r>
      <w:r w:rsidRPr="00F50843">
        <w:rPr>
          <w:noProof/>
          <w:sz w:val="28"/>
          <w:lang w:val="en-US"/>
        </w:rPr>
        <w:t>2018.</w:t>
      </w:r>
      <w:r w:rsidRPr="00C30F00">
        <w:rPr>
          <w:noProof/>
          <w:sz w:val="28"/>
          <w:szCs w:val="28"/>
          <w:lang w:val="en-US"/>
        </w:rPr>
        <w:t xml:space="preserve"> </w:t>
      </w:r>
      <w:r w:rsidRPr="004F52B5">
        <w:rPr>
          <w:noProof/>
          <w:sz w:val="28"/>
          <w:szCs w:val="28"/>
          <w:lang w:val="en-US"/>
        </w:rPr>
        <w:t>–</w:t>
      </w:r>
      <w:r>
        <w:rPr>
          <w:noProof/>
          <w:sz w:val="28"/>
          <w:szCs w:val="28"/>
          <w:lang w:val="en-US"/>
        </w:rPr>
        <w:t xml:space="preserve"> </w:t>
      </w:r>
      <w:r w:rsidRPr="00F50843">
        <w:rPr>
          <w:noProof/>
          <w:sz w:val="28"/>
          <w:lang w:val="en-US"/>
        </w:rPr>
        <w:t xml:space="preserve"> № 3 (</w:t>
      </w:r>
      <w:r>
        <w:rPr>
          <w:noProof/>
          <w:sz w:val="28"/>
          <w:lang w:val="en-US"/>
        </w:rPr>
        <w:t>115</w:t>
      </w:r>
      <w:r w:rsidRPr="00F50843">
        <w:rPr>
          <w:noProof/>
          <w:sz w:val="28"/>
          <w:lang w:val="en-US"/>
        </w:rPr>
        <w:t>).</w:t>
      </w:r>
      <w:r>
        <w:rPr>
          <w:noProof/>
          <w:sz w:val="28"/>
          <w:lang w:val="en-US"/>
        </w:rPr>
        <w:t xml:space="preserve"> </w:t>
      </w:r>
      <w:r w:rsidRPr="004F52B5">
        <w:rPr>
          <w:noProof/>
          <w:sz w:val="28"/>
          <w:szCs w:val="28"/>
          <w:lang w:val="en-US"/>
        </w:rPr>
        <w:t>–</w:t>
      </w:r>
      <w:r w:rsidRPr="00C30F00">
        <w:rPr>
          <w:noProof/>
          <w:sz w:val="28"/>
          <w:lang w:val="en-US"/>
        </w:rPr>
        <w:t xml:space="preserve"> </w:t>
      </w:r>
      <w:r w:rsidRPr="00F50843">
        <w:rPr>
          <w:noProof/>
          <w:sz w:val="28"/>
          <w:lang w:val="en-US"/>
        </w:rPr>
        <w:t xml:space="preserve">P. </w:t>
      </w:r>
      <w:r>
        <w:rPr>
          <w:noProof/>
          <w:sz w:val="28"/>
          <w:lang w:val="en-US"/>
        </w:rPr>
        <w:t>47</w:t>
      </w:r>
      <w:r w:rsidRPr="00F50843">
        <w:rPr>
          <w:noProof/>
          <w:sz w:val="28"/>
          <w:lang w:val="en-US"/>
        </w:rPr>
        <w:t>–</w:t>
      </w:r>
      <w:r>
        <w:rPr>
          <w:noProof/>
          <w:sz w:val="28"/>
          <w:lang w:val="en-US"/>
        </w:rPr>
        <w:t>56</w:t>
      </w:r>
      <w:r w:rsidRPr="00F50843">
        <w:rPr>
          <w:noProof/>
          <w:sz w:val="28"/>
          <w:lang w:val="en-US"/>
        </w:rPr>
        <w:t>.</w:t>
      </w:r>
    </w:p>
    <w:p w14:paraId="4AE2EF79" w14:textId="77777777" w:rsidR="0086759A"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12</w:t>
      </w:r>
      <w:r>
        <w:rPr>
          <w:noProof/>
          <w:sz w:val="28"/>
          <w:lang w:val="en-US"/>
        </w:rPr>
        <w:t xml:space="preserve">4 </w:t>
      </w:r>
      <w:r w:rsidRPr="001C63FB">
        <w:rPr>
          <w:noProof/>
          <w:sz w:val="28"/>
          <w:lang w:val="en-US"/>
        </w:rPr>
        <w:t>Standard &amp;Poor’s Global. Islamic Finance Outlook 2021.</w:t>
      </w:r>
      <w:r w:rsidRPr="004F52B5">
        <w:rPr>
          <w:noProof/>
          <w:sz w:val="28"/>
          <w:szCs w:val="28"/>
          <w:lang w:val="en-US"/>
        </w:rPr>
        <w:t xml:space="preserve"> –</w:t>
      </w:r>
      <w:r w:rsidRPr="001C63FB">
        <w:rPr>
          <w:noProof/>
          <w:sz w:val="28"/>
          <w:lang w:val="en-US"/>
        </w:rPr>
        <w:t xml:space="preserve"> 2021. </w:t>
      </w:r>
      <w:r w:rsidRPr="004F52B5">
        <w:rPr>
          <w:noProof/>
          <w:sz w:val="28"/>
          <w:szCs w:val="28"/>
          <w:lang w:val="en-US"/>
        </w:rPr>
        <w:t>–</w:t>
      </w:r>
      <w:r>
        <w:rPr>
          <w:noProof/>
          <w:sz w:val="28"/>
          <w:szCs w:val="28"/>
          <w:lang w:val="en-US"/>
        </w:rPr>
        <w:t xml:space="preserve"> </w:t>
      </w:r>
      <w:r w:rsidRPr="001C63FB">
        <w:rPr>
          <w:noProof/>
          <w:sz w:val="28"/>
          <w:lang w:val="en-US"/>
        </w:rPr>
        <w:t>№ January.</w:t>
      </w:r>
    </w:p>
    <w:p w14:paraId="7F09C2CE"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t xml:space="preserve">125 </w:t>
      </w:r>
      <w:r w:rsidRPr="00F50843">
        <w:rPr>
          <w:noProof/>
          <w:sz w:val="28"/>
          <w:lang w:val="en-US"/>
        </w:rPr>
        <w:t>Sagiyeva R., Kuanova L. Islamic finance: Global economic benefits // Competitiveness of Countries and regional economies. Southern Federal University</w:t>
      </w:r>
      <w:r>
        <w:rPr>
          <w:noProof/>
          <w:sz w:val="28"/>
          <w:lang w:val="en-US"/>
        </w:rPr>
        <w:t xml:space="preserve">. </w:t>
      </w:r>
      <w:r w:rsidRPr="004F52B5">
        <w:rPr>
          <w:noProof/>
          <w:sz w:val="28"/>
          <w:szCs w:val="28"/>
          <w:lang w:val="en-US"/>
        </w:rPr>
        <w:t>–</w:t>
      </w:r>
      <w:r w:rsidRPr="00F50843">
        <w:rPr>
          <w:noProof/>
          <w:sz w:val="28"/>
          <w:lang w:val="en-US"/>
        </w:rPr>
        <w:t xml:space="preserve"> Rostov-na-Don</w:t>
      </w:r>
      <w:r>
        <w:rPr>
          <w:noProof/>
          <w:sz w:val="28"/>
          <w:lang w:val="en-US"/>
        </w:rPr>
        <w:t>-Toganrog.</w:t>
      </w:r>
      <w:r w:rsidRPr="00F50843">
        <w:rPr>
          <w:noProof/>
          <w:sz w:val="28"/>
          <w:lang w:val="en-US"/>
        </w:rPr>
        <w:t xml:space="preserve"> </w:t>
      </w:r>
      <w:r w:rsidRPr="004F52B5">
        <w:rPr>
          <w:noProof/>
          <w:sz w:val="28"/>
          <w:szCs w:val="28"/>
          <w:lang w:val="en-US"/>
        </w:rPr>
        <w:t>–</w:t>
      </w:r>
      <w:r>
        <w:rPr>
          <w:noProof/>
          <w:sz w:val="28"/>
          <w:szCs w:val="28"/>
          <w:lang w:val="en-US"/>
        </w:rPr>
        <w:t xml:space="preserve"> </w:t>
      </w:r>
      <w:r w:rsidRPr="00F50843">
        <w:rPr>
          <w:noProof/>
          <w:sz w:val="28"/>
          <w:lang w:val="en-US"/>
        </w:rPr>
        <w:t>2019.</w:t>
      </w:r>
      <w:r w:rsidRPr="004F52B5">
        <w:rPr>
          <w:noProof/>
          <w:sz w:val="28"/>
          <w:szCs w:val="28"/>
          <w:lang w:val="en-US"/>
        </w:rPr>
        <w:t xml:space="preserve"> –</w:t>
      </w:r>
      <w:r w:rsidRPr="00F50843">
        <w:rPr>
          <w:noProof/>
          <w:sz w:val="28"/>
          <w:lang w:val="en-US"/>
        </w:rPr>
        <w:t xml:space="preserve"> P. 339–344.</w:t>
      </w:r>
    </w:p>
    <w:p w14:paraId="34834E79"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12</w:t>
      </w:r>
      <w:r>
        <w:rPr>
          <w:noProof/>
          <w:sz w:val="28"/>
          <w:lang w:val="en-US"/>
        </w:rPr>
        <w:t xml:space="preserve">6 </w:t>
      </w:r>
      <w:r w:rsidRPr="001C63FB">
        <w:rPr>
          <w:noProof/>
          <w:sz w:val="28"/>
          <w:lang w:val="en-US"/>
        </w:rPr>
        <w:t>Hassan M.K. et al. A survey on Islamic Finance and accounting standards // Borsa Istanbul Rev</w:t>
      </w:r>
      <w:r>
        <w:rPr>
          <w:noProof/>
          <w:sz w:val="28"/>
          <w:lang w:val="en-US"/>
        </w:rPr>
        <w:t>iew</w:t>
      </w:r>
      <w:r w:rsidRPr="001C63FB">
        <w:rPr>
          <w:noProof/>
          <w:sz w:val="28"/>
          <w:lang w:val="en-US"/>
        </w:rPr>
        <w:t>. Elsevier Ltd</w:t>
      </w:r>
      <w:r>
        <w:rPr>
          <w:noProof/>
          <w:sz w:val="28"/>
          <w:lang w:val="en-US"/>
        </w:rPr>
        <w:t xml:space="preserve">. </w:t>
      </w:r>
      <w:r w:rsidRPr="004F52B5">
        <w:rPr>
          <w:noProof/>
          <w:sz w:val="28"/>
          <w:szCs w:val="28"/>
          <w:lang w:val="en-US"/>
        </w:rPr>
        <w:t>–</w:t>
      </w:r>
      <w:r w:rsidRPr="001C63FB">
        <w:rPr>
          <w:noProof/>
          <w:sz w:val="28"/>
          <w:lang w:val="en-US"/>
        </w:rPr>
        <w:t xml:space="preserve"> 2019. </w:t>
      </w:r>
      <w:r w:rsidRPr="004F52B5">
        <w:rPr>
          <w:noProof/>
          <w:sz w:val="28"/>
          <w:szCs w:val="28"/>
          <w:lang w:val="en-US"/>
        </w:rPr>
        <w:t>–</w:t>
      </w:r>
      <w:r w:rsidRPr="001C63FB">
        <w:rPr>
          <w:noProof/>
          <w:sz w:val="28"/>
          <w:lang w:val="en-US"/>
        </w:rPr>
        <w:t>Vol. 19.</w:t>
      </w:r>
      <w:r w:rsidRPr="004F52B5">
        <w:rPr>
          <w:noProof/>
          <w:sz w:val="28"/>
          <w:szCs w:val="28"/>
          <w:lang w:val="en-US"/>
        </w:rPr>
        <w:t xml:space="preserve"> –</w:t>
      </w:r>
      <w:r w:rsidRPr="001C63FB">
        <w:rPr>
          <w:noProof/>
          <w:sz w:val="28"/>
          <w:lang w:val="en-US"/>
        </w:rPr>
        <w:t xml:space="preserve"> P. S1–S13.</w:t>
      </w:r>
    </w:p>
    <w:p w14:paraId="2C6658B1" w14:textId="77777777" w:rsidR="0086759A" w:rsidRPr="004F52B5" w:rsidRDefault="0086759A" w:rsidP="0086759A">
      <w:pPr>
        <w:widowControl w:val="0"/>
        <w:autoSpaceDE w:val="0"/>
        <w:autoSpaceDN w:val="0"/>
        <w:adjustRightInd w:val="0"/>
        <w:jc w:val="both"/>
        <w:rPr>
          <w:noProof/>
          <w:sz w:val="28"/>
          <w:szCs w:val="28"/>
          <w:lang w:val="en-US"/>
        </w:rPr>
      </w:pPr>
      <w:r>
        <w:rPr>
          <w:noProof/>
          <w:sz w:val="28"/>
          <w:lang w:val="en-US"/>
        </w:rPr>
        <w:tab/>
      </w:r>
      <w:r w:rsidRPr="001C63FB">
        <w:rPr>
          <w:noProof/>
          <w:sz w:val="28"/>
          <w:lang w:val="en-US"/>
        </w:rPr>
        <w:t>12</w:t>
      </w:r>
      <w:r>
        <w:rPr>
          <w:noProof/>
          <w:sz w:val="28"/>
          <w:lang w:val="en-US"/>
        </w:rPr>
        <w:t xml:space="preserve">7 </w:t>
      </w:r>
      <w:r w:rsidRPr="001C63FB">
        <w:rPr>
          <w:noProof/>
          <w:sz w:val="28"/>
          <w:lang w:val="en-US"/>
        </w:rPr>
        <w:t xml:space="preserve">World Bank Group. Kazakhstan Economic Update. A slow recovery through </w:t>
      </w:r>
      <w:r w:rsidRPr="004F52B5">
        <w:rPr>
          <w:noProof/>
          <w:sz w:val="28"/>
          <w:szCs w:val="28"/>
          <w:lang w:val="en-US"/>
        </w:rPr>
        <w:t>the Covid-19 crisis. – 2021.</w:t>
      </w:r>
    </w:p>
    <w:p w14:paraId="6D6544E1" w14:textId="77777777" w:rsidR="0086759A" w:rsidRPr="004F52B5" w:rsidRDefault="0086759A" w:rsidP="0086759A">
      <w:pPr>
        <w:widowControl w:val="0"/>
        <w:autoSpaceDE w:val="0"/>
        <w:autoSpaceDN w:val="0"/>
        <w:adjustRightInd w:val="0"/>
        <w:ind w:left="640" w:hanging="640"/>
        <w:jc w:val="both"/>
        <w:rPr>
          <w:noProof/>
          <w:sz w:val="28"/>
          <w:szCs w:val="28"/>
          <w:lang w:val="en-US"/>
        </w:rPr>
      </w:pPr>
      <w:r>
        <w:rPr>
          <w:noProof/>
          <w:sz w:val="28"/>
          <w:szCs w:val="28"/>
          <w:lang w:val="en-US"/>
        </w:rPr>
        <w:tab/>
      </w:r>
      <w:r w:rsidRPr="004F52B5">
        <w:rPr>
          <w:noProof/>
          <w:sz w:val="28"/>
          <w:szCs w:val="28"/>
          <w:lang w:val="en-US"/>
        </w:rPr>
        <w:t>12</w:t>
      </w:r>
      <w:r>
        <w:rPr>
          <w:noProof/>
          <w:sz w:val="28"/>
          <w:szCs w:val="28"/>
          <w:lang w:val="en-US"/>
        </w:rPr>
        <w:t xml:space="preserve">8 </w:t>
      </w:r>
      <w:r w:rsidRPr="004F52B5">
        <w:rPr>
          <w:noProof/>
          <w:sz w:val="28"/>
          <w:szCs w:val="28"/>
          <w:lang w:val="en-US"/>
        </w:rPr>
        <w:t xml:space="preserve">Giving USA. Giving Statistics // </w:t>
      </w:r>
      <w:r w:rsidRPr="004F52B5">
        <w:rPr>
          <w:sz w:val="28"/>
          <w:szCs w:val="28"/>
          <w:lang w:val="en-US"/>
        </w:rPr>
        <w:t>Charity Navigator</w:t>
      </w:r>
      <w:r w:rsidRPr="004F52B5">
        <w:rPr>
          <w:noProof/>
          <w:sz w:val="28"/>
          <w:szCs w:val="28"/>
          <w:lang w:val="en-US"/>
        </w:rPr>
        <w:t>. –  2018. – P. 2018.</w:t>
      </w:r>
    </w:p>
    <w:p w14:paraId="61106FFC"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12</w:t>
      </w:r>
      <w:r>
        <w:rPr>
          <w:noProof/>
          <w:sz w:val="28"/>
          <w:lang w:val="en-US"/>
        </w:rPr>
        <w:t xml:space="preserve">9 </w:t>
      </w:r>
      <w:r w:rsidRPr="001C63FB">
        <w:rPr>
          <w:noProof/>
          <w:sz w:val="28"/>
          <w:lang w:val="en-US"/>
        </w:rPr>
        <w:t xml:space="preserve">Islamic Research and Training Institute. Waqf and Zakat:solidarity-based financing for sustainable development. </w:t>
      </w:r>
      <w:r w:rsidRPr="004F52B5">
        <w:rPr>
          <w:noProof/>
          <w:sz w:val="28"/>
          <w:szCs w:val="28"/>
          <w:lang w:val="en-US"/>
        </w:rPr>
        <w:t>–</w:t>
      </w:r>
      <w:r>
        <w:rPr>
          <w:noProof/>
          <w:sz w:val="28"/>
          <w:szCs w:val="28"/>
          <w:lang w:val="en-US"/>
        </w:rPr>
        <w:t xml:space="preserve"> </w:t>
      </w:r>
      <w:r w:rsidRPr="001C63FB">
        <w:rPr>
          <w:noProof/>
          <w:sz w:val="28"/>
          <w:lang w:val="en-US"/>
        </w:rPr>
        <w:t xml:space="preserve">2014. </w:t>
      </w:r>
      <w:r w:rsidRPr="004F52B5">
        <w:rPr>
          <w:noProof/>
          <w:sz w:val="28"/>
          <w:szCs w:val="28"/>
          <w:lang w:val="en-US"/>
        </w:rPr>
        <w:t>–</w:t>
      </w:r>
      <w:r>
        <w:rPr>
          <w:noProof/>
          <w:sz w:val="28"/>
          <w:szCs w:val="28"/>
          <w:lang w:val="en-US"/>
        </w:rPr>
        <w:t xml:space="preserve"> </w:t>
      </w:r>
      <w:r w:rsidRPr="001C63FB">
        <w:rPr>
          <w:noProof/>
          <w:sz w:val="28"/>
          <w:lang w:val="en-US"/>
        </w:rPr>
        <w:t>23 p.</w:t>
      </w:r>
    </w:p>
    <w:p w14:paraId="4EA50750" w14:textId="77777777" w:rsidR="0086759A" w:rsidRDefault="0086759A" w:rsidP="0086759A">
      <w:pPr>
        <w:widowControl w:val="0"/>
        <w:autoSpaceDE w:val="0"/>
        <w:autoSpaceDN w:val="0"/>
        <w:adjustRightInd w:val="0"/>
        <w:jc w:val="both"/>
        <w:rPr>
          <w:noProof/>
          <w:sz w:val="28"/>
          <w:lang w:val="en-US"/>
        </w:rPr>
      </w:pPr>
      <w:r>
        <w:rPr>
          <w:noProof/>
          <w:sz w:val="28"/>
          <w:szCs w:val="28"/>
          <w:lang w:val="en-US"/>
        </w:rPr>
        <w:tab/>
        <w:t xml:space="preserve">130 </w:t>
      </w:r>
      <w:r w:rsidRPr="007D7992">
        <w:rPr>
          <w:noProof/>
          <w:sz w:val="28"/>
          <w:lang w:val="en-US"/>
        </w:rPr>
        <w:t xml:space="preserve">Shirazi N.S., Kuanova L.A., Zhuparova A.S. Islamic Social Finance and the impact of the Covid-19 pandemic // </w:t>
      </w:r>
      <w:r w:rsidRPr="004F52B5">
        <w:rPr>
          <w:sz w:val="28"/>
          <w:szCs w:val="28"/>
          <w:lang w:val="en-US"/>
        </w:rPr>
        <w:t>Economy: Strategy and Practice</w:t>
      </w:r>
      <w:r w:rsidRPr="00076B4E">
        <w:rPr>
          <w:noProof/>
          <w:sz w:val="28"/>
          <w:lang w:val="en-US"/>
        </w:rPr>
        <w:t xml:space="preserve">. </w:t>
      </w:r>
      <w:r w:rsidRPr="004F09C6">
        <w:rPr>
          <w:noProof/>
          <w:sz w:val="28"/>
          <w:szCs w:val="28"/>
          <w:lang w:val="en-US"/>
        </w:rPr>
        <w:t>–</w:t>
      </w:r>
      <w:r>
        <w:rPr>
          <w:noProof/>
          <w:sz w:val="28"/>
          <w:szCs w:val="28"/>
          <w:lang w:val="en-US"/>
        </w:rPr>
        <w:t xml:space="preserve"> </w:t>
      </w:r>
      <w:r w:rsidRPr="00076B4E">
        <w:rPr>
          <w:noProof/>
          <w:sz w:val="28"/>
          <w:lang w:val="en-US"/>
        </w:rPr>
        <w:t>2021.</w:t>
      </w:r>
      <w:r w:rsidRPr="00076B4E">
        <w:rPr>
          <w:noProof/>
          <w:sz w:val="28"/>
          <w:szCs w:val="28"/>
          <w:lang w:val="en-US"/>
        </w:rPr>
        <w:t xml:space="preserve"> </w:t>
      </w:r>
      <w:r w:rsidRPr="004F09C6">
        <w:rPr>
          <w:noProof/>
          <w:sz w:val="28"/>
          <w:szCs w:val="28"/>
          <w:lang w:val="en-US"/>
        </w:rPr>
        <w:t>–</w:t>
      </w:r>
      <w:r w:rsidRPr="00076B4E">
        <w:rPr>
          <w:noProof/>
          <w:sz w:val="28"/>
          <w:lang w:val="en-US"/>
        </w:rPr>
        <w:t xml:space="preserve"> Vol. 16, № 1.</w:t>
      </w:r>
      <w:r w:rsidRPr="00076B4E">
        <w:rPr>
          <w:noProof/>
          <w:sz w:val="28"/>
          <w:szCs w:val="28"/>
          <w:lang w:val="en-US"/>
        </w:rPr>
        <w:t xml:space="preserve"> </w:t>
      </w:r>
      <w:r w:rsidRPr="004F09C6">
        <w:rPr>
          <w:noProof/>
          <w:sz w:val="28"/>
          <w:szCs w:val="28"/>
          <w:lang w:val="en-US"/>
        </w:rPr>
        <w:t>–</w:t>
      </w:r>
      <w:r w:rsidRPr="00076B4E">
        <w:rPr>
          <w:noProof/>
          <w:sz w:val="28"/>
          <w:lang w:val="en-US"/>
        </w:rPr>
        <w:t xml:space="preserve"> P. 106–116.</w:t>
      </w:r>
    </w:p>
    <w:p w14:paraId="2C167011" w14:textId="77777777" w:rsidR="0086759A" w:rsidRDefault="0086759A" w:rsidP="0086759A">
      <w:pPr>
        <w:widowControl w:val="0"/>
        <w:autoSpaceDE w:val="0"/>
        <w:autoSpaceDN w:val="0"/>
        <w:adjustRightInd w:val="0"/>
        <w:jc w:val="both"/>
        <w:rPr>
          <w:noProof/>
          <w:sz w:val="28"/>
          <w:lang w:val="en-US"/>
        </w:rPr>
      </w:pPr>
      <w:r>
        <w:rPr>
          <w:noProof/>
          <w:sz w:val="28"/>
          <w:szCs w:val="28"/>
          <w:lang w:val="en-US"/>
        </w:rPr>
        <w:tab/>
        <w:t xml:space="preserve">131 </w:t>
      </w:r>
      <w:r w:rsidRPr="001C63FB">
        <w:rPr>
          <w:noProof/>
          <w:sz w:val="28"/>
          <w:lang w:val="en-US"/>
        </w:rPr>
        <w:t xml:space="preserve">Kahf M. Lessons in Islamic Economics. Volume 2. Jeddah: </w:t>
      </w:r>
      <w:r>
        <w:rPr>
          <w:noProof/>
          <w:sz w:val="28"/>
          <w:lang w:val="en-US"/>
        </w:rPr>
        <w:t>I</w:t>
      </w:r>
      <w:r w:rsidRPr="001C63FB">
        <w:rPr>
          <w:noProof/>
          <w:sz w:val="28"/>
          <w:lang w:val="en-US"/>
        </w:rPr>
        <w:t>slamic research and training institute</w:t>
      </w:r>
      <w:r>
        <w:rPr>
          <w:noProof/>
          <w:sz w:val="28"/>
          <w:lang w:val="en-US"/>
        </w:rPr>
        <w:t xml:space="preserve">. </w:t>
      </w:r>
      <w:r w:rsidRPr="004F52B5">
        <w:rPr>
          <w:noProof/>
          <w:sz w:val="28"/>
          <w:szCs w:val="28"/>
          <w:lang w:val="en-US"/>
        </w:rPr>
        <w:t>–</w:t>
      </w:r>
      <w:r>
        <w:rPr>
          <w:noProof/>
          <w:sz w:val="28"/>
          <w:szCs w:val="28"/>
          <w:lang w:val="en-US"/>
        </w:rPr>
        <w:t xml:space="preserve"> </w:t>
      </w:r>
      <w:r w:rsidRPr="001C63FB">
        <w:rPr>
          <w:noProof/>
          <w:sz w:val="28"/>
          <w:lang w:val="en-US"/>
        </w:rPr>
        <w:t xml:space="preserve">1998. </w:t>
      </w:r>
      <w:r w:rsidRPr="004F52B5">
        <w:rPr>
          <w:noProof/>
          <w:sz w:val="28"/>
          <w:szCs w:val="28"/>
          <w:lang w:val="en-US"/>
        </w:rPr>
        <w:t>–</w:t>
      </w:r>
      <w:r>
        <w:rPr>
          <w:noProof/>
          <w:sz w:val="28"/>
          <w:szCs w:val="28"/>
          <w:lang w:val="en-US"/>
        </w:rPr>
        <w:t xml:space="preserve"> </w:t>
      </w:r>
      <w:r w:rsidRPr="001C63FB">
        <w:rPr>
          <w:noProof/>
          <w:sz w:val="28"/>
          <w:lang w:val="en-US"/>
        </w:rPr>
        <w:t>P. 343.</w:t>
      </w:r>
    </w:p>
    <w:p w14:paraId="73D5F425"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t xml:space="preserve">132 </w:t>
      </w:r>
      <w:r w:rsidRPr="00AD79F7">
        <w:rPr>
          <w:noProof/>
          <w:sz w:val="28"/>
          <w:lang w:val="en-US"/>
        </w:rPr>
        <w:t xml:space="preserve">Kuanova L., Zhakambayeva N. </w:t>
      </w:r>
      <w:r>
        <w:rPr>
          <w:noProof/>
          <w:sz w:val="28"/>
          <w:lang w:val="en-US"/>
        </w:rPr>
        <w:t>U</w:t>
      </w:r>
      <w:r w:rsidRPr="00AD79F7">
        <w:rPr>
          <w:noProof/>
          <w:sz w:val="28"/>
          <w:lang w:val="en-US"/>
        </w:rPr>
        <w:t xml:space="preserve">niverse of </w:t>
      </w:r>
      <w:r>
        <w:rPr>
          <w:noProof/>
          <w:sz w:val="28"/>
          <w:lang w:val="en-US"/>
        </w:rPr>
        <w:t>I</w:t>
      </w:r>
      <w:r w:rsidRPr="00AD79F7">
        <w:rPr>
          <w:noProof/>
          <w:sz w:val="28"/>
          <w:lang w:val="en-US"/>
        </w:rPr>
        <w:t>slamic investing – capital market // Kazakhstan in a Multipolar World : Economic Scenarios. Qazaq Universiteti</w:t>
      </w:r>
      <w:r>
        <w:rPr>
          <w:noProof/>
          <w:sz w:val="28"/>
          <w:lang w:val="en-US"/>
        </w:rPr>
        <w:t>. Almaty.</w:t>
      </w:r>
      <w:r w:rsidRPr="00AD79F7">
        <w:rPr>
          <w:noProof/>
          <w:sz w:val="28"/>
          <w:lang w:val="en-US"/>
        </w:rPr>
        <w:t xml:space="preserve"> </w:t>
      </w:r>
      <w:r w:rsidRPr="004F52B5">
        <w:rPr>
          <w:noProof/>
          <w:sz w:val="28"/>
          <w:szCs w:val="28"/>
          <w:lang w:val="en-US"/>
        </w:rPr>
        <w:t>–</w:t>
      </w:r>
      <w:r>
        <w:rPr>
          <w:noProof/>
          <w:sz w:val="28"/>
          <w:szCs w:val="28"/>
          <w:lang w:val="en-US"/>
        </w:rPr>
        <w:t xml:space="preserve"> </w:t>
      </w:r>
      <w:r w:rsidRPr="00AD79F7">
        <w:rPr>
          <w:noProof/>
          <w:sz w:val="28"/>
          <w:lang w:val="en-US"/>
        </w:rPr>
        <w:t xml:space="preserve">2019. </w:t>
      </w:r>
      <w:r w:rsidRPr="004F52B5">
        <w:rPr>
          <w:noProof/>
          <w:sz w:val="28"/>
          <w:szCs w:val="28"/>
          <w:lang w:val="en-US"/>
        </w:rPr>
        <w:t>–</w:t>
      </w:r>
      <w:r>
        <w:rPr>
          <w:noProof/>
          <w:sz w:val="28"/>
          <w:szCs w:val="28"/>
          <w:lang w:val="en-US"/>
        </w:rPr>
        <w:t xml:space="preserve"> </w:t>
      </w:r>
      <w:r w:rsidRPr="00AD79F7">
        <w:rPr>
          <w:noProof/>
          <w:sz w:val="28"/>
          <w:lang w:val="en-US"/>
        </w:rPr>
        <w:t xml:space="preserve"> P. 342–347.</w:t>
      </w:r>
    </w:p>
    <w:p w14:paraId="72042394" w14:textId="77777777" w:rsidR="0086759A" w:rsidRPr="004F09C6" w:rsidRDefault="0086759A" w:rsidP="0086759A">
      <w:pPr>
        <w:widowControl w:val="0"/>
        <w:autoSpaceDE w:val="0"/>
        <w:autoSpaceDN w:val="0"/>
        <w:adjustRightInd w:val="0"/>
        <w:jc w:val="both"/>
        <w:rPr>
          <w:noProof/>
          <w:sz w:val="28"/>
          <w:szCs w:val="28"/>
          <w:lang w:val="en-US"/>
        </w:rPr>
      </w:pPr>
      <w:r>
        <w:rPr>
          <w:noProof/>
          <w:sz w:val="28"/>
          <w:lang w:val="en-US"/>
        </w:rPr>
        <w:tab/>
      </w:r>
      <w:r w:rsidRPr="001C63FB">
        <w:rPr>
          <w:noProof/>
          <w:sz w:val="28"/>
          <w:lang w:val="en-US"/>
        </w:rPr>
        <w:t>1</w:t>
      </w:r>
      <w:r>
        <w:rPr>
          <w:noProof/>
          <w:sz w:val="28"/>
          <w:lang w:val="en-US"/>
        </w:rPr>
        <w:t xml:space="preserve">33 </w:t>
      </w:r>
      <w:r w:rsidRPr="001C63FB">
        <w:rPr>
          <w:noProof/>
          <w:sz w:val="28"/>
          <w:lang w:val="en-US"/>
        </w:rPr>
        <w:t xml:space="preserve">Rodoni A. Holistic of Corporate Social Responsibility: Implementation of Sharia Companies in Indonesia // International Conference on Islamic Finance, </w:t>
      </w:r>
      <w:r w:rsidRPr="004F09C6">
        <w:rPr>
          <w:noProof/>
          <w:sz w:val="28"/>
          <w:szCs w:val="28"/>
          <w:lang w:val="en-US"/>
        </w:rPr>
        <w:t>Economics and Business. – 2018. – P. 469–488.</w:t>
      </w:r>
    </w:p>
    <w:p w14:paraId="23D5D396" w14:textId="77777777" w:rsidR="0086759A" w:rsidRPr="004F09C6"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4F09C6">
        <w:rPr>
          <w:noProof/>
          <w:sz w:val="28"/>
          <w:szCs w:val="28"/>
          <w:lang w:val="en-US"/>
        </w:rPr>
        <w:t>13</w:t>
      </w:r>
      <w:r>
        <w:rPr>
          <w:noProof/>
          <w:sz w:val="28"/>
          <w:szCs w:val="28"/>
          <w:lang w:val="en-US"/>
        </w:rPr>
        <w:t xml:space="preserve">4 </w:t>
      </w:r>
      <w:r w:rsidRPr="004F09C6">
        <w:rPr>
          <w:noProof/>
          <w:sz w:val="28"/>
          <w:szCs w:val="28"/>
          <w:lang w:val="en-US"/>
        </w:rPr>
        <w:t xml:space="preserve">Ali Aribi Z., Arun T. Corporate Social Responsibility and Islamic Financial Institutions (IFIs): Management Perceptions from IFIs in Bahrain // </w:t>
      </w:r>
      <w:r w:rsidRPr="004F09C6">
        <w:rPr>
          <w:sz w:val="28"/>
          <w:szCs w:val="28"/>
          <w:lang w:val="en-US"/>
        </w:rPr>
        <w:t>Journal of Business Ethics</w:t>
      </w:r>
      <w:r w:rsidRPr="004F09C6">
        <w:rPr>
          <w:noProof/>
          <w:sz w:val="28"/>
          <w:szCs w:val="28"/>
          <w:lang w:val="en-US"/>
        </w:rPr>
        <w:t>. – 2015. – Vol. 129, № 4. – P. 785–794.</w:t>
      </w:r>
    </w:p>
    <w:p w14:paraId="5D22EDD8"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13</w:t>
      </w:r>
      <w:r>
        <w:rPr>
          <w:noProof/>
          <w:sz w:val="28"/>
          <w:lang w:val="en-US"/>
        </w:rPr>
        <w:t xml:space="preserve">5 </w:t>
      </w:r>
      <w:r w:rsidRPr="001C63FB">
        <w:rPr>
          <w:noProof/>
          <w:sz w:val="28"/>
          <w:lang w:val="en-US"/>
        </w:rPr>
        <w:t xml:space="preserve">Total value of investments into Fintech companies worldwide from 2010 to 2020 // Statista Research Department. </w:t>
      </w:r>
      <w:r w:rsidRPr="004F52B5">
        <w:rPr>
          <w:noProof/>
          <w:sz w:val="28"/>
          <w:szCs w:val="28"/>
          <w:lang w:val="en-US"/>
        </w:rPr>
        <w:t>–</w:t>
      </w:r>
      <w:r>
        <w:rPr>
          <w:noProof/>
          <w:sz w:val="28"/>
          <w:szCs w:val="28"/>
          <w:lang w:val="en-US"/>
        </w:rPr>
        <w:t xml:space="preserve"> </w:t>
      </w:r>
      <w:r w:rsidRPr="001C63FB">
        <w:rPr>
          <w:noProof/>
          <w:sz w:val="28"/>
          <w:lang w:val="en-US"/>
        </w:rPr>
        <w:t xml:space="preserve">2021. </w:t>
      </w:r>
      <w:r w:rsidRPr="004F52B5">
        <w:rPr>
          <w:noProof/>
          <w:sz w:val="28"/>
          <w:szCs w:val="28"/>
          <w:lang w:val="en-US"/>
        </w:rPr>
        <w:t>–</w:t>
      </w:r>
      <w:r>
        <w:rPr>
          <w:noProof/>
          <w:sz w:val="28"/>
          <w:szCs w:val="28"/>
          <w:lang w:val="en-US"/>
        </w:rPr>
        <w:t xml:space="preserve"> </w:t>
      </w:r>
      <w:r w:rsidRPr="001C63FB">
        <w:rPr>
          <w:noProof/>
          <w:sz w:val="28"/>
          <w:lang w:val="en-US"/>
        </w:rPr>
        <w:t>Vol. 44</w:t>
      </w:r>
      <w:r>
        <w:rPr>
          <w:noProof/>
          <w:sz w:val="28"/>
          <w:lang w:val="en-US"/>
        </w:rPr>
        <w:t xml:space="preserve">. </w:t>
      </w:r>
      <w:r w:rsidRPr="004F52B5">
        <w:rPr>
          <w:noProof/>
          <w:sz w:val="28"/>
          <w:szCs w:val="28"/>
          <w:lang w:val="en-US"/>
        </w:rPr>
        <w:t>–</w:t>
      </w:r>
      <w:r w:rsidRPr="001C63FB">
        <w:rPr>
          <w:noProof/>
          <w:sz w:val="28"/>
          <w:lang w:val="en-US"/>
        </w:rPr>
        <w:t xml:space="preserve"> P. 8189. URL:https://www.statista.com/statistics/719385/investments-into-fintech-companies-globally/.</w:t>
      </w:r>
      <w:r>
        <w:rPr>
          <w:noProof/>
          <w:sz w:val="28"/>
          <w:lang w:val="en-US"/>
        </w:rPr>
        <w:t>12.10.2021</w:t>
      </w:r>
    </w:p>
    <w:p w14:paraId="200B54D5"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13</w:t>
      </w:r>
      <w:r>
        <w:rPr>
          <w:noProof/>
          <w:sz w:val="28"/>
          <w:lang w:val="en-US"/>
        </w:rPr>
        <w:t xml:space="preserve">6 </w:t>
      </w:r>
      <w:r w:rsidRPr="001C63FB">
        <w:rPr>
          <w:noProof/>
          <w:sz w:val="28"/>
          <w:lang w:val="en-US"/>
        </w:rPr>
        <w:t xml:space="preserve">Lee I., Jae Y. Fintech: Ecosystem, business models, investment decisions, and challenges. </w:t>
      </w:r>
      <w:r w:rsidRPr="004F52B5">
        <w:rPr>
          <w:noProof/>
          <w:sz w:val="28"/>
          <w:szCs w:val="28"/>
          <w:lang w:val="en-US"/>
        </w:rPr>
        <w:t>–</w:t>
      </w:r>
      <w:r>
        <w:rPr>
          <w:noProof/>
          <w:sz w:val="28"/>
          <w:szCs w:val="28"/>
          <w:lang w:val="en-US"/>
        </w:rPr>
        <w:t xml:space="preserve"> </w:t>
      </w:r>
      <w:r w:rsidRPr="001C63FB">
        <w:rPr>
          <w:noProof/>
          <w:sz w:val="28"/>
          <w:lang w:val="en-US"/>
        </w:rPr>
        <w:t>2018.</w:t>
      </w:r>
    </w:p>
    <w:p w14:paraId="6DC22F4A"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13</w:t>
      </w:r>
      <w:r>
        <w:rPr>
          <w:noProof/>
          <w:sz w:val="28"/>
          <w:lang w:val="en-US"/>
        </w:rPr>
        <w:t xml:space="preserve">7 </w:t>
      </w:r>
      <w:r w:rsidRPr="001C63FB">
        <w:rPr>
          <w:noProof/>
          <w:sz w:val="28"/>
          <w:lang w:val="en-US"/>
        </w:rPr>
        <w:t>Ozili P.K. Impact of digital finance on financial inclusion and stability</w:t>
      </w:r>
      <w:r>
        <w:rPr>
          <w:noProof/>
          <w:sz w:val="28"/>
          <w:lang w:val="en-US"/>
        </w:rPr>
        <w:t xml:space="preserve">// </w:t>
      </w:r>
      <w:r w:rsidRPr="001C63FB">
        <w:rPr>
          <w:noProof/>
          <w:sz w:val="28"/>
          <w:lang w:val="en-US"/>
        </w:rPr>
        <w:t>Borsa  Istanbul Review</w:t>
      </w:r>
      <w:r>
        <w:rPr>
          <w:noProof/>
          <w:sz w:val="28"/>
          <w:lang w:val="en-US"/>
        </w:rPr>
        <w:t>.</w:t>
      </w:r>
      <w:r w:rsidRPr="001C63FB">
        <w:rPr>
          <w:noProof/>
          <w:sz w:val="28"/>
          <w:lang w:val="en-US"/>
        </w:rPr>
        <w:t xml:space="preserve"> </w:t>
      </w:r>
      <w:r w:rsidRPr="004F52B5">
        <w:rPr>
          <w:noProof/>
          <w:sz w:val="28"/>
          <w:szCs w:val="28"/>
          <w:lang w:val="en-US"/>
        </w:rPr>
        <w:t>–</w:t>
      </w:r>
      <w:r>
        <w:rPr>
          <w:noProof/>
          <w:sz w:val="28"/>
          <w:szCs w:val="28"/>
          <w:lang w:val="en-US"/>
        </w:rPr>
        <w:t xml:space="preserve"> </w:t>
      </w:r>
      <w:r w:rsidRPr="001C63FB">
        <w:rPr>
          <w:noProof/>
          <w:sz w:val="28"/>
          <w:lang w:val="en-US"/>
        </w:rPr>
        <w:t>2018.</w:t>
      </w:r>
    </w:p>
    <w:p w14:paraId="4D9D27C3"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13</w:t>
      </w:r>
      <w:r>
        <w:rPr>
          <w:noProof/>
          <w:sz w:val="28"/>
          <w:lang w:val="en-US"/>
        </w:rPr>
        <w:t xml:space="preserve">8 </w:t>
      </w:r>
      <w:r w:rsidRPr="001C63FB">
        <w:rPr>
          <w:noProof/>
          <w:sz w:val="28"/>
          <w:lang w:val="en-US"/>
        </w:rPr>
        <w:t>GII. Global Innovation Index 2020 // Global Innovation Index.</w:t>
      </w:r>
      <w:r w:rsidRPr="001A1379">
        <w:rPr>
          <w:noProof/>
          <w:sz w:val="28"/>
          <w:szCs w:val="28"/>
          <w:lang w:val="en-US"/>
        </w:rPr>
        <w:t xml:space="preserve"> </w:t>
      </w:r>
      <w:r w:rsidRPr="004F52B5">
        <w:rPr>
          <w:noProof/>
          <w:sz w:val="28"/>
          <w:szCs w:val="28"/>
          <w:lang w:val="en-US"/>
        </w:rPr>
        <w:t>–</w:t>
      </w:r>
      <w:r>
        <w:rPr>
          <w:noProof/>
          <w:sz w:val="28"/>
          <w:szCs w:val="28"/>
          <w:lang w:val="en-US"/>
        </w:rPr>
        <w:t xml:space="preserve"> </w:t>
      </w:r>
      <w:r w:rsidRPr="001C63FB">
        <w:rPr>
          <w:noProof/>
          <w:sz w:val="28"/>
          <w:lang w:val="en-US"/>
        </w:rPr>
        <w:t xml:space="preserve"> 2020. </w:t>
      </w:r>
      <w:r w:rsidRPr="004F52B5">
        <w:rPr>
          <w:noProof/>
          <w:sz w:val="28"/>
          <w:szCs w:val="28"/>
          <w:lang w:val="en-US"/>
        </w:rPr>
        <w:t>–</w:t>
      </w:r>
      <w:r>
        <w:rPr>
          <w:noProof/>
          <w:sz w:val="28"/>
          <w:szCs w:val="28"/>
          <w:lang w:val="en-US"/>
        </w:rPr>
        <w:t xml:space="preserve"> </w:t>
      </w:r>
      <w:r w:rsidRPr="001C63FB">
        <w:rPr>
          <w:noProof/>
          <w:sz w:val="28"/>
          <w:lang w:val="en-US"/>
        </w:rPr>
        <w:t>57–58 p.</w:t>
      </w:r>
    </w:p>
    <w:p w14:paraId="210B43AD"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13</w:t>
      </w:r>
      <w:r>
        <w:rPr>
          <w:noProof/>
          <w:sz w:val="28"/>
          <w:lang w:val="en-US"/>
        </w:rPr>
        <w:t xml:space="preserve">9 </w:t>
      </w:r>
      <w:r w:rsidRPr="001C63FB">
        <w:rPr>
          <w:noProof/>
          <w:sz w:val="28"/>
          <w:lang w:val="en-US"/>
        </w:rPr>
        <w:t xml:space="preserve">Dinar Standard. Global Islamic Fintech Report. </w:t>
      </w:r>
      <w:r w:rsidRPr="004F52B5">
        <w:rPr>
          <w:noProof/>
          <w:sz w:val="28"/>
          <w:szCs w:val="28"/>
          <w:lang w:val="en-US"/>
        </w:rPr>
        <w:t>–</w:t>
      </w:r>
      <w:r>
        <w:rPr>
          <w:noProof/>
          <w:sz w:val="28"/>
          <w:szCs w:val="28"/>
          <w:lang w:val="en-US"/>
        </w:rPr>
        <w:t xml:space="preserve"> </w:t>
      </w:r>
      <w:r w:rsidRPr="001C63FB">
        <w:rPr>
          <w:noProof/>
          <w:sz w:val="28"/>
          <w:lang w:val="en-US"/>
        </w:rPr>
        <w:t>2021.</w:t>
      </w:r>
      <w:r w:rsidRPr="001A1379">
        <w:rPr>
          <w:noProof/>
          <w:sz w:val="28"/>
          <w:szCs w:val="28"/>
          <w:lang w:val="en-US"/>
        </w:rPr>
        <w:t xml:space="preserve"> </w:t>
      </w:r>
      <w:r w:rsidRPr="004F52B5">
        <w:rPr>
          <w:noProof/>
          <w:sz w:val="28"/>
          <w:szCs w:val="28"/>
          <w:lang w:val="en-US"/>
        </w:rPr>
        <w:t>–</w:t>
      </w:r>
      <w:r>
        <w:rPr>
          <w:noProof/>
          <w:sz w:val="28"/>
          <w:szCs w:val="28"/>
          <w:lang w:val="en-US"/>
        </w:rPr>
        <w:t xml:space="preserve"> </w:t>
      </w:r>
      <w:r w:rsidRPr="001C63FB">
        <w:rPr>
          <w:noProof/>
          <w:sz w:val="28"/>
          <w:lang w:val="en-US"/>
        </w:rPr>
        <w:t xml:space="preserve"> 56 p.</w:t>
      </w:r>
    </w:p>
    <w:p w14:paraId="48300389" w14:textId="77777777" w:rsidR="0086759A" w:rsidRPr="001C63FB" w:rsidRDefault="0086759A" w:rsidP="0086759A">
      <w:pPr>
        <w:widowControl w:val="0"/>
        <w:autoSpaceDE w:val="0"/>
        <w:autoSpaceDN w:val="0"/>
        <w:adjustRightInd w:val="0"/>
        <w:ind w:left="640" w:hanging="640"/>
        <w:jc w:val="both"/>
        <w:rPr>
          <w:noProof/>
          <w:sz w:val="28"/>
          <w:lang w:val="en-US"/>
        </w:rPr>
      </w:pPr>
      <w:r>
        <w:rPr>
          <w:noProof/>
          <w:sz w:val="28"/>
          <w:lang w:val="en-US"/>
        </w:rPr>
        <w:tab/>
      </w:r>
      <w:r w:rsidRPr="001C63FB">
        <w:rPr>
          <w:noProof/>
          <w:sz w:val="28"/>
          <w:lang w:val="en-US"/>
        </w:rPr>
        <w:t>1</w:t>
      </w:r>
      <w:r>
        <w:rPr>
          <w:noProof/>
          <w:sz w:val="28"/>
          <w:lang w:val="en-US"/>
        </w:rPr>
        <w:t xml:space="preserve">40 </w:t>
      </w:r>
      <w:r w:rsidRPr="001C63FB">
        <w:rPr>
          <w:noProof/>
          <w:sz w:val="28"/>
          <w:lang w:val="en-US"/>
        </w:rPr>
        <w:t>Oseni U., Ali N. Fintech In Islamic Finance. London</w:t>
      </w:r>
      <w:r>
        <w:rPr>
          <w:noProof/>
          <w:sz w:val="28"/>
          <w:lang w:val="en-US"/>
        </w:rPr>
        <w:t xml:space="preserve">. </w:t>
      </w:r>
      <w:r w:rsidRPr="004F52B5">
        <w:rPr>
          <w:noProof/>
          <w:sz w:val="28"/>
          <w:szCs w:val="28"/>
          <w:lang w:val="en-US"/>
        </w:rPr>
        <w:t>–</w:t>
      </w:r>
      <w:r>
        <w:rPr>
          <w:noProof/>
          <w:sz w:val="28"/>
          <w:szCs w:val="28"/>
          <w:lang w:val="en-US"/>
        </w:rPr>
        <w:t xml:space="preserve"> </w:t>
      </w:r>
      <w:r w:rsidRPr="001C63FB">
        <w:rPr>
          <w:noProof/>
          <w:sz w:val="28"/>
          <w:lang w:val="en-US"/>
        </w:rPr>
        <w:t xml:space="preserve"> 2019. </w:t>
      </w:r>
      <w:r w:rsidRPr="004F52B5">
        <w:rPr>
          <w:noProof/>
          <w:sz w:val="28"/>
          <w:szCs w:val="28"/>
          <w:lang w:val="en-US"/>
        </w:rPr>
        <w:t>–</w:t>
      </w:r>
      <w:r>
        <w:rPr>
          <w:noProof/>
          <w:sz w:val="28"/>
          <w:szCs w:val="28"/>
          <w:lang w:val="en-US"/>
        </w:rPr>
        <w:t xml:space="preserve"> </w:t>
      </w:r>
      <w:r w:rsidRPr="001C63FB">
        <w:rPr>
          <w:noProof/>
          <w:sz w:val="28"/>
          <w:lang w:val="en-US"/>
        </w:rPr>
        <w:t>347 p.</w:t>
      </w:r>
    </w:p>
    <w:p w14:paraId="750487BE" w14:textId="77777777" w:rsidR="0086759A" w:rsidRPr="001C63FB" w:rsidRDefault="0086759A" w:rsidP="0086759A">
      <w:pPr>
        <w:widowControl w:val="0"/>
        <w:autoSpaceDE w:val="0"/>
        <w:autoSpaceDN w:val="0"/>
        <w:adjustRightInd w:val="0"/>
        <w:jc w:val="both"/>
        <w:rPr>
          <w:noProof/>
          <w:sz w:val="28"/>
          <w:lang w:val="en-US"/>
        </w:rPr>
      </w:pPr>
      <w:r>
        <w:rPr>
          <w:noProof/>
          <w:sz w:val="28"/>
          <w:lang w:val="en-US"/>
        </w:rPr>
        <w:tab/>
      </w:r>
      <w:r w:rsidRPr="001C63FB">
        <w:rPr>
          <w:noProof/>
          <w:sz w:val="28"/>
          <w:lang w:val="en-US"/>
        </w:rPr>
        <w:t>1</w:t>
      </w:r>
      <w:r>
        <w:rPr>
          <w:noProof/>
          <w:sz w:val="28"/>
          <w:lang w:val="en-US"/>
        </w:rPr>
        <w:t xml:space="preserve">41 </w:t>
      </w:r>
      <w:r w:rsidRPr="001C63FB">
        <w:rPr>
          <w:noProof/>
          <w:sz w:val="28"/>
          <w:lang w:val="en-US"/>
        </w:rPr>
        <w:t xml:space="preserve">Mohamed H., Ali H. Blockchain, Fintech, and Islamic Finance: Building the Future in the New Islamic Digital. </w:t>
      </w:r>
      <w:r w:rsidRPr="004F52B5">
        <w:rPr>
          <w:noProof/>
          <w:sz w:val="28"/>
          <w:szCs w:val="28"/>
          <w:lang w:val="en-US"/>
        </w:rPr>
        <w:t>–</w:t>
      </w:r>
      <w:r>
        <w:rPr>
          <w:noProof/>
          <w:sz w:val="28"/>
          <w:szCs w:val="28"/>
          <w:lang w:val="en-US"/>
        </w:rPr>
        <w:t xml:space="preserve"> </w:t>
      </w:r>
      <w:r w:rsidRPr="001C63FB">
        <w:rPr>
          <w:noProof/>
          <w:sz w:val="28"/>
          <w:lang w:val="en-US"/>
        </w:rPr>
        <w:t xml:space="preserve">2018. </w:t>
      </w:r>
      <w:r w:rsidRPr="004F52B5">
        <w:rPr>
          <w:noProof/>
          <w:sz w:val="28"/>
          <w:szCs w:val="28"/>
          <w:lang w:val="en-US"/>
        </w:rPr>
        <w:t>–</w:t>
      </w:r>
      <w:r>
        <w:rPr>
          <w:noProof/>
          <w:sz w:val="28"/>
          <w:szCs w:val="28"/>
          <w:lang w:val="en-US"/>
        </w:rPr>
        <w:t xml:space="preserve"> </w:t>
      </w:r>
      <w:r w:rsidRPr="001C63FB">
        <w:rPr>
          <w:noProof/>
          <w:sz w:val="28"/>
          <w:lang w:val="en-US"/>
        </w:rPr>
        <w:t>236 p.</w:t>
      </w:r>
    </w:p>
    <w:p w14:paraId="49D87038" w14:textId="77777777" w:rsidR="0086759A" w:rsidRDefault="0086759A" w:rsidP="0086759A">
      <w:pPr>
        <w:widowControl w:val="0"/>
        <w:autoSpaceDE w:val="0"/>
        <w:autoSpaceDN w:val="0"/>
        <w:adjustRightInd w:val="0"/>
        <w:jc w:val="both"/>
        <w:rPr>
          <w:noProof/>
          <w:sz w:val="28"/>
          <w:szCs w:val="28"/>
          <w:lang w:val="en-US"/>
        </w:rPr>
      </w:pPr>
      <w:r>
        <w:rPr>
          <w:noProof/>
          <w:sz w:val="28"/>
          <w:lang w:val="en-US"/>
        </w:rPr>
        <w:tab/>
      </w:r>
      <w:r w:rsidRPr="001C63FB">
        <w:rPr>
          <w:noProof/>
          <w:sz w:val="28"/>
          <w:lang w:val="en-US"/>
        </w:rPr>
        <w:t>1</w:t>
      </w:r>
      <w:r>
        <w:rPr>
          <w:noProof/>
          <w:sz w:val="28"/>
          <w:lang w:val="en-US"/>
        </w:rPr>
        <w:t>42</w:t>
      </w:r>
      <w:r>
        <w:rPr>
          <w:noProof/>
          <w:sz w:val="28"/>
          <w:szCs w:val="28"/>
          <w:lang w:val="en-US"/>
        </w:rPr>
        <w:t xml:space="preserve"> </w:t>
      </w:r>
      <w:r w:rsidRPr="001A1379">
        <w:rPr>
          <w:noProof/>
          <w:sz w:val="28"/>
          <w:szCs w:val="28"/>
          <w:lang w:val="en-US"/>
        </w:rPr>
        <w:t xml:space="preserve">Ali H., Abdullah R., Zaki Zaini M. Fintech and Its Potential Impact on Islamic Banking and Finance Industry: A Case Study of Brunei Darussalam and Malaysia // </w:t>
      </w:r>
      <w:r w:rsidRPr="001A1379">
        <w:rPr>
          <w:sz w:val="28"/>
          <w:szCs w:val="28"/>
          <w:lang w:val="en-US"/>
        </w:rPr>
        <w:t>International Journal of Islamic Economics and Finance (IJIEF)</w:t>
      </w:r>
      <w:r w:rsidRPr="001A1379">
        <w:rPr>
          <w:noProof/>
          <w:sz w:val="28"/>
          <w:szCs w:val="28"/>
          <w:lang w:val="en-US"/>
        </w:rPr>
        <w:t>. – 2019. – Vol. 2, № 1. – P. 73–108.</w:t>
      </w:r>
    </w:p>
    <w:p w14:paraId="0F55F947" w14:textId="77777777" w:rsidR="0086759A" w:rsidRPr="00AD79F7" w:rsidRDefault="0086759A" w:rsidP="0086759A">
      <w:pPr>
        <w:widowControl w:val="0"/>
        <w:autoSpaceDE w:val="0"/>
        <w:autoSpaceDN w:val="0"/>
        <w:adjustRightInd w:val="0"/>
        <w:jc w:val="both"/>
        <w:rPr>
          <w:noProof/>
          <w:sz w:val="28"/>
          <w:lang w:val="en-US"/>
        </w:rPr>
      </w:pPr>
      <w:r>
        <w:rPr>
          <w:noProof/>
          <w:sz w:val="28"/>
          <w:lang w:val="en-US"/>
        </w:rPr>
        <w:tab/>
      </w:r>
      <w:r w:rsidRPr="00AD79F7">
        <w:rPr>
          <w:noProof/>
          <w:sz w:val="28"/>
          <w:lang w:val="en-US"/>
        </w:rPr>
        <w:t>143</w:t>
      </w:r>
      <w:r>
        <w:rPr>
          <w:noProof/>
          <w:sz w:val="28"/>
          <w:lang w:val="en-US"/>
        </w:rPr>
        <w:t xml:space="preserve"> </w:t>
      </w:r>
      <w:r w:rsidRPr="00AD79F7">
        <w:rPr>
          <w:noProof/>
          <w:sz w:val="28"/>
          <w:lang w:val="en-US"/>
        </w:rPr>
        <w:t>Kuanova L., Sagiyeva R., Saginbaeva A. The influence of the Fintech industry on the development of Islamic finance in the globol economy // Kazakhstan in a Multipolar World : Economic Scenarios. Qazaq Universiteti</w:t>
      </w:r>
      <w:r>
        <w:rPr>
          <w:noProof/>
          <w:sz w:val="28"/>
          <w:lang w:val="en-US"/>
        </w:rPr>
        <w:t>. Almaty.</w:t>
      </w:r>
      <w:r w:rsidRPr="00AD79F7">
        <w:rPr>
          <w:noProof/>
          <w:sz w:val="28"/>
          <w:lang w:val="en-US"/>
        </w:rPr>
        <w:t xml:space="preserve"> </w:t>
      </w:r>
      <w:r w:rsidRPr="001A1379">
        <w:rPr>
          <w:noProof/>
          <w:sz w:val="28"/>
          <w:szCs w:val="28"/>
          <w:lang w:val="en-US"/>
        </w:rPr>
        <w:t>–</w:t>
      </w:r>
      <w:r>
        <w:rPr>
          <w:noProof/>
          <w:sz w:val="28"/>
          <w:szCs w:val="28"/>
          <w:lang w:val="en-US"/>
        </w:rPr>
        <w:t xml:space="preserve"> </w:t>
      </w:r>
      <w:r w:rsidRPr="00AD79F7">
        <w:rPr>
          <w:noProof/>
          <w:sz w:val="28"/>
          <w:lang w:val="en-US"/>
        </w:rPr>
        <w:t xml:space="preserve">2019. </w:t>
      </w:r>
      <w:r w:rsidRPr="001A1379">
        <w:rPr>
          <w:noProof/>
          <w:sz w:val="28"/>
          <w:szCs w:val="28"/>
          <w:lang w:val="en-US"/>
        </w:rPr>
        <w:t>–</w:t>
      </w:r>
      <w:r w:rsidRPr="00AD79F7">
        <w:rPr>
          <w:noProof/>
          <w:sz w:val="28"/>
          <w:lang w:val="en-US"/>
        </w:rPr>
        <w:t xml:space="preserve"> P. 466–472.</w:t>
      </w:r>
    </w:p>
    <w:p w14:paraId="7048BF9A" w14:textId="77777777" w:rsidR="0086759A" w:rsidRPr="001F7770" w:rsidRDefault="0086759A" w:rsidP="0086759A">
      <w:pPr>
        <w:jc w:val="both"/>
        <w:rPr>
          <w:lang w:val="en-US"/>
        </w:rPr>
      </w:pPr>
      <w:r>
        <w:rPr>
          <w:noProof/>
          <w:sz w:val="28"/>
          <w:lang w:val="en-US"/>
        </w:rPr>
        <w:tab/>
      </w:r>
      <w:r w:rsidRPr="00AD79F7">
        <w:rPr>
          <w:noProof/>
          <w:sz w:val="28"/>
          <w:lang w:val="en-US"/>
        </w:rPr>
        <w:t>144</w:t>
      </w:r>
      <w:r>
        <w:rPr>
          <w:noProof/>
          <w:sz w:val="28"/>
          <w:lang w:val="en-US"/>
        </w:rPr>
        <w:t xml:space="preserve"> </w:t>
      </w:r>
      <w:r w:rsidRPr="00AD79F7">
        <w:rPr>
          <w:noProof/>
          <w:sz w:val="28"/>
          <w:lang w:val="en-US"/>
        </w:rPr>
        <w:t>Jamshidi D., Kuanova L. Investigating the customers’ drivers of Islamic credit card loyalty and word of mouth // J</w:t>
      </w:r>
      <w:r>
        <w:rPr>
          <w:noProof/>
          <w:sz w:val="28"/>
          <w:lang w:val="en-US"/>
        </w:rPr>
        <w:t>ournal of</w:t>
      </w:r>
      <w:r w:rsidRPr="00AD79F7">
        <w:rPr>
          <w:noProof/>
          <w:sz w:val="28"/>
          <w:lang w:val="en-US"/>
        </w:rPr>
        <w:t xml:space="preserve"> Islam</w:t>
      </w:r>
      <w:r>
        <w:rPr>
          <w:noProof/>
          <w:sz w:val="28"/>
          <w:lang w:val="en-US"/>
        </w:rPr>
        <w:t>ic</w:t>
      </w:r>
      <w:r w:rsidRPr="00AD79F7">
        <w:rPr>
          <w:noProof/>
          <w:sz w:val="28"/>
          <w:lang w:val="en-US"/>
        </w:rPr>
        <w:t xml:space="preserve"> Mark</w:t>
      </w:r>
      <w:r>
        <w:rPr>
          <w:noProof/>
          <w:sz w:val="28"/>
          <w:lang w:val="en-US"/>
        </w:rPr>
        <w:t xml:space="preserve">eting. </w:t>
      </w:r>
      <w:r w:rsidRPr="001A1379">
        <w:rPr>
          <w:noProof/>
          <w:sz w:val="28"/>
          <w:szCs w:val="28"/>
          <w:lang w:val="en-US"/>
        </w:rPr>
        <w:t>–</w:t>
      </w:r>
      <w:r w:rsidRPr="00AD79F7">
        <w:rPr>
          <w:noProof/>
          <w:sz w:val="28"/>
          <w:lang w:val="en-US"/>
        </w:rPr>
        <w:t xml:space="preserve"> 2020. Vol. 13, № 4.</w:t>
      </w:r>
      <w:r w:rsidRPr="002A1218">
        <w:rPr>
          <w:noProof/>
          <w:sz w:val="28"/>
          <w:szCs w:val="28"/>
          <w:lang w:val="en-US"/>
        </w:rPr>
        <w:t xml:space="preserve"> </w:t>
      </w:r>
      <w:r w:rsidRPr="001A1379">
        <w:rPr>
          <w:noProof/>
          <w:sz w:val="28"/>
          <w:szCs w:val="28"/>
          <w:lang w:val="en-US"/>
        </w:rPr>
        <w:t>–</w:t>
      </w:r>
      <w:r w:rsidRPr="00AD79F7">
        <w:rPr>
          <w:noProof/>
          <w:sz w:val="28"/>
          <w:lang w:val="en-US"/>
        </w:rPr>
        <w:t xml:space="preserve"> P. 868–886.</w:t>
      </w:r>
      <w:r w:rsidRPr="00076895">
        <w:rPr>
          <w:noProof/>
          <w:sz w:val="28"/>
          <w:szCs w:val="28"/>
          <w:lang w:val="en-US"/>
        </w:rPr>
        <w:t xml:space="preserve"> </w:t>
      </w:r>
      <w:hyperlink r:id="rId90" w:tooltip="DOI: https://doi.org/10.1108/JIMA-09-2019-0182" w:history="1">
        <w:r w:rsidRPr="003C3CEC">
          <w:rPr>
            <w:color w:val="00292B"/>
            <w:sz w:val="28"/>
            <w:szCs w:val="28"/>
            <w:u w:val="single"/>
            <w:shd w:val="clear" w:color="auto" w:fill="FFFFFF"/>
            <w:lang w:val="en-US"/>
          </w:rPr>
          <w:t>doi.org/10.1108/JIMA-09-2019-0182</w:t>
        </w:r>
      </w:hyperlink>
      <w:r>
        <w:rPr>
          <w:color w:val="00292B"/>
          <w:sz w:val="28"/>
          <w:szCs w:val="28"/>
          <w:u w:val="single"/>
          <w:shd w:val="clear" w:color="auto" w:fill="FFFFFF"/>
          <w:lang w:val="en-US"/>
        </w:rPr>
        <w:t>. 15.02.2021</w:t>
      </w:r>
    </w:p>
    <w:p w14:paraId="31EB7A98" w14:textId="77777777" w:rsidR="0086759A" w:rsidRPr="00BE3F17" w:rsidRDefault="0086759A" w:rsidP="0086759A">
      <w:pPr>
        <w:widowControl w:val="0"/>
        <w:autoSpaceDE w:val="0"/>
        <w:autoSpaceDN w:val="0"/>
        <w:adjustRightInd w:val="0"/>
        <w:jc w:val="both"/>
        <w:rPr>
          <w:noProof/>
          <w:sz w:val="28"/>
          <w:szCs w:val="28"/>
          <w:lang w:val="en-US"/>
        </w:rPr>
      </w:pPr>
      <w:r>
        <w:rPr>
          <w:noProof/>
          <w:sz w:val="28"/>
          <w:lang w:val="en-US"/>
        </w:rPr>
        <w:tab/>
      </w:r>
      <w:r w:rsidRPr="001C63FB">
        <w:rPr>
          <w:noProof/>
          <w:sz w:val="28"/>
          <w:lang w:val="en-US"/>
        </w:rPr>
        <w:t>1</w:t>
      </w:r>
      <w:r>
        <w:rPr>
          <w:noProof/>
          <w:sz w:val="28"/>
          <w:lang w:val="en-US"/>
        </w:rPr>
        <w:t>45</w:t>
      </w:r>
      <w:r>
        <w:rPr>
          <w:noProof/>
          <w:sz w:val="28"/>
          <w:szCs w:val="28"/>
          <w:lang w:val="en-US"/>
        </w:rPr>
        <w:t xml:space="preserve"> </w:t>
      </w:r>
      <w:r w:rsidRPr="00BE3F17">
        <w:rPr>
          <w:noProof/>
          <w:sz w:val="28"/>
          <w:szCs w:val="28"/>
          <w:lang w:val="en-US"/>
        </w:rPr>
        <w:t>CCAF (Cambridge Centre for Alternative Finance. The global alternative finance market benchmarking report. – 2020. – 228 p.</w:t>
      </w:r>
    </w:p>
    <w:p w14:paraId="31CAF89B" w14:textId="77777777" w:rsidR="0086759A" w:rsidRPr="00BE3F17"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BE3F17">
        <w:rPr>
          <w:noProof/>
          <w:sz w:val="28"/>
          <w:szCs w:val="28"/>
          <w:lang w:val="en-US"/>
        </w:rPr>
        <w:t>14</w:t>
      </w:r>
      <w:r>
        <w:rPr>
          <w:noProof/>
          <w:sz w:val="28"/>
          <w:szCs w:val="28"/>
          <w:lang w:val="en-US"/>
        </w:rPr>
        <w:t xml:space="preserve">6 </w:t>
      </w:r>
      <w:r w:rsidRPr="00BE3F17">
        <w:rPr>
          <w:noProof/>
          <w:sz w:val="28"/>
          <w:szCs w:val="28"/>
          <w:lang w:val="en-US"/>
        </w:rPr>
        <w:t xml:space="preserve">Yasar B. The new investment landscape: Equity crowdfunding // Central Bank Review 2021. </w:t>
      </w:r>
    </w:p>
    <w:p w14:paraId="52B00E8D" w14:textId="77777777" w:rsidR="0086759A" w:rsidRDefault="0086759A" w:rsidP="0086759A">
      <w:pPr>
        <w:widowControl w:val="0"/>
        <w:autoSpaceDE w:val="0"/>
        <w:autoSpaceDN w:val="0"/>
        <w:adjustRightInd w:val="0"/>
        <w:ind w:left="640" w:hanging="640"/>
        <w:jc w:val="both"/>
        <w:rPr>
          <w:noProof/>
          <w:sz w:val="28"/>
          <w:szCs w:val="28"/>
          <w:lang w:val="en-US"/>
        </w:rPr>
      </w:pPr>
      <w:r>
        <w:rPr>
          <w:noProof/>
          <w:sz w:val="28"/>
          <w:szCs w:val="28"/>
          <w:lang w:val="en-US"/>
        </w:rPr>
        <w:tab/>
      </w:r>
      <w:r w:rsidRPr="00BE3F17">
        <w:rPr>
          <w:noProof/>
          <w:sz w:val="28"/>
          <w:szCs w:val="28"/>
          <w:lang w:val="en-US"/>
        </w:rPr>
        <w:t>14</w:t>
      </w:r>
      <w:r>
        <w:rPr>
          <w:noProof/>
          <w:sz w:val="28"/>
          <w:szCs w:val="28"/>
          <w:lang w:val="en-US"/>
        </w:rPr>
        <w:t xml:space="preserve">7 </w:t>
      </w:r>
      <w:r w:rsidRPr="00BE3F17">
        <w:rPr>
          <w:noProof/>
          <w:sz w:val="28"/>
          <w:szCs w:val="28"/>
          <w:lang w:val="en-US"/>
        </w:rPr>
        <w:t>Fundly. Crowdfunding 101: Rasing money and awareness online. – 2020.</w:t>
      </w:r>
    </w:p>
    <w:p w14:paraId="472B128F" w14:textId="77777777" w:rsidR="0086759A" w:rsidRPr="002A1218" w:rsidRDefault="0086759A" w:rsidP="0086759A">
      <w:pPr>
        <w:widowControl w:val="0"/>
        <w:autoSpaceDE w:val="0"/>
        <w:autoSpaceDN w:val="0"/>
        <w:adjustRightInd w:val="0"/>
        <w:jc w:val="both"/>
        <w:rPr>
          <w:noProof/>
          <w:sz w:val="28"/>
          <w:lang w:val="en-US"/>
        </w:rPr>
      </w:pPr>
      <w:r>
        <w:rPr>
          <w:noProof/>
          <w:sz w:val="28"/>
          <w:lang w:val="en-US"/>
        </w:rPr>
        <w:tab/>
      </w:r>
      <w:r w:rsidRPr="00AD79F7">
        <w:rPr>
          <w:noProof/>
          <w:sz w:val="28"/>
          <w:lang w:val="en-US"/>
        </w:rPr>
        <w:t>148</w:t>
      </w:r>
      <w:r>
        <w:rPr>
          <w:noProof/>
          <w:sz w:val="28"/>
          <w:lang w:val="en-US"/>
        </w:rPr>
        <w:t xml:space="preserve"> </w:t>
      </w:r>
      <w:r w:rsidRPr="00AD79F7">
        <w:rPr>
          <w:noProof/>
          <w:sz w:val="28"/>
          <w:lang w:val="en-US"/>
        </w:rPr>
        <w:t xml:space="preserve">Kuanova L., Meirmanova A. </w:t>
      </w:r>
      <w:r>
        <w:rPr>
          <w:noProof/>
          <w:sz w:val="28"/>
          <w:lang w:val="en-US"/>
        </w:rPr>
        <w:t>E</w:t>
      </w:r>
      <w:r w:rsidRPr="00AD79F7">
        <w:rPr>
          <w:noProof/>
          <w:sz w:val="28"/>
          <w:lang w:val="en-US"/>
        </w:rPr>
        <w:t xml:space="preserve">valuating the effectiveness of </w:t>
      </w:r>
      <w:r>
        <w:rPr>
          <w:noProof/>
          <w:sz w:val="28"/>
          <w:lang w:val="en-US"/>
        </w:rPr>
        <w:t>I</w:t>
      </w:r>
      <w:r w:rsidRPr="00AD79F7">
        <w:rPr>
          <w:noProof/>
          <w:sz w:val="28"/>
          <w:lang w:val="en-US"/>
        </w:rPr>
        <w:t>slamic finance // Kazakhstan in a Multipolar World : Economic Scenarios. Qazaq Universitei</w:t>
      </w:r>
      <w:r>
        <w:rPr>
          <w:noProof/>
          <w:sz w:val="28"/>
          <w:lang w:val="en-US"/>
        </w:rPr>
        <w:t xml:space="preserve">. Almaty. </w:t>
      </w:r>
      <w:r w:rsidRPr="00BE3F17">
        <w:rPr>
          <w:noProof/>
          <w:sz w:val="28"/>
          <w:szCs w:val="28"/>
          <w:lang w:val="en-US"/>
        </w:rPr>
        <w:t>–</w:t>
      </w:r>
      <w:r w:rsidRPr="00AD79F7">
        <w:rPr>
          <w:noProof/>
          <w:sz w:val="28"/>
          <w:lang w:val="en-US"/>
        </w:rPr>
        <w:t xml:space="preserve"> 2019. </w:t>
      </w:r>
      <w:r w:rsidRPr="00BE3F17">
        <w:rPr>
          <w:noProof/>
          <w:sz w:val="28"/>
          <w:szCs w:val="28"/>
          <w:lang w:val="en-US"/>
        </w:rPr>
        <w:t>–</w:t>
      </w:r>
      <w:r w:rsidRPr="00AD79F7">
        <w:rPr>
          <w:noProof/>
          <w:sz w:val="28"/>
          <w:lang w:val="en-US"/>
        </w:rPr>
        <w:t xml:space="preserve"> P. 338–342.</w:t>
      </w:r>
    </w:p>
    <w:p w14:paraId="5A73E1E6" w14:textId="77777777" w:rsidR="0086759A" w:rsidRPr="00BE3F17" w:rsidRDefault="0086759A" w:rsidP="0086759A">
      <w:pPr>
        <w:widowControl w:val="0"/>
        <w:autoSpaceDE w:val="0"/>
        <w:autoSpaceDN w:val="0"/>
        <w:adjustRightInd w:val="0"/>
        <w:jc w:val="both"/>
        <w:rPr>
          <w:noProof/>
          <w:sz w:val="28"/>
          <w:szCs w:val="28"/>
          <w:lang w:val="en-US"/>
        </w:rPr>
      </w:pPr>
      <w:r>
        <w:rPr>
          <w:noProof/>
          <w:sz w:val="28"/>
          <w:szCs w:val="28"/>
          <w:lang w:val="en-US"/>
        </w:rPr>
        <w:tab/>
      </w:r>
      <w:r w:rsidRPr="00BE3F17">
        <w:rPr>
          <w:noProof/>
          <w:sz w:val="28"/>
          <w:szCs w:val="28"/>
          <w:lang w:val="en-US"/>
        </w:rPr>
        <w:t>14</w:t>
      </w:r>
      <w:r>
        <w:rPr>
          <w:noProof/>
          <w:sz w:val="28"/>
          <w:szCs w:val="28"/>
          <w:lang w:val="en-US"/>
        </w:rPr>
        <w:t xml:space="preserve">9 </w:t>
      </w:r>
      <w:r w:rsidRPr="00BE3F17">
        <w:rPr>
          <w:noProof/>
          <w:sz w:val="28"/>
          <w:szCs w:val="28"/>
          <w:lang w:val="en-US"/>
        </w:rPr>
        <w:t xml:space="preserve">Satpayeva Z.T. State and prospects of development of Kazakhstan innovative infrastructure // </w:t>
      </w:r>
      <w:r w:rsidRPr="00BE3F17">
        <w:rPr>
          <w:sz w:val="28"/>
          <w:szCs w:val="28"/>
          <w:lang w:val="en-US"/>
        </w:rPr>
        <w:t>European Research Studies Journal</w:t>
      </w:r>
      <w:r w:rsidRPr="00BE3F17">
        <w:rPr>
          <w:noProof/>
          <w:sz w:val="28"/>
          <w:szCs w:val="28"/>
          <w:lang w:val="en-US"/>
        </w:rPr>
        <w:t>. – 2017. – Vol. 20, № 2. – P. 123–148.</w:t>
      </w:r>
    </w:p>
    <w:p w14:paraId="2AAE0840" w14:textId="77777777" w:rsidR="0086759A" w:rsidRPr="00656519" w:rsidRDefault="0086759A" w:rsidP="0086759A">
      <w:pPr>
        <w:widowControl w:val="0"/>
        <w:autoSpaceDE w:val="0"/>
        <w:autoSpaceDN w:val="0"/>
        <w:adjustRightInd w:val="0"/>
        <w:ind w:left="640" w:hanging="640"/>
        <w:jc w:val="both"/>
        <w:rPr>
          <w:sz w:val="28"/>
          <w:szCs w:val="28"/>
          <w:lang w:val="en-GB"/>
        </w:rPr>
      </w:pPr>
      <w:r>
        <w:rPr>
          <w:sz w:val="28"/>
          <w:szCs w:val="28"/>
          <w:lang w:val="en-GB"/>
        </w:rPr>
        <w:fldChar w:fldCharType="end"/>
      </w:r>
    </w:p>
    <w:p w14:paraId="717F54F7" w14:textId="77777777" w:rsidR="0086759A" w:rsidRPr="005A34B5" w:rsidRDefault="0086759A" w:rsidP="0086759A">
      <w:pPr>
        <w:rPr>
          <w:lang w:val="en-US"/>
        </w:rPr>
      </w:pPr>
    </w:p>
    <w:p w14:paraId="754A1743" w14:textId="77662F55" w:rsidR="0086759A" w:rsidRDefault="0086759A" w:rsidP="0086759A">
      <w:pPr>
        <w:widowControl w:val="0"/>
        <w:autoSpaceDE w:val="0"/>
        <w:autoSpaceDN w:val="0"/>
        <w:adjustRightInd w:val="0"/>
        <w:ind w:left="640" w:hanging="640"/>
        <w:jc w:val="both"/>
        <w:rPr>
          <w:b/>
          <w:sz w:val="28"/>
          <w:szCs w:val="28"/>
          <w:lang w:val="en-US"/>
        </w:rPr>
      </w:pPr>
    </w:p>
    <w:p w14:paraId="2632D1BB" w14:textId="06A4C489" w:rsidR="0086759A" w:rsidRDefault="0086759A" w:rsidP="0086759A">
      <w:pPr>
        <w:widowControl w:val="0"/>
        <w:autoSpaceDE w:val="0"/>
        <w:autoSpaceDN w:val="0"/>
        <w:adjustRightInd w:val="0"/>
        <w:ind w:left="640" w:hanging="640"/>
        <w:jc w:val="both"/>
        <w:rPr>
          <w:sz w:val="28"/>
          <w:szCs w:val="28"/>
          <w:lang w:val="en-GB"/>
        </w:rPr>
      </w:pPr>
    </w:p>
    <w:p w14:paraId="7A1467D3" w14:textId="7BE0025C" w:rsidR="0086759A" w:rsidRDefault="0086759A" w:rsidP="0086759A">
      <w:pPr>
        <w:widowControl w:val="0"/>
        <w:autoSpaceDE w:val="0"/>
        <w:autoSpaceDN w:val="0"/>
        <w:adjustRightInd w:val="0"/>
        <w:ind w:left="640" w:hanging="640"/>
        <w:jc w:val="both"/>
        <w:rPr>
          <w:sz w:val="28"/>
          <w:szCs w:val="28"/>
          <w:lang w:val="en-GB"/>
        </w:rPr>
      </w:pPr>
    </w:p>
    <w:p w14:paraId="5BC7753D" w14:textId="0DE97BB5" w:rsidR="0086759A" w:rsidRDefault="0086759A" w:rsidP="0086759A">
      <w:pPr>
        <w:widowControl w:val="0"/>
        <w:autoSpaceDE w:val="0"/>
        <w:autoSpaceDN w:val="0"/>
        <w:adjustRightInd w:val="0"/>
        <w:ind w:left="640" w:hanging="640"/>
        <w:jc w:val="both"/>
        <w:rPr>
          <w:sz w:val="28"/>
          <w:szCs w:val="28"/>
          <w:lang w:val="en-GB"/>
        </w:rPr>
      </w:pPr>
    </w:p>
    <w:p w14:paraId="513B7A5D" w14:textId="71D210AF" w:rsidR="0086759A" w:rsidRDefault="0086759A" w:rsidP="0086759A">
      <w:pPr>
        <w:widowControl w:val="0"/>
        <w:autoSpaceDE w:val="0"/>
        <w:autoSpaceDN w:val="0"/>
        <w:adjustRightInd w:val="0"/>
        <w:ind w:left="640" w:hanging="640"/>
        <w:jc w:val="both"/>
        <w:rPr>
          <w:sz w:val="28"/>
          <w:szCs w:val="28"/>
          <w:lang w:val="en-GB"/>
        </w:rPr>
      </w:pPr>
    </w:p>
    <w:p w14:paraId="22D6EDAE" w14:textId="77777777" w:rsidR="0086759A" w:rsidRPr="00656519" w:rsidRDefault="0086759A" w:rsidP="0086759A">
      <w:pPr>
        <w:widowControl w:val="0"/>
        <w:autoSpaceDE w:val="0"/>
        <w:autoSpaceDN w:val="0"/>
        <w:adjustRightInd w:val="0"/>
        <w:ind w:left="640" w:hanging="640"/>
        <w:jc w:val="both"/>
        <w:rPr>
          <w:sz w:val="28"/>
          <w:szCs w:val="28"/>
          <w:lang w:val="en-GB"/>
        </w:rPr>
      </w:pPr>
    </w:p>
    <w:p w14:paraId="22F5D36C" w14:textId="77777777" w:rsidR="00C93A59" w:rsidRPr="005A34B5" w:rsidRDefault="00C93A59" w:rsidP="00C93A59">
      <w:pPr>
        <w:rPr>
          <w:lang w:val="en-US"/>
        </w:rPr>
      </w:pPr>
    </w:p>
    <w:p w14:paraId="1657286E" w14:textId="329F7B0C" w:rsidR="00FB76E6" w:rsidRPr="00D549EE" w:rsidRDefault="00FB76E6" w:rsidP="00FB76E6">
      <w:pPr>
        <w:snapToGrid w:val="0"/>
        <w:contextualSpacing/>
        <w:jc w:val="center"/>
        <w:rPr>
          <w:b/>
          <w:color w:val="000000" w:themeColor="text1"/>
          <w:sz w:val="28"/>
          <w:szCs w:val="28"/>
          <w:lang w:val="en-US"/>
        </w:rPr>
      </w:pPr>
      <w:r w:rsidRPr="00D549EE">
        <w:rPr>
          <w:b/>
          <w:color w:val="000000" w:themeColor="text1"/>
          <w:sz w:val="28"/>
          <w:szCs w:val="28"/>
          <w:lang w:val="en-US"/>
        </w:rPr>
        <w:t xml:space="preserve"> </w:t>
      </w:r>
    </w:p>
    <w:p w14:paraId="66698FD7" w14:textId="0406D019" w:rsidR="00FB76E6" w:rsidRPr="00D549EE" w:rsidRDefault="00FB76E6" w:rsidP="00FB76E6">
      <w:pPr>
        <w:snapToGrid w:val="0"/>
        <w:contextualSpacing/>
        <w:jc w:val="center"/>
        <w:rPr>
          <w:b/>
          <w:color w:val="000000" w:themeColor="text1"/>
          <w:sz w:val="28"/>
          <w:szCs w:val="28"/>
          <w:lang w:val="en-US"/>
        </w:rPr>
      </w:pPr>
    </w:p>
    <w:p w14:paraId="1469F9B8" w14:textId="409DC8E2" w:rsidR="00375289" w:rsidRPr="00D549EE" w:rsidRDefault="00375289" w:rsidP="00FB76E6">
      <w:pPr>
        <w:snapToGrid w:val="0"/>
        <w:contextualSpacing/>
        <w:jc w:val="center"/>
        <w:rPr>
          <w:b/>
          <w:color w:val="000000" w:themeColor="text1"/>
          <w:sz w:val="28"/>
          <w:szCs w:val="28"/>
          <w:lang w:val="en-US"/>
        </w:rPr>
      </w:pPr>
    </w:p>
    <w:p w14:paraId="68D671E1" w14:textId="77777777" w:rsidR="0086759A" w:rsidRPr="00D549EE" w:rsidRDefault="0086759A" w:rsidP="00FB76E6">
      <w:pPr>
        <w:snapToGrid w:val="0"/>
        <w:contextualSpacing/>
        <w:jc w:val="center"/>
        <w:rPr>
          <w:b/>
          <w:color w:val="000000" w:themeColor="text1"/>
          <w:sz w:val="28"/>
          <w:szCs w:val="28"/>
          <w:lang w:val="en-US"/>
        </w:rPr>
      </w:pPr>
    </w:p>
    <w:p w14:paraId="0EE64BDE" w14:textId="306BF47A" w:rsidR="00375289" w:rsidRPr="00D549EE" w:rsidRDefault="00375289" w:rsidP="00FB76E6">
      <w:pPr>
        <w:snapToGrid w:val="0"/>
        <w:contextualSpacing/>
        <w:jc w:val="center"/>
        <w:rPr>
          <w:b/>
          <w:color w:val="000000" w:themeColor="text1"/>
          <w:sz w:val="28"/>
          <w:szCs w:val="28"/>
          <w:lang w:val="en-US"/>
        </w:rPr>
      </w:pPr>
      <w:r w:rsidRPr="00D549EE">
        <w:rPr>
          <w:b/>
          <w:color w:val="000000" w:themeColor="text1"/>
          <w:sz w:val="28"/>
          <w:szCs w:val="28"/>
          <w:lang w:val="en-US"/>
        </w:rPr>
        <w:t>Appendix A</w:t>
      </w:r>
    </w:p>
    <w:p w14:paraId="7B5451D4" w14:textId="2FCB4A73" w:rsidR="00375289" w:rsidRPr="00D549EE" w:rsidRDefault="00375289" w:rsidP="00FB76E6">
      <w:pPr>
        <w:snapToGrid w:val="0"/>
        <w:contextualSpacing/>
        <w:jc w:val="center"/>
        <w:rPr>
          <w:b/>
          <w:color w:val="000000" w:themeColor="text1"/>
          <w:sz w:val="28"/>
          <w:szCs w:val="28"/>
          <w:lang w:val="en-US"/>
        </w:rPr>
      </w:pPr>
      <w:r w:rsidRPr="00D549EE">
        <w:rPr>
          <w:b/>
          <w:noProof/>
          <w:color w:val="000000" w:themeColor="text1"/>
          <w:sz w:val="28"/>
          <w:szCs w:val="28"/>
        </w:rPr>
        <w:drawing>
          <wp:inline distT="0" distB="0" distL="0" distR="0" wp14:anchorId="24F3F299" wp14:editId="4AC9AB0B">
            <wp:extent cx="6116955" cy="8886190"/>
            <wp:effectExtent l="0" t="0" r="4445"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Ume_act.jpeg"/>
                    <pic:cNvPicPr/>
                  </pic:nvPicPr>
                  <pic:blipFill>
                    <a:blip r:embed="rId91">
                      <a:extLst>
                        <a:ext uri="{28A0092B-C50C-407E-A947-70E740481C1C}">
                          <a14:useLocalDpi xmlns:a14="http://schemas.microsoft.com/office/drawing/2010/main" val="0"/>
                        </a:ext>
                      </a:extLst>
                    </a:blip>
                    <a:stretch>
                      <a:fillRect/>
                    </a:stretch>
                  </pic:blipFill>
                  <pic:spPr>
                    <a:xfrm>
                      <a:off x="0" y="0"/>
                      <a:ext cx="6116955" cy="8886190"/>
                    </a:xfrm>
                    <a:prstGeom prst="rect">
                      <a:avLst/>
                    </a:prstGeom>
                  </pic:spPr>
                </pic:pic>
              </a:graphicData>
            </a:graphic>
          </wp:inline>
        </w:drawing>
      </w:r>
    </w:p>
    <w:p w14:paraId="18370820" w14:textId="77777777" w:rsidR="0086759A" w:rsidRDefault="0086759A" w:rsidP="00375289">
      <w:pPr>
        <w:spacing w:line="276" w:lineRule="auto"/>
        <w:contextualSpacing/>
        <w:jc w:val="center"/>
        <w:rPr>
          <w:b/>
          <w:bCs/>
          <w:color w:val="202122"/>
          <w:sz w:val="28"/>
          <w:szCs w:val="28"/>
          <w:shd w:val="clear" w:color="auto" w:fill="FFFFFF"/>
          <w:lang w:val="en-US"/>
        </w:rPr>
      </w:pPr>
    </w:p>
    <w:p w14:paraId="1F4A29F6" w14:textId="2A68F977" w:rsidR="00375289" w:rsidRPr="00D549EE" w:rsidRDefault="00375289" w:rsidP="00375289">
      <w:pPr>
        <w:spacing w:line="276" w:lineRule="auto"/>
        <w:contextualSpacing/>
        <w:jc w:val="center"/>
        <w:rPr>
          <w:b/>
          <w:bCs/>
          <w:color w:val="202122"/>
          <w:sz w:val="28"/>
          <w:szCs w:val="28"/>
          <w:shd w:val="clear" w:color="auto" w:fill="FFFFFF"/>
          <w:lang w:val="en-US"/>
        </w:rPr>
      </w:pPr>
      <w:r w:rsidRPr="00D549EE">
        <w:rPr>
          <w:b/>
          <w:bCs/>
          <w:color w:val="202122"/>
          <w:sz w:val="28"/>
          <w:szCs w:val="28"/>
          <w:shd w:val="clear" w:color="auto" w:fill="FFFFFF"/>
          <w:lang w:val="en-US"/>
        </w:rPr>
        <w:t>Appendix B</w:t>
      </w:r>
    </w:p>
    <w:p w14:paraId="7B388832" w14:textId="77777777" w:rsidR="00375289" w:rsidRPr="00D549EE" w:rsidRDefault="00375289" w:rsidP="00375289">
      <w:pPr>
        <w:spacing w:line="276" w:lineRule="auto"/>
        <w:contextualSpacing/>
        <w:jc w:val="both"/>
        <w:rPr>
          <w:color w:val="000000" w:themeColor="text1"/>
          <w:sz w:val="28"/>
          <w:szCs w:val="28"/>
          <w:lang w:val="en-US"/>
        </w:rPr>
      </w:pPr>
      <w:r w:rsidRPr="00D549EE">
        <w:rPr>
          <w:color w:val="000000" w:themeColor="text1"/>
          <w:sz w:val="28"/>
          <w:szCs w:val="28"/>
          <w:lang w:val="en-US"/>
        </w:rPr>
        <w:t xml:space="preserve">The methodological approach and main findings overview of the selected studies </w:t>
      </w:r>
    </w:p>
    <w:p w14:paraId="42CDF175" w14:textId="77777777" w:rsidR="00375289" w:rsidRPr="00D549EE" w:rsidRDefault="00375289" w:rsidP="00375289">
      <w:pPr>
        <w:spacing w:line="276" w:lineRule="auto"/>
        <w:contextualSpacing/>
        <w:jc w:val="both"/>
        <w:rPr>
          <w:color w:val="000000" w:themeColor="text1"/>
          <w:lang w:val="en-US"/>
        </w:rPr>
      </w:pPr>
    </w:p>
    <w:tbl>
      <w:tblPr>
        <w:tblStyle w:val="a9"/>
        <w:tblW w:w="0" w:type="auto"/>
        <w:tblLook w:val="04A0" w:firstRow="1" w:lastRow="0" w:firstColumn="1" w:lastColumn="0" w:noHBand="0" w:noVBand="1"/>
      </w:tblPr>
      <w:tblGrid>
        <w:gridCol w:w="988"/>
        <w:gridCol w:w="1275"/>
        <w:gridCol w:w="1843"/>
        <w:gridCol w:w="2693"/>
        <w:gridCol w:w="2540"/>
      </w:tblGrid>
      <w:tr w:rsidR="00375289" w:rsidRPr="00D549EE" w14:paraId="1627025C" w14:textId="77777777" w:rsidTr="00375289">
        <w:tc>
          <w:tcPr>
            <w:tcW w:w="988" w:type="dxa"/>
          </w:tcPr>
          <w:p w14:paraId="71B4E2C1"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Amount of research</w:t>
            </w:r>
          </w:p>
        </w:tc>
        <w:tc>
          <w:tcPr>
            <w:tcW w:w="1275" w:type="dxa"/>
          </w:tcPr>
          <w:p w14:paraId="436BEA5E"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Period</w:t>
            </w:r>
          </w:p>
          <w:p w14:paraId="1E0AF37D"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(cited time)</w:t>
            </w:r>
          </w:p>
          <w:p w14:paraId="252BC5FF" w14:textId="77777777" w:rsidR="00375289" w:rsidRPr="00D549EE" w:rsidRDefault="00375289" w:rsidP="00375289">
            <w:pPr>
              <w:contextualSpacing/>
              <w:rPr>
                <w:bCs/>
                <w:color w:val="000000" w:themeColor="text1"/>
                <w:sz w:val="20"/>
                <w:szCs w:val="20"/>
                <w:lang w:val="en-US"/>
              </w:rPr>
            </w:pPr>
          </w:p>
        </w:tc>
        <w:tc>
          <w:tcPr>
            <w:tcW w:w="1843" w:type="dxa"/>
          </w:tcPr>
          <w:p w14:paraId="1B579B56"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Main Study</w:t>
            </w:r>
          </w:p>
        </w:tc>
        <w:tc>
          <w:tcPr>
            <w:tcW w:w="2693" w:type="dxa"/>
          </w:tcPr>
          <w:p w14:paraId="0AEEE19A"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Research methodology</w:t>
            </w:r>
          </w:p>
        </w:tc>
        <w:tc>
          <w:tcPr>
            <w:tcW w:w="2540" w:type="dxa"/>
          </w:tcPr>
          <w:p w14:paraId="09517CA2"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 xml:space="preserve">Main finding </w:t>
            </w:r>
          </w:p>
        </w:tc>
      </w:tr>
      <w:tr w:rsidR="00375289" w:rsidRPr="00FC685D" w14:paraId="16547F7F" w14:textId="77777777" w:rsidTr="00375289">
        <w:tc>
          <w:tcPr>
            <w:tcW w:w="988" w:type="dxa"/>
          </w:tcPr>
          <w:p w14:paraId="71923D0A"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7</w:t>
            </w:r>
          </w:p>
        </w:tc>
        <w:tc>
          <w:tcPr>
            <w:tcW w:w="1275" w:type="dxa"/>
          </w:tcPr>
          <w:p w14:paraId="123C9CA0"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1979-2000</w:t>
            </w:r>
          </w:p>
          <w:p w14:paraId="3A51607F"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(12)</w:t>
            </w:r>
          </w:p>
          <w:p w14:paraId="5EEFAEB8" w14:textId="77777777" w:rsidR="00375289" w:rsidRPr="00D549EE" w:rsidRDefault="00375289" w:rsidP="00375289">
            <w:pPr>
              <w:contextualSpacing/>
              <w:rPr>
                <w:color w:val="000000" w:themeColor="text1"/>
                <w:sz w:val="20"/>
                <w:szCs w:val="20"/>
                <w:lang w:val="en-US"/>
              </w:rPr>
            </w:pPr>
          </w:p>
          <w:p w14:paraId="2C0EA6BB" w14:textId="77777777" w:rsidR="00375289" w:rsidRPr="00D549EE" w:rsidRDefault="00375289" w:rsidP="00375289">
            <w:pPr>
              <w:contextualSpacing/>
              <w:rPr>
                <w:color w:val="000000" w:themeColor="text1"/>
                <w:sz w:val="20"/>
                <w:szCs w:val="20"/>
                <w:lang w:val="en-US"/>
              </w:rPr>
            </w:pPr>
          </w:p>
          <w:p w14:paraId="491F1E43" w14:textId="77777777" w:rsidR="00375289" w:rsidRPr="00D549EE" w:rsidRDefault="00375289" w:rsidP="00375289">
            <w:pPr>
              <w:contextualSpacing/>
              <w:rPr>
                <w:color w:val="000000" w:themeColor="text1"/>
                <w:sz w:val="20"/>
                <w:szCs w:val="20"/>
                <w:lang w:val="en-US"/>
              </w:rPr>
            </w:pPr>
          </w:p>
          <w:p w14:paraId="49D8D15F" w14:textId="77777777" w:rsidR="00375289" w:rsidRPr="00D549EE" w:rsidRDefault="00375289" w:rsidP="00375289">
            <w:pPr>
              <w:contextualSpacing/>
              <w:rPr>
                <w:color w:val="000000" w:themeColor="text1"/>
                <w:sz w:val="20"/>
                <w:szCs w:val="20"/>
                <w:lang w:val="en-US"/>
              </w:rPr>
            </w:pPr>
          </w:p>
          <w:p w14:paraId="1DE50BF8"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(4)</w:t>
            </w:r>
          </w:p>
          <w:p w14:paraId="7708F67E" w14:textId="77777777" w:rsidR="00375289" w:rsidRPr="00D549EE" w:rsidRDefault="00375289" w:rsidP="00375289">
            <w:pPr>
              <w:contextualSpacing/>
              <w:rPr>
                <w:color w:val="000000" w:themeColor="text1"/>
                <w:sz w:val="20"/>
                <w:szCs w:val="20"/>
                <w:lang w:val="en-US"/>
              </w:rPr>
            </w:pPr>
          </w:p>
          <w:p w14:paraId="2DE531F7" w14:textId="77777777" w:rsidR="00375289" w:rsidRPr="00D549EE" w:rsidRDefault="00375289" w:rsidP="00375289">
            <w:pPr>
              <w:contextualSpacing/>
              <w:rPr>
                <w:color w:val="000000" w:themeColor="text1"/>
                <w:sz w:val="20"/>
                <w:szCs w:val="20"/>
                <w:lang w:val="en-US"/>
              </w:rPr>
            </w:pPr>
          </w:p>
          <w:p w14:paraId="4CBAA3AD" w14:textId="77777777" w:rsidR="00375289" w:rsidRPr="00D549EE" w:rsidRDefault="00375289" w:rsidP="00375289">
            <w:pPr>
              <w:contextualSpacing/>
              <w:rPr>
                <w:color w:val="000000" w:themeColor="text1"/>
                <w:sz w:val="20"/>
                <w:szCs w:val="20"/>
                <w:lang w:val="en-US"/>
              </w:rPr>
            </w:pPr>
          </w:p>
          <w:p w14:paraId="2F26009C"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(2)</w:t>
            </w:r>
          </w:p>
          <w:p w14:paraId="5FF23590" w14:textId="77777777" w:rsidR="00375289" w:rsidRPr="00D549EE" w:rsidRDefault="00375289" w:rsidP="00375289">
            <w:pPr>
              <w:contextualSpacing/>
              <w:rPr>
                <w:color w:val="000000" w:themeColor="text1"/>
                <w:sz w:val="20"/>
                <w:szCs w:val="20"/>
                <w:lang w:val="en-US"/>
              </w:rPr>
            </w:pPr>
          </w:p>
        </w:tc>
        <w:tc>
          <w:tcPr>
            <w:tcW w:w="1843" w:type="dxa"/>
          </w:tcPr>
          <w:p w14:paraId="69FDCDCC" w14:textId="77777777" w:rsidR="00375289" w:rsidRPr="00D549EE" w:rsidRDefault="00375289" w:rsidP="00375289">
            <w:pPr>
              <w:contextualSpacing/>
              <w:rPr>
                <w:color w:val="000000" w:themeColor="text1"/>
                <w:sz w:val="20"/>
                <w:szCs w:val="20"/>
                <w:highlight w:val="yellow"/>
                <w:lang w:val="en-US"/>
              </w:rPr>
            </w:pPr>
            <w:r w:rsidRPr="00D549EE">
              <w:rPr>
                <w:color w:val="000000" w:themeColor="text1"/>
                <w:sz w:val="20"/>
                <w:szCs w:val="20"/>
                <w:u w:val="single"/>
                <w:lang w:val="en-US"/>
              </w:rPr>
              <w:fldChar w:fldCharType="begin" w:fldLock="1"/>
            </w:r>
            <w:r w:rsidRPr="00D549EE">
              <w:rPr>
                <w:color w:val="000000" w:themeColor="text1"/>
                <w:sz w:val="20"/>
                <w:szCs w:val="20"/>
                <w:u w:val="single"/>
                <w:lang w:val="en-US"/>
              </w:rPr>
              <w:instrText>ADDIN CSL_CITATION {"citationItems":[{"id":"ITEM-1","itemData":{"DOI":"10.1080/00263208308700535","ISSN":"17437881","author":[{"dropping-particle":"","family":"Kahf","given":"Monzer","non-dropping-particle":"","parse-names":false,"suffix":""},{"dropping-particle":"","family":"Khan","given":"Tariqullah","non-dropping-particle":"","parse-names":false,"suffix":""}],"container-title":"Middle Eastern Studies","id":"ITEM-1","issue":"1","issued":{"date-parts":[["1983"]]},"page":"93-103","title":"Principles of Islamic Economics","type":"article-journal","volume":"19"},"uris":["http://www.mendeley.com/documents/?uuid=f461db53-8278-44c0-9d11-c235b1758f5f"]}],"mendeley":{"formattedCitation":"[84]","plainTextFormattedCitation":"[84]","previouslyFormattedCitation":"[69]"},"properties":{"noteIndex":0},"schema":"https://github.com/citation-style-language/schema/raw/master/csl-citation.json"}</w:instrText>
            </w:r>
            <w:r w:rsidRPr="00D549EE">
              <w:rPr>
                <w:color w:val="000000" w:themeColor="text1"/>
                <w:sz w:val="20"/>
                <w:szCs w:val="20"/>
                <w:u w:val="single"/>
                <w:lang w:val="en-US"/>
              </w:rPr>
              <w:fldChar w:fldCharType="separate"/>
            </w:r>
            <w:r w:rsidRPr="00D549EE">
              <w:rPr>
                <w:noProof/>
                <w:color w:val="000000" w:themeColor="text1"/>
                <w:sz w:val="20"/>
                <w:szCs w:val="20"/>
                <w:lang w:val="en-US"/>
              </w:rPr>
              <w:t>[84]</w:t>
            </w:r>
            <w:r w:rsidRPr="00D549EE">
              <w:rPr>
                <w:color w:val="000000" w:themeColor="text1"/>
                <w:sz w:val="20"/>
                <w:szCs w:val="20"/>
                <w:u w:val="single"/>
                <w:lang w:val="en-US"/>
              </w:rPr>
              <w:fldChar w:fldCharType="end"/>
            </w:r>
          </w:p>
          <w:p w14:paraId="48CCE7F2" w14:textId="77777777" w:rsidR="00375289" w:rsidRPr="00D549EE" w:rsidRDefault="00375289" w:rsidP="00375289">
            <w:pPr>
              <w:contextualSpacing/>
              <w:rPr>
                <w:bCs/>
                <w:color w:val="000000" w:themeColor="text1"/>
                <w:sz w:val="20"/>
                <w:szCs w:val="20"/>
                <w:lang w:val="en-US"/>
              </w:rPr>
            </w:pPr>
          </w:p>
          <w:p w14:paraId="77EB0AC6" w14:textId="77777777" w:rsidR="00375289" w:rsidRPr="00D549EE" w:rsidRDefault="00375289" w:rsidP="00375289">
            <w:pPr>
              <w:contextualSpacing/>
              <w:rPr>
                <w:bCs/>
                <w:color w:val="000000" w:themeColor="text1"/>
                <w:sz w:val="20"/>
                <w:szCs w:val="20"/>
                <w:lang w:val="en-US"/>
              </w:rPr>
            </w:pPr>
          </w:p>
          <w:p w14:paraId="0F09424C" w14:textId="77777777" w:rsidR="00375289" w:rsidRPr="00D549EE" w:rsidRDefault="00375289" w:rsidP="00375289">
            <w:pPr>
              <w:contextualSpacing/>
              <w:rPr>
                <w:bCs/>
                <w:color w:val="000000" w:themeColor="text1"/>
                <w:sz w:val="20"/>
                <w:szCs w:val="20"/>
                <w:lang w:val="en-US"/>
              </w:rPr>
            </w:pPr>
          </w:p>
          <w:p w14:paraId="71411487" w14:textId="77777777" w:rsidR="00375289" w:rsidRPr="00D549EE" w:rsidRDefault="00375289" w:rsidP="00375289">
            <w:pPr>
              <w:contextualSpacing/>
              <w:rPr>
                <w:bCs/>
                <w:color w:val="000000" w:themeColor="text1"/>
                <w:sz w:val="20"/>
                <w:szCs w:val="20"/>
                <w:lang w:val="en-US"/>
              </w:rPr>
            </w:pPr>
          </w:p>
          <w:p w14:paraId="68BD84B6" w14:textId="77777777" w:rsidR="00375289" w:rsidRPr="00D549EE" w:rsidRDefault="00375289" w:rsidP="00375289">
            <w:pPr>
              <w:contextualSpacing/>
              <w:rPr>
                <w:color w:val="000000" w:themeColor="text1"/>
                <w:sz w:val="20"/>
                <w:szCs w:val="20"/>
                <w:highlight w:val="yellow"/>
                <w:lang w:val="en-US"/>
              </w:rPr>
            </w:pPr>
            <w:r w:rsidRPr="00D549EE">
              <w:rPr>
                <w:bCs/>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{"citationItems":[{"id":"ITEM-1","itemData":{"author":[{"dropping-particle":"","family":"Kahf","given":"Monzer","non-dropping-particle":"","parse-names":false,"suffix":""}],"container-title":"IIUM Journal of Economics and Management","id":"ITEM-1","issue":"1","issued":{"date-parts":[["1989"]]},"page":"1-22","title":"Zakah Estimation in some Muslim Countries","type":"article-journal","volume":"2"},"uris":["http://www.mendeley.com/documents/?uuid=2b22dc03-9b1a-4a9c-a8e0-dc0744b63832"]}],"mendeley":{"formattedCitation":"[61]","plainTextFormattedCitation":"[61]","previouslyFormattedCitation":"[66]"},"properties":{"noteIndex":0},"schema":"https://github.com/citation-style-language/schema/raw/master/csl-citation.json"}</w:instrText>
            </w:r>
            <w:r w:rsidRPr="00D549EE">
              <w:rPr>
                <w:bCs/>
                <w:color w:val="000000" w:themeColor="text1"/>
                <w:sz w:val="20"/>
                <w:szCs w:val="20"/>
                <w:lang w:val="en-US"/>
              </w:rPr>
              <w:fldChar w:fldCharType="separate"/>
            </w:r>
            <w:r w:rsidRPr="00D549EE">
              <w:rPr>
                <w:noProof/>
                <w:color w:val="000000" w:themeColor="text1"/>
                <w:sz w:val="20"/>
                <w:szCs w:val="20"/>
                <w:lang w:val="en-US"/>
              </w:rPr>
              <w:t>[61]</w:t>
            </w:r>
            <w:r w:rsidRPr="00D549EE">
              <w:rPr>
                <w:bCs/>
                <w:color w:val="000000" w:themeColor="text1"/>
                <w:sz w:val="20"/>
                <w:szCs w:val="20"/>
                <w:lang w:val="en-US"/>
              </w:rPr>
              <w:fldChar w:fldCharType="end"/>
            </w:r>
            <w:r w:rsidRPr="00D549EE">
              <w:rPr>
                <w:color w:val="000000" w:themeColor="text1"/>
                <w:sz w:val="20"/>
                <w:szCs w:val="20"/>
                <w:highlight w:val="yellow"/>
                <w:lang w:val="en-US"/>
              </w:rPr>
              <w:t xml:space="preserve"> </w:t>
            </w:r>
          </w:p>
          <w:p w14:paraId="49993C1E" w14:textId="77777777" w:rsidR="00375289" w:rsidRPr="00D549EE" w:rsidRDefault="00375289" w:rsidP="00375289">
            <w:pPr>
              <w:contextualSpacing/>
              <w:rPr>
                <w:color w:val="000000" w:themeColor="text1"/>
                <w:sz w:val="20"/>
                <w:szCs w:val="20"/>
                <w:highlight w:val="yellow"/>
                <w:lang w:val="en-US"/>
              </w:rPr>
            </w:pPr>
          </w:p>
          <w:p w14:paraId="16A42A5C" w14:textId="77777777" w:rsidR="00375289" w:rsidRPr="00D549EE" w:rsidRDefault="00375289" w:rsidP="00375289">
            <w:pPr>
              <w:contextualSpacing/>
              <w:rPr>
                <w:color w:val="000000" w:themeColor="text1"/>
                <w:sz w:val="20"/>
                <w:szCs w:val="20"/>
                <w:highlight w:val="yellow"/>
                <w:lang w:val="en-US"/>
              </w:rPr>
            </w:pPr>
          </w:p>
          <w:p w14:paraId="32F9CEA2" w14:textId="77777777" w:rsidR="00375289" w:rsidRPr="00D549EE" w:rsidRDefault="00375289" w:rsidP="00375289">
            <w:pPr>
              <w:contextualSpacing/>
              <w:rPr>
                <w:color w:val="000000" w:themeColor="text1"/>
                <w:sz w:val="20"/>
                <w:szCs w:val="20"/>
                <w:highlight w:val="yellow"/>
                <w:lang w:val="en-US"/>
              </w:rPr>
            </w:pPr>
          </w:p>
          <w:p w14:paraId="3478F412" w14:textId="77777777" w:rsidR="00375289" w:rsidRPr="00D549EE" w:rsidRDefault="00375289" w:rsidP="00375289">
            <w:pPr>
              <w:contextualSpacing/>
              <w:rPr>
                <w:color w:val="000000" w:themeColor="text1"/>
                <w:sz w:val="20"/>
                <w:szCs w:val="20"/>
                <w:highlight w:val="yellow"/>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{"citationItems":[{"id":"ITEM-1","itemData":{"DOI":"/doi.org/10.1177/003776892039001005","author":[{"dropping-particle":"","family":"Carre","given":"Olivier","non-dropping-particle":"","parse-names":false,"suffix":""}],"container-title":"Social Compass","id":"ITEM-1","issue":"1","issued":{"date-parts":[["1992"]]},"page":"55-65","title":"Religion et développement dans les pays musulmans: éléments d'“économie islamique”","type":"article-journal","volume":"39"},"uris":["http://www.mendeley.com/documents/?uuid=6daaeaa5-0a2c-48e7-959d-038a17f8b0fd"]}],"mendeley":{"formattedCitation":"[85]","plainTextFormattedCitation":"[85]","previouslyFormattedCitation":"[38]"},"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[85]</w:t>
            </w:r>
            <w:r w:rsidRPr="00D549EE">
              <w:rPr>
                <w:color w:val="000000" w:themeColor="text1"/>
                <w:sz w:val="20"/>
                <w:szCs w:val="20"/>
                <w:lang w:val="en-US"/>
              </w:rPr>
              <w:fldChar w:fldCharType="end"/>
            </w:r>
          </w:p>
        </w:tc>
        <w:tc>
          <w:tcPr>
            <w:tcW w:w="2693" w:type="dxa"/>
          </w:tcPr>
          <w:p w14:paraId="1F381A80"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Reviewing the literature of the rationalization, explanations and justification of the Islamic Finance</w:t>
            </w:r>
          </w:p>
          <w:p w14:paraId="465D70AC" w14:textId="77777777" w:rsidR="00375289" w:rsidRPr="00D549EE" w:rsidRDefault="00375289" w:rsidP="00375289">
            <w:pPr>
              <w:contextualSpacing/>
              <w:rPr>
                <w:color w:val="000000" w:themeColor="text1"/>
                <w:sz w:val="20"/>
                <w:szCs w:val="20"/>
                <w:lang w:val="en-US"/>
              </w:rPr>
            </w:pPr>
          </w:p>
          <w:p w14:paraId="09B85DF7"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Estimation of Zakat potential (z1, z2, z3) for 8 Muslim countries</w:t>
            </w:r>
          </w:p>
          <w:p w14:paraId="00F97A4B" w14:textId="77777777" w:rsidR="00375289" w:rsidRPr="00D549EE" w:rsidRDefault="00375289" w:rsidP="00375289">
            <w:pPr>
              <w:contextualSpacing/>
              <w:rPr>
                <w:color w:val="000000" w:themeColor="text1"/>
                <w:sz w:val="20"/>
                <w:szCs w:val="20"/>
                <w:lang w:val="en-US"/>
              </w:rPr>
            </w:pPr>
          </w:p>
          <w:p w14:paraId="7DD52D24"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Analysis of Islamic finance as an alternative to Nasserian state economics</w:t>
            </w:r>
          </w:p>
        </w:tc>
        <w:tc>
          <w:tcPr>
            <w:tcW w:w="2540" w:type="dxa"/>
          </w:tcPr>
          <w:p w14:paraId="7631AA1F"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The diversified nature of the Islamic financing principles makes it capable of tacking the numerous financial needs of the society</w:t>
            </w:r>
          </w:p>
          <w:p w14:paraId="6A587027"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 xml:space="preserve">Potential zakat collection amount much higher than real, and can be collected </w:t>
            </w:r>
          </w:p>
          <w:p w14:paraId="5DD382F9"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Identification of the Priority Principles of the Viability of Islamic Finance</w:t>
            </w:r>
          </w:p>
        </w:tc>
      </w:tr>
      <w:tr w:rsidR="00375289" w:rsidRPr="00FC685D" w14:paraId="42B5E54A" w14:textId="77777777" w:rsidTr="00375289">
        <w:tc>
          <w:tcPr>
            <w:tcW w:w="988" w:type="dxa"/>
            <w:tcBorders>
              <w:bottom w:val="single" w:sz="4" w:space="0" w:color="auto"/>
            </w:tcBorders>
          </w:tcPr>
          <w:p w14:paraId="42ABFA56"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5</w:t>
            </w:r>
          </w:p>
        </w:tc>
        <w:tc>
          <w:tcPr>
            <w:tcW w:w="1275" w:type="dxa"/>
            <w:tcBorders>
              <w:bottom w:val="single" w:sz="4" w:space="0" w:color="auto"/>
            </w:tcBorders>
          </w:tcPr>
          <w:p w14:paraId="5AAF8EDB"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2001-2005</w:t>
            </w:r>
          </w:p>
          <w:p w14:paraId="1C084AB1"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(119)</w:t>
            </w:r>
          </w:p>
          <w:p w14:paraId="052627B2" w14:textId="77777777" w:rsidR="00375289" w:rsidRPr="00D549EE" w:rsidRDefault="00375289" w:rsidP="00375289">
            <w:pPr>
              <w:contextualSpacing/>
              <w:rPr>
                <w:color w:val="000000" w:themeColor="text1"/>
                <w:sz w:val="20"/>
                <w:szCs w:val="20"/>
                <w:lang w:val="en-US"/>
              </w:rPr>
            </w:pPr>
          </w:p>
          <w:p w14:paraId="23CD7E67" w14:textId="77777777" w:rsidR="00375289" w:rsidRPr="00D549EE" w:rsidRDefault="00375289" w:rsidP="00375289">
            <w:pPr>
              <w:contextualSpacing/>
              <w:rPr>
                <w:color w:val="000000" w:themeColor="text1"/>
                <w:sz w:val="20"/>
                <w:szCs w:val="20"/>
                <w:lang w:val="en-US"/>
              </w:rPr>
            </w:pPr>
          </w:p>
          <w:p w14:paraId="1D770BBD"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(173)</w:t>
            </w:r>
          </w:p>
          <w:p w14:paraId="7B0A0EB9" w14:textId="77777777" w:rsidR="00375289" w:rsidRPr="00D549EE" w:rsidRDefault="00375289" w:rsidP="00375289">
            <w:pPr>
              <w:contextualSpacing/>
              <w:rPr>
                <w:color w:val="000000" w:themeColor="text1"/>
                <w:sz w:val="20"/>
                <w:szCs w:val="20"/>
                <w:lang w:val="en-US"/>
              </w:rPr>
            </w:pPr>
          </w:p>
          <w:p w14:paraId="4BE3D0D5" w14:textId="77777777" w:rsidR="00375289" w:rsidRPr="00D549EE" w:rsidRDefault="00375289" w:rsidP="00375289">
            <w:pPr>
              <w:contextualSpacing/>
              <w:rPr>
                <w:color w:val="000000" w:themeColor="text1"/>
                <w:sz w:val="20"/>
                <w:szCs w:val="20"/>
                <w:lang w:val="en-US"/>
              </w:rPr>
            </w:pPr>
          </w:p>
          <w:p w14:paraId="7DCF5E81" w14:textId="77777777" w:rsidR="00375289" w:rsidRPr="00D549EE" w:rsidRDefault="00375289" w:rsidP="00375289">
            <w:pPr>
              <w:contextualSpacing/>
              <w:rPr>
                <w:color w:val="000000" w:themeColor="text1"/>
                <w:sz w:val="20"/>
                <w:szCs w:val="20"/>
                <w:lang w:val="en-US"/>
              </w:rPr>
            </w:pPr>
          </w:p>
          <w:p w14:paraId="176986FB"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(70)</w:t>
            </w:r>
          </w:p>
        </w:tc>
        <w:tc>
          <w:tcPr>
            <w:tcW w:w="1843" w:type="dxa"/>
            <w:tcBorders>
              <w:bottom w:val="single" w:sz="4" w:space="0" w:color="auto"/>
            </w:tcBorders>
          </w:tcPr>
          <w:p w14:paraId="466C186F"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{"citationItems":[{"id":"ITEM-1","itemData":{"author":[{"dropping-particle":"","family":"Kuran","given":"Timur","non-dropping-particle":"","parse-names":false,"suffix":""}],"container-title":"The journal of Law and Society Association","id":"ITEM-1","issue":"4","issued":{"date-parts":[["2001"]]},"page":"841-898","title":"The Provision of Public Goods under Islamic Law : Origins , Impact , and Limitations of the Waqf System","type":"article-journal","volume":"35"},"uris":["http://www.mendeley.com/documents/?uuid=b01e68bc-6580-45b5-a5f2-26dedfb84d09"]}],"mendeley":{"formattedCitation":"[78]","plainTextFormattedCitation":"[78]","previouslyFormattedCitation":"[77]"},"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[78]</w:t>
            </w:r>
            <w:r w:rsidRPr="00D549EE">
              <w:rPr>
                <w:color w:val="000000" w:themeColor="text1"/>
                <w:sz w:val="20"/>
                <w:szCs w:val="20"/>
                <w:lang w:val="en-US"/>
              </w:rPr>
              <w:fldChar w:fldCharType="end"/>
            </w:r>
          </w:p>
          <w:p w14:paraId="3BF23E94" w14:textId="77777777" w:rsidR="00375289" w:rsidRPr="00D549EE" w:rsidRDefault="00375289" w:rsidP="00375289">
            <w:pPr>
              <w:contextualSpacing/>
              <w:rPr>
                <w:color w:val="000000" w:themeColor="text1"/>
                <w:sz w:val="20"/>
                <w:szCs w:val="20"/>
                <w:lang w:val="en-US"/>
              </w:rPr>
            </w:pPr>
          </w:p>
          <w:p w14:paraId="57578EF4" w14:textId="77777777" w:rsidR="00375289" w:rsidRPr="00D549EE" w:rsidRDefault="00375289" w:rsidP="00375289">
            <w:pPr>
              <w:contextualSpacing/>
              <w:rPr>
                <w:color w:val="000000" w:themeColor="text1"/>
                <w:sz w:val="20"/>
                <w:szCs w:val="20"/>
                <w:lang w:val="en-US"/>
              </w:rPr>
            </w:pPr>
          </w:p>
          <w:p w14:paraId="551402A7" w14:textId="77777777" w:rsidR="00375289" w:rsidRPr="00D549EE" w:rsidRDefault="00375289" w:rsidP="00375289">
            <w:pPr>
              <w:contextualSpacing/>
              <w:rPr>
                <w:color w:val="000000" w:themeColor="text1"/>
                <w:sz w:val="20"/>
                <w:szCs w:val="20"/>
                <w:lang w:val="en-US"/>
              </w:rPr>
            </w:pPr>
          </w:p>
          <w:p w14:paraId="7BB69C9A"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{"citationItems":[{"id":"ITEM-1","itemData":{"DOI":"10.1257/0895330042162421","ISSN":"08953309","author":[{"dropping-particle":"","family":"Kuran","given":"Timur","non-dropping-particle":"","parse-names":false,"suffix":""}],"container-title":"Journal of Economic Perspectives","id":"ITEM-1","issue":"3","issued":{"date-parts":[["2004"]]},"page":"71-90","title":"Why the Middle East is economically underdeveloped: Historical mechanisms of institutional stagnation","type":"article-journal","volume":"18"},"uris":["http://www.mendeley.com/documents/?uuid=1df986f4-3230-4eed-9f93-7d11e3f98fdb"]}],"mendeley":{"formattedCitation":"[77]","plainTextFormattedCitation":"[77]","previouslyFormattedCitation":"[78]"},"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[77]</w:t>
            </w:r>
            <w:r w:rsidRPr="00D549EE">
              <w:rPr>
                <w:color w:val="000000" w:themeColor="text1"/>
                <w:sz w:val="20"/>
                <w:szCs w:val="20"/>
                <w:lang w:val="en-US"/>
              </w:rPr>
              <w:fldChar w:fldCharType="end"/>
            </w:r>
          </w:p>
          <w:p w14:paraId="27A2BB47" w14:textId="77777777" w:rsidR="00375289" w:rsidRPr="00D549EE" w:rsidRDefault="00375289" w:rsidP="00375289">
            <w:pPr>
              <w:contextualSpacing/>
              <w:rPr>
                <w:color w:val="000000" w:themeColor="text1"/>
                <w:sz w:val="20"/>
                <w:szCs w:val="20"/>
                <w:lang w:val="en-US"/>
              </w:rPr>
            </w:pPr>
          </w:p>
          <w:p w14:paraId="28F76C09" w14:textId="77777777" w:rsidR="00375289" w:rsidRPr="00D549EE" w:rsidRDefault="00375289" w:rsidP="00375289">
            <w:pPr>
              <w:contextualSpacing/>
              <w:rPr>
                <w:color w:val="000000" w:themeColor="text1"/>
                <w:sz w:val="20"/>
                <w:szCs w:val="20"/>
                <w:lang w:val="en-US"/>
              </w:rPr>
            </w:pPr>
          </w:p>
          <w:p w14:paraId="36F8558F" w14:textId="77777777" w:rsidR="00375289" w:rsidRPr="00D549EE" w:rsidRDefault="00375289" w:rsidP="00375289">
            <w:pPr>
              <w:contextualSpacing/>
              <w:rPr>
                <w:color w:val="000000" w:themeColor="text1"/>
                <w:sz w:val="20"/>
                <w:szCs w:val="20"/>
                <w:lang w:val="en-US"/>
              </w:rPr>
            </w:pPr>
          </w:p>
          <w:p w14:paraId="6FF722F1" w14:textId="77777777" w:rsidR="00375289" w:rsidRPr="00D549EE" w:rsidRDefault="00375289" w:rsidP="00375289">
            <w:pPr>
              <w:contextualSpacing/>
              <w:rPr>
                <w:color w:val="000000" w:themeColor="text1"/>
                <w:sz w:val="20"/>
                <w:szCs w:val="20"/>
                <w:highlight w:val="yellow"/>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{"citationItems":[{"id":"ITEM-1","itemData":{"author":[{"dropping-particle":"","family":"Kuran","given":"Timur","non-dropping-particle":"","parse-names":false,"suffix":""}],"container-title":"The American Journal of Comparative Law","id":"ITEM-1","issue":"4","issued":{"date-parts":[["2005"]]},"page":"785-834","title":"The Absence of the Corporation in Islamic Law: Origins and Persistence","type":"article-journal","volume":"53"},"uris":["http://www.mendeley.com/documents/?uuid=ae329a35-c9a3-4b45-8746-357c67cba2cc"]}],"mendeley":{"formattedCitation":"[79]","plainTextFormattedCitation":"[79]","previouslyFormattedCitation":"[79]"},"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[79]</w:t>
            </w:r>
            <w:r w:rsidRPr="00D549EE">
              <w:rPr>
                <w:color w:val="000000" w:themeColor="text1"/>
                <w:sz w:val="20"/>
                <w:szCs w:val="20"/>
                <w:lang w:val="en-US"/>
              </w:rPr>
              <w:fldChar w:fldCharType="end"/>
            </w:r>
          </w:p>
        </w:tc>
        <w:tc>
          <w:tcPr>
            <w:tcW w:w="2693" w:type="dxa"/>
            <w:tcBorders>
              <w:bottom w:val="single" w:sz="4" w:space="0" w:color="auto"/>
            </w:tcBorders>
          </w:tcPr>
          <w:p w14:paraId="77046924"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The historical method of issues analysis of the Waqf system</w:t>
            </w:r>
          </w:p>
          <w:p w14:paraId="7F427200" w14:textId="77777777" w:rsidR="00375289" w:rsidRPr="00D549EE" w:rsidRDefault="00375289" w:rsidP="00375289">
            <w:pPr>
              <w:contextualSpacing/>
              <w:rPr>
                <w:color w:val="000000" w:themeColor="text1"/>
                <w:sz w:val="20"/>
                <w:szCs w:val="20"/>
                <w:lang w:val="en-US"/>
              </w:rPr>
            </w:pPr>
          </w:p>
          <w:p w14:paraId="331C67CE" w14:textId="77777777" w:rsidR="00375289" w:rsidRPr="00D549EE" w:rsidRDefault="00375289" w:rsidP="00375289">
            <w:pPr>
              <w:contextualSpacing/>
              <w:rPr>
                <w:color w:val="000000" w:themeColor="text1"/>
                <w:sz w:val="20"/>
                <w:szCs w:val="20"/>
                <w:lang w:val="en-US"/>
              </w:rPr>
            </w:pPr>
          </w:p>
          <w:p w14:paraId="63C722C6"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 xml:space="preserve">Comparative analysis of the Western and Middle Eastern economic system development over time   </w:t>
            </w:r>
          </w:p>
          <w:p w14:paraId="698DF712"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 xml:space="preserve">Historical description of the shortcomings of Islamic economics: </w:t>
            </w:r>
            <w:r w:rsidRPr="00D549EE">
              <w:rPr>
                <w:rFonts w:ascii="Courier New" w:hAnsi="Courier New" w:cs="Courier New"/>
                <w:color w:val="000000" w:themeColor="text1"/>
                <w:sz w:val="20"/>
                <w:szCs w:val="20"/>
                <w:lang w:val="en-US"/>
              </w:rPr>
              <w:t>﻿</w:t>
            </w:r>
            <w:r w:rsidRPr="00D549EE">
              <w:rPr>
                <w:color w:val="000000" w:themeColor="text1"/>
                <w:sz w:val="20"/>
                <w:szCs w:val="20"/>
                <w:lang w:val="en-US"/>
              </w:rPr>
              <w:t>the Islamic law of commercial partnerships, the Islamic inheritance system, the waqfs system, and the individualism of Islamic law</w:t>
            </w:r>
          </w:p>
        </w:tc>
        <w:tc>
          <w:tcPr>
            <w:tcW w:w="2540" w:type="dxa"/>
            <w:tcBorders>
              <w:bottom w:val="single" w:sz="4" w:space="0" w:color="auto"/>
            </w:tcBorders>
          </w:tcPr>
          <w:p w14:paraId="064C5206"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Developed recommendations for overcoming the challenges in the waqf system</w:t>
            </w:r>
          </w:p>
          <w:p w14:paraId="38F3538C"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Developed recommendations for modernization of economics</w:t>
            </w:r>
          </w:p>
          <w:p w14:paraId="69D8F182"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 xml:space="preserve">The way for modernization of the financial system by westernization  </w:t>
            </w:r>
          </w:p>
        </w:tc>
      </w:tr>
      <w:tr w:rsidR="00375289" w:rsidRPr="00FC685D" w14:paraId="56B3ABF3" w14:textId="77777777" w:rsidTr="00375289">
        <w:tc>
          <w:tcPr>
            <w:tcW w:w="988" w:type="dxa"/>
            <w:tcBorders>
              <w:bottom w:val="dotted" w:sz="4" w:space="0" w:color="auto"/>
            </w:tcBorders>
          </w:tcPr>
          <w:p w14:paraId="572A1249"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12</w:t>
            </w:r>
          </w:p>
        </w:tc>
        <w:tc>
          <w:tcPr>
            <w:tcW w:w="1275" w:type="dxa"/>
            <w:tcBorders>
              <w:bottom w:val="dotted" w:sz="4" w:space="0" w:color="auto"/>
            </w:tcBorders>
          </w:tcPr>
          <w:p w14:paraId="040C6286"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2006-2010</w:t>
            </w:r>
          </w:p>
          <w:p w14:paraId="6A2C66A6"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(6)</w:t>
            </w:r>
          </w:p>
          <w:p w14:paraId="446AE272" w14:textId="77777777" w:rsidR="00375289" w:rsidRPr="00D549EE" w:rsidRDefault="00375289" w:rsidP="00375289">
            <w:pPr>
              <w:contextualSpacing/>
              <w:rPr>
                <w:color w:val="000000" w:themeColor="text1"/>
                <w:sz w:val="20"/>
                <w:szCs w:val="20"/>
                <w:lang w:val="en-US"/>
              </w:rPr>
            </w:pPr>
          </w:p>
          <w:p w14:paraId="537DF7B8" w14:textId="77777777" w:rsidR="00375289" w:rsidRPr="00D549EE" w:rsidRDefault="00375289" w:rsidP="00375289">
            <w:pPr>
              <w:contextualSpacing/>
              <w:rPr>
                <w:color w:val="000000" w:themeColor="text1"/>
                <w:sz w:val="20"/>
                <w:szCs w:val="20"/>
                <w:lang w:val="en-US"/>
              </w:rPr>
            </w:pPr>
          </w:p>
          <w:p w14:paraId="2295328D" w14:textId="77777777" w:rsidR="00375289" w:rsidRPr="00D549EE" w:rsidRDefault="00375289" w:rsidP="00375289">
            <w:pPr>
              <w:contextualSpacing/>
              <w:rPr>
                <w:color w:val="000000" w:themeColor="text1"/>
                <w:sz w:val="20"/>
                <w:szCs w:val="20"/>
                <w:lang w:val="en-US"/>
              </w:rPr>
            </w:pPr>
          </w:p>
          <w:p w14:paraId="50C1037E" w14:textId="77777777" w:rsidR="00375289" w:rsidRPr="00D549EE" w:rsidRDefault="00375289" w:rsidP="00375289">
            <w:pPr>
              <w:contextualSpacing/>
              <w:rPr>
                <w:color w:val="000000" w:themeColor="text1"/>
                <w:sz w:val="20"/>
                <w:szCs w:val="20"/>
                <w:lang w:val="en-US"/>
              </w:rPr>
            </w:pPr>
          </w:p>
          <w:p w14:paraId="17AFE26D" w14:textId="77777777" w:rsidR="00375289" w:rsidRPr="00D549EE" w:rsidRDefault="00375289" w:rsidP="00375289">
            <w:pPr>
              <w:contextualSpacing/>
              <w:rPr>
                <w:color w:val="000000" w:themeColor="text1"/>
                <w:sz w:val="20"/>
                <w:szCs w:val="20"/>
                <w:lang w:val="en-US"/>
              </w:rPr>
            </w:pPr>
          </w:p>
          <w:p w14:paraId="518E276B"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(6)</w:t>
            </w:r>
          </w:p>
          <w:p w14:paraId="558B1A13" w14:textId="77777777" w:rsidR="00375289" w:rsidRPr="00D549EE" w:rsidRDefault="00375289" w:rsidP="00375289">
            <w:pPr>
              <w:contextualSpacing/>
              <w:rPr>
                <w:color w:val="000000" w:themeColor="text1"/>
                <w:sz w:val="20"/>
                <w:szCs w:val="20"/>
                <w:lang w:val="en-US"/>
              </w:rPr>
            </w:pPr>
          </w:p>
          <w:p w14:paraId="54741B73" w14:textId="77777777" w:rsidR="00375289" w:rsidRPr="00D549EE" w:rsidRDefault="00375289" w:rsidP="00375289">
            <w:pPr>
              <w:contextualSpacing/>
              <w:rPr>
                <w:color w:val="000000" w:themeColor="text1"/>
                <w:sz w:val="20"/>
                <w:szCs w:val="20"/>
                <w:lang w:val="en-US"/>
              </w:rPr>
            </w:pPr>
          </w:p>
          <w:p w14:paraId="054DEEBC" w14:textId="77777777" w:rsidR="00375289" w:rsidRPr="00D549EE" w:rsidRDefault="00375289" w:rsidP="00375289">
            <w:pPr>
              <w:contextualSpacing/>
              <w:rPr>
                <w:color w:val="000000" w:themeColor="text1"/>
                <w:sz w:val="20"/>
                <w:szCs w:val="20"/>
                <w:lang w:val="en-US"/>
              </w:rPr>
            </w:pPr>
          </w:p>
          <w:p w14:paraId="19CC619D" w14:textId="77777777" w:rsidR="00375289" w:rsidRPr="00D549EE" w:rsidRDefault="00375289" w:rsidP="00375289">
            <w:pPr>
              <w:contextualSpacing/>
              <w:rPr>
                <w:color w:val="000000" w:themeColor="text1"/>
                <w:sz w:val="20"/>
                <w:szCs w:val="20"/>
                <w:lang w:val="en-US"/>
              </w:rPr>
            </w:pPr>
          </w:p>
          <w:p w14:paraId="50C98A2B" w14:textId="77777777" w:rsidR="00375289" w:rsidRPr="00D549EE" w:rsidRDefault="00375289" w:rsidP="00375289">
            <w:pPr>
              <w:contextualSpacing/>
              <w:rPr>
                <w:color w:val="000000" w:themeColor="text1"/>
                <w:sz w:val="20"/>
                <w:szCs w:val="20"/>
                <w:lang w:val="en-US"/>
              </w:rPr>
            </w:pPr>
          </w:p>
          <w:p w14:paraId="5EC66E0F" w14:textId="77777777" w:rsidR="00375289" w:rsidRPr="00D549EE" w:rsidRDefault="00375289" w:rsidP="00375289">
            <w:pPr>
              <w:contextualSpacing/>
              <w:rPr>
                <w:color w:val="000000" w:themeColor="text1"/>
                <w:sz w:val="20"/>
                <w:szCs w:val="20"/>
                <w:lang w:val="en-US"/>
              </w:rPr>
            </w:pPr>
          </w:p>
          <w:p w14:paraId="7D791880" w14:textId="77777777" w:rsidR="00375289" w:rsidRPr="00D549EE" w:rsidRDefault="00375289" w:rsidP="00375289">
            <w:pPr>
              <w:contextualSpacing/>
              <w:rPr>
                <w:color w:val="000000" w:themeColor="text1"/>
                <w:sz w:val="20"/>
                <w:szCs w:val="20"/>
                <w:lang w:val="en-US"/>
              </w:rPr>
            </w:pPr>
          </w:p>
          <w:p w14:paraId="29ADEBA6" w14:textId="77777777" w:rsidR="00375289" w:rsidRPr="00D549EE" w:rsidRDefault="00375289" w:rsidP="00375289">
            <w:pPr>
              <w:contextualSpacing/>
              <w:rPr>
                <w:color w:val="000000" w:themeColor="text1"/>
                <w:sz w:val="20"/>
                <w:szCs w:val="20"/>
                <w:lang w:val="en-US"/>
              </w:rPr>
            </w:pPr>
          </w:p>
          <w:p w14:paraId="1036109B" w14:textId="77777777" w:rsidR="00375289" w:rsidRPr="00D549EE" w:rsidRDefault="00375289" w:rsidP="00375289">
            <w:pPr>
              <w:contextualSpacing/>
              <w:rPr>
                <w:color w:val="000000" w:themeColor="text1"/>
                <w:sz w:val="20"/>
                <w:szCs w:val="20"/>
                <w:lang w:val="en-US"/>
              </w:rPr>
            </w:pPr>
          </w:p>
          <w:p w14:paraId="0527C0DC"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(43)</w:t>
            </w:r>
          </w:p>
          <w:p w14:paraId="611E7463" w14:textId="77777777" w:rsidR="00375289" w:rsidRPr="00D549EE" w:rsidRDefault="00375289" w:rsidP="00375289">
            <w:pPr>
              <w:contextualSpacing/>
              <w:rPr>
                <w:color w:val="000000" w:themeColor="text1"/>
                <w:sz w:val="20"/>
                <w:szCs w:val="20"/>
                <w:lang w:val="en-US"/>
              </w:rPr>
            </w:pPr>
          </w:p>
          <w:p w14:paraId="6863EA35" w14:textId="77777777" w:rsidR="00375289" w:rsidRPr="00D549EE" w:rsidRDefault="00375289" w:rsidP="00375289">
            <w:pPr>
              <w:contextualSpacing/>
              <w:rPr>
                <w:color w:val="000000" w:themeColor="text1"/>
                <w:sz w:val="20"/>
                <w:szCs w:val="20"/>
                <w:lang w:val="en-US"/>
              </w:rPr>
            </w:pPr>
          </w:p>
          <w:p w14:paraId="5C1CD0D7" w14:textId="77777777" w:rsidR="00375289" w:rsidRPr="00D549EE" w:rsidRDefault="00375289" w:rsidP="00375289">
            <w:pPr>
              <w:contextualSpacing/>
              <w:rPr>
                <w:color w:val="000000" w:themeColor="text1"/>
                <w:sz w:val="20"/>
                <w:szCs w:val="20"/>
                <w:lang w:val="en-US"/>
              </w:rPr>
            </w:pPr>
          </w:p>
          <w:p w14:paraId="58849CEC" w14:textId="77777777" w:rsidR="00375289" w:rsidRPr="00D549EE" w:rsidRDefault="00375289" w:rsidP="00375289">
            <w:pPr>
              <w:contextualSpacing/>
              <w:rPr>
                <w:color w:val="000000" w:themeColor="text1"/>
                <w:sz w:val="20"/>
                <w:szCs w:val="20"/>
                <w:lang w:val="en-US"/>
              </w:rPr>
            </w:pPr>
          </w:p>
          <w:p w14:paraId="7284FB3F"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(9)</w:t>
            </w:r>
          </w:p>
          <w:p w14:paraId="72A7A734" w14:textId="77777777" w:rsidR="00375289" w:rsidRPr="00D549EE" w:rsidRDefault="00375289" w:rsidP="00375289">
            <w:pPr>
              <w:contextualSpacing/>
              <w:rPr>
                <w:color w:val="000000" w:themeColor="text1"/>
                <w:sz w:val="20"/>
                <w:szCs w:val="20"/>
                <w:lang w:val="en-US"/>
              </w:rPr>
            </w:pPr>
          </w:p>
          <w:p w14:paraId="24C677E5" w14:textId="77777777" w:rsidR="00375289" w:rsidRPr="00D549EE" w:rsidRDefault="00375289" w:rsidP="00375289">
            <w:pPr>
              <w:contextualSpacing/>
              <w:rPr>
                <w:color w:val="000000" w:themeColor="text1"/>
                <w:sz w:val="20"/>
                <w:szCs w:val="20"/>
                <w:lang w:val="en-US"/>
              </w:rPr>
            </w:pPr>
          </w:p>
        </w:tc>
        <w:tc>
          <w:tcPr>
            <w:tcW w:w="1843" w:type="dxa"/>
            <w:tcBorders>
              <w:bottom w:val="dotted" w:sz="4" w:space="0" w:color="auto"/>
            </w:tcBorders>
          </w:tcPr>
          <w:p w14:paraId="6CF2455C"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fldChar w:fldCharType="begin" w:fldLock="1"/>
            </w:r>
            <w:r w:rsidRPr="00D549EE">
              <w:rPr>
                <w:bCs/>
                <w:color w:val="000000" w:themeColor="text1"/>
                <w:sz w:val="20"/>
                <w:szCs w:val="20"/>
                <w:lang w:val="en-US"/>
              </w:rPr>
              <w:instrText>ADDIN CSL_CITATION {"citationItems":[{"id":"ITEM-1","itemData":{"ISSN":"1394-7680","abstract":"This paper is an attempt to estimate the resource shortfall and potential zakat collection for poverty elimination in the low-income Muslim countries. The paper estimates the resource shortfall by utilizing the international poverty lines (under USD1 and 2) headcount and poverty gap index estimated by the World Bank. Potential zakat collection has been estimated by utilizing Kahf’s (1989) definitions of zakatable items with some modifications. The paper finds that some of the low-income Muslim countries can meet their resource gap under USD1 international poverty line with potential zakat collection. However, other countries, mostly belonging to Africa, cannot meet their resource shortfall from their potential zakat collection. JEL classification: I38, I32 Key words: Zakat collection, Poverty elimination, Resource shortfall","author":[{"dropping-particle":"","family":"Shirazi","given":"Nasim Shah","non-dropping-particle":"","parse-names":false,"suffix":""}],"container-title":"IIUM Journal of Economics and Management","id":"ITEM-1","issue":"1","issued":{"date-parts":[["2006"]]},"page":"1-28","title":"Providing for the Resource Shortfall for Poverty Elimination Through the Institution of Zakat in Low-Income Muslim Countries","type":"article-journal","volume":"14"},"uris":["http://www.mendeley.com/documents/?uuid=b7101c9d-24fb-44b3-8dec-2e138e5f02a1"]}],"mendeley":{"formattedCitation":"[86]","plainTextFormattedCitation":"[86]","previouslyFormattedCitation":"[124]"},"properties":{"noteIndex":0},"schema":"https://github.com/citation-style-language/schema/raw/master/csl-citation.json"}</w:instrText>
            </w:r>
            <w:r w:rsidRPr="00D549EE">
              <w:rPr>
                <w:bCs/>
                <w:color w:val="000000" w:themeColor="text1"/>
                <w:sz w:val="20"/>
                <w:szCs w:val="20"/>
                <w:lang w:val="en-US"/>
              </w:rPr>
              <w:fldChar w:fldCharType="separate"/>
            </w:r>
            <w:r w:rsidRPr="00D549EE">
              <w:rPr>
                <w:bCs/>
                <w:noProof/>
                <w:color w:val="000000" w:themeColor="text1"/>
                <w:sz w:val="20"/>
                <w:szCs w:val="20"/>
                <w:lang w:val="en-US"/>
              </w:rPr>
              <w:t>[86]</w:t>
            </w:r>
            <w:r w:rsidRPr="00D549EE">
              <w:rPr>
                <w:bCs/>
                <w:color w:val="000000" w:themeColor="text1"/>
                <w:sz w:val="20"/>
                <w:szCs w:val="20"/>
                <w:lang w:val="en-US"/>
              </w:rPr>
              <w:fldChar w:fldCharType="end"/>
            </w:r>
          </w:p>
          <w:p w14:paraId="255BCAF7" w14:textId="77777777" w:rsidR="00375289" w:rsidRPr="00D549EE" w:rsidRDefault="00375289" w:rsidP="00375289">
            <w:pPr>
              <w:contextualSpacing/>
              <w:rPr>
                <w:bCs/>
                <w:color w:val="000000" w:themeColor="text1"/>
                <w:sz w:val="20"/>
                <w:szCs w:val="20"/>
                <w:lang w:val="en-US"/>
              </w:rPr>
            </w:pPr>
          </w:p>
          <w:p w14:paraId="4D8638FA" w14:textId="77777777" w:rsidR="00375289" w:rsidRPr="00D549EE" w:rsidRDefault="00375289" w:rsidP="00375289">
            <w:pPr>
              <w:contextualSpacing/>
              <w:rPr>
                <w:bCs/>
                <w:color w:val="000000" w:themeColor="text1"/>
                <w:sz w:val="20"/>
                <w:szCs w:val="20"/>
                <w:lang w:val="en-US"/>
              </w:rPr>
            </w:pPr>
          </w:p>
          <w:p w14:paraId="3144A118" w14:textId="77777777" w:rsidR="00375289" w:rsidRPr="00D549EE" w:rsidRDefault="00375289" w:rsidP="00375289">
            <w:pPr>
              <w:contextualSpacing/>
              <w:rPr>
                <w:bCs/>
                <w:color w:val="000000" w:themeColor="text1"/>
                <w:sz w:val="20"/>
                <w:szCs w:val="20"/>
                <w:lang w:val="en-US"/>
              </w:rPr>
            </w:pPr>
          </w:p>
          <w:p w14:paraId="30E4DA21" w14:textId="77777777" w:rsidR="00375289" w:rsidRPr="00D549EE" w:rsidRDefault="00375289" w:rsidP="00375289">
            <w:pPr>
              <w:contextualSpacing/>
              <w:rPr>
                <w:bCs/>
                <w:color w:val="000000" w:themeColor="text1"/>
                <w:sz w:val="20"/>
                <w:szCs w:val="20"/>
                <w:lang w:val="en-US"/>
              </w:rPr>
            </w:pPr>
          </w:p>
          <w:p w14:paraId="5690F79B" w14:textId="77777777" w:rsidR="00375289" w:rsidRPr="00D549EE" w:rsidRDefault="00375289" w:rsidP="00375289">
            <w:pPr>
              <w:contextualSpacing/>
              <w:rPr>
                <w:bCs/>
                <w:color w:val="000000" w:themeColor="text1"/>
                <w:sz w:val="20"/>
                <w:szCs w:val="20"/>
                <w:lang w:val="en-US"/>
              </w:rPr>
            </w:pPr>
          </w:p>
          <w:p w14:paraId="1277EA6D"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fldChar w:fldCharType="begin" w:fldLock="1"/>
            </w:r>
            <w:r w:rsidRPr="00D549EE">
              <w:rPr>
                <w:bCs/>
                <w:color w:val="000000" w:themeColor="text1"/>
                <w:sz w:val="20"/>
                <w:szCs w:val="20"/>
                <w:lang w:val="en-US"/>
              </w:rPr>
              <w:instrText>ADDIN CSL_CITATION {"citationItems":[{"id":"ITEM-1","itemData":{"DOI":"10.30541/v48i4iipp.739-754","ISSN":"00309729","abstract":"This paper is the extended and updated version of Shirazi (2006), which covers 38 OIC-member countries. The paper estimates the resource required and potential zakat collection for poverty elimination. The paper employed the poverty gap index based on US $1.25 a day and US $2.0 a day estimated by the World Bank (2009). Zakat potential has been estimated by employing Kahf (1989) method of estimation with some modifications. The paper finds that half of the sample countries not only meet their resource shortfall by potential zakat collection but also generate surplus funds which are sufficient for the resource deficit countries. The paper suggests pooling of zakat funds from the zakat surplus countries and providing for the resource deficit countries to eliminate the poverty.","author":[{"dropping-particle":"","family":"Shirazi","given":"Nasim Shah","non-dropping-particle":"","parse-names":false,"suffix":""},{"dropping-particle":"","family":"Amin","given":"Md Fouad","non-dropping-particle":"Bin","parse-names":false,"suffix":""}],"container-title":"Pakistan Development Review","id":"ITEM-1","issue":"4","issued":{"date-parts":[["2009"]]},"page":"739-753","title":"Poverty elimination through potential zakat collection in the OIC-member countries: Revisited","type":"article-journal","volume":"48"},"uris":["http://www.mendeley.com/documents/?uuid=2ad38256-f6cf-4b3a-872e-0d9b79691f48"]}],"mendeley":{"formattedCitation":"[87]","plainTextFormattedCitation":"[87]","previouslyFormattedCitation":"[125]"},"properties":{"noteIndex":0},"schema":"https://github.com/citation-style-language/schema/raw/master/csl-citation.json"}</w:instrText>
            </w:r>
            <w:r w:rsidRPr="00D549EE">
              <w:rPr>
                <w:bCs/>
                <w:color w:val="000000" w:themeColor="text1"/>
                <w:sz w:val="20"/>
                <w:szCs w:val="20"/>
                <w:lang w:val="en-US"/>
              </w:rPr>
              <w:fldChar w:fldCharType="separate"/>
            </w:r>
            <w:r w:rsidRPr="00D549EE">
              <w:rPr>
                <w:bCs/>
                <w:noProof/>
                <w:color w:val="000000" w:themeColor="text1"/>
                <w:sz w:val="20"/>
                <w:szCs w:val="20"/>
                <w:lang w:val="en-US"/>
              </w:rPr>
              <w:t>[87]</w:t>
            </w:r>
            <w:r w:rsidRPr="00D549EE">
              <w:rPr>
                <w:bCs/>
                <w:color w:val="000000" w:themeColor="text1"/>
                <w:sz w:val="20"/>
                <w:szCs w:val="20"/>
                <w:lang w:val="en-US"/>
              </w:rPr>
              <w:fldChar w:fldCharType="end"/>
            </w:r>
          </w:p>
          <w:p w14:paraId="1D690768" w14:textId="77777777" w:rsidR="00375289" w:rsidRPr="00D549EE" w:rsidRDefault="00375289" w:rsidP="00375289">
            <w:pPr>
              <w:contextualSpacing/>
              <w:rPr>
                <w:color w:val="000000" w:themeColor="text1"/>
                <w:sz w:val="20"/>
                <w:szCs w:val="20"/>
                <w:highlight w:val="yellow"/>
                <w:lang w:val="en-US"/>
              </w:rPr>
            </w:pPr>
          </w:p>
          <w:p w14:paraId="614DCFE9" w14:textId="77777777" w:rsidR="00375289" w:rsidRPr="00D549EE" w:rsidRDefault="00375289" w:rsidP="00375289">
            <w:pPr>
              <w:contextualSpacing/>
              <w:rPr>
                <w:color w:val="000000" w:themeColor="text1"/>
                <w:sz w:val="20"/>
                <w:szCs w:val="20"/>
                <w:highlight w:val="yellow"/>
                <w:lang w:val="en-US"/>
              </w:rPr>
            </w:pPr>
          </w:p>
          <w:p w14:paraId="012E0127" w14:textId="77777777" w:rsidR="00375289" w:rsidRPr="00D549EE" w:rsidRDefault="00375289" w:rsidP="00375289">
            <w:pPr>
              <w:contextualSpacing/>
              <w:rPr>
                <w:color w:val="000000" w:themeColor="text1"/>
                <w:sz w:val="20"/>
                <w:szCs w:val="20"/>
                <w:highlight w:val="yellow"/>
                <w:lang w:val="en-US"/>
              </w:rPr>
            </w:pPr>
          </w:p>
          <w:p w14:paraId="5CEEF109" w14:textId="77777777" w:rsidR="00375289" w:rsidRPr="00D549EE" w:rsidRDefault="00375289" w:rsidP="00375289">
            <w:pPr>
              <w:contextualSpacing/>
              <w:rPr>
                <w:color w:val="000000" w:themeColor="text1"/>
                <w:sz w:val="20"/>
                <w:szCs w:val="20"/>
                <w:highlight w:val="yellow"/>
                <w:lang w:val="en-US"/>
              </w:rPr>
            </w:pPr>
          </w:p>
          <w:p w14:paraId="55A1C521" w14:textId="77777777" w:rsidR="00375289" w:rsidRPr="00D549EE" w:rsidRDefault="00375289" w:rsidP="00375289">
            <w:pPr>
              <w:contextualSpacing/>
              <w:rPr>
                <w:color w:val="000000" w:themeColor="text1"/>
                <w:sz w:val="20"/>
                <w:szCs w:val="20"/>
                <w:highlight w:val="yellow"/>
                <w:lang w:val="en-US"/>
              </w:rPr>
            </w:pPr>
          </w:p>
          <w:p w14:paraId="3A1466A5" w14:textId="77777777" w:rsidR="00375289" w:rsidRPr="00D549EE" w:rsidRDefault="00375289" w:rsidP="00375289">
            <w:pPr>
              <w:contextualSpacing/>
              <w:rPr>
                <w:color w:val="000000" w:themeColor="text1"/>
                <w:sz w:val="20"/>
                <w:szCs w:val="20"/>
                <w:highlight w:val="yellow"/>
                <w:lang w:val="en-US"/>
              </w:rPr>
            </w:pPr>
          </w:p>
          <w:p w14:paraId="3BB291BF" w14:textId="77777777" w:rsidR="00375289" w:rsidRPr="00D549EE" w:rsidRDefault="00375289" w:rsidP="00375289">
            <w:pPr>
              <w:contextualSpacing/>
              <w:rPr>
                <w:color w:val="000000" w:themeColor="text1"/>
                <w:sz w:val="20"/>
                <w:szCs w:val="20"/>
                <w:highlight w:val="yellow"/>
                <w:lang w:val="en-US"/>
              </w:rPr>
            </w:pPr>
          </w:p>
          <w:p w14:paraId="4C8E2301"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{"citationItems":[{"id":"ITEM-1","itemData":{"DOI":"10.1177/0037768608100345","ISBN":"0037768608100","ISSN":"00377686","abstract":"Islam asks the faithful to help the poor. Outlining the ideal type of this religious charity-known as the zakat-the author will analyse these alms as gifts. After identifying those who contribute and those who are eligible, he moves on to the beneficial effects of this solidarity. To assess the social mechanisms by which the community of faith is being built, the author refers throughout the article to the writings of Mauss, Sahlins and Bourdieu as regards gift giving and reciprocity. This analytical input permits him eventually to develop a triadic model of religiously-inspired charity that includes the divine protagonist who asks us to be generous. © 2009 Social Compass.","author":[{"dropping-particle":"","family":"Kochuyt","given":"Thierry","non-dropping-particle":"","parse-names":false,"suffix":""}],"container-title":"Social Compass","id":"ITEM-1","issue":"1","issued":{"date-parts":[["2009"]]},"page":"98-116","title":"God, gifts and poor people: On charity in Islam","type":"article-journal","volume":"56"},"uris":["http://www.mendeley.com/documents/?uuid=c7d47930-09b3-4787-9da6-a7cfe188f100"]}],"mendeley":{"formattedCitation":"[8]","plainTextFormattedCitation":"[8]","previouslyFormattedCitation":"[74]"},"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[8]</w:t>
            </w:r>
            <w:r w:rsidRPr="00D549EE">
              <w:rPr>
                <w:color w:val="000000" w:themeColor="text1"/>
                <w:sz w:val="20"/>
                <w:szCs w:val="20"/>
                <w:lang w:val="en-US"/>
              </w:rPr>
              <w:fldChar w:fldCharType="end"/>
            </w:r>
            <w:r w:rsidRPr="00D549EE">
              <w:rPr>
                <w:color w:val="000000" w:themeColor="text1"/>
                <w:sz w:val="20"/>
                <w:szCs w:val="20"/>
                <w:lang w:val="en-US"/>
              </w:rPr>
              <w:t xml:space="preserve"> </w:t>
            </w:r>
          </w:p>
          <w:p w14:paraId="03E1B64F" w14:textId="77777777" w:rsidR="00375289" w:rsidRPr="00D549EE" w:rsidRDefault="00375289" w:rsidP="00375289">
            <w:pPr>
              <w:contextualSpacing/>
              <w:rPr>
                <w:color w:val="000000" w:themeColor="text1"/>
                <w:sz w:val="20"/>
                <w:szCs w:val="20"/>
                <w:highlight w:val="yellow"/>
                <w:lang w:val="en-US"/>
              </w:rPr>
            </w:pPr>
          </w:p>
          <w:p w14:paraId="051B991E" w14:textId="77777777" w:rsidR="00375289" w:rsidRPr="00D549EE" w:rsidRDefault="00375289" w:rsidP="00375289">
            <w:pPr>
              <w:contextualSpacing/>
              <w:rPr>
                <w:color w:val="000000" w:themeColor="text1"/>
                <w:sz w:val="20"/>
                <w:szCs w:val="20"/>
                <w:highlight w:val="yellow"/>
                <w:lang w:val="en-US"/>
              </w:rPr>
            </w:pPr>
          </w:p>
          <w:p w14:paraId="0ECDD204" w14:textId="77777777" w:rsidR="00375289" w:rsidRPr="00D549EE" w:rsidRDefault="00375289" w:rsidP="00375289">
            <w:pPr>
              <w:contextualSpacing/>
              <w:rPr>
                <w:color w:val="000000" w:themeColor="text1"/>
                <w:sz w:val="20"/>
                <w:szCs w:val="20"/>
                <w:highlight w:val="yellow"/>
                <w:lang w:val="en-US"/>
              </w:rPr>
            </w:pPr>
          </w:p>
          <w:p w14:paraId="08FEAD30" w14:textId="77777777" w:rsidR="00375289" w:rsidRPr="00D549EE" w:rsidRDefault="00375289" w:rsidP="00375289">
            <w:pPr>
              <w:contextualSpacing/>
              <w:rPr>
                <w:color w:val="000000" w:themeColor="text1"/>
                <w:sz w:val="20"/>
                <w:szCs w:val="20"/>
                <w:highlight w:val="yellow"/>
                <w:lang w:val="en-US"/>
              </w:rPr>
            </w:pPr>
          </w:p>
          <w:p w14:paraId="2D46B3B9" w14:textId="77777777" w:rsidR="00375289" w:rsidRPr="00D549EE" w:rsidRDefault="00375289" w:rsidP="00375289">
            <w:pPr>
              <w:contextualSpacing/>
              <w:rPr>
                <w:color w:val="000000" w:themeColor="text1"/>
                <w:sz w:val="20"/>
                <w:szCs w:val="20"/>
                <w:highlight w:val="yellow"/>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doi.org/10.1080/14747731003593315","author":[{"dropping-particle":"","family":"Karim","given":"Wazir","non-dropping-particle":"","parse-names":false,"suffix":""}],"container-title":"Globalizations","id":"ITEM-1","issue":"1-2","issued":{"date-parts":[["2010"]]},"page":"105-125","title":"The Economic Crisis, Capitalism and Islam: The Making of a New Economic Order?","type":"article-journal","volume":"7"},"uris":["http://www.mendeley.com/documents/?uuid=5a5b99dc-d275-43bd-be59-d57383b50837"]}],"mendeley":{"formattedCitation":"[88]","plainTextFormattedCitation":"[88]","previouslyFormattedCitation":"[71]"},"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[88]</w:t>
            </w:r>
            <w:r w:rsidRPr="00D549EE">
              <w:rPr>
                <w:color w:val="000000" w:themeColor="text1"/>
                <w:sz w:val="20"/>
                <w:szCs w:val="20"/>
                <w:lang w:val="en-US"/>
              </w:rPr>
              <w:fldChar w:fldCharType="end"/>
            </w:r>
          </w:p>
        </w:tc>
        <w:tc>
          <w:tcPr>
            <w:tcW w:w="2693" w:type="dxa"/>
            <w:tcBorders>
              <w:bottom w:val="dotted" w:sz="4" w:space="0" w:color="auto"/>
            </w:tcBorders>
          </w:tcPr>
          <w:p w14:paraId="0C699D45"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Estimation of the resource shortfalls and Zakat potential collection for poverty elimination in 18 low-income Muslim countries</w:t>
            </w:r>
          </w:p>
          <w:p w14:paraId="4AC32A78" w14:textId="77777777" w:rsidR="00375289" w:rsidRPr="00D549EE" w:rsidRDefault="00375289" w:rsidP="00375289">
            <w:pPr>
              <w:contextualSpacing/>
              <w:rPr>
                <w:color w:val="000000" w:themeColor="text1"/>
                <w:sz w:val="20"/>
                <w:szCs w:val="20"/>
                <w:lang w:val="en-US"/>
              </w:rPr>
            </w:pPr>
          </w:p>
          <w:p w14:paraId="3C412598" w14:textId="77777777" w:rsidR="00375289" w:rsidRPr="00D549EE" w:rsidRDefault="00375289" w:rsidP="00375289">
            <w:pPr>
              <w:contextualSpacing/>
              <w:rPr>
                <w:color w:val="000000" w:themeColor="text1"/>
                <w:sz w:val="20"/>
                <w:szCs w:val="20"/>
                <w:lang w:val="en-US"/>
              </w:rPr>
            </w:pPr>
          </w:p>
          <w:p w14:paraId="2A4C168E"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Estimate resource shortfall and potential Zakat collection for poverty elimination in 38 OIC-member countries</w:t>
            </w:r>
          </w:p>
          <w:p w14:paraId="440A135D" w14:textId="77777777" w:rsidR="00375289" w:rsidRPr="00D549EE" w:rsidRDefault="00375289" w:rsidP="00375289">
            <w:pPr>
              <w:contextualSpacing/>
              <w:rPr>
                <w:color w:val="000000" w:themeColor="text1"/>
                <w:sz w:val="20"/>
                <w:szCs w:val="20"/>
                <w:lang w:val="en-US"/>
              </w:rPr>
            </w:pPr>
          </w:p>
          <w:p w14:paraId="51959F17" w14:textId="77777777" w:rsidR="00375289" w:rsidRPr="00D549EE" w:rsidRDefault="00375289" w:rsidP="00375289">
            <w:pPr>
              <w:contextualSpacing/>
              <w:rPr>
                <w:color w:val="000000" w:themeColor="text1"/>
                <w:sz w:val="20"/>
                <w:szCs w:val="20"/>
                <w:lang w:val="en-US"/>
              </w:rPr>
            </w:pPr>
          </w:p>
          <w:p w14:paraId="74051A0E" w14:textId="77777777" w:rsidR="00375289" w:rsidRPr="00D549EE" w:rsidRDefault="00375289" w:rsidP="00375289">
            <w:pPr>
              <w:contextualSpacing/>
              <w:rPr>
                <w:color w:val="000000" w:themeColor="text1"/>
                <w:sz w:val="20"/>
                <w:szCs w:val="20"/>
                <w:lang w:val="en-US"/>
              </w:rPr>
            </w:pPr>
          </w:p>
          <w:p w14:paraId="02C59016" w14:textId="77777777" w:rsidR="00375289" w:rsidRPr="00D549EE" w:rsidRDefault="00375289" w:rsidP="00375289">
            <w:pPr>
              <w:contextualSpacing/>
              <w:rPr>
                <w:color w:val="000000" w:themeColor="text1"/>
                <w:sz w:val="20"/>
                <w:szCs w:val="20"/>
                <w:lang w:val="en-US"/>
              </w:rPr>
            </w:pPr>
          </w:p>
          <w:p w14:paraId="70355F5A" w14:textId="77777777" w:rsidR="00375289" w:rsidRPr="00D549EE" w:rsidRDefault="00375289" w:rsidP="00375289">
            <w:pPr>
              <w:contextualSpacing/>
              <w:rPr>
                <w:color w:val="000000" w:themeColor="text1"/>
                <w:sz w:val="20"/>
                <w:szCs w:val="20"/>
                <w:lang w:val="en-US"/>
              </w:rPr>
            </w:pPr>
          </w:p>
          <w:p w14:paraId="4A97E4DA" w14:textId="77777777" w:rsidR="00375289" w:rsidRPr="00D549EE" w:rsidRDefault="00375289" w:rsidP="00375289">
            <w:pPr>
              <w:contextualSpacing/>
              <w:rPr>
                <w:color w:val="000000" w:themeColor="text1"/>
                <w:sz w:val="20"/>
                <w:szCs w:val="20"/>
                <w:lang w:val="en-US"/>
              </w:rPr>
            </w:pPr>
          </w:p>
          <w:p w14:paraId="403351FE"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 xml:space="preserve">Analytical review of the studies of Mauss, Sahlins and Bourdieu </w:t>
            </w:r>
          </w:p>
          <w:p w14:paraId="0BDD4C1A" w14:textId="77777777" w:rsidR="00375289" w:rsidRPr="00D549EE" w:rsidRDefault="00375289" w:rsidP="00375289">
            <w:pPr>
              <w:rPr>
                <w:color w:val="000000" w:themeColor="text1"/>
                <w:sz w:val="20"/>
                <w:szCs w:val="20"/>
                <w:lang w:val="en-US"/>
              </w:rPr>
            </w:pPr>
          </w:p>
          <w:p w14:paraId="43BD3838" w14:textId="77777777" w:rsidR="00375289" w:rsidRPr="00D549EE" w:rsidRDefault="00375289" w:rsidP="00375289">
            <w:pPr>
              <w:rPr>
                <w:color w:val="000000" w:themeColor="text1"/>
                <w:sz w:val="20"/>
                <w:szCs w:val="20"/>
                <w:lang w:val="en-US"/>
              </w:rPr>
            </w:pPr>
            <w:r w:rsidRPr="00D549EE">
              <w:rPr>
                <w:color w:val="000000" w:themeColor="text1"/>
                <w:sz w:val="20"/>
                <w:szCs w:val="20"/>
                <w:lang w:val="en-US"/>
              </w:rPr>
              <w:t>Analytical approach to the growth of Syariah-compliant finance in Malaysia, Brunei and the MENA region</w:t>
            </w:r>
          </w:p>
          <w:p w14:paraId="4D228DB7" w14:textId="77777777" w:rsidR="00375289" w:rsidRPr="00D549EE" w:rsidRDefault="00375289" w:rsidP="00375289">
            <w:pPr>
              <w:contextualSpacing/>
              <w:rPr>
                <w:color w:val="000000" w:themeColor="text1"/>
                <w:sz w:val="20"/>
                <w:szCs w:val="20"/>
                <w:lang w:val="en-US"/>
              </w:rPr>
            </w:pPr>
          </w:p>
        </w:tc>
        <w:tc>
          <w:tcPr>
            <w:tcW w:w="2540" w:type="dxa"/>
            <w:tcBorders>
              <w:bottom w:val="dotted" w:sz="4" w:space="0" w:color="auto"/>
            </w:tcBorders>
          </w:tcPr>
          <w:p w14:paraId="41A3895C" w14:textId="77777777" w:rsidR="00375289" w:rsidRPr="00D549EE" w:rsidRDefault="00375289" w:rsidP="00375289">
            <w:pPr>
              <w:contextualSpacing/>
              <w:rPr>
                <w:color w:val="000000" w:themeColor="text1"/>
                <w:sz w:val="20"/>
                <w:szCs w:val="20"/>
                <w:lang w:val="en-US"/>
              </w:rPr>
            </w:pPr>
            <w:r w:rsidRPr="00D549EE">
              <w:rPr>
                <w:rFonts w:ascii="Courier New" w:hAnsi="Courier New" w:cs="Courier New"/>
                <w:color w:val="000000" w:themeColor="text1"/>
                <w:sz w:val="20"/>
                <w:szCs w:val="20"/>
                <w:lang w:val="en-US"/>
              </w:rPr>
              <w:t>﻿</w:t>
            </w:r>
            <w:r w:rsidRPr="00D549EE">
              <w:rPr>
                <w:color w:val="000000" w:themeColor="text1"/>
                <w:sz w:val="20"/>
                <w:szCs w:val="20"/>
                <w:lang w:val="en-US"/>
              </w:rPr>
              <w:t xml:space="preserve">The resource shortfalls in the poorest countries </w:t>
            </w:r>
            <w:r w:rsidRPr="00D549EE">
              <w:rPr>
                <w:rFonts w:ascii="Courier New" w:hAnsi="Courier New" w:cs="Courier New"/>
                <w:color w:val="000000" w:themeColor="text1"/>
                <w:sz w:val="20"/>
                <w:szCs w:val="20"/>
                <w:lang w:val="en-US"/>
              </w:rPr>
              <w:t>﻿</w:t>
            </w:r>
            <w:r w:rsidRPr="00D549EE">
              <w:rPr>
                <w:color w:val="000000" w:themeColor="text1"/>
                <w:sz w:val="20"/>
                <w:szCs w:val="20"/>
                <w:lang w:val="en-US"/>
              </w:rPr>
              <w:t>cannot be covered by any potential Z estimates, in selected countries can be covered from Z1, and for others from Z2 collection.</w:t>
            </w:r>
          </w:p>
          <w:p w14:paraId="39D96D22" w14:textId="77777777" w:rsidR="00375289" w:rsidRPr="00D549EE" w:rsidRDefault="00375289" w:rsidP="00375289">
            <w:pPr>
              <w:contextualSpacing/>
              <w:rPr>
                <w:color w:val="000000" w:themeColor="text1"/>
                <w:sz w:val="20"/>
                <w:szCs w:val="20"/>
                <w:lang w:val="en-US"/>
              </w:rPr>
            </w:pPr>
            <w:r w:rsidRPr="00D549EE">
              <w:rPr>
                <w:rFonts w:ascii="Courier New" w:hAnsi="Courier New" w:cs="Courier New"/>
                <w:color w:val="000000" w:themeColor="text1"/>
                <w:sz w:val="20"/>
                <w:szCs w:val="20"/>
                <w:lang w:val="en-US"/>
              </w:rPr>
              <w:t>﻿</w:t>
            </w:r>
            <w:r w:rsidRPr="00D549EE">
              <w:rPr>
                <w:color w:val="000000" w:themeColor="text1"/>
                <w:sz w:val="20"/>
                <w:szCs w:val="20"/>
                <w:lang w:val="en-US"/>
              </w:rPr>
              <w:t>15 countries of 38 require less than 1%, 7 countries require 1-3% from GDP, 16 countries need 5.20% of GDP for poverty elimination. Potential Z collection cannot be enough for poverty reducing in the last 16 poorest countries, as Z3 is 4.31.</w:t>
            </w:r>
          </w:p>
          <w:p w14:paraId="653C7B9B"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Development a triadic model of religiously-inspired charity</w:t>
            </w:r>
          </w:p>
          <w:p w14:paraId="5C5EC35F" w14:textId="77777777" w:rsidR="00375289" w:rsidRPr="00D549EE" w:rsidRDefault="00375289" w:rsidP="00375289">
            <w:pPr>
              <w:contextualSpacing/>
              <w:rPr>
                <w:color w:val="000000" w:themeColor="text1"/>
                <w:sz w:val="20"/>
                <w:szCs w:val="20"/>
                <w:lang w:val="en-US"/>
              </w:rPr>
            </w:pPr>
          </w:p>
          <w:p w14:paraId="747C1161" w14:textId="0E65056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Identification of the absence of connection between moral regulation in Islamic finance an</w:t>
            </w:r>
            <w:r w:rsidR="00FC685D">
              <w:rPr>
                <w:color w:val="000000" w:themeColor="text1"/>
                <w:sz w:val="20"/>
                <w:szCs w:val="20"/>
                <w:lang w:val="en-US"/>
              </w:rPr>
              <w:t>d systems of welfare capitalism</w:t>
            </w:r>
          </w:p>
        </w:tc>
      </w:tr>
    </w:tbl>
    <w:p w14:paraId="6D104C33" w14:textId="77777777" w:rsidR="00375289" w:rsidRPr="00287ACF" w:rsidRDefault="00375289">
      <w:pPr>
        <w:rPr>
          <w:lang w:val="en-US"/>
        </w:rPr>
      </w:pPr>
    </w:p>
    <w:tbl>
      <w:tblPr>
        <w:tblStyle w:val="a9"/>
        <w:tblW w:w="0" w:type="auto"/>
        <w:tblLook w:val="04A0" w:firstRow="1" w:lastRow="0" w:firstColumn="1" w:lastColumn="0" w:noHBand="0" w:noVBand="1"/>
      </w:tblPr>
      <w:tblGrid>
        <w:gridCol w:w="988"/>
        <w:gridCol w:w="1275"/>
        <w:gridCol w:w="1843"/>
        <w:gridCol w:w="2693"/>
        <w:gridCol w:w="2540"/>
      </w:tblGrid>
      <w:tr w:rsidR="00375289" w:rsidRPr="00D549EE" w14:paraId="094DF3EF" w14:textId="77777777" w:rsidTr="00375289">
        <w:tc>
          <w:tcPr>
            <w:tcW w:w="988" w:type="dxa"/>
          </w:tcPr>
          <w:p w14:paraId="2B360DF6" w14:textId="15E42765" w:rsidR="00375289" w:rsidRPr="00D549EE" w:rsidRDefault="00AA2938" w:rsidP="00375289">
            <w:pPr>
              <w:contextualSpacing/>
              <w:rPr>
                <w:bCs/>
                <w:color w:val="000000" w:themeColor="text1"/>
                <w:sz w:val="20"/>
                <w:szCs w:val="20"/>
                <w:lang w:val="en-US"/>
              </w:rPr>
            </w:pPr>
            <w:r w:rsidRPr="00D549EE">
              <w:rPr>
                <w:bCs/>
                <w:color w:val="000000" w:themeColor="text1"/>
                <w:sz w:val="20"/>
                <w:szCs w:val="20"/>
                <w:lang w:val="en-US"/>
              </w:rPr>
              <w:t>1</w:t>
            </w:r>
          </w:p>
        </w:tc>
        <w:tc>
          <w:tcPr>
            <w:tcW w:w="1275" w:type="dxa"/>
          </w:tcPr>
          <w:p w14:paraId="53C2723A" w14:textId="6CC802BD" w:rsidR="00375289" w:rsidRPr="00D549EE" w:rsidRDefault="00AA2938" w:rsidP="00375289">
            <w:pPr>
              <w:contextualSpacing/>
              <w:rPr>
                <w:color w:val="000000" w:themeColor="text1"/>
                <w:sz w:val="20"/>
                <w:szCs w:val="20"/>
                <w:lang w:val="en-US"/>
              </w:rPr>
            </w:pPr>
            <w:r w:rsidRPr="00D549EE">
              <w:rPr>
                <w:color w:val="000000" w:themeColor="text1"/>
                <w:sz w:val="20"/>
                <w:szCs w:val="20"/>
                <w:lang w:val="en-US"/>
              </w:rPr>
              <w:t>2</w:t>
            </w:r>
          </w:p>
        </w:tc>
        <w:tc>
          <w:tcPr>
            <w:tcW w:w="1843" w:type="dxa"/>
          </w:tcPr>
          <w:p w14:paraId="65A50F6F" w14:textId="501DFD94" w:rsidR="00375289" w:rsidRPr="00D549EE" w:rsidRDefault="00AA2938" w:rsidP="00375289">
            <w:pPr>
              <w:contextualSpacing/>
              <w:rPr>
                <w:color w:val="000000" w:themeColor="text1"/>
                <w:sz w:val="20"/>
                <w:szCs w:val="20"/>
                <w:lang w:val="en-US"/>
              </w:rPr>
            </w:pPr>
            <w:r w:rsidRPr="00D549EE">
              <w:rPr>
                <w:color w:val="000000" w:themeColor="text1"/>
                <w:sz w:val="20"/>
                <w:szCs w:val="20"/>
                <w:lang w:val="en-US"/>
              </w:rPr>
              <w:t>3</w:t>
            </w:r>
          </w:p>
        </w:tc>
        <w:tc>
          <w:tcPr>
            <w:tcW w:w="2693" w:type="dxa"/>
          </w:tcPr>
          <w:p w14:paraId="084DF28A" w14:textId="2995E66B" w:rsidR="00375289" w:rsidRPr="00D549EE" w:rsidRDefault="00AA2938" w:rsidP="00375289">
            <w:pPr>
              <w:contextualSpacing/>
              <w:rPr>
                <w:color w:val="000000" w:themeColor="text1"/>
                <w:sz w:val="20"/>
                <w:szCs w:val="20"/>
                <w:lang w:val="en-US"/>
              </w:rPr>
            </w:pPr>
            <w:r w:rsidRPr="00D549EE">
              <w:rPr>
                <w:color w:val="000000" w:themeColor="text1"/>
                <w:sz w:val="20"/>
                <w:szCs w:val="20"/>
                <w:lang w:val="en-US"/>
              </w:rPr>
              <w:t>4</w:t>
            </w:r>
          </w:p>
        </w:tc>
        <w:tc>
          <w:tcPr>
            <w:tcW w:w="2540" w:type="dxa"/>
          </w:tcPr>
          <w:p w14:paraId="315E4A1C" w14:textId="76B54D91" w:rsidR="00375289" w:rsidRPr="00D549EE" w:rsidRDefault="00AA2938" w:rsidP="00375289">
            <w:pPr>
              <w:contextualSpacing/>
              <w:rPr>
                <w:color w:val="000000" w:themeColor="text1"/>
                <w:sz w:val="20"/>
                <w:szCs w:val="20"/>
                <w:lang w:val="en-US"/>
              </w:rPr>
            </w:pPr>
            <w:r w:rsidRPr="00D549EE">
              <w:rPr>
                <w:color w:val="000000" w:themeColor="text1"/>
                <w:sz w:val="20"/>
                <w:szCs w:val="20"/>
                <w:lang w:val="en-US"/>
              </w:rPr>
              <w:t>5</w:t>
            </w:r>
          </w:p>
        </w:tc>
      </w:tr>
      <w:tr w:rsidR="00375289" w:rsidRPr="00FC685D" w14:paraId="3E9C71EF" w14:textId="77777777" w:rsidTr="00375289">
        <w:tc>
          <w:tcPr>
            <w:tcW w:w="988" w:type="dxa"/>
          </w:tcPr>
          <w:p w14:paraId="45D870E7"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54</w:t>
            </w:r>
          </w:p>
        </w:tc>
        <w:tc>
          <w:tcPr>
            <w:tcW w:w="1275" w:type="dxa"/>
          </w:tcPr>
          <w:p w14:paraId="1B702FC7"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2011-2015</w:t>
            </w:r>
          </w:p>
          <w:p w14:paraId="39E5A150"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(37)</w:t>
            </w:r>
          </w:p>
          <w:p w14:paraId="396A407F" w14:textId="77777777" w:rsidR="00375289" w:rsidRPr="00D549EE" w:rsidRDefault="00375289" w:rsidP="00375289">
            <w:pPr>
              <w:contextualSpacing/>
              <w:rPr>
                <w:color w:val="000000" w:themeColor="text1"/>
                <w:sz w:val="20"/>
                <w:szCs w:val="20"/>
                <w:lang w:val="en-US"/>
              </w:rPr>
            </w:pPr>
          </w:p>
          <w:p w14:paraId="3C391816" w14:textId="77777777" w:rsidR="00375289" w:rsidRPr="00D549EE" w:rsidRDefault="00375289" w:rsidP="00375289">
            <w:pPr>
              <w:contextualSpacing/>
              <w:rPr>
                <w:color w:val="000000" w:themeColor="text1"/>
                <w:sz w:val="20"/>
                <w:szCs w:val="20"/>
                <w:lang w:val="en-US"/>
              </w:rPr>
            </w:pPr>
          </w:p>
          <w:p w14:paraId="755DD68F" w14:textId="77777777" w:rsidR="00375289" w:rsidRPr="00D549EE" w:rsidRDefault="00375289" w:rsidP="00375289">
            <w:pPr>
              <w:contextualSpacing/>
              <w:rPr>
                <w:color w:val="000000" w:themeColor="text1"/>
                <w:sz w:val="20"/>
                <w:szCs w:val="20"/>
                <w:lang w:val="en-US"/>
              </w:rPr>
            </w:pPr>
          </w:p>
          <w:p w14:paraId="2BFD3299"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(36)</w:t>
            </w:r>
          </w:p>
          <w:p w14:paraId="2B8ADACB" w14:textId="77777777" w:rsidR="00375289" w:rsidRPr="00D549EE" w:rsidRDefault="00375289" w:rsidP="00375289">
            <w:pPr>
              <w:contextualSpacing/>
              <w:rPr>
                <w:color w:val="000000" w:themeColor="text1"/>
                <w:sz w:val="20"/>
                <w:szCs w:val="20"/>
                <w:lang w:val="en-US"/>
              </w:rPr>
            </w:pPr>
          </w:p>
          <w:p w14:paraId="08F874F7" w14:textId="77777777" w:rsidR="00375289" w:rsidRPr="00D549EE" w:rsidRDefault="00375289" w:rsidP="00375289">
            <w:pPr>
              <w:contextualSpacing/>
              <w:rPr>
                <w:color w:val="000000" w:themeColor="text1"/>
                <w:sz w:val="20"/>
                <w:szCs w:val="20"/>
                <w:lang w:val="en-US"/>
              </w:rPr>
            </w:pPr>
          </w:p>
          <w:p w14:paraId="3EABEBB1" w14:textId="77777777" w:rsidR="00375289" w:rsidRPr="00D549EE" w:rsidRDefault="00375289" w:rsidP="00375289">
            <w:pPr>
              <w:contextualSpacing/>
              <w:rPr>
                <w:color w:val="000000" w:themeColor="text1"/>
                <w:sz w:val="20"/>
                <w:szCs w:val="20"/>
                <w:lang w:val="en-US"/>
              </w:rPr>
            </w:pPr>
          </w:p>
          <w:p w14:paraId="647DB579" w14:textId="77777777" w:rsidR="00375289" w:rsidRPr="00D549EE" w:rsidRDefault="00375289" w:rsidP="00375289">
            <w:pPr>
              <w:contextualSpacing/>
              <w:rPr>
                <w:color w:val="000000" w:themeColor="text1"/>
                <w:sz w:val="20"/>
                <w:szCs w:val="20"/>
                <w:lang w:val="en-US"/>
              </w:rPr>
            </w:pPr>
          </w:p>
          <w:p w14:paraId="45A7CA6F" w14:textId="77777777" w:rsidR="00375289" w:rsidRPr="00D549EE" w:rsidRDefault="00375289" w:rsidP="00375289">
            <w:pPr>
              <w:contextualSpacing/>
              <w:rPr>
                <w:color w:val="000000" w:themeColor="text1"/>
                <w:sz w:val="20"/>
                <w:szCs w:val="20"/>
                <w:lang w:val="en-US"/>
              </w:rPr>
            </w:pPr>
          </w:p>
          <w:p w14:paraId="510DD83E" w14:textId="77777777" w:rsidR="00375289" w:rsidRPr="00D549EE" w:rsidRDefault="00375289" w:rsidP="00375289">
            <w:pPr>
              <w:contextualSpacing/>
              <w:rPr>
                <w:color w:val="000000" w:themeColor="text1"/>
                <w:sz w:val="20"/>
                <w:szCs w:val="20"/>
                <w:lang w:val="en-US"/>
              </w:rPr>
            </w:pPr>
          </w:p>
          <w:p w14:paraId="1B2DAD26" w14:textId="77777777" w:rsidR="00375289" w:rsidRPr="00D549EE" w:rsidRDefault="00375289" w:rsidP="00375289">
            <w:pPr>
              <w:contextualSpacing/>
              <w:rPr>
                <w:color w:val="000000" w:themeColor="text1"/>
                <w:sz w:val="20"/>
                <w:szCs w:val="20"/>
                <w:lang w:val="en-US"/>
              </w:rPr>
            </w:pPr>
          </w:p>
          <w:p w14:paraId="4258507D" w14:textId="77777777" w:rsidR="00375289" w:rsidRPr="00D549EE" w:rsidRDefault="00375289" w:rsidP="00375289">
            <w:pPr>
              <w:contextualSpacing/>
              <w:rPr>
                <w:color w:val="000000" w:themeColor="text1"/>
                <w:sz w:val="20"/>
                <w:szCs w:val="20"/>
                <w:lang w:val="en-US"/>
              </w:rPr>
            </w:pPr>
          </w:p>
          <w:p w14:paraId="5114A267"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(13)</w:t>
            </w:r>
          </w:p>
          <w:p w14:paraId="1FA71ED7" w14:textId="77777777" w:rsidR="00375289" w:rsidRPr="00D549EE" w:rsidRDefault="00375289" w:rsidP="00375289">
            <w:pPr>
              <w:contextualSpacing/>
              <w:rPr>
                <w:color w:val="000000" w:themeColor="text1"/>
                <w:sz w:val="20"/>
                <w:szCs w:val="20"/>
                <w:lang w:val="en-US"/>
              </w:rPr>
            </w:pPr>
          </w:p>
          <w:p w14:paraId="6956D447" w14:textId="77777777" w:rsidR="00375289" w:rsidRPr="00D549EE" w:rsidRDefault="00375289" w:rsidP="00375289">
            <w:pPr>
              <w:contextualSpacing/>
              <w:rPr>
                <w:color w:val="000000" w:themeColor="text1"/>
                <w:sz w:val="20"/>
                <w:szCs w:val="20"/>
                <w:lang w:val="en-US"/>
              </w:rPr>
            </w:pPr>
          </w:p>
          <w:p w14:paraId="431A8E25" w14:textId="77777777" w:rsidR="00375289" w:rsidRPr="00D549EE" w:rsidRDefault="00375289" w:rsidP="00375289">
            <w:pPr>
              <w:contextualSpacing/>
              <w:rPr>
                <w:color w:val="000000" w:themeColor="text1"/>
                <w:sz w:val="20"/>
                <w:szCs w:val="20"/>
                <w:lang w:val="en-US"/>
              </w:rPr>
            </w:pPr>
          </w:p>
          <w:p w14:paraId="6CCBFFEC" w14:textId="77777777" w:rsidR="00375289" w:rsidRPr="00D549EE" w:rsidRDefault="00375289" w:rsidP="00375289">
            <w:pPr>
              <w:contextualSpacing/>
              <w:rPr>
                <w:color w:val="000000" w:themeColor="text1"/>
                <w:sz w:val="20"/>
                <w:szCs w:val="20"/>
                <w:lang w:val="en-US"/>
              </w:rPr>
            </w:pPr>
          </w:p>
          <w:p w14:paraId="692602CF" w14:textId="77777777" w:rsidR="00375289" w:rsidRPr="00D549EE" w:rsidRDefault="00375289" w:rsidP="00375289">
            <w:pPr>
              <w:contextualSpacing/>
              <w:rPr>
                <w:color w:val="000000" w:themeColor="text1"/>
                <w:sz w:val="20"/>
                <w:szCs w:val="20"/>
                <w:lang w:val="en-US"/>
              </w:rPr>
            </w:pPr>
          </w:p>
          <w:p w14:paraId="7246A5A0" w14:textId="77777777" w:rsidR="00375289" w:rsidRPr="00D549EE" w:rsidRDefault="00375289" w:rsidP="00375289">
            <w:pPr>
              <w:contextualSpacing/>
              <w:rPr>
                <w:color w:val="000000" w:themeColor="text1"/>
                <w:sz w:val="20"/>
                <w:szCs w:val="20"/>
                <w:lang w:val="en-US"/>
              </w:rPr>
            </w:pPr>
          </w:p>
          <w:p w14:paraId="1B4CD095"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(2)</w:t>
            </w:r>
          </w:p>
          <w:p w14:paraId="6CEA9581" w14:textId="77777777" w:rsidR="00375289" w:rsidRPr="00D549EE" w:rsidRDefault="00375289" w:rsidP="00375289">
            <w:pPr>
              <w:contextualSpacing/>
              <w:rPr>
                <w:color w:val="000000" w:themeColor="text1"/>
                <w:sz w:val="20"/>
                <w:szCs w:val="20"/>
                <w:lang w:val="en-US"/>
              </w:rPr>
            </w:pPr>
          </w:p>
        </w:tc>
        <w:tc>
          <w:tcPr>
            <w:tcW w:w="1843" w:type="dxa"/>
          </w:tcPr>
          <w:p w14:paraId="7E766A99"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{"citationItems":[{"id":"ITEM-1","itemData":{"DOI":"10.1080/09692290902983999","ISSN":"09692290","abstract":"Islamic finance is a fast growing segment of international financial markets. Deriving its core principles from the Quran and the Sharia, the objective of Islamic finance is to install a more equitable financial and economic order that at the same time is transaction-friendly. Thus, Islam could be seen as a foundation for the inclusion of the ethical and moral dimensions of economics andmarkets. This coincides with rising demand for Islamic financial products. Indeed, recent years have witnessed increasing efforts to develop and to institutionalise Islamic capitalmarkets and above all, to make Islamic finance acceptable (and thus investable) to the mainstream. In this article, I use the question of legitimacy to explore whether Islamic finance offers an alternative to the existing international financial order. To this end, I take a closer look at the knowledge base from which Islamic financial products are constructed and assessed as well as the emerging international regulatory framework for Islamic financial markets. I conclude that efforts to expand the social constituency of Islamic finance to the transnational sphere of global finance are overly focused on its epistemic legitimation as normal financial activity. As a consequence, the currently emerging power, knowledge and governance structures for Islamic finance tend to emulate, and therefore largely reproduce, the existing global financial order. © 2011 Taylor &amp; Francis.","author":[{"dropping-particle":"","family":"Rethel","given":"Lena","non-dropping-particle":"","parse-names":false,"suffix":""}],"container-title":"Review of International Political Economy","id":"ITEM-1","issue":"1","issued":{"date-parts":[["2011"]]},"page":"75-98","title":"Whose legitimacy? Islamic finance and the global financial order","type":"article-journal","volume":"18"},"uris":["http://www.mendeley.com/documents/?uuid=f6569c66-79b3-4774-a2b9-b36ff7df29f1"]}],"mendeley":{"formattedCitation":"[89]","plainTextFormattedCitation":"[89]","previouslyFormattedCitation":"[115]"},"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[89]</w:t>
            </w:r>
            <w:r w:rsidRPr="00D549EE">
              <w:rPr>
                <w:color w:val="000000" w:themeColor="text1"/>
                <w:sz w:val="20"/>
                <w:szCs w:val="20"/>
                <w:lang w:val="en-US"/>
              </w:rPr>
              <w:fldChar w:fldCharType="end"/>
            </w:r>
          </w:p>
          <w:p w14:paraId="1FE46FC9" w14:textId="77777777" w:rsidR="00375289" w:rsidRPr="00D549EE" w:rsidRDefault="00375289" w:rsidP="00375289">
            <w:pPr>
              <w:contextualSpacing/>
              <w:rPr>
                <w:color w:val="000000" w:themeColor="text1"/>
                <w:sz w:val="20"/>
                <w:szCs w:val="20"/>
                <w:highlight w:val="yellow"/>
                <w:lang w:val="en-US"/>
              </w:rPr>
            </w:pPr>
          </w:p>
          <w:p w14:paraId="19A143C5" w14:textId="77777777" w:rsidR="00375289" w:rsidRPr="00D549EE" w:rsidRDefault="00375289" w:rsidP="00375289">
            <w:pPr>
              <w:contextualSpacing/>
              <w:rPr>
                <w:color w:val="000000" w:themeColor="text1"/>
                <w:sz w:val="20"/>
                <w:szCs w:val="20"/>
                <w:highlight w:val="yellow"/>
                <w:lang w:val="en-US"/>
              </w:rPr>
            </w:pPr>
          </w:p>
          <w:p w14:paraId="5AB1968F" w14:textId="77777777" w:rsidR="00375289" w:rsidRPr="00D549EE" w:rsidRDefault="00375289" w:rsidP="00375289">
            <w:pPr>
              <w:contextualSpacing/>
              <w:rPr>
                <w:color w:val="000000" w:themeColor="text1"/>
                <w:sz w:val="20"/>
                <w:szCs w:val="20"/>
                <w:highlight w:val="yellow"/>
                <w:lang w:val="en-US"/>
              </w:rPr>
            </w:pPr>
          </w:p>
          <w:p w14:paraId="69E9DC6A" w14:textId="77777777" w:rsidR="00375289" w:rsidRPr="00D549EE" w:rsidRDefault="00375289" w:rsidP="00375289">
            <w:pPr>
              <w:contextualSpacing/>
              <w:rPr>
                <w:color w:val="000000" w:themeColor="text1"/>
                <w:sz w:val="20"/>
                <w:szCs w:val="20"/>
                <w:highlight w:val="yellow"/>
                <w:lang w:val="en-US"/>
              </w:rPr>
            </w:pPr>
          </w:p>
          <w:p w14:paraId="4BB9C0FF"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{"citationItems":[{"id":"ITEM-1","itemData":{"DOI":"10.1108/AAAJ-03-2013-1268","ISSN":"09513574","abstract":"Purpose: This study examines social reporting by Islamic banks with special emphasis on themes related to social justice. By using critical theory and \"immanent critique\", the study attempts to explain and delineate reasons for disclosures and silences in Islamic banks' annual reports and web sites vis-à-vis social justice. Design/methodology/approach: The approach taken was a content analysis of annual reports and web sites of 19 Islamic banks. Findings: Islamic banks' disclosures emphasise their religious character through claims that they adhere to Sharia's teachings. Their disclosures, however, lack specific or detailed information regarding schemes or initiatives vis-à-vis poverty eradication or enhancing social justice. Research limitations/implications: Limitations associated with content analysis of annual reports and internet web sites apply. This study focuses on Islamic banks' social roles. Further studies of banks' social roles in society in general are of interest. Practical implications: Drawing attention of Islamic banks and other stakeholders to the gap between the rhetorical religious and ethical claims of Islamic banks and their activities (as depicted through their disclosures) opens up the possibility of a positive change in Islamic banks' actual social roles. Originality/value: The study fills a gap in both social accounting and Islamic accounting literatures with its emphasis on social justice and poverty eradication. The study contributes to the very scarce literature linking religion (especially Islam), critical theory, social accounting and Islamic accounting. It goes beyond previous research in Islamic accounting literature by exposing contradictions in the Islamic banking industry's rhetoric regarding their social role in society. © Emerald Group Publishing Limited.","author":[{"dropping-particle":"","family":"Kamla","given":"Rania","non-dropping-particle":"","parse-names":false,"suffix":""},{"dropping-particle":"","family":"Rammal","given":"Hussain G.","non-dropping-particle":"","parse-names":false,"suffix":""}],"container-title":"Accounting, Auditing and Accountability Journal","id":"ITEM-1","issue":"6","issued":{"date-parts":[["2013"]]},"page":"911-945","title":"Social reporting by Islamic banks: Does social justice matter?","type":"article-journal","volume":"26"},"uris":["http://www.mendeley.com/documents/?uuid=05d6a1b6-c465-4a9f-8493-4c9da02158e7"]}],"mendeley":{"formattedCitation":"[5]","plainTextFormattedCitation":"[5]","previouslyFormattedCitation":"[70]"},"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[5]</w:t>
            </w:r>
            <w:r w:rsidRPr="00D549EE">
              <w:rPr>
                <w:color w:val="000000" w:themeColor="text1"/>
                <w:sz w:val="20"/>
                <w:szCs w:val="20"/>
                <w:lang w:val="en-US"/>
              </w:rPr>
              <w:fldChar w:fldCharType="end"/>
            </w:r>
          </w:p>
          <w:p w14:paraId="302DE575" w14:textId="77777777" w:rsidR="00375289" w:rsidRPr="00D549EE" w:rsidRDefault="00375289" w:rsidP="00375289">
            <w:pPr>
              <w:contextualSpacing/>
              <w:rPr>
                <w:color w:val="000000" w:themeColor="text1"/>
                <w:sz w:val="20"/>
                <w:szCs w:val="20"/>
                <w:highlight w:val="yellow"/>
                <w:lang w:val="en-US"/>
              </w:rPr>
            </w:pPr>
          </w:p>
          <w:p w14:paraId="6BC885C7" w14:textId="77777777" w:rsidR="00375289" w:rsidRPr="00D549EE" w:rsidRDefault="00375289" w:rsidP="00375289">
            <w:pPr>
              <w:contextualSpacing/>
              <w:rPr>
                <w:color w:val="000000" w:themeColor="text1"/>
                <w:sz w:val="20"/>
                <w:szCs w:val="20"/>
                <w:highlight w:val="yellow"/>
                <w:lang w:val="en-US"/>
              </w:rPr>
            </w:pPr>
          </w:p>
          <w:p w14:paraId="06C1200D" w14:textId="77777777" w:rsidR="00375289" w:rsidRPr="00D549EE" w:rsidRDefault="00375289" w:rsidP="00375289">
            <w:pPr>
              <w:contextualSpacing/>
              <w:rPr>
                <w:color w:val="000000" w:themeColor="text1"/>
                <w:sz w:val="20"/>
                <w:szCs w:val="20"/>
                <w:highlight w:val="yellow"/>
                <w:lang w:val="en-US"/>
              </w:rPr>
            </w:pPr>
          </w:p>
          <w:p w14:paraId="39F756D5" w14:textId="77777777" w:rsidR="00375289" w:rsidRPr="00D549EE" w:rsidRDefault="00375289" w:rsidP="00375289">
            <w:pPr>
              <w:contextualSpacing/>
              <w:rPr>
                <w:color w:val="000000" w:themeColor="text1"/>
                <w:sz w:val="20"/>
                <w:szCs w:val="20"/>
                <w:highlight w:val="yellow"/>
                <w:lang w:val="en-US"/>
              </w:rPr>
            </w:pPr>
          </w:p>
          <w:p w14:paraId="60CB077D" w14:textId="77777777" w:rsidR="00375289" w:rsidRPr="00D549EE" w:rsidRDefault="00375289" w:rsidP="00375289">
            <w:pPr>
              <w:contextualSpacing/>
              <w:rPr>
                <w:color w:val="000000" w:themeColor="text1"/>
                <w:sz w:val="20"/>
                <w:szCs w:val="20"/>
                <w:highlight w:val="yellow"/>
                <w:lang w:val="en-US"/>
              </w:rPr>
            </w:pPr>
          </w:p>
          <w:p w14:paraId="67EB25A4" w14:textId="77777777" w:rsidR="00375289" w:rsidRPr="00D549EE" w:rsidRDefault="00375289" w:rsidP="00375289">
            <w:pPr>
              <w:contextualSpacing/>
              <w:rPr>
                <w:color w:val="000000" w:themeColor="text1"/>
                <w:sz w:val="20"/>
                <w:szCs w:val="20"/>
                <w:highlight w:val="yellow"/>
                <w:lang w:val="en-US"/>
              </w:rPr>
            </w:pPr>
          </w:p>
          <w:p w14:paraId="430FFF9C" w14:textId="77777777" w:rsidR="00375289" w:rsidRPr="00D549EE" w:rsidRDefault="00375289" w:rsidP="00375289">
            <w:pPr>
              <w:contextualSpacing/>
              <w:rPr>
                <w:color w:val="000000" w:themeColor="text1"/>
                <w:sz w:val="20"/>
                <w:szCs w:val="20"/>
                <w:highlight w:val="yellow"/>
                <w:lang w:val="en-US"/>
              </w:rPr>
            </w:pPr>
          </w:p>
          <w:p w14:paraId="57CDE740"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{"citationItems":[{"id":"ITEM-1","itemData":{"DOI":"10.1080/09692290.2013.858229","ISSN":"14664526","abstract":"ABSTRACT: In light of the dramatic expansion Islamic finance (IF) has experienced over the past few decades, the industry has received increasing attention, not only within Muslim economies, but all around the world, as illustrated by the involvement of numerous non-Muslim public and private institutions. As the Islamic financial movement is increasingly becoming a global phenomenon, this paper critically examines the ‘materialist’-led contributions in the social sciences (especially in economics and finance) on the rise of this alternative set of practices and ideas. In doing so, social constructivism is introduced as a fertile intellectual framework to complement the current debates on this topic. At the end of this paper, three new perspectives on IF are distilled from the latter's encounter with social constructivism. These reside in (1) providing an alternative epistemological position on the encounter between conventional and Islamic financial knowledge; (2) highlighting the presence of structures of authority in the emergence of financial alternatives such as IF; and (3) emphasizing the role of key economic agents/institutions in the global diffusion of Islamic financial ideas.","author":[{"dropping-particle":"","family":"Fang","given":"Eddy S.","non-dropping-particle":"","parse-names":false,"suffix":""}],"container-title":"Review of International Political Economy","id":"ITEM-1","issue":"6","issued":{"date-parts":[["2014"]]},"page":"1170-1202","title":"Islamic finance in global markets: Materialism, ideas and the construction of financial knowledge","type":"article-journal","volume":"21"},"uris":["http://www.mendeley.com/documents/?uuid=e3de8c3a-66b5-4855-bde6-7709d6243971"]}],"mendeley":{"formattedCitation":"[90]","plainTextFormattedCitation":"[90]","previouslyFormattedCitation":"[47]"},"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[90]</w:t>
            </w:r>
            <w:r w:rsidRPr="00D549EE">
              <w:rPr>
                <w:color w:val="000000" w:themeColor="text1"/>
                <w:sz w:val="20"/>
                <w:szCs w:val="20"/>
                <w:lang w:val="en-US"/>
              </w:rPr>
              <w:fldChar w:fldCharType="end"/>
            </w:r>
          </w:p>
          <w:p w14:paraId="112D6B74" w14:textId="77777777" w:rsidR="00375289" w:rsidRPr="00D549EE" w:rsidRDefault="00375289" w:rsidP="00375289">
            <w:pPr>
              <w:contextualSpacing/>
              <w:rPr>
                <w:color w:val="000000" w:themeColor="text1"/>
                <w:sz w:val="20"/>
                <w:szCs w:val="20"/>
                <w:highlight w:val="yellow"/>
                <w:lang w:val="en-US"/>
              </w:rPr>
            </w:pPr>
          </w:p>
          <w:p w14:paraId="167FF585" w14:textId="77777777" w:rsidR="00375289" w:rsidRPr="00D549EE" w:rsidRDefault="00375289" w:rsidP="00375289">
            <w:pPr>
              <w:contextualSpacing/>
              <w:rPr>
                <w:color w:val="000000" w:themeColor="text1"/>
                <w:sz w:val="20"/>
                <w:szCs w:val="20"/>
                <w:highlight w:val="yellow"/>
                <w:lang w:val="en-US"/>
              </w:rPr>
            </w:pPr>
          </w:p>
          <w:p w14:paraId="45FAA185" w14:textId="77777777" w:rsidR="00375289" w:rsidRPr="00D549EE" w:rsidRDefault="00375289" w:rsidP="00375289">
            <w:pPr>
              <w:contextualSpacing/>
              <w:rPr>
                <w:color w:val="000000" w:themeColor="text1"/>
                <w:sz w:val="20"/>
                <w:szCs w:val="20"/>
                <w:highlight w:val="yellow"/>
                <w:lang w:val="en-US"/>
              </w:rPr>
            </w:pPr>
          </w:p>
          <w:p w14:paraId="3B13399E" w14:textId="77777777" w:rsidR="00375289" w:rsidRPr="00D549EE" w:rsidRDefault="00375289" w:rsidP="00375289">
            <w:pPr>
              <w:contextualSpacing/>
              <w:rPr>
                <w:color w:val="000000" w:themeColor="text1"/>
                <w:sz w:val="20"/>
                <w:szCs w:val="20"/>
                <w:highlight w:val="yellow"/>
                <w:lang w:val="en-US"/>
              </w:rPr>
            </w:pPr>
          </w:p>
          <w:p w14:paraId="6B96351E" w14:textId="77777777" w:rsidR="00375289" w:rsidRPr="00D549EE" w:rsidRDefault="00375289" w:rsidP="00375289">
            <w:pPr>
              <w:contextualSpacing/>
              <w:rPr>
                <w:color w:val="000000" w:themeColor="text1"/>
                <w:sz w:val="20"/>
                <w:szCs w:val="20"/>
                <w:highlight w:val="yellow"/>
                <w:lang w:val="en-US"/>
              </w:rPr>
            </w:pPr>
          </w:p>
          <w:p w14:paraId="7C80AE1D" w14:textId="77777777" w:rsidR="00375289" w:rsidRPr="00D549EE" w:rsidRDefault="00375289" w:rsidP="00375289">
            <w:pPr>
              <w:contextualSpacing/>
              <w:rPr>
                <w:color w:val="000000" w:themeColor="text1"/>
                <w:sz w:val="20"/>
                <w:szCs w:val="20"/>
                <w:highlight w:val="yellow"/>
                <w:lang w:val="en-US"/>
              </w:rPr>
            </w:pPr>
          </w:p>
          <w:p w14:paraId="6FA4963A"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{"citationItems":[{"id":"ITEM-1","itemData":{"DOI":"doi.org/10.1108/IMEFM-06-2014-0059","author":[{"dropping-particle":"","family":"Rafik Fakhry Omar","given":"Eleri Jones","non-dropping-particle":"","parse-names":false,"suffix":""}],"container-title":"International Journal of Islamic and Middle Eastern Finance and Management","id":"ITEM-1","issue":"1","issued":{"date-parts":[["2015"]]},"page":"64-84","title":"Critical evaluation of the compliance of online Islamic FOREX trading with Islamic principles","type":"article-journal","volume":"8"},"uris":["http://www.mendeley.com/documents/?uuid=7ad64956-a555-4d75-ae63-bb01632be5f1"]}],"mendeley":{"formattedCitation":"[91]","plainTextFormattedCitation":"[91]","previouslyFormattedCitation":"[112]"},"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[91]</w:t>
            </w:r>
            <w:r w:rsidRPr="00D549EE">
              <w:rPr>
                <w:color w:val="000000" w:themeColor="text1"/>
                <w:sz w:val="20"/>
                <w:szCs w:val="20"/>
                <w:lang w:val="en-US"/>
              </w:rPr>
              <w:fldChar w:fldCharType="end"/>
            </w:r>
          </w:p>
          <w:p w14:paraId="18242D7A" w14:textId="77777777" w:rsidR="00375289" w:rsidRPr="00D549EE" w:rsidRDefault="00375289" w:rsidP="00375289">
            <w:pPr>
              <w:contextualSpacing/>
              <w:rPr>
                <w:color w:val="000000" w:themeColor="text1"/>
                <w:sz w:val="20"/>
                <w:szCs w:val="20"/>
                <w:highlight w:val="yellow"/>
                <w:lang w:val="en-US"/>
              </w:rPr>
            </w:pPr>
          </w:p>
          <w:p w14:paraId="3EF16548" w14:textId="77777777" w:rsidR="00375289" w:rsidRPr="00D549EE" w:rsidRDefault="00375289" w:rsidP="00375289">
            <w:pPr>
              <w:contextualSpacing/>
              <w:rPr>
                <w:color w:val="000000" w:themeColor="text1"/>
                <w:sz w:val="20"/>
                <w:szCs w:val="20"/>
                <w:highlight w:val="yellow"/>
                <w:lang w:val="en-US"/>
              </w:rPr>
            </w:pPr>
          </w:p>
          <w:p w14:paraId="4DC74B54" w14:textId="77777777" w:rsidR="00375289" w:rsidRPr="00D549EE" w:rsidRDefault="00375289" w:rsidP="00375289">
            <w:pPr>
              <w:contextualSpacing/>
              <w:rPr>
                <w:color w:val="000000" w:themeColor="text1"/>
                <w:sz w:val="20"/>
                <w:szCs w:val="20"/>
                <w:highlight w:val="yellow"/>
                <w:lang w:val="en-US"/>
              </w:rPr>
            </w:pPr>
          </w:p>
          <w:p w14:paraId="71A1BCFD" w14:textId="77777777" w:rsidR="00375289" w:rsidRPr="00D549EE" w:rsidRDefault="00375289" w:rsidP="00375289">
            <w:pPr>
              <w:contextualSpacing/>
              <w:rPr>
                <w:color w:val="000000" w:themeColor="text1"/>
                <w:sz w:val="20"/>
                <w:szCs w:val="20"/>
                <w:highlight w:val="yellow"/>
                <w:lang w:val="en-US"/>
              </w:rPr>
            </w:pPr>
          </w:p>
        </w:tc>
        <w:tc>
          <w:tcPr>
            <w:tcW w:w="2693" w:type="dxa"/>
          </w:tcPr>
          <w:p w14:paraId="64DC3031"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Analyzing the legitimacy, knowledge base and international regulatory framework for the Islamic finance construction, assessment, and regulation</w:t>
            </w:r>
          </w:p>
          <w:p w14:paraId="6E31B26C" w14:textId="77777777" w:rsidR="00375289" w:rsidRPr="00D549EE" w:rsidRDefault="00375289" w:rsidP="00375289">
            <w:pPr>
              <w:contextualSpacing/>
              <w:rPr>
                <w:color w:val="000000" w:themeColor="text1"/>
                <w:sz w:val="20"/>
                <w:szCs w:val="20"/>
                <w:lang w:val="en-US"/>
              </w:rPr>
            </w:pPr>
          </w:p>
          <w:p w14:paraId="0396C549" w14:textId="77777777" w:rsidR="00375289" w:rsidRPr="00D549EE" w:rsidRDefault="00375289" w:rsidP="00375289">
            <w:pPr>
              <w:rPr>
                <w:color w:val="000000" w:themeColor="text1"/>
                <w:sz w:val="20"/>
                <w:szCs w:val="20"/>
                <w:shd w:val="clear" w:color="auto" w:fill="FFFFFF"/>
                <w:lang w:val="en-US"/>
              </w:rPr>
            </w:pPr>
            <w:r w:rsidRPr="00D549EE">
              <w:rPr>
                <w:color w:val="000000" w:themeColor="text1"/>
                <w:sz w:val="20"/>
                <w:szCs w:val="20"/>
                <w:shd w:val="clear" w:color="auto" w:fill="FFFFFF"/>
                <w:lang w:val="en-US"/>
              </w:rPr>
              <w:t>The content analysis of annual reports and web sites of Islamic banks</w:t>
            </w:r>
          </w:p>
          <w:p w14:paraId="4A1B324C" w14:textId="77777777" w:rsidR="00375289" w:rsidRPr="00D549EE" w:rsidRDefault="00375289" w:rsidP="00375289">
            <w:pPr>
              <w:rPr>
                <w:color w:val="000000" w:themeColor="text1"/>
                <w:sz w:val="20"/>
                <w:szCs w:val="20"/>
                <w:shd w:val="clear" w:color="auto" w:fill="FFFFFF"/>
                <w:lang w:val="en-US"/>
              </w:rPr>
            </w:pPr>
          </w:p>
          <w:p w14:paraId="106570F8" w14:textId="77777777" w:rsidR="00375289" w:rsidRPr="00D549EE" w:rsidRDefault="00375289" w:rsidP="00375289">
            <w:pPr>
              <w:rPr>
                <w:color w:val="000000" w:themeColor="text1"/>
                <w:sz w:val="20"/>
                <w:szCs w:val="20"/>
                <w:shd w:val="clear" w:color="auto" w:fill="FFFFFF"/>
                <w:lang w:val="en-US"/>
              </w:rPr>
            </w:pPr>
          </w:p>
          <w:p w14:paraId="1EAB8807" w14:textId="77777777" w:rsidR="00375289" w:rsidRPr="00D549EE" w:rsidRDefault="00375289" w:rsidP="00375289">
            <w:pPr>
              <w:rPr>
                <w:color w:val="000000" w:themeColor="text1"/>
                <w:sz w:val="20"/>
                <w:szCs w:val="20"/>
                <w:shd w:val="clear" w:color="auto" w:fill="FFFFFF"/>
                <w:lang w:val="en-US"/>
              </w:rPr>
            </w:pPr>
          </w:p>
          <w:p w14:paraId="358E3548" w14:textId="77777777" w:rsidR="00375289" w:rsidRPr="00D549EE" w:rsidRDefault="00375289" w:rsidP="00375289">
            <w:pPr>
              <w:rPr>
                <w:color w:val="000000" w:themeColor="text1"/>
                <w:sz w:val="20"/>
                <w:szCs w:val="20"/>
                <w:shd w:val="clear" w:color="auto" w:fill="FFFFFF"/>
                <w:lang w:val="en-US"/>
              </w:rPr>
            </w:pPr>
          </w:p>
          <w:p w14:paraId="2B9EE299" w14:textId="77777777" w:rsidR="00375289" w:rsidRPr="00D549EE" w:rsidRDefault="00375289" w:rsidP="00375289">
            <w:pPr>
              <w:rPr>
                <w:color w:val="000000" w:themeColor="text1"/>
                <w:sz w:val="20"/>
                <w:szCs w:val="20"/>
                <w:shd w:val="clear" w:color="auto" w:fill="FFFFFF"/>
                <w:lang w:val="en-US"/>
              </w:rPr>
            </w:pPr>
            <w:r w:rsidRPr="00D549EE">
              <w:rPr>
                <w:color w:val="000000" w:themeColor="text1"/>
                <w:sz w:val="20"/>
                <w:szCs w:val="20"/>
                <w:shd w:val="clear" w:color="auto" w:fill="FFFFFF"/>
                <w:lang w:val="en-US"/>
              </w:rPr>
              <w:t>Review and analysis of the ‘materialist’-led contributions in the social sciences (especially in economics and finance) on the rise of this alternative set of practices and ideas</w:t>
            </w:r>
          </w:p>
          <w:p w14:paraId="0967E073" w14:textId="77777777" w:rsidR="00375289" w:rsidRPr="00D549EE" w:rsidRDefault="00375289" w:rsidP="00375289">
            <w:pPr>
              <w:rPr>
                <w:color w:val="000000" w:themeColor="text1"/>
                <w:sz w:val="20"/>
                <w:szCs w:val="20"/>
                <w:lang w:val="en-US"/>
              </w:rPr>
            </w:pPr>
            <w:r w:rsidRPr="00D549EE">
              <w:rPr>
                <w:color w:val="000000" w:themeColor="text1"/>
                <w:sz w:val="20"/>
                <w:szCs w:val="20"/>
                <w:shd w:val="clear" w:color="auto" w:fill="FFFFFF"/>
                <w:lang w:val="en-US"/>
              </w:rPr>
              <w:t>Collection and analysis of secondary data and content analysis of the rulings of jurisprudence scholars</w:t>
            </w:r>
            <w:r w:rsidRPr="00D549EE">
              <w:rPr>
                <w:rStyle w:val="apple-converted-space"/>
                <w:color w:val="000000" w:themeColor="text1"/>
                <w:sz w:val="20"/>
                <w:szCs w:val="20"/>
                <w:shd w:val="clear" w:color="auto" w:fill="FFFFFF"/>
                <w:lang w:val="en-US"/>
              </w:rPr>
              <w:t> </w:t>
            </w:r>
          </w:p>
          <w:p w14:paraId="711A5F96" w14:textId="77777777" w:rsidR="00375289" w:rsidRPr="00D549EE" w:rsidRDefault="00375289" w:rsidP="00375289">
            <w:pPr>
              <w:rPr>
                <w:color w:val="000000" w:themeColor="text1"/>
                <w:sz w:val="20"/>
                <w:szCs w:val="20"/>
                <w:lang w:val="en-US"/>
              </w:rPr>
            </w:pPr>
          </w:p>
          <w:p w14:paraId="1BD1E618" w14:textId="77777777" w:rsidR="00375289" w:rsidRPr="00D549EE" w:rsidRDefault="00375289" w:rsidP="00375289">
            <w:pPr>
              <w:rPr>
                <w:color w:val="000000" w:themeColor="text1"/>
                <w:sz w:val="20"/>
                <w:szCs w:val="20"/>
                <w:lang w:val="en-US"/>
              </w:rPr>
            </w:pPr>
          </w:p>
          <w:p w14:paraId="5E74F012" w14:textId="77777777" w:rsidR="00375289" w:rsidRPr="00D549EE" w:rsidRDefault="00375289" w:rsidP="00375289">
            <w:pPr>
              <w:rPr>
                <w:color w:val="000000" w:themeColor="text1"/>
                <w:sz w:val="20"/>
                <w:szCs w:val="20"/>
                <w:lang w:val="en-US"/>
              </w:rPr>
            </w:pPr>
          </w:p>
        </w:tc>
        <w:tc>
          <w:tcPr>
            <w:tcW w:w="2540" w:type="dxa"/>
          </w:tcPr>
          <w:p w14:paraId="472ADC13"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Focusing of the social constituency of Islamic finance to the transnational sphere of global finance on its epistemic legitimation</w:t>
            </w:r>
          </w:p>
          <w:p w14:paraId="52499034" w14:textId="77777777" w:rsidR="00375289" w:rsidRPr="00D549EE" w:rsidRDefault="00375289" w:rsidP="00375289">
            <w:pPr>
              <w:contextualSpacing/>
              <w:rPr>
                <w:color w:val="000000" w:themeColor="text1"/>
                <w:sz w:val="20"/>
                <w:szCs w:val="20"/>
                <w:lang w:val="en-US"/>
              </w:rPr>
            </w:pPr>
          </w:p>
          <w:p w14:paraId="6B2E09C8" w14:textId="77777777" w:rsidR="00375289" w:rsidRPr="00D549EE" w:rsidRDefault="00375289" w:rsidP="00375289">
            <w:pPr>
              <w:contextualSpacing/>
              <w:rPr>
                <w:color w:val="000000" w:themeColor="text1"/>
                <w:sz w:val="20"/>
                <w:szCs w:val="20"/>
                <w:lang w:val="en-US"/>
              </w:rPr>
            </w:pPr>
          </w:p>
          <w:p w14:paraId="603A3743"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Identification of the absence of specific or detailed information regarding schemes or initiatives to poverty eradication or enhancing social justice in Islamic banks</w:t>
            </w:r>
          </w:p>
          <w:p w14:paraId="3466FE0D" w14:textId="77777777" w:rsidR="00375289" w:rsidRPr="00D549EE" w:rsidRDefault="00375289" w:rsidP="00375289">
            <w:pPr>
              <w:contextualSpacing/>
              <w:rPr>
                <w:color w:val="000000" w:themeColor="text1"/>
                <w:sz w:val="20"/>
                <w:szCs w:val="20"/>
                <w:lang w:val="en-US"/>
              </w:rPr>
            </w:pPr>
          </w:p>
          <w:p w14:paraId="6E2D0419"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Identification of the new perspectives on IF from the latter's encounter with social constructivism</w:t>
            </w:r>
          </w:p>
          <w:p w14:paraId="500328F2" w14:textId="77777777" w:rsidR="00375289" w:rsidRPr="00D549EE" w:rsidRDefault="00375289" w:rsidP="00375289">
            <w:pPr>
              <w:contextualSpacing/>
              <w:rPr>
                <w:color w:val="000000" w:themeColor="text1"/>
                <w:sz w:val="20"/>
                <w:szCs w:val="20"/>
                <w:lang w:val="en-US"/>
              </w:rPr>
            </w:pPr>
          </w:p>
          <w:p w14:paraId="24469B1E" w14:textId="77777777" w:rsidR="00375289" w:rsidRPr="00D549EE" w:rsidRDefault="00375289" w:rsidP="00375289">
            <w:pPr>
              <w:contextualSpacing/>
              <w:rPr>
                <w:color w:val="000000" w:themeColor="text1"/>
                <w:sz w:val="20"/>
                <w:szCs w:val="20"/>
                <w:lang w:val="en-US"/>
              </w:rPr>
            </w:pPr>
          </w:p>
          <w:p w14:paraId="43B98126"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Identity of the current Islamic FOREX products and conventional FOREX products, and major contradiction and ambiguities in jurisprudence scholars about the permissibility of the products</w:t>
            </w:r>
          </w:p>
        </w:tc>
      </w:tr>
      <w:tr w:rsidR="00375289" w:rsidRPr="00FC685D" w14:paraId="0AC5FF61" w14:textId="77777777" w:rsidTr="00375289">
        <w:tc>
          <w:tcPr>
            <w:tcW w:w="988" w:type="dxa"/>
          </w:tcPr>
          <w:p w14:paraId="12CBC394"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46</w:t>
            </w:r>
          </w:p>
        </w:tc>
        <w:tc>
          <w:tcPr>
            <w:tcW w:w="1275" w:type="dxa"/>
          </w:tcPr>
          <w:p w14:paraId="2E1AD1DE"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2016</w:t>
            </w:r>
          </w:p>
          <w:p w14:paraId="55F207F7"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(6)</w:t>
            </w:r>
          </w:p>
          <w:p w14:paraId="41287229" w14:textId="77777777" w:rsidR="00375289" w:rsidRPr="00D549EE" w:rsidRDefault="00375289" w:rsidP="00375289">
            <w:pPr>
              <w:contextualSpacing/>
              <w:rPr>
                <w:color w:val="000000" w:themeColor="text1"/>
                <w:sz w:val="20"/>
                <w:szCs w:val="20"/>
                <w:lang w:val="en-US"/>
              </w:rPr>
            </w:pPr>
          </w:p>
          <w:p w14:paraId="47B06A28" w14:textId="77777777" w:rsidR="00375289" w:rsidRPr="00D549EE" w:rsidRDefault="00375289" w:rsidP="00375289">
            <w:pPr>
              <w:contextualSpacing/>
              <w:rPr>
                <w:color w:val="000000" w:themeColor="text1"/>
                <w:sz w:val="20"/>
                <w:szCs w:val="20"/>
                <w:lang w:val="en-US"/>
              </w:rPr>
            </w:pPr>
          </w:p>
          <w:p w14:paraId="55E56383"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(4)</w:t>
            </w:r>
          </w:p>
          <w:p w14:paraId="5C277068" w14:textId="77777777" w:rsidR="00375289" w:rsidRPr="00D549EE" w:rsidRDefault="00375289" w:rsidP="00375289">
            <w:pPr>
              <w:contextualSpacing/>
              <w:rPr>
                <w:color w:val="000000" w:themeColor="text1"/>
                <w:sz w:val="20"/>
                <w:szCs w:val="20"/>
                <w:lang w:val="en-US"/>
              </w:rPr>
            </w:pPr>
          </w:p>
          <w:p w14:paraId="70101B1F" w14:textId="77777777" w:rsidR="00375289" w:rsidRPr="00D549EE" w:rsidRDefault="00375289" w:rsidP="00375289">
            <w:pPr>
              <w:contextualSpacing/>
              <w:rPr>
                <w:color w:val="000000" w:themeColor="text1"/>
                <w:sz w:val="20"/>
                <w:szCs w:val="20"/>
                <w:lang w:val="en-US"/>
              </w:rPr>
            </w:pPr>
          </w:p>
          <w:p w14:paraId="34ED7032" w14:textId="77777777" w:rsidR="00375289" w:rsidRPr="00D549EE" w:rsidRDefault="00375289" w:rsidP="00375289">
            <w:pPr>
              <w:contextualSpacing/>
              <w:rPr>
                <w:color w:val="000000" w:themeColor="text1"/>
                <w:sz w:val="20"/>
                <w:szCs w:val="20"/>
                <w:lang w:val="en-US"/>
              </w:rPr>
            </w:pPr>
          </w:p>
          <w:p w14:paraId="13F5F26D" w14:textId="77777777" w:rsidR="00375289" w:rsidRPr="00D549EE" w:rsidRDefault="00375289" w:rsidP="00375289">
            <w:pPr>
              <w:contextualSpacing/>
              <w:rPr>
                <w:color w:val="000000" w:themeColor="text1"/>
                <w:sz w:val="20"/>
                <w:szCs w:val="20"/>
                <w:lang w:val="en-US"/>
              </w:rPr>
            </w:pPr>
          </w:p>
          <w:p w14:paraId="5D620548" w14:textId="77777777" w:rsidR="00375289" w:rsidRPr="00D549EE" w:rsidRDefault="00375289" w:rsidP="00375289">
            <w:pPr>
              <w:contextualSpacing/>
              <w:rPr>
                <w:color w:val="000000" w:themeColor="text1"/>
                <w:sz w:val="20"/>
                <w:szCs w:val="20"/>
                <w:lang w:val="en-US"/>
              </w:rPr>
            </w:pPr>
          </w:p>
          <w:p w14:paraId="14717227" w14:textId="77777777" w:rsidR="00375289" w:rsidRPr="00D549EE" w:rsidRDefault="00375289" w:rsidP="00375289">
            <w:pPr>
              <w:contextualSpacing/>
              <w:rPr>
                <w:color w:val="000000" w:themeColor="text1"/>
                <w:sz w:val="20"/>
                <w:szCs w:val="20"/>
                <w:lang w:val="en-US"/>
              </w:rPr>
            </w:pPr>
          </w:p>
          <w:p w14:paraId="5F34F139" w14:textId="77777777" w:rsidR="00375289" w:rsidRPr="00D549EE" w:rsidRDefault="00375289" w:rsidP="00375289">
            <w:pPr>
              <w:contextualSpacing/>
              <w:rPr>
                <w:color w:val="000000" w:themeColor="text1"/>
                <w:sz w:val="20"/>
                <w:szCs w:val="20"/>
                <w:lang w:val="en-US"/>
              </w:rPr>
            </w:pPr>
          </w:p>
          <w:p w14:paraId="0D16F43F" w14:textId="77777777" w:rsidR="00375289" w:rsidRPr="00D549EE" w:rsidRDefault="00375289" w:rsidP="00375289">
            <w:pPr>
              <w:contextualSpacing/>
              <w:rPr>
                <w:color w:val="000000" w:themeColor="text1"/>
                <w:sz w:val="20"/>
                <w:szCs w:val="20"/>
                <w:lang w:val="en-US"/>
              </w:rPr>
            </w:pPr>
          </w:p>
          <w:p w14:paraId="44A4D4E0" w14:textId="77777777" w:rsidR="00375289" w:rsidRPr="00D549EE" w:rsidRDefault="00375289" w:rsidP="00375289">
            <w:pPr>
              <w:contextualSpacing/>
              <w:rPr>
                <w:color w:val="000000" w:themeColor="text1"/>
                <w:sz w:val="20"/>
                <w:szCs w:val="20"/>
                <w:lang w:val="en-US"/>
              </w:rPr>
            </w:pPr>
          </w:p>
          <w:p w14:paraId="028773DD" w14:textId="77777777" w:rsidR="00375289" w:rsidRPr="00D549EE" w:rsidRDefault="00375289" w:rsidP="00375289">
            <w:pPr>
              <w:contextualSpacing/>
              <w:rPr>
                <w:color w:val="000000" w:themeColor="text1"/>
                <w:sz w:val="20"/>
                <w:szCs w:val="20"/>
                <w:lang w:val="en-US"/>
              </w:rPr>
            </w:pPr>
          </w:p>
          <w:p w14:paraId="21749AA3"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(11)</w:t>
            </w:r>
          </w:p>
          <w:p w14:paraId="115D1F49" w14:textId="77777777" w:rsidR="00375289" w:rsidRPr="00D549EE" w:rsidRDefault="00375289" w:rsidP="00375289">
            <w:pPr>
              <w:contextualSpacing/>
              <w:rPr>
                <w:color w:val="000000" w:themeColor="text1"/>
                <w:sz w:val="20"/>
                <w:szCs w:val="20"/>
                <w:lang w:val="en-US"/>
              </w:rPr>
            </w:pPr>
          </w:p>
          <w:p w14:paraId="3C85E340" w14:textId="77777777" w:rsidR="00375289" w:rsidRPr="00D549EE" w:rsidRDefault="00375289" w:rsidP="00375289">
            <w:pPr>
              <w:contextualSpacing/>
              <w:rPr>
                <w:color w:val="000000" w:themeColor="text1"/>
                <w:sz w:val="20"/>
                <w:szCs w:val="20"/>
                <w:lang w:val="en-US"/>
              </w:rPr>
            </w:pPr>
          </w:p>
          <w:p w14:paraId="776BDCC6" w14:textId="77777777" w:rsidR="00375289" w:rsidRPr="00D549EE" w:rsidRDefault="00375289" w:rsidP="00375289">
            <w:pPr>
              <w:contextualSpacing/>
              <w:rPr>
                <w:color w:val="000000" w:themeColor="text1"/>
                <w:sz w:val="20"/>
                <w:szCs w:val="20"/>
                <w:lang w:val="en-US"/>
              </w:rPr>
            </w:pPr>
          </w:p>
          <w:p w14:paraId="00017F8F"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w:t>
            </w:r>
          </w:p>
        </w:tc>
        <w:tc>
          <w:tcPr>
            <w:tcW w:w="1843" w:type="dxa"/>
          </w:tcPr>
          <w:p w14:paraId="54874C84"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{"citationItems":[{"id":"ITEM-1","itemData":{"DOI":"doi.org/10.1108/IMEFM-01-2015-0006","author":[{"dropping-particle":"","family":"Habib Ahmed","given":"Ak Md Hasnol Alwee Pg Md Salleh","non-dropping-particle":"","parse-names":false,"suffix":""}],"container-title":"International Journal of Islamic and Middle Eastern Finance and Management","id":"ITEM-1","issue":"2","issued":{"date-parts":[["2016"]]},"page":"170-189","title":"Inclusive Islamic financial planning: a conceptual framework","type":"article-journal","volume":"9"},"uris":["http://www.mendeley.com/documents/?uuid=88255472-c096-4b75-b8ee-9ad29b272fd3"]}],"mendeley":{"formattedCitation":"[92]","plainTextFormattedCitation":"[92]","previouslyFormattedCitation":"[58]"},"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[92]</w:t>
            </w:r>
            <w:r w:rsidRPr="00D549EE">
              <w:rPr>
                <w:color w:val="000000" w:themeColor="text1"/>
                <w:sz w:val="20"/>
                <w:szCs w:val="20"/>
                <w:lang w:val="en-US"/>
              </w:rPr>
              <w:fldChar w:fldCharType="end"/>
            </w:r>
          </w:p>
          <w:p w14:paraId="658F4D4D" w14:textId="77777777" w:rsidR="00375289" w:rsidRPr="00D549EE" w:rsidRDefault="00375289" w:rsidP="00375289">
            <w:pPr>
              <w:contextualSpacing/>
              <w:rPr>
                <w:color w:val="000000" w:themeColor="text1"/>
                <w:sz w:val="20"/>
                <w:szCs w:val="20"/>
                <w:highlight w:val="yellow"/>
                <w:lang w:val="en-US"/>
              </w:rPr>
            </w:pPr>
          </w:p>
          <w:p w14:paraId="45957982" w14:textId="77777777" w:rsidR="00375289" w:rsidRPr="00D549EE" w:rsidRDefault="00375289" w:rsidP="00375289">
            <w:pPr>
              <w:contextualSpacing/>
              <w:rPr>
                <w:color w:val="000000" w:themeColor="text1"/>
                <w:sz w:val="20"/>
                <w:szCs w:val="20"/>
                <w:highlight w:val="yellow"/>
                <w:lang w:val="en-US"/>
              </w:rPr>
            </w:pPr>
          </w:p>
          <w:p w14:paraId="126357B5"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{"citationItems":[{"id":"ITEM-1","itemData":{"DOI":"doi.org/10.1080/17520843.2016.1173716","author":[{"dropping-particle":"","family":"Zulkhibri","given":"Muhamed","non-dropping-particle":"","parse-names":false,"suffix":""}],"container-title":"Macroeconomics and Finance in Emerging Market Economies","id":"ITEM-1","issue":"3","issued":{"date-parts":[["2016"]]},"page":"303-320","title":"Financial inclusion, financial inclusion policy and Islamic finance","type":"article-journal","volume":"9"},"uris":["http://www.mendeley.com/documents/?uuid=e25b98c0-c6fc-467f-8de0-5a896e13c7c7"]}],"mendeley":{"formattedCitation":"[93]","plainTextFormattedCitation":"[93]","previouslyFormattedCitation":"[151]"},"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[93]</w:t>
            </w:r>
            <w:r w:rsidRPr="00D549EE">
              <w:rPr>
                <w:color w:val="000000" w:themeColor="text1"/>
                <w:sz w:val="20"/>
                <w:szCs w:val="20"/>
                <w:lang w:val="en-US"/>
              </w:rPr>
              <w:fldChar w:fldCharType="end"/>
            </w:r>
          </w:p>
          <w:p w14:paraId="08286850" w14:textId="77777777" w:rsidR="00375289" w:rsidRPr="00D549EE" w:rsidRDefault="00375289" w:rsidP="00375289">
            <w:pPr>
              <w:contextualSpacing/>
              <w:rPr>
                <w:color w:val="000000" w:themeColor="text1"/>
                <w:sz w:val="20"/>
                <w:szCs w:val="20"/>
                <w:highlight w:val="yellow"/>
                <w:lang w:val="en-US"/>
              </w:rPr>
            </w:pPr>
          </w:p>
          <w:p w14:paraId="11368953" w14:textId="77777777" w:rsidR="00375289" w:rsidRPr="00D549EE" w:rsidRDefault="00375289" w:rsidP="00375289">
            <w:pPr>
              <w:contextualSpacing/>
              <w:rPr>
                <w:color w:val="000000" w:themeColor="text1"/>
                <w:sz w:val="20"/>
                <w:szCs w:val="20"/>
                <w:highlight w:val="yellow"/>
                <w:lang w:val="en-US"/>
              </w:rPr>
            </w:pPr>
          </w:p>
          <w:p w14:paraId="743EFAD5" w14:textId="77777777" w:rsidR="00375289" w:rsidRPr="00D549EE" w:rsidRDefault="00375289" w:rsidP="00375289">
            <w:pPr>
              <w:contextualSpacing/>
              <w:rPr>
                <w:color w:val="000000" w:themeColor="text1"/>
                <w:sz w:val="20"/>
                <w:szCs w:val="20"/>
                <w:highlight w:val="yellow"/>
                <w:lang w:val="en-US"/>
              </w:rPr>
            </w:pPr>
          </w:p>
          <w:p w14:paraId="2F29BABC" w14:textId="77777777" w:rsidR="00375289" w:rsidRPr="00D549EE" w:rsidRDefault="00375289" w:rsidP="00375289">
            <w:pPr>
              <w:contextualSpacing/>
              <w:rPr>
                <w:color w:val="000000" w:themeColor="text1"/>
                <w:sz w:val="20"/>
                <w:szCs w:val="20"/>
                <w:highlight w:val="yellow"/>
                <w:lang w:val="en-US"/>
              </w:rPr>
            </w:pPr>
          </w:p>
          <w:p w14:paraId="6EED93CA" w14:textId="77777777" w:rsidR="00375289" w:rsidRPr="00D549EE" w:rsidRDefault="00375289" w:rsidP="00375289">
            <w:pPr>
              <w:contextualSpacing/>
              <w:rPr>
                <w:color w:val="000000" w:themeColor="text1"/>
                <w:sz w:val="20"/>
                <w:szCs w:val="20"/>
                <w:lang w:val="en-US"/>
              </w:rPr>
            </w:pPr>
          </w:p>
          <w:p w14:paraId="2B4B8FE4"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{"citationItems":[{"id":"ITEM-1","itemData":{"abstract":"The MS 1900 is an Islamic Quality Management System (QMS) which was launched by the Government of Malaysia in 2005. It is a structured system to assist organisations to deliver products and services that meet customer's requirements, as well as the regulatory requirements and dictates of the Shari'ah (Islamic commandments). The Shari'ah requirements are additional to the requirements of ISO 9001, and aim to close the gap between the ISO 9001 standard and the Islamic perspective. MS 1900 has attracted considerable attention from Malaysian organizations but only a number of empirical studies have analysed the process of its implementation. Additionally, organisations that have successfully obtained QMS certification are still plagued with problems. Therefore, there is a need to study how MS 1900 is being implemented in certified organisations. The objective of this study is to examine activities conducted within the MS 1900 implementation process at the Department of Hajj (Muslim pilgrimage), Waqf and Zakah (DHWZ) in Malaysia and explore the benefits accrued from its implementation. A qualitative approach and case study strategy were used to investigate MS 1900' s implementation at the DHWZ. Semi-structured interviews were employed as the main data collection method to obtain in-depth information on the subject. Interviews were then triangulated with information from documents. The study found six main activities that were undertaken in MS 1900 implementation at the DHWZ, namely gap analysis, preparing the documentation, creating quality groups, implementing work procedures, as well as internal and external audits. The study also identified three benefits accrued from MS 1900 implementation; these are achieving the client's charter, the listing of being an outstanding religious department, and systematic job management. The MS 1900 implementation has also helped managers implement strategic planning at the DHWZ. This study adds to knowledge of the emergence and development of the Islamic QMS MS 1900 and contributes particular insights into its implementation within Malaysian Islamic institutions. Findings from this paper could be used by managers in government or private institutions as a guideline in their endeavours to implement the MS 1900 effectively.","author":[{"dropping-particle":"","family":"Ali","given":"Hasliza Mohamad","non-dropping-particle":"","parse-names":false,"suffix":""},{"dropping-particle":"","family":"Basir","given":"Siti Arni","non-dropping-particle":"","parse-names":false,"suffix":""},{"dropping-particle":"","family":"Ahmadun","given":"Musaiyadah","non-dropping-particle":"","parse-names":false,"suffix":""}],"container-title":"GLOBAL JOURNAL AL-THAQAFAH","id":"ITEM-1","issue":"2","issued":{"date-parts":[["2016"]]},"page":"85-98","title":"Implementation of the Islamic Quality Management System MS1900 and its Benefits: A Case Study at the Department of Hajj, Waqf and Zakah, Malaysia","type":"article-journal","volume":"6"},"uris":["http://www.mendeley.com/documents/?uuid=c41941e9-51dc-497a-b6f6-e2990a4f72dd"]}],"mendeley":{"formattedCitation":"[94]","plainTextFormattedCitation":"[94]","previouslyFormattedCitation":"[19]"},"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[94]</w:t>
            </w:r>
            <w:r w:rsidRPr="00D549EE">
              <w:rPr>
                <w:color w:val="000000" w:themeColor="text1"/>
                <w:sz w:val="20"/>
                <w:szCs w:val="20"/>
                <w:lang w:val="en-US"/>
              </w:rPr>
              <w:fldChar w:fldCharType="end"/>
            </w:r>
          </w:p>
          <w:p w14:paraId="0CDBD9B3" w14:textId="77777777" w:rsidR="00375289" w:rsidRPr="00D549EE" w:rsidRDefault="00375289" w:rsidP="00375289">
            <w:pPr>
              <w:contextualSpacing/>
              <w:rPr>
                <w:color w:val="000000" w:themeColor="text1"/>
                <w:sz w:val="20"/>
                <w:szCs w:val="20"/>
                <w:highlight w:val="yellow"/>
                <w:lang w:val="en-US"/>
              </w:rPr>
            </w:pPr>
          </w:p>
          <w:p w14:paraId="693B6085" w14:textId="77777777" w:rsidR="00375289" w:rsidRPr="00D549EE" w:rsidRDefault="00375289" w:rsidP="00375289">
            <w:pPr>
              <w:contextualSpacing/>
              <w:rPr>
                <w:color w:val="000000" w:themeColor="text1"/>
                <w:sz w:val="20"/>
                <w:szCs w:val="20"/>
                <w:highlight w:val="yellow"/>
                <w:lang w:val="en-US"/>
              </w:rPr>
            </w:pPr>
          </w:p>
          <w:p w14:paraId="25F2CCDF" w14:textId="77777777" w:rsidR="00375289" w:rsidRPr="00D549EE" w:rsidRDefault="00375289" w:rsidP="00375289">
            <w:pPr>
              <w:contextualSpacing/>
              <w:rPr>
                <w:color w:val="000000" w:themeColor="text1"/>
                <w:sz w:val="20"/>
                <w:szCs w:val="20"/>
                <w:highlight w:val="yellow"/>
                <w:lang w:val="en-US"/>
              </w:rPr>
            </w:pPr>
          </w:p>
          <w:p w14:paraId="6EAA58D5" w14:textId="77777777" w:rsidR="00375289" w:rsidRPr="00D549EE" w:rsidRDefault="00375289" w:rsidP="00375289">
            <w:pPr>
              <w:contextualSpacing/>
              <w:rPr>
                <w:color w:val="000000" w:themeColor="text1"/>
                <w:sz w:val="20"/>
                <w:szCs w:val="20"/>
                <w:highlight w:val="yellow"/>
                <w:lang w:val="en-US"/>
              </w:rPr>
            </w:pPr>
          </w:p>
          <w:p w14:paraId="181ECAB5"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{"citationItems":[{"id":"ITEM-1","itemData":{"DOI":"https://doi.org/10.5131/AJCL.2016.0014","abstract":"In the legal system of the premodern Middle East, the closest thing to an autonomous private organization was the Islamic waqf. This non-state institution inhibited political participation, collective action, and rule of law, among other indicators of democratization. It did so through several mechanisms. Its activities were essentially set by its founder, which limited its capacity to meet political challenges. Being designed to provide a service on its own, it could not participate in lasting political coalitions. The waqf’s beneficiaries had no say in evaluating or selecting its officers, and they had trouble forming a political community. Thus, for all the resources it controlled, the Islamic waqf contributed minimally to building civil society. As a core element of Islam’s classical institutional complex, it perpetuated authoritarian rule by keeping the state largely unrestrained. Therein lies a key reason for the slow pace of the Middle East’s democratization process.","author":[{"dropping-particle":"","family":"Kuran","given":"Timur","non-dropping-particle":"","parse-names":false,"suffix":""}],"container-title":"The American Journal of Comparative Law","id":"ITEM-1","issue":"2","issued":{"date-parts":[["2016"]]},"page":"419-454","title":"Legal Roots of Authoritarian Rule in the Middle East: Civic Legacies of the Islamic Waqf","type":"article-journal","volume":"64"},"uris":["http://www.mendeley.com/documents/?uuid=eb0fa450-c640-434f-be94-e812754e33b8"]}],"mendeley":{"formattedCitation":"[95]","plainTextFormattedCitation":"[95]","previouslyFormattedCitation":"[80]"},"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[95]</w:t>
            </w:r>
            <w:r w:rsidRPr="00D549EE">
              <w:rPr>
                <w:color w:val="000000" w:themeColor="text1"/>
                <w:sz w:val="20"/>
                <w:szCs w:val="20"/>
                <w:lang w:val="en-US"/>
              </w:rPr>
              <w:fldChar w:fldCharType="end"/>
            </w:r>
          </w:p>
          <w:p w14:paraId="705347CF" w14:textId="77777777" w:rsidR="00375289" w:rsidRPr="00D549EE" w:rsidRDefault="00375289" w:rsidP="00375289">
            <w:pPr>
              <w:contextualSpacing/>
              <w:rPr>
                <w:color w:val="000000" w:themeColor="text1"/>
                <w:sz w:val="20"/>
                <w:szCs w:val="20"/>
                <w:highlight w:val="yellow"/>
                <w:lang w:val="en-US"/>
              </w:rPr>
            </w:pPr>
          </w:p>
          <w:p w14:paraId="45F6CA08" w14:textId="77777777" w:rsidR="00375289" w:rsidRPr="00D549EE" w:rsidRDefault="00375289" w:rsidP="00375289">
            <w:pPr>
              <w:contextualSpacing/>
              <w:rPr>
                <w:color w:val="000000" w:themeColor="text1"/>
                <w:sz w:val="20"/>
                <w:szCs w:val="20"/>
                <w:highlight w:val="yellow"/>
                <w:lang w:val="en-US"/>
              </w:rPr>
            </w:pPr>
          </w:p>
          <w:p w14:paraId="27B17C3C" w14:textId="77777777" w:rsidR="00375289" w:rsidRPr="00D549EE" w:rsidRDefault="00375289" w:rsidP="00375289">
            <w:pPr>
              <w:contextualSpacing/>
              <w:rPr>
                <w:color w:val="000000" w:themeColor="text1"/>
                <w:sz w:val="20"/>
                <w:szCs w:val="20"/>
                <w:highlight w:val="yellow"/>
                <w:lang w:val="en-US"/>
              </w:rPr>
            </w:pPr>
          </w:p>
          <w:p w14:paraId="5EF7CFC7" w14:textId="77777777" w:rsidR="00375289" w:rsidRPr="00D549EE" w:rsidRDefault="00375289" w:rsidP="00375289">
            <w:pPr>
              <w:contextualSpacing/>
              <w:rPr>
                <w:color w:val="000000" w:themeColor="text1"/>
                <w:sz w:val="20"/>
                <w:szCs w:val="20"/>
                <w:highlight w:val="yellow"/>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{"citationItems":[{"id":"ITEM-1","itemData":{"abstract":"The aim of the study is to present the basic principles which guide the financial activities and operations within an Islamic bank and to see how the Islamic banking activities diverge from a conventional bank. Our purpose is also to show how Islamic banks may contribute to provide financial services to the real economy. The idealistic basis of an Islamic financial system exceeds the simple interaction of production factor and economic behavior. It can be completely respected only in the case of Islam’s directives on the business ethics, wealth distribution, social and economic justice and honesty, and the role of the state. While the conventional economic vision focuses principally on the economic and financial aspects of operations, the Islamic economic doctrine focuses on the ethical, moral, social, and religious dimensions, to improve equality and fairness which are the values of Islamic commandment and its practical application via the development of Islamic economics. It is not necessary that the parties of an Islamic financial contract be Muslims; however, they should respect the ethical norms and values emphasized by Islamic law (Shari’ah).","author":[{"dropping-particle":"","family":"Daly","given":"Saïda","non-dropping-particle":"","parse-names":false,"suffix":""},{"dropping-particle":"","family":"Frikha","given":"Mohamed","non-dropping-particle":"","parse-names":false,"suffix":""}],"container-title":"Journal of the Knowledge Economy volume","id":"ITEM-1","issue":"7","issued":{"date-parts":[["2016"]]},"page":"496-512","title":"Islamic Finance: Basic Principles and Contributions in Financing Economic","type":"article-journal"},"uris":["http://www.mendeley.com/documents/?uuid=90e43a7f-e300-4b6f-a474-9b95893d99ef"]}],"mendeley":{"formattedCitation":"[96]","plainTextFormattedCitation":"[96]","previouslyFormattedCitation":"[42]"},"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[96]</w:t>
            </w:r>
            <w:r w:rsidRPr="00D549EE">
              <w:rPr>
                <w:color w:val="000000" w:themeColor="text1"/>
                <w:sz w:val="20"/>
                <w:szCs w:val="20"/>
                <w:lang w:val="en-US"/>
              </w:rPr>
              <w:fldChar w:fldCharType="end"/>
            </w:r>
          </w:p>
        </w:tc>
        <w:tc>
          <w:tcPr>
            <w:tcW w:w="2693" w:type="dxa"/>
          </w:tcPr>
          <w:p w14:paraId="63EAF828" w14:textId="77777777" w:rsidR="00375289" w:rsidRPr="00D549EE" w:rsidRDefault="00375289" w:rsidP="00375289">
            <w:pPr>
              <w:rPr>
                <w:color w:val="000000" w:themeColor="text1"/>
                <w:sz w:val="20"/>
                <w:szCs w:val="20"/>
                <w:lang w:val="en-US"/>
              </w:rPr>
            </w:pPr>
            <w:r w:rsidRPr="00D549EE">
              <w:rPr>
                <w:color w:val="000000" w:themeColor="text1"/>
                <w:sz w:val="20"/>
                <w:szCs w:val="20"/>
                <w:lang w:val="en-US"/>
              </w:rPr>
              <w:t>Conceptual analysis of the inclusive framework of Islamic financial planning</w:t>
            </w:r>
          </w:p>
          <w:p w14:paraId="483F01D4" w14:textId="77777777" w:rsidR="00375289" w:rsidRPr="00D549EE" w:rsidRDefault="00375289" w:rsidP="00375289">
            <w:pPr>
              <w:rPr>
                <w:color w:val="000000" w:themeColor="text1"/>
                <w:sz w:val="20"/>
                <w:szCs w:val="20"/>
                <w:lang w:val="en-US"/>
              </w:rPr>
            </w:pPr>
          </w:p>
          <w:p w14:paraId="3436000D" w14:textId="77777777" w:rsidR="00375289" w:rsidRPr="00D549EE" w:rsidRDefault="00375289" w:rsidP="00375289">
            <w:pPr>
              <w:rPr>
                <w:color w:val="000000" w:themeColor="text1"/>
                <w:sz w:val="20"/>
                <w:szCs w:val="20"/>
                <w:lang w:val="en-US"/>
              </w:rPr>
            </w:pPr>
            <w:r w:rsidRPr="00D549EE">
              <w:rPr>
                <w:color w:val="000000" w:themeColor="text1"/>
                <w:sz w:val="20"/>
                <w:szCs w:val="20"/>
                <w:lang w:val="en-US"/>
              </w:rPr>
              <w:t>Qualitative analysis of the links between financial inclusion and the Islamic financial services industry in Muslim countries</w:t>
            </w:r>
          </w:p>
          <w:p w14:paraId="16ACCAFE" w14:textId="77777777" w:rsidR="00375289" w:rsidRPr="00D549EE" w:rsidRDefault="00375289" w:rsidP="00375289">
            <w:pPr>
              <w:contextualSpacing/>
              <w:rPr>
                <w:color w:val="000000" w:themeColor="text1"/>
                <w:sz w:val="20"/>
                <w:szCs w:val="20"/>
                <w:lang w:val="en-US"/>
              </w:rPr>
            </w:pPr>
          </w:p>
          <w:p w14:paraId="7DF424B2"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Quantitative analysis of Malaysian MS1900 QMS empirical data and qualitative approach and case study</w:t>
            </w:r>
          </w:p>
          <w:p w14:paraId="1A30CA3C" w14:textId="77777777" w:rsidR="00375289" w:rsidRPr="00D549EE" w:rsidRDefault="00375289" w:rsidP="00375289">
            <w:pPr>
              <w:contextualSpacing/>
              <w:rPr>
                <w:color w:val="000000" w:themeColor="text1"/>
                <w:sz w:val="20"/>
                <w:szCs w:val="20"/>
                <w:lang w:val="en-US"/>
              </w:rPr>
            </w:pPr>
          </w:p>
          <w:p w14:paraId="5CCB2627"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Review of Civic Legacies of the Islamic Waqf</w:t>
            </w:r>
          </w:p>
          <w:p w14:paraId="78839582" w14:textId="77777777" w:rsidR="00375289" w:rsidRPr="00D549EE" w:rsidRDefault="00375289" w:rsidP="00375289">
            <w:pPr>
              <w:contextualSpacing/>
              <w:rPr>
                <w:color w:val="000000" w:themeColor="text1"/>
                <w:sz w:val="20"/>
                <w:szCs w:val="20"/>
                <w:lang w:val="en-US"/>
              </w:rPr>
            </w:pPr>
          </w:p>
          <w:p w14:paraId="6B0B9948" w14:textId="77777777" w:rsidR="00375289" w:rsidRPr="00D549EE" w:rsidRDefault="00375289" w:rsidP="00375289">
            <w:pPr>
              <w:contextualSpacing/>
              <w:rPr>
                <w:color w:val="000000" w:themeColor="text1"/>
                <w:sz w:val="20"/>
                <w:szCs w:val="20"/>
                <w:lang w:val="en-US"/>
              </w:rPr>
            </w:pPr>
          </w:p>
          <w:p w14:paraId="37043F24"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Comparative analysis of Islamic and conventional finance</w:t>
            </w:r>
          </w:p>
        </w:tc>
        <w:tc>
          <w:tcPr>
            <w:tcW w:w="2540" w:type="dxa"/>
          </w:tcPr>
          <w:p w14:paraId="38F715C8"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An inclusive IFP framework identification by using the notion of a hierarchy of needs and a financial planning model</w:t>
            </w:r>
          </w:p>
          <w:p w14:paraId="7A0B5AFE" w14:textId="77777777" w:rsidR="00375289" w:rsidRPr="00D549EE" w:rsidRDefault="00375289" w:rsidP="00375289">
            <w:pPr>
              <w:rPr>
                <w:color w:val="000000" w:themeColor="text1"/>
                <w:sz w:val="20"/>
                <w:szCs w:val="20"/>
                <w:lang w:val="en-US"/>
              </w:rPr>
            </w:pPr>
            <w:r w:rsidRPr="00D549EE">
              <w:rPr>
                <w:color w:val="000000" w:themeColor="text1"/>
                <w:sz w:val="20"/>
                <w:szCs w:val="20"/>
                <w:lang w:val="en-US"/>
              </w:rPr>
              <w:t xml:space="preserve">The individuals and firms financially exclusion in Muslim countries, despite the growth of Islamic finance </w:t>
            </w:r>
          </w:p>
          <w:p w14:paraId="20AEAB1A"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Finding the six activities undertaken by MS1900 and benefits of MS1900 implementation</w:t>
            </w:r>
          </w:p>
          <w:p w14:paraId="67E6BC6A" w14:textId="77777777" w:rsidR="00375289" w:rsidRPr="00D549EE" w:rsidRDefault="00375289" w:rsidP="00375289">
            <w:pPr>
              <w:contextualSpacing/>
              <w:rPr>
                <w:color w:val="000000" w:themeColor="text1"/>
                <w:sz w:val="20"/>
                <w:szCs w:val="20"/>
                <w:lang w:val="en-US"/>
              </w:rPr>
            </w:pPr>
          </w:p>
          <w:p w14:paraId="19D722A6"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Identification key reason for the slow pace of the Middle East’s democratization process</w:t>
            </w:r>
          </w:p>
          <w:p w14:paraId="6D59029C"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Contribution of Islamic financial services providing financing real economy</w:t>
            </w:r>
          </w:p>
        </w:tc>
      </w:tr>
      <w:tr w:rsidR="00375289" w:rsidRPr="00FC685D" w14:paraId="7486FF6C" w14:textId="77777777" w:rsidTr="00375289">
        <w:tc>
          <w:tcPr>
            <w:tcW w:w="988" w:type="dxa"/>
          </w:tcPr>
          <w:p w14:paraId="68E2E482"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69</w:t>
            </w:r>
          </w:p>
        </w:tc>
        <w:tc>
          <w:tcPr>
            <w:tcW w:w="1275" w:type="dxa"/>
          </w:tcPr>
          <w:p w14:paraId="636538E0"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2017</w:t>
            </w:r>
          </w:p>
          <w:p w14:paraId="3D43C78F"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(16)</w:t>
            </w:r>
          </w:p>
          <w:p w14:paraId="6C4B9F26" w14:textId="77777777" w:rsidR="00375289" w:rsidRPr="00D549EE" w:rsidRDefault="00375289" w:rsidP="00375289">
            <w:pPr>
              <w:contextualSpacing/>
              <w:rPr>
                <w:color w:val="000000" w:themeColor="text1"/>
                <w:sz w:val="20"/>
                <w:szCs w:val="20"/>
                <w:lang w:val="en-US"/>
              </w:rPr>
            </w:pPr>
          </w:p>
          <w:p w14:paraId="2C256BB8" w14:textId="77777777" w:rsidR="00375289" w:rsidRPr="00D549EE" w:rsidRDefault="00375289" w:rsidP="00375289">
            <w:pPr>
              <w:contextualSpacing/>
              <w:rPr>
                <w:color w:val="000000" w:themeColor="text1"/>
                <w:sz w:val="20"/>
                <w:szCs w:val="20"/>
                <w:lang w:val="en-US"/>
              </w:rPr>
            </w:pPr>
          </w:p>
          <w:p w14:paraId="32A22F83" w14:textId="77777777" w:rsidR="00375289" w:rsidRPr="00D549EE" w:rsidRDefault="00375289" w:rsidP="00375289">
            <w:pPr>
              <w:contextualSpacing/>
              <w:rPr>
                <w:color w:val="000000" w:themeColor="text1"/>
                <w:sz w:val="20"/>
                <w:szCs w:val="20"/>
                <w:lang w:val="en-US"/>
              </w:rPr>
            </w:pPr>
          </w:p>
          <w:p w14:paraId="13057AE0" w14:textId="77777777" w:rsidR="00375289" w:rsidRPr="00D549EE" w:rsidRDefault="00375289" w:rsidP="00375289">
            <w:pPr>
              <w:contextualSpacing/>
              <w:rPr>
                <w:color w:val="000000" w:themeColor="text1"/>
                <w:sz w:val="20"/>
                <w:szCs w:val="20"/>
                <w:lang w:val="en-US"/>
              </w:rPr>
            </w:pPr>
          </w:p>
          <w:p w14:paraId="5447A563"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(18)</w:t>
            </w:r>
          </w:p>
          <w:p w14:paraId="5BA0A1C7" w14:textId="77777777" w:rsidR="00375289" w:rsidRPr="00D549EE" w:rsidRDefault="00375289" w:rsidP="00375289">
            <w:pPr>
              <w:contextualSpacing/>
              <w:rPr>
                <w:color w:val="000000" w:themeColor="text1"/>
                <w:sz w:val="20"/>
                <w:szCs w:val="20"/>
                <w:lang w:val="en-US"/>
              </w:rPr>
            </w:pPr>
          </w:p>
          <w:p w14:paraId="3C6B2ED4" w14:textId="77777777" w:rsidR="00375289" w:rsidRPr="00D549EE" w:rsidRDefault="00375289" w:rsidP="00375289">
            <w:pPr>
              <w:contextualSpacing/>
              <w:rPr>
                <w:color w:val="000000" w:themeColor="text1"/>
                <w:sz w:val="20"/>
                <w:szCs w:val="20"/>
                <w:lang w:val="en-US"/>
              </w:rPr>
            </w:pPr>
          </w:p>
          <w:p w14:paraId="76F04531" w14:textId="77777777" w:rsidR="00375289" w:rsidRPr="00D549EE" w:rsidRDefault="00375289" w:rsidP="00375289">
            <w:pPr>
              <w:contextualSpacing/>
              <w:rPr>
                <w:color w:val="000000" w:themeColor="text1"/>
                <w:sz w:val="20"/>
                <w:szCs w:val="20"/>
                <w:lang w:val="en-US"/>
              </w:rPr>
            </w:pPr>
          </w:p>
          <w:p w14:paraId="7A9B6242" w14:textId="77777777" w:rsidR="00375289" w:rsidRPr="00D549EE" w:rsidRDefault="00375289" w:rsidP="00375289">
            <w:pPr>
              <w:contextualSpacing/>
              <w:rPr>
                <w:color w:val="000000" w:themeColor="text1"/>
                <w:sz w:val="20"/>
                <w:szCs w:val="20"/>
                <w:lang w:val="en-US"/>
              </w:rPr>
            </w:pPr>
          </w:p>
          <w:p w14:paraId="361568C0" w14:textId="77777777" w:rsidR="00375289" w:rsidRPr="00D549EE" w:rsidRDefault="00375289" w:rsidP="00375289">
            <w:pPr>
              <w:contextualSpacing/>
              <w:rPr>
                <w:color w:val="000000" w:themeColor="text1"/>
                <w:sz w:val="20"/>
                <w:szCs w:val="20"/>
                <w:lang w:val="en-US"/>
              </w:rPr>
            </w:pPr>
          </w:p>
          <w:p w14:paraId="6E606171" w14:textId="77777777" w:rsidR="00375289" w:rsidRPr="00D549EE" w:rsidRDefault="00375289" w:rsidP="00375289">
            <w:pPr>
              <w:contextualSpacing/>
              <w:rPr>
                <w:color w:val="000000" w:themeColor="text1"/>
                <w:sz w:val="20"/>
                <w:szCs w:val="20"/>
                <w:lang w:val="en-US"/>
              </w:rPr>
            </w:pPr>
          </w:p>
          <w:p w14:paraId="02872823"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(5)</w:t>
            </w:r>
          </w:p>
          <w:p w14:paraId="21B8BCFE" w14:textId="77777777" w:rsidR="00375289" w:rsidRPr="00D549EE" w:rsidRDefault="00375289" w:rsidP="00AA2938">
            <w:pPr>
              <w:contextualSpacing/>
              <w:rPr>
                <w:color w:val="000000" w:themeColor="text1"/>
                <w:sz w:val="20"/>
                <w:szCs w:val="20"/>
                <w:lang w:val="en-US"/>
              </w:rPr>
            </w:pPr>
          </w:p>
        </w:tc>
        <w:tc>
          <w:tcPr>
            <w:tcW w:w="1843" w:type="dxa"/>
          </w:tcPr>
          <w:p w14:paraId="4737227B"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{"citationItems":[{"id":"ITEM-1","itemData":{"DOI":"10.1080/1540496X.2016.1262761","ISSN":"15580938","abstract":"This study reviews literature on the Islamic banking sustainability and presents directions for future research. The article discourses scholars’ and practitioners’ views on the two perspectives of sustainability in relation to the objectives of Islamic banking and finance. That there are limited studies on Islamic banking sustainability is one of the major issues presented in the article. The study highlights essential issues on the sustainability without in-depth empirical analysis. The needs for long-term economic, social, and environmental sustainability are not a compromising issue. Therefore, Islamic banks must strike a balance between the institutional, societal, and environmental sustainability in order to achieve the objective of Sharia.","author":[{"dropping-particle":"","family":"Aliyu","given":"Sirajo","non-dropping-particle":"","parse-names":false,"suffix":""},{"dropping-particle":"","family":"Hassan","given":"M. Kabir","non-dropping-particle":"","parse-names":false,"suffix":""},{"dropping-particle":"","family":"Mohd Yusof","given":"Rosylin","non-dropping-particle":"","parse-names":false,"suffix":""},{"dropping-particle":"","family":"Naiimi","given":"Nasri","non-dropping-particle":"","parse-names":false,"suffix":""}],"container-title":"Emerging Markets Finance and Trade","id":"ITEM-1","issue":"2","issued":{"date-parts":[["2017"]]},"page":"440-470","title":"Islamic Banking Sustainability: A Review of Literature and Directions for Future Research","type":"article-journal","volume":"53"},"uris":["http://www.mendeley.com/documents/?uuid=21478f20-a3fa-46e5-87ce-4c669f0c2c92"]}],"mendeley":{"formattedCitation":"[97]","plainTextFormattedCitation":"[97]","previouslyFormattedCitation":"[22]"},"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[97]</w:t>
            </w:r>
            <w:r w:rsidRPr="00D549EE">
              <w:rPr>
                <w:color w:val="000000" w:themeColor="text1"/>
                <w:sz w:val="20"/>
                <w:szCs w:val="20"/>
                <w:lang w:val="en-US"/>
              </w:rPr>
              <w:fldChar w:fldCharType="end"/>
            </w:r>
          </w:p>
          <w:p w14:paraId="2932AA18" w14:textId="77777777" w:rsidR="00375289" w:rsidRPr="00D549EE" w:rsidRDefault="00375289" w:rsidP="00375289">
            <w:pPr>
              <w:contextualSpacing/>
              <w:rPr>
                <w:color w:val="000000" w:themeColor="text1"/>
                <w:sz w:val="20"/>
                <w:szCs w:val="20"/>
                <w:highlight w:val="yellow"/>
                <w:lang w:val="en-US"/>
              </w:rPr>
            </w:pPr>
          </w:p>
          <w:p w14:paraId="17B4134B" w14:textId="77777777" w:rsidR="00375289" w:rsidRPr="00D549EE" w:rsidRDefault="00375289" w:rsidP="00375289">
            <w:pPr>
              <w:contextualSpacing/>
              <w:rPr>
                <w:color w:val="000000" w:themeColor="text1"/>
                <w:sz w:val="20"/>
                <w:szCs w:val="20"/>
                <w:highlight w:val="yellow"/>
                <w:lang w:val="en-US"/>
              </w:rPr>
            </w:pPr>
          </w:p>
          <w:p w14:paraId="7254DD0A" w14:textId="77777777" w:rsidR="00375289" w:rsidRPr="00D549EE" w:rsidRDefault="00375289" w:rsidP="00375289">
            <w:pPr>
              <w:contextualSpacing/>
              <w:rPr>
                <w:color w:val="000000" w:themeColor="text1"/>
                <w:sz w:val="20"/>
                <w:szCs w:val="20"/>
                <w:highlight w:val="yellow"/>
                <w:lang w:val="en-US"/>
              </w:rPr>
            </w:pPr>
          </w:p>
          <w:p w14:paraId="3CB0BCB3" w14:textId="77777777" w:rsidR="00375289" w:rsidRPr="00D549EE" w:rsidRDefault="00375289" w:rsidP="00375289">
            <w:pPr>
              <w:contextualSpacing/>
              <w:rPr>
                <w:color w:val="000000" w:themeColor="text1"/>
                <w:sz w:val="20"/>
                <w:szCs w:val="20"/>
                <w:highlight w:val="yellow"/>
                <w:lang w:val="en-US"/>
              </w:rPr>
            </w:pPr>
          </w:p>
          <w:p w14:paraId="6343E070" w14:textId="77777777" w:rsidR="00375289" w:rsidRPr="00D549EE" w:rsidRDefault="00375289" w:rsidP="00375289">
            <w:pPr>
              <w:contextualSpacing/>
              <w:rPr>
                <w:color w:val="000000" w:themeColor="text1"/>
                <w:sz w:val="20"/>
                <w:szCs w:val="20"/>
                <w:highlight w:val="yellow"/>
                <w:lang w:val="en-US"/>
              </w:rPr>
            </w:pPr>
          </w:p>
          <w:p w14:paraId="3E06187B"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{"citationItems":[{"id":"ITEM-1","itemData":{"abstract":"This paper aims to examine the impact of Shari’ah supervisory boards (SSBs) on the performance of Islamic banks (IBs). It also tests whether SSBs’ attributes affect the performance of IBs. Based on a sample of 1,803 Islamic bank-year observations from 82 banks in 15 countries over the period 1993-2014 and controlling for factors known to affect bank performance, this study reveals a robust and significant positive relationship between SSBs and Islamic bank performance. This study also shows that the characteristics of SSBs affect the performance of IBs. This research reveals how SSBs influence the performance of IBs, as well as the processes and roles SSBs use to ensure Shari’ah compliance in business transactions.","author":[{"dropping-particle":"","family":"Ali R. Almutairi","given":"Majdi Anwar Quttainah","non-dropping-particle":"","parse-names":false,"suffix":""}],"container-title":"Social Responsibility Journal","id":"ITEM-1","issue":"3","issued":{"date-parts":[["2017"]]},"title":"Corporate governance: evidence from Islamic banks","type":"article-journal","volume":"13"},"uris":["http://www.mendeley.com/documents/?uuid=2643239b-320b-4f88-9d2d-82481e8127fa"]}],"mendeley":{"formattedCitation":"[98]","plainTextFormattedCitation":"[98]","previouslyFormattedCitation":"[21]"},"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[98]</w:t>
            </w:r>
            <w:r w:rsidRPr="00D549EE">
              <w:rPr>
                <w:color w:val="000000" w:themeColor="text1"/>
                <w:sz w:val="20"/>
                <w:szCs w:val="20"/>
                <w:lang w:val="en-US"/>
              </w:rPr>
              <w:fldChar w:fldCharType="end"/>
            </w:r>
          </w:p>
          <w:p w14:paraId="0AE600D3" w14:textId="77777777" w:rsidR="00375289" w:rsidRPr="00D549EE" w:rsidRDefault="00375289" w:rsidP="00375289">
            <w:pPr>
              <w:contextualSpacing/>
              <w:rPr>
                <w:color w:val="000000" w:themeColor="text1"/>
                <w:sz w:val="20"/>
                <w:szCs w:val="20"/>
                <w:highlight w:val="yellow"/>
                <w:lang w:val="en-US"/>
              </w:rPr>
            </w:pPr>
          </w:p>
          <w:p w14:paraId="34BA65D6" w14:textId="77777777" w:rsidR="00375289" w:rsidRPr="00D549EE" w:rsidRDefault="00375289" w:rsidP="00375289">
            <w:pPr>
              <w:contextualSpacing/>
              <w:rPr>
                <w:color w:val="000000" w:themeColor="text1"/>
                <w:sz w:val="20"/>
                <w:szCs w:val="20"/>
                <w:highlight w:val="yellow"/>
                <w:lang w:val="en-US"/>
              </w:rPr>
            </w:pPr>
          </w:p>
          <w:p w14:paraId="6DE18BA5" w14:textId="77777777" w:rsidR="00375289" w:rsidRPr="00D549EE" w:rsidRDefault="00375289" w:rsidP="00375289">
            <w:pPr>
              <w:contextualSpacing/>
              <w:rPr>
                <w:color w:val="000000" w:themeColor="text1"/>
                <w:sz w:val="20"/>
                <w:szCs w:val="20"/>
                <w:highlight w:val="yellow"/>
                <w:lang w:val="en-US"/>
              </w:rPr>
            </w:pPr>
          </w:p>
          <w:p w14:paraId="00B72F08" w14:textId="77777777" w:rsidR="00375289" w:rsidRPr="00D549EE" w:rsidRDefault="00375289" w:rsidP="00375289">
            <w:pPr>
              <w:contextualSpacing/>
              <w:rPr>
                <w:color w:val="000000" w:themeColor="text1"/>
                <w:sz w:val="20"/>
                <w:szCs w:val="20"/>
                <w:highlight w:val="yellow"/>
                <w:lang w:val="en-US"/>
              </w:rPr>
            </w:pPr>
          </w:p>
          <w:p w14:paraId="0E940393" w14:textId="77777777" w:rsidR="00375289" w:rsidRPr="00D549EE" w:rsidRDefault="00375289" w:rsidP="00375289">
            <w:pPr>
              <w:contextualSpacing/>
              <w:rPr>
                <w:color w:val="000000" w:themeColor="text1"/>
                <w:sz w:val="20"/>
                <w:szCs w:val="20"/>
                <w:highlight w:val="yellow"/>
                <w:lang w:val="en-US"/>
              </w:rPr>
            </w:pPr>
          </w:p>
          <w:p w14:paraId="5F59E4AF"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{"citationItems":[{"id":"ITEM-1","itemData":{"abstract":"Because of chronic financial crises experienced during past several decades repeatedly and a failure to protect investors’ rights as a result, the world is looking for an alternative form of stock market for quite some time so that interests of all relevant stakeholders can be safeguarded. At the same time, from the perspectives of devout Muslims, the current form of stock market restricts a Muslim to make investments in the market because of several unsatisfying provisions from the viewpoint of the Islamic law known as Shariah. This study aims to provide the criteria under which conditions of the Islamic Shariah permit making investments in the stock market. Hand in hand with that primary discussion, it has been eluded briefly why the Islamic Shariah principles offer a better alternative against conventional practices of the stock market.","author":[{"dropping-particle":"","family":"Md. Mahmudul Alam, Chowdhury Shahed Akbar, Shawon Muhammad Shahriar","given":"Mohammad Monzur Elahi","non-dropping-particle":"","parse-names":false,"suffix":""}],"container-title":"Qualitative Research in Financial Markets","id":"ITEM-1","issue":"2","issued":{"date-parts":[["2017"]]},"title":"The Islamic Shariah principles for investment in stock market","type":"article-journal","volume":"9"},"uris":["http://www.mendeley.com/documents/?uuid=dbaff178-136d-4c84-8e26-63ce8387ac50"]}],"mendeley":{"formattedCitation":"[99]","plainTextFormattedCitation":"[99]","previouslyFormattedCitation":"[88]"},"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[99]</w:t>
            </w:r>
            <w:r w:rsidRPr="00D549EE">
              <w:rPr>
                <w:color w:val="000000" w:themeColor="text1"/>
                <w:sz w:val="20"/>
                <w:szCs w:val="20"/>
                <w:lang w:val="en-US"/>
              </w:rPr>
              <w:fldChar w:fldCharType="end"/>
            </w:r>
          </w:p>
          <w:p w14:paraId="16A70174" w14:textId="77777777" w:rsidR="00375289" w:rsidRPr="00D549EE" w:rsidRDefault="00375289" w:rsidP="00375289">
            <w:pPr>
              <w:contextualSpacing/>
              <w:rPr>
                <w:color w:val="000000" w:themeColor="text1"/>
                <w:sz w:val="20"/>
                <w:szCs w:val="20"/>
                <w:highlight w:val="yellow"/>
                <w:lang w:val="en-US"/>
              </w:rPr>
            </w:pPr>
          </w:p>
          <w:p w14:paraId="1FEF8247"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{"citationItems":[{"id":"ITEM-1","itemData":{"abstract":"Abstract Purpose The purpose of this paper is to contribute to the literature on management of waqf institutions by developing a contingency framework and outlining approaches that can be followed to instigate a comprehensive performance measurement system (PMS).","author":[{"dropping-particle":"","family":"Nazrul Hazizi Noordin, Siti Nurah Haron","given":"Salina Kassim","non-dropping-particle":"","parse-names":false,"suffix":""}],"container-title":"Economics, International Journal of Social","id":"ITEM-1","issue":"7","issued":{"date-parts":[["2017"]]},"title":"Developing a comprehensive performance measurement system for waqf institutions","type":"article-journal","volume":"44"},"uris":["http://www.mendeley.com/documents/?uuid=b60e1569-296f-44b6-91c8-c1300bdd1464"]}],"mendeley":{"formattedCitation":"[100]","plainTextFormattedCitation":"[100]","previouslyFormattedCitation":"[102]"},"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[100]</w:t>
            </w:r>
            <w:r w:rsidRPr="00D549EE">
              <w:rPr>
                <w:color w:val="000000" w:themeColor="text1"/>
                <w:sz w:val="20"/>
                <w:szCs w:val="20"/>
                <w:lang w:val="en-US"/>
              </w:rPr>
              <w:fldChar w:fldCharType="end"/>
            </w:r>
          </w:p>
          <w:p w14:paraId="51D2A414" w14:textId="77777777" w:rsidR="00375289" w:rsidRPr="00D549EE" w:rsidRDefault="00375289" w:rsidP="00375289">
            <w:pPr>
              <w:contextualSpacing/>
              <w:rPr>
                <w:color w:val="000000" w:themeColor="text1"/>
                <w:sz w:val="20"/>
                <w:szCs w:val="20"/>
                <w:highlight w:val="yellow"/>
                <w:lang w:val="en-US"/>
              </w:rPr>
            </w:pPr>
          </w:p>
        </w:tc>
        <w:tc>
          <w:tcPr>
            <w:tcW w:w="2693" w:type="dxa"/>
          </w:tcPr>
          <w:p w14:paraId="18ED6311" w14:textId="77777777" w:rsidR="00375289" w:rsidRPr="00D549EE" w:rsidRDefault="00375289" w:rsidP="00375289">
            <w:pPr>
              <w:rPr>
                <w:color w:val="000000" w:themeColor="text1"/>
                <w:sz w:val="20"/>
                <w:szCs w:val="20"/>
                <w:lang w:val="en-US"/>
              </w:rPr>
            </w:pPr>
            <w:r w:rsidRPr="00D549EE">
              <w:rPr>
                <w:color w:val="000000" w:themeColor="text1"/>
                <w:sz w:val="20"/>
                <w:szCs w:val="20"/>
                <w:lang w:val="en-US"/>
              </w:rPr>
              <w:t>Systematic literature reviews on the Islamic banking sustainability</w:t>
            </w:r>
            <w:r w:rsidRPr="00D549EE">
              <w:rPr>
                <w:rStyle w:val="apple-converted-space"/>
                <w:color w:val="000000" w:themeColor="text1"/>
                <w:sz w:val="20"/>
                <w:szCs w:val="20"/>
                <w:lang w:val="en-US"/>
              </w:rPr>
              <w:t> </w:t>
            </w:r>
          </w:p>
          <w:p w14:paraId="65FE47CF" w14:textId="77777777" w:rsidR="00375289" w:rsidRPr="00D549EE" w:rsidRDefault="00375289" w:rsidP="00375289">
            <w:pPr>
              <w:rPr>
                <w:color w:val="000000" w:themeColor="text1"/>
                <w:lang w:val="en-US"/>
              </w:rPr>
            </w:pPr>
          </w:p>
          <w:p w14:paraId="6715B8B9" w14:textId="77777777" w:rsidR="00375289" w:rsidRPr="00D549EE" w:rsidRDefault="00375289" w:rsidP="00375289">
            <w:pPr>
              <w:contextualSpacing/>
              <w:rPr>
                <w:color w:val="000000" w:themeColor="text1"/>
                <w:sz w:val="20"/>
                <w:szCs w:val="20"/>
                <w:lang w:val="en-US"/>
              </w:rPr>
            </w:pPr>
          </w:p>
          <w:p w14:paraId="475C79F5" w14:textId="77777777" w:rsidR="00375289" w:rsidRPr="00D549EE" w:rsidRDefault="00375289" w:rsidP="00375289">
            <w:pPr>
              <w:contextualSpacing/>
              <w:rPr>
                <w:color w:val="000000" w:themeColor="text1"/>
                <w:sz w:val="20"/>
                <w:szCs w:val="20"/>
                <w:lang w:val="en-US"/>
              </w:rPr>
            </w:pPr>
          </w:p>
          <w:p w14:paraId="41BF834C" w14:textId="77777777" w:rsidR="00375289" w:rsidRPr="00D549EE" w:rsidRDefault="00375289" w:rsidP="00375289">
            <w:pPr>
              <w:rPr>
                <w:color w:val="000000" w:themeColor="text1"/>
                <w:lang w:val="en-US"/>
              </w:rPr>
            </w:pPr>
            <w:r w:rsidRPr="00D549EE">
              <w:rPr>
                <w:color w:val="000000" w:themeColor="text1"/>
                <w:sz w:val="20"/>
                <w:szCs w:val="20"/>
                <w:shd w:val="clear" w:color="auto" w:fill="FFFFFF"/>
                <w:lang w:val="en-US"/>
              </w:rPr>
              <w:t>A multivariate data analysis (1806), a clustered regression (82 banks), and unbiased t-statistics</w:t>
            </w:r>
          </w:p>
          <w:p w14:paraId="6B1CC589" w14:textId="77777777" w:rsidR="00375289" w:rsidRPr="00D549EE" w:rsidRDefault="00375289" w:rsidP="00375289">
            <w:pPr>
              <w:rPr>
                <w:color w:val="000000" w:themeColor="text1"/>
                <w:lang w:val="en-US"/>
              </w:rPr>
            </w:pPr>
          </w:p>
          <w:p w14:paraId="49D30B2F" w14:textId="77777777" w:rsidR="00375289" w:rsidRPr="00D549EE" w:rsidRDefault="00375289" w:rsidP="00375289">
            <w:pPr>
              <w:rPr>
                <w:color w:val="000000" w:themeColor="text1"/>
                <w:sz w:val="20"/>
                <w:szCs w:val="20"/>
                <w:lang w:val="en-US"/>
              </w:rPr>
            </w:pPr>
          </w:p>
          <w:p w14:paraId="72468748" w14:textId="4AFC8FED" w:rsidR="00375289" w:rsidRPr="00D549EE" w:rsidRDefault="00375289" w:rsidP="00AA2938">
            <w:pPr>
              <w:rPr>
                <w:color w:val="000000" w:themeColor="text1"/>
                <w:sz w:val="20"/>
                <w:szCs w:val="20"/>
                <w:shd w:val="clear" w:color="auto" w:fill="FFFFFF"/>
                <w:lang w:val="en-US"/>
              </w:rPr>
            </w:pPr>
            <w:r w:rsidRPr="00D549EE">
              <w:rPr>
                <w:color w:val="000000" w:themeColor="text1"/>
                <w:sz w:val="20"/>
                <w:szCs w:val="20"/>
                <w:shd w:val="clear" w:color="auto" w:fill="FFFFFF"/>
                <w:lang w:val="en-US"/>
              </w:rPr>
              <w:t>The descriptive study based on the literature review</w:t>
            </w:r>
          </w:p>
        </w:tc>
        <w:tc>
          <w:tcPr>
            <w:tcW w:w="2540" w:type="dxa"/>
          </w:tcPr>
          <w:p w14:paraId="16C0D2E4" w14:textId="77777777" w:rsidR="00375289" w:rsidRPr="00D549EE" w:rsidRDefault="00375289" w:rsidP="00375289">
            <w:pPr>
              <w:rPr>
                <w:color w:val="000000" w:themeColor="text1"/>
                <w:sz w:val="20"/>
                <w:szCs w:val="20"/>
                <w:lang w:val="en-US"/>
              </w:rPr>
            </w:pPr>
            <w:r w:rsidRPr="00D549EE">
              <w:rPr>
                <w:color w:val="000000" w:themeColor="text1"/>
                <w:sz w:val="20"/>
                <w:szCs w:val="20"/>
                <w:lang w:val="en-US"/>
              </w:rPr>
              <w:t>Scholars’ and practitioners’ views on sustainability to the objectives of Islamic banking and finance, finding the limitation of the researches</w:t>
            </w:r>
          </w:p>
          <w:p w14:paraId="7E672082" w14:textId="77777777" w:rsidR="00375289" w:rsidRPr="00D549EE" w:rsidRDefault="00375289" w:rsidP="00375289">
            <w:pPr>
              <w:rPr>
                <w:color w:val="000000" w:themeColor="text1"/>
                <w:sz w:val="20"/>
                <w:szCs w:val="20"/>
                <w:shd w:val="clear" w:color="auto" w:fill="FFFFFF"/>
                <w:lang w:val="en-US"/>
              </w:rPr>
            </w:pPr>
            <w:r w:rsidRPr="00D549EE">
              <w:rPr>
                <w:color w:val="000000" w:themeColor="text1"/>
                <w:sz w:val="20"/>
                <w:szCs w:val="20"/>
                <w:shd w:val="clear" w:color="auto" w:fill="FFFFFF"/>
                <w:lang w:val="en-US"/>
              </w:rPr>
              <w:t>The large corporate boards and large SSBs are more efficient in dealing with different monitoring and advisory roles than small SSBs</w:t>
            </w:r>
          </w:p>
          <w:p w14:paraId="7FB8EDC8" w14:textId="1D4A6B21" w:rsidR="00375289" w:rsidRPr="00D549EE" w:rsidRDefault="00375289" w:rsidP="00AA2938">
            <w:pPr>
              <w:rPr>
                <w:color w:val="000000" w:themeColor="text1"/>
                <w:sz w:val="20"/>
                <w:szCs w:val="20"/>
                <w:lang w:val="en-US"/>
              </w:rPr>
            </w:pPr>
            <w:r w:rsidRPr="00D549EE">
              <w:rPr>
                <w:color w:val="000000" w:themeColor="text1"/>
                <w:sz w:val="20"/>
                <w:szCs w:val="20"/>
                <w:lang w:val="en-US"/>
              </w:rPr>
              <w:t>Revisiting the norms laid down by Shariah and current global practices of Islamic stock market and indexes</w:t>
            </w:r>
          </w:p>
        </w:tc>
      </w:tr>
      <w:tr w:rsidR="00375289" w:rsidRPr="00FC685D" w14:paraId="4EC820F5" w14:textId="77777777" w:rsidTr="00375289">
        <w:tc>
          <w:tcPr>
            <w:tcW w:w="988" w:type="dxa"/>
          </w:tcPr>
          <w:p w14:paraId="7A01D67B"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91</w:t>
            </w:r>
          </w:p>
        </w:tc>
        <w:tc>
          <w:tcPr>
            <w:tcW w:w="1275" w:type="dxa"/>
          </w:tcPr>
          <w:p w14:paraId="338E1D74"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2018</w:t>
            </w:r>
          </w:p>
          <w:p w14:paraId="6E0CACDA"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(10)</w:t>
            </w:r>
          </w:p>
          <w:p w14:paraId="77500C7F" w14:textId="77777777" w:rsidR="00375289" w:rsidRPr="00D549EE" w:rsidRDefault="00375289" w:rsidP="00375289">
            <w:pPr>
              <w:contextualSpacing/>
              <w:rPr>
                <w:color w:val="000000" w:themeColor="text1"/>
                <w:sz w:val="20"/>
                <w:szCs w:val="20"/>
                <w:lang w:val="en-US"/>
              </w:rPr>
            </w:pPr>
          </w:p>
          <w:p w14:paraId="54FC5427" w14:textId="77777777" w:rsidR="00375289" w:rsidRPr="00D549EE" w:rsidRDefault="00375289" w:rsidP="00375289">
            <w:pPr>
              <w:contextualSpacing/>
              <w:rPr>
                <w:color w:val="000000" w:themeColor="text1"/>
                <w:sz w:val="20"/>
                <w:szCs w:val="20"/>
                <w:lang w:val="en-US"/>
              </w:rPr>
            </w:pPr>
          </w:p>
          <w:p w14:paraId="6F354B49" w14:textId="77777777" w:rsidR="00375289" w:rsidRPr="00D549EE" w:rsidRDefault="00375289" w:rsidP="00375289">
            <w:pPr>
              <w:contextualSpacing/>
              <w:rPr>
                <w:color w:val="000000" w:themeColor="text1"/>
                <w:sz w:val="20"/>
                <w:szCs w:val="20"/>
                <w:lang w:val="en-US"/>
              </w:rPr>
            </w:pPr>
          </w:p>
          <w:p w14:paraId="6A9617AB" w14:textId="77777777" w:rsidR="00375289" w:rsidRPr="00D549EE" w:rsidRDefault="00375289" w:rsidP="00375289">
            <w:pPr>
              <w:contextualSpacing/>
              <w:rPr>
                <w:color w:val="000000" w:themeColor="text1"/>
                <w:sz w:val="20"/>
                <w:szCs w:val="20"/>
                <w:lang w:val="en-US"/>
              </w:rPr>
            </w:pPr>
          </w:p>
          <w:p w14:paraId="1B16E78B" w14:textId="77777777" w:rsidR="00375289" w:rsidRPr="00D549EE" w:rsidRDefault="00375289" w:rsidP="00375289">
            <w:pPr>
              <w:contextualSpacing/>
              <w:rPr>
                <w:color w:val="000000" w:themeColor="text1"/>
                <w:sz w:val="20"/>
                <w:szCs w:val="20"/>
                <w:lang w:val="en-US"/>
              </w:rPr>
            </w:pPr>
          </w:p>
          <w:p w14:paraId="58BD92F7" w14:textId="77777777" w:rsidR="00375289" w:rsidRPr="00D549EE" w:rsidRDefault="00375289" w:rsidP="00375289">
            <w:pPr>
              <w:contextualSpacing/>
              <w:rPr>
                <w:color w:val="000000" w:themeColor="text1"/>
                <w:sz w:val="20"/>
                <w:szCs w:val="20"/>
                <w:lang w:val="en-US"/>
              </w:rPr>
            </w:pPr>
          </w:p>
          <w:p w14:paraId="7BBBF4E7" w14:textId="77777777" w:rsidR="00375289" w:rsidRPr="00D549EE" w:rsidRDefault="00375289" w:rsidP="00375289">
            <w:pPr>
              <w:contextualSpacing/>
              <w:rPr>
                <w:color w:val="000000" w:themeColor="text1"/>
                <w:sz w:val="20"/>
                <w:szCs w:val="20"/>
                <w:lang w:val="en-US"/>
              </w:rPr>
            </w:pPr>
          </w:p>
          <w:p w14:paraId="74AF46B0"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(10)</w:t>
            </w:r>
          </w:p>
          <w:p w14:paraId="0337C90C" w14:textId="77777777" w:rsidR="00375289" w:rsidRPr="00D549EE" w:rsidRDefault="00375289" w:rsidP="00375289">
            <w:pPr>
              <w:contextualSpacing/>
              <w:rPr>
                <w:color w:val="000000" w:themeColor="text1"/>
                <w:sz w:val="20"/>
                <w:szCs w:val="20"/>
                <w:lang w:val="en-US"/>
              </w:rPr>
            </w:pPr>
          </w:p>
          <w:p w14:paraId="0E28959F" w14:textId="77777777" w:rsidR="00375289" w:rsidRPr="00D549EE" w:rsidRDefault="00375289" w:rsidP="00375289">
            <w:pPr>
              <w:contextualSpacing/>
              <w:rPr>
                <w:color w:val="000000" w:themeColor="text1"/>
                <w:sz w:val="20"/>
                <w:szCs w:val="20"/>
                <w:lang w:val="en-US"/>
              </w:rPr>
            </w:pPr>
          </w:p>
          <w:p w14:paraId="4600BA73" w14:textId="77777777" w:rsidR="00375289" w:rsidRPr="00D549EE" w:rsidRDefault="00375289" w:rsidP="00375289">
            <w:pPr>
              <w:contextualSpacing/>
              <w:rPr>
                <w:color w:val="000000" w:themeColor="text1"/>
                <w:sz w:val="20"/>
                <w:szCs w:val="20"/>
                <w:lang w:val="en-US"/>
              </w:rPr>
            </w:pPr>
          </w:p>
          <w:p w14:paraId="24FD9569" w14:textId="77777777" w:rsidR="00375289" w:rsidRPr="00D549EE" w:rsidRDefault="00375289" w:rsidP="00375289">
            <w:pPr>
              <w:contextualSpacing/>
              <w:rPr>
                <w:color w:val="000000" w:themeColor="text1"/>
                <w:sz w:val="20"/>
                <w:szCs w:val="20"/>
                <w:lang w:val="en-US"/>
              </w:rPr>
            </w:pPr>
          </w:p>
          <w:p w14:paraId="2F59A97F" w14:textId="77777777" w:rsidR="00375289" w:rsidRPr="00D549EE" w:rsidRDefault="00375289" w:rsidP="00375289">
            <w:pPr>
              <w:contextualSpacing/>
              <w:rPr>
                <w:color w:val="000000" w:themeColor="text1"/>
                <w:sz w:val="20"/>
                <w:szCs w:val="20"/>
                <w:lang w:val="en-US"/>
              </w:rPr>
            </w:pPr>
          </w:p>
          <w:p w14:paraId="1DC84A80"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(8)</w:t>
            </w:r>
          </w:p>
          <w:p w14:paraId="27DED06A" w14:textId="77777777" w:rsidR="00375289" w:rsidRPr="00D549EE" w:rsidRDefault="00375289" w:rsidP="00375289">
            <w:pPr>
              <w:contextualSpacing/>
              <w:rPr>
                <w:color w:val="000000" w:themeColor="text1"/>
                <w:sz w:val="20"/>
                <w:szCs w:val="20"/>
                <w:lang w:val="en-US"/>
              </w:rPr>
            </w:pPr>
          </w:p>
          <w:p w14:paraId="29EE4A07" w14:textId="77777777" w:rsidR="00375289" w:rsidRPr="00D549EE" w:rsidRDefault="00375289" w:rsidP="00375289">
            <w:pPr>
              <w:contextualSpacing/>
              <w:rPr>
                <w:color w:val="000000" w:themeColor="text1"/>
                <w:sz w:val="20"/>
                <w:szCs w:val="20"/>
                <w:lang w:val="en-US"/>
              </w:rPr>
            </w:pPr>
          </w:p>
          <w:p w14:paraId="359AA804" w14:textId="77777777" w:rsidR="00375289" w:rsidRPr="00D549EE" w:rsidRDefault="00375289" w:rsidP="00375289">
            <w:pPr>
              <w:contextualSpacing/>
              <w:rPr>
                <w:color w:val="000000" w:themeColor="text1"/>
                <w:sz w:val="20"/>
                <w:szCs w:val="20"/>
                <w:lang w:val="en-US"/>
              </w:rPr>
            </w:pPr>
          </w:p>
          <w:p w14:paraId="092C6125" w14:textId="77777777" w:rsidR="00375289" w:rsidRPr="00D549EE" w:rsidRDefault="00375289" w:rsidP="00375289">
            <w:pPr>
              <w:contextualSpacing/>
              <w:rPr>
                <w:color w:val="000000" w:themeColor="text1"/>
                <w:sz w:val="20"/>
                <w:szCs w:val="20"/>
                <w:lang w:val="en-US"/>
              </w:rPr>
            </w:pPr>
          </w:p>
          <w:p w14:paraId="06978B0E" w14:textId="77777777" w:rsidR="00375289" w:rsidRPr="00D549EE" w:rsidRDefault="00375289" w:rsidP="00375289">
            <w:pPr>
              <w:contextualSpacing/>
              <w:rPr>
                <w:color w:val="000000" w:themeColor="text1"/>
                <w:sz w:val="20"/>
                <w:szCs w:val="20"/>
                <w:lang w:val="en-US"/>
              </w:rPr>
            </w:pPr>
          </w:p>
          <w:p w14:paraId="7EBE5DEA" w14:textId="77777777" w:rsidR="00375289" w:rsidRPr="00D549EE" w:rsidRDefault="00375289" w:rsidP="00375289">
            <w:pPr>
              <w:contextualSpacing/>
              <w:rPr>
                <w:color w:val="000000" w:themeColor="text1"/>
                <w:sz w:val="20"/>
                <w:szCs w:val="20"/>
                <w:lang w:val="en-US"/>
              </w:rPr>
            </w:pPr>
          </w:p>
          <w:p w14:paraId="6825E54C" w14:textId="77777777" w:rsidR="00375289" w:rsidRPr="00D549EE" w:rsidRDefault="00375289" w:rsidP="00375289">
            <w:pPr>
              <w:contextualSpacing/>
              <w:rPr>
                <w:color w:val="000000" w:themeColor="text1"/>
                <w:sz w:val="20"/>
                <w:szCs w:val="20"/>
                <w:lang w:val="en-US"/>
              </w:rPr>
            </w:pPr>
          </w:p>
          <w:p w14:paraId="10DA883A"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(8)</w:t>
            </w:r>
          </w:p>
        </w:tc>
        <w:tc>
          <w:tcPr>
            <w:tcW w:w="1843" w:type="dxa"/>
          </w:tcPr>
          <w:p w14:paraId="2AA8D6F6"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{"citationItems":[{"id":"ITEM-1","itemData":{"DOI":"10.1007/s10997-018-9418-8","ISSN":"1572-963X","author":[{"dropping-particle":"","family":"Haridan","given":"Nurfarahin M","non-dropping-particle":"","parse-names":false,"suffix":""},{"dropping-particle":"","family":"Hassan","given":"Ahmad F S","non-dropping-particle":"","parse-names":false,"suffix":""},{"dropping-particle":"","family":"Karbhari","given":"Yusuf","non-dropping-particle":"","parse-names":false,"suffix":""}],"container-title":"Journal of Management and Governance","id":"ITEM-1","issue":"4","issued":{"date-parts":[["2018"]]},"page":"1015-1043","publisher":"Springer US","title":"Governance , religious assurance and Islamic banks : Do Shariah boards effectively serve ?","type":"article-journal","volume":"22"},"uris":["http://www.mendeley.com/documents/?uuid=83cdf45f-27db-459f-a73b-376600d4c00e"]}],"mendeley":{"formattedCitation":"[101]","plainTextFormattedCitation":"[101]","previouslyFormattedCitation":"[59]"},"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[101]</w:t>
            </w:r>
            <w:r w:rsidRPr="00D549EE">
              <w:rPr>
                <w:color w:val="000000" w:themeColor="text1"/>
                <w:sz w:val="20"/>
                <w:szCs w:val="20"/>
                <w:lang w:val="en-US"/>
              </w:rPr>
              <w:fldChar w:fldCharType="end"/>
            </w:r>
          </w:p>
          <w:p w14:paraId="2A4B768E" w14:textId="77777777" w:rsidR="00375289" w:rsidRPr="00D549EE" w:rsidRDefault="00375289" w:rsidP="00375289">
            <w:pPr>
              <w:contextualSpacing/>
              <w:rPr>
                <w:color w:val="000000" w:themeColor="text1"/>
                <w:sz w:val="20"/>
                <w:szCs w:val="20"/>
                <w:lang w:val="en-US"/>
              </w:rPr>
            </w:pPr>
          </w:p>
          <w:p w14:paraId="2C100199" w14:textId="77777777" w:rsidR="00375289" w:rsidRPr="00D549EE" w:rsidRDefault="00375289" w:rsidP="00375289">
            <w:pPr>
              <w:contextualSpacing/>
              <w:rPr>
                <w:color w:val="000000" w:themeColor="text1"/>
                <w:sz w:val="20"/>
                <w:szCs w:val="20"/>
                <w:lang w:val="en-US"/>
              </w:rPr>
            </w:pPr>
          </w:p>
          <w:p w14:paraId="7D1A2684" w14:textId="77777777" w:rsidR="00375289" w:rsidRPr="00D549EE" w:rsidRDefault="00375289" w:rsidP="00375289">
            <w:pPr>
              <w:contextualSpacing/>
              <w:rPr>
                <w:color w:val="000000" w:themeColor="text1"/>
                <w:sz w:val="20"/>
                <w:szCs w:val="20"/>
                <w:lang w:val="en-US"/>
              </w:rPr>
            </w:pPr>
          </w:p>
          <w:p w14:paraId="6F449148" w14:textId="77777777" w:rsidR="00375289" w:rsidRPr="00D549EE" w:rsidRDefault="00375289" w:rsidP="00375289">
            <w:pPr>
              <w:contextualSpacing/>
              <w:rPr>
                <w:color w:val="000000" w:themeColor="text1"/>
                <w:sz w:val="20"/>
                <w:szCs w:val="20"/>
                <w:lang w:val="en-US"/>
              </w:rPr>
            </w:pPr>
          </w:p>
          <w:p w14:paraId="348676C3" w14:textId="77777777" w:rsidR="00375289" w:rsidRPr="00D549EE" w:rsidRDefault="00375289" w:rsidP="00375289">
            <w:pPr>
              <w:contextualSpacing/>
              <w:rPr>
                <w:color w:val="000000" w:themeColor="text1"/>
                <w:sz w:val="20"/>
                <w:szCs w:val="20"/>
                <w:lang w:val="en-US"/>
              </w:rPr>
            </w:pPr>
          </w:p>
          <w:p w14:paraId="2586D735" w14:textId="77777777" w:rsidR="00375289" w:rsidRPr="00D549EE" w:rsidRDefault="00375289" w:rsidP="00375289">
            <w:pPr>
              <w:contextualSpacing/>
              <w:rPr>
                <w:color w:val="000000" w:themeColor="text1"/>
                <w:sz w:val="20"/>
                <w:szCs w:val="20"/>
                <w:lang w:val="en-US"/>
              </w:rPr>
            </w:pPr>
          </w:p>
          <w:p w14:paraId="40FAC0DB" w14:textId="77777777" w:rsidR="00375289" w:rsidRPr="00D549EE" w:rsidRDefault="00375289" w:rsidP="00375289">
            <w:pPr>
              <w:contextualSpacing/>
              <w:rPr>
                <w:color w:val="000000" w:themeColor="text1"/>
                <w:sz w:val="20"/>
                <w:szCs w:val="20"/>
                <w:lang w:val="en-US"/>
              </w:rPr>
            </w:pPr>
          </w:p>
          <w:p w14:paraId="6EC558AA"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{"citationItems":[{"id":"ITEM-1","itemData":{"abstract":"Waqf institutions in many Muslim countries including in Malaysia are facing liquidity constraints in developing waqf land. This paper aims to offer a sustainable model of source of financing for waqf institutions to meet their liquidity constraint in developing waqf land, which is known as the crowdfunding–waqf model (CWM). Later, CWM validated its acceptance in the field among the crowdfunders by adopting the theory of technology acceptance model (TAM).","author":[{"dropping-particle":"","family":"Mohamed Asmy Mohd Thas Thaker, Hassanudin Mohd Thas Thaker","given":"Anwar Allah Pitchay","non-dropping-particle":"","parse-names":false,"suffix":""}],"container-title":"International Journal of Islamic and Middle Eastern Finance and Management","id":"ITEM-1","issue":"2","issued":{"date-parts":[["2018"]]},"title":"Modeling crowdfunders’ behavioral intention to adopt the crowdfunding-waqf model (CWM) in Malaysia: The theory of the technology acceptance model","type":"article-journal","volume":"11"},"uris":["http://www.mendeley.com/documents/?uuid=09ad8be5-6b57-4715-bdaa-8c1726153724"]}],"mendeley":{"formattedCitation":"[102]","plainTextFormattedCitation":"[102]","previouslyFormattedCitation":"[91]"},"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[102]</w:t>
            </w:r>
            <w:r w:rsidRPr="00D549EE">
              <w:rPr>
                <w:color w:val="000000" w:themeColor="text1"/>
                <w:sz w:val="20"/>
                <w:szCs w:val="20"/>
                <w:lang w:val="en-US"/>
              </w:rPr>
              <w:fldChar w:fldCharType="end"/>
            </w:r>
          </w:p>
          <w:p w14:paraId="23E75A0F" w14:textId="77777777" w:rsidR="00375289" w:rsidRPr="00D549EE" w:rsidRDefault="00375289" w:rsidP="00375289">
            <w:pPr>
              <w:contextualSpacing/>
              <w:rPr>
                <w:color w:val="000000" w:themeColor="text1"/>
                <w:sz w:val="20"/>
                <w:szCs w:val="20"/>
                <w:lang w:val="en-US"/>
              </w:rPr>
            </w:pPr>
          </w:p>
          <w:p w14:paraId="7D76C54A" w14:textId="77777777" w:rsidR="00375289" w:rsidRPr="00D549EE" w:rsidRDefault="00375289" w:rsidP="00375289">
            <w:pPr>
              <w:contextualSpacing/>
              <w:rPr>
                <w:color w:val="000000" w:themeColor="text1"/>
                <w:sz w:val="20"/>
                <w:szCs w:val="20"/>
                <w:lang w:val="en-US"/>
              </w:rPr>
            </w:pPr>
          </w:p>
          <w:p w14:paraId="507BB1E6"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{"citationItems":[{"id":"ITEM-1","itemData":{"DOI":"doi.org/10.1080/09585192.2016.1254103","author":[{"dropping-particle":"","family":"Bakar","given":"Raida Abu","non-dropping-particle":"","parse-names":false,"suffix":""},{"dropping-particle":"","family":"Cooke","given":"Fang Lee","non-dropping-particle":"","parse-names":false,"suffix":""},{"dropping-particle":"","family":"Nuttawuth","given":"Muenjohn","non-dropping-particle":"","parse-names":false,"suffix":""}],"container-title":"The International Journal of Human Resource Management","id":"ITEM-1","issue":"18","issued":{"date-parts":[["2018"]]},"title":"Religiosity as a source of influence on work engagement: a study of the Malaysian Finance industry","type":"article-journal","volume":"29"},"uris":["http://www.mendeley.com/documents/?uuid=0be80607-9295-4bb8-9884-e13920b2d548"]}],"mendeley":{"formattedCitation":"[103]","plainTextFormattedCitation":"[103]","previouslyFormattedCitation":"[30]"},"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[103]</w:t>
            </w:r>
            <w:r w:rsidRPr="00D549EE">
              <w:rPr>
                <w:color w:val="000000" w:themeColor="text1"/>
                <w:sz w:val="20"/>
                <w:szCs w:val="20"/>
                <w:lang w:val="en-US"/>
              </w:rPr>
              <w:fldChar w:fldCharType="end"/>
            </w:r>
          </w:p>
          <w:p w14:paraId="3464B4E0" w14:textId="77777777" w:rsidR="00375289" w:rsidRPr="00D549EE" w:rsidRDefault="00375289" w:rsidP="00375289">
            <w:pPr>
              <w:contextualSpacing/>
              <w:rPr>
                <w:color w:val="000000" w:themeColor="text1"/>
                <w:sz w:val="20"/>
                <w:szCs w:val="20"/>
                <w:lang w:val="en-US"/>
              </w:rPr>
            </w:pPr>
          </w:p>
          <w:p w14:paraId="167BB391" w14:textId="77777777" w:rsidR="00375289" w:rsidRPr="00D549EE" w:rsidRDefault="00375289" w:rsidP="00375289">
            <w:pPr>
              <w:contextualSpacing/>
              <w:rPr>
                <w:color w:val="000000" w:themeColor="text1"/>
                <w:sz w:val="20"/>
                <w:szCs w:val="20"/>
                <w:lang w:val="en-US"/>
              </w:rPr>
            </w:pPr>
          </w:p>
          <w:p w14:paraId="22A49260" w14:textId="77777777" w:rsidR="00375289" w:rsidRPr="00D549EE" w:rsidRDefault="00375289" w:rsidP="00375289">
            <w:pPr>
              <w:contextualSpacing/>
              <w:rPr>
                <w:color w:val="000000" w:themeColor="text1"/>
                <w:sz w:val="20"/>
                <w:szCs w:val="20"/>
                <w:lang w:val="en-US"/>
              </w:rPr>
            </w:pPr>
          </w:p>
          <w:p w14:paraId="1E903868" w14:textId="77777777" w:rsidR="00375289" w:rsidRPr="00D549EE" w:rsidRDefault="00375289" w:rsidP="00375289">
            <w:pPr>
              <w:contextualSpacing/>
              <w:rPr>
                <w:color w:val="000000" w:themeColor="text1"/>
                <w:sz w:val="20"/>
                <w:szCs w:val="20"/>
                <w:lang w:val="en-US"/>
              </w:rPr>
            </w:pPr>
          </w:p>
          <w:p w14:paraId="1DD0A4DB" w14:textId="77777777" w:rsidR="00375289" w:rsidRPr="00D549EE" w:rsidRDefault="00375289" w:rsidP="00375289">
            <w:pPr>
              <w:contextualSpacing/>
              <w:rPr>
                <w:color w:val="000000" w:themeColor="text1"/>
                <w:sz w:val="20"/>
                <w:szCs w:val="20"/>
                <w:lang w:val="en-US"/>
              </w:rPr>
            </w:pPr>
          </w:p>
          <w:p w14:paraId="68512C70" w14:textId="77777777" w:rsidR="00375289" w:rsidRPr="00D549EE" w:rsidRDefault="00375289" w:rsidP="00375289">
            <w:pPr>
              <w:contextualSpacing/>
              <w:rPr>
                <w:color w:val="000000" w:themeColor="text1"/>
                <w:sz w:val="20"/>
                <w:szCs w:val="20"/>
                <w:lang w:val="en-US"/>
              </w:rPr>
            </w:pPr>
          </w:p>
          <w:p w14:paraId="0D22BE73"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{"citationItems":[{"id":"ITEM-1","itemData":{"abstract":"Purpose The purpose of this paper is to investigate the impact of corporate social responsibility (CSR) on corporate financial performance (CFP) using Zakat as a measure for CSR.","author":[{"dropping-particle":"","family":"Niz, Husam-Aldinar Al-Malkawi","given":"Saima Javaid","non-dropping-particle":"","parse-names":false,"suffix":""}],"container-title":"Managerial Finance","id":"ITEM-1","issue":"6","issued":{"date-parts":[["2018"]]},"title":"Corporate social responsibility and financial performance in Saudi Arabia: Evidence from Zakat contribution","type":"article-journal","volume":"44"},"uris":["http://www.mendeley.com/documents/?uuid=e11a6b1c-4ac8-42f2-af78-758947c76f8b"]}],"mendeley":{"formattedCitation":"[104]","plainTextFormattedCitation":"[104]","previouslyFormattedCitation":"[103]"},"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[104]</w:t>
            </w:r>
            <w:r w:rsidRPr="00D549EE">
              <w:rPr>
                <w:color w:val="000000" w:themeColor="text1"/>
                <w:sz w:val="20"/>
                <w:szCs w:val="20"/>
                <w:lang w:val="en-US"/>
              </w:rPr>
              <w:fldChar w:fldCharType="end"/>
            </w:r>
          </w:p>
          <w:p w14:paraId="08F0FBA0" w14:textId="77777777" w:rsidR="00375289" w:rsidRPr="00D549EE" w:rsidRDefault="00375289" w:rsidP="00375289">
            <w:pPr>
              <w:contextualSpacing/>
              <w:rPr>
                <w:color w:val="000000" w:themeColor="text1"/>
                <w:sz w:val="20"/>
                <w:szCs w:val="20"/>
                <w:lang w:val="en-US"/>
              </w:rPr>
            </w:pPr>
          </w:p>
        </w:tc>
        <w:tc>
          <w:tcPr>
            <w:tcW w:w="2693" w:type="dxa"/>
          </w:tcPr>
          <w:p w14:paraId="1FF1E54B"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Assessment of the SBs issues related to competence, effectiveness and independence by Malaysian Shariah Governance Framework (SGF), qualitative analysis by interviewing SB members.</w:t>
            </w:r>
          </w:p>
          <w:p w14:paraId="1DF6429E" w14:textId="77777777" w:rsidR="00375289" w:rsidRPr="00D549EE" w:rsidRDefault="00375289" w:rsidP="00375289">
            <w:pPr>
              <w:contextualSpacing/>
              <w:rPr>
                <w:color w:val="000000" w:themeColor="text1"/>
                <w:sz w:val="20"/>
                <w:szCs w:val="20"/>
                <w:lang w:val="en-US"/>
              </w:rPr>
            </w:pPr>
          </w:p>
          <w:p w14:paraId="0B666F1C" w14:textId="77777777" w:rsidR="00375289" w:rsidRPr="00D549EE" w:rsidRDefault="00375289" w:rsidP="00375289">
            <w:pPr>
              <w:rPr>
                <w:color w:val="000000" w:themeColor="text1"/>
                <w:sz w:val="20"/>
                <w:szCs w:val="20"/>
                <w:lang w:val="en-US"/>
              </w:rPr>
            </w:pPr>
            <w:r w:rsidRPr="00D549EE">
              <w:rPr>
                <w:color w:val="000000" w:themeColor="text1"/>
                <w:sz w:val="20"/>
                <w:szCs w:val="20"/>
                <w:shd w:val="clear" w:color="auto" w:fill="FFFFFF"/>
                <w:lang w:val="en-US"/>
              </w:rPr>
              <w:t>The analysis using structural equation modeling (SEM) of primary data collection by the survey of 1000 respondents (donors or crowd funders</w:t>
            </w:r>
            <w:r w:rsidRPr="00D549EE">
              <w:rPr>
                <w:color w:val="000000" w:themeColor="text1"/>
                <w:sz w:val="20"/>
                <w:szCs w:val="20"/>
                <w:lang w:val="en-US"/>
              </w:rPr>
              <w:t>)</w:t>
            </w:r>
          </w:p>
          <w:p w14:paraId="73C13220" w14:textId="77777777" w:rsidR="00375289" w:rsidRPr="00D549EE" w:rsidRDefault="00375289" w:rsidP="00375289">
            <w:pPr>
              <w:rPr>
                <w:color w:val="000000" w:themeColor="text1"/>
                <w:sz w:val="20"/>
                <w:szCs w:val="20"/>
                <w:lang w:val="en-US"/>
              </w:rPr>
            </w:pPr>
          </w:p>
          <w:p w14:paraId="55ACF53A" w14:textId="77777777" w:rsidR="00375289" w:rsidRPr="00D549EE" w:rsidRDefault="00375289" w:rsidP="00375289">
            <w:pPr>
              <w:rPr>
                <w:color w:val="000000" w:themeColor="text1"/>
                <w:sz w:val="20"/>
                <w:szCs w:val="20"/>
                <w:lang w:val="en-US"/>
              </w:rPr>
            </w:pPr>
            <w:r w:rsidRPr="00D549EE">
              <w:rPr>
                <w:color w:val="000000" w:themeColor="text1"/>
                <w:sz w:val="20"/>
                <w:szCs w:val="20"/>
                <w:lang w:val="en-US"/>
              </w:rPr>
              <w:t>Qualitative analysis and context analysis of 41 semi-structured interviews with mid-ranking professionals from the finance sector of Malaysia</w:t>
            </w:r>
          </w:p>
          <w:p w14:paraId="674898CC" w14:textId="77777777" w:rsidR="00375289" w:rsidRPr="00D549EE" w:rsidRDefault="00375289" w:rsidP="00375289">
            <w:pPr>
              <w:rPr>
                <w:color w:val="000000" w:themeColor="text1"/>
                <w:sz w:val="20"/>
                <w:szCs w:val="20"/>
                <w:lang w:val="en-US"/>
              </w:rPr>
            </w:pPr>
          </w:p>
          <w:p w14:paraId="671AA512" w14:textId="77777777" w:rsidR="00375289" w:rsidRPr="00D549EE" w:rsidRDefault="00375289" w:rsidP="00375289">
            <w:pPr>
              <w:rPr>
                <w:color w:val="000000" w:themeColor="text1"/>
                <w:sz w:val="20"/>
                <w:szCs w:val="20"/>
                <w:lang w:val="en-US"/>
              </w:rPr>
            </w:pPr>
            <w:r w:rsidRPr="00D549EE">
              <w:rPr>
                <w:color w:val="000000" w:themeColor="text1"/>
                <w:sz w:val="20"/>
                <w:szCs w:val="20"/>
                <w:shd w:val="clear" w:color="auto" w:fill="FFFFFF"/>
                <w:lang w:val="en-US"/>
              </w:rPr>
              <w:t>The generalized method of moments framework (07 non-financial firms listed on the Saudi Arabia stock market</w:t>
            </w:r>
            <w:r w:rsidRPr="00D549EE">
              <w:rPr>
                <w:color w:val="000000" w:themeColor="text1"/>
                <w:sz w:val="20"/>
                <w:szCs w:val="20"/>
                <w:lang w:val="en-US"/>
              </w:rPr>
              <w:t>) and fixed effects model, random-effects model</w:t>
            </w:r>
          </w:p>
          <w:p w14:paraId="043B9103" w14:textId="77777777" w:rsidR="00375289" w:rsidRPr="00D549EE" w:rsidRDefault="00375289" w:rsidP="00375289">
            <w:pPr>
              <w:rPr>
                <w:color w:val="000000" w:themeColor="text1"/>
                <w:sz w:val="20"/>
                <w:szCs w:val="20"/>
                <w:lang w:val="en-US"/>
              </w:rPr>
            </w:pPr>
          </w:p>
          <w:p w14:paraId="7C36E206" w14:textId="77777777" w:rsidR="00375289" w:rsidRPr="00D549EE" w:rsidRDefault="00375289" w:rsidP="00375289">
            <w:pPr>
              <w:rPr>
                <w:color w:val="000000" w:themeColor="text1"/>
                <w:sz w:val="20"/>
                <w:szCs w:val="20"/>
                <w:lang w:val="en-US"/>
              </w:rPr>
            </w:pPr>
          </w:p>
          <w:p w14:paraId="6089FA63" w14:textId="77777777" w:rsidR="00375289" w:rsidRPr="00D549EE" w:rsidRDefault="00375289" w:rsidP="00375289">
            <w:pPr>
              <w:contextualSpacing/>
              <w:rPr>
                <w:color w:val="000000" w:themeColor="text1"/>
                <w:sz w:val="20"/>
                <w:szCs w:val="20"/>
                <w:lang w:val="en-US"/>
              </w:rPr>
            </w:pPr>
          </w:p>
        </w:tc>
        <w:tc>
          <w:tcPr>
            <w:tcW w:w="2540" w:type="dxa"/>
          </w:tcPr>
          <w:p w14:paraId="28578BB2"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The necessity to the establishment of external religious auditors to render compliance assurance</w:t>
            </w:r>
          </w:p>
          <w:p w14:paraId="4196FC70" w14:textId="77777777" w:rsidR="00375289" w:rsidRPr="00D549EE" w:rsidRDefault="00375289" w:rsidP="00375289">
            <w:pPr>
              <w:contextualSpacing/>
              <w:rPr>
                <w:color w:val="000000" w:themeColor="text1"/>
                <w:sz w:val="20"/>
                <w:szCs w:val="20"/>
                <w:lang w:val="en-US"/>
              </w:rPr>
            </w:pPr>
          </w:p>
          <w:p w14:paraId="585F272F" w14:textId="77777777" w:rsidR="00375289" w:rsidRPr="00D549EE" w:rsidRDefault="00375289" w:rsidP="00375289">
            <w:pPr>
              <w:contextualSpacing/>
              <w:rPr>
                <w:color w:val="000000" w:themeColor="text1"/>
                <w:sz w:val="20"/>
                <w:szCs w:val="20"/>
                <w:lang w:val="en-US"/>
              </w:rPr>
            </w:pPr>
          </w:p>
          <w:p w14:paraId="556F0F63" w14:textId="77777777" w:rsidR="00375289" w:rsidRPr="00D549EE" w:rsidRDefault="00375289" w:rsidP="00375289">
            <w:pPr>
              <w:contextualSpacing/>
              <w:rPr>
                <w:color w:val="000000" w:themeColor="text1"/>
                <w:sz w:val="20"/>
                <w:szCs w:val="20"/>
                <w:lang w:val="en-US"/>
              </w:rPr>
            </w:pPr>
          </w:p>
          <w:p w14:paraId="20AE3696" w14:textId="77777777" w:rsidR="00375289" w:rsidRPr="00D549EE" w:rsidRDefault="00375289" w:rsidP="00375289">
            <w:pPr>
              <w:contextualSpacing/>
              <w:rPr>
                <w:color w:val="000000" w:themeColor="text1"/>
                <w:sz w:val="20"/>
                <w:szCs w:val="20"/>
                <w:lang w:val="en-US"/>
              </w:rPr>
            </w:pPr>
          </w:p>
          <w:p w14:paraId="5670E85D" w14:textId="77777777" w:rsidR="00375289" w:rsidRPr="00D549EE" w:rsidRDefault="00375289" w:rsidP="00375289">
            <w:pPr>
              <w:contextualSpacing/>
              <w:rPr>
                <w:color w:val="000000" w:themeColor="text1"/>
                <w:sz w:val="20"/>
                <w:szCs w:val="20"/>
                <w:lang w:val="en-US"/>
              </w:rPr>
            </w:pPr>
          </w:p>
          <w:p w14:paraId="448F29C0" w14:textId="77777777" w:rsidR="00375289" w:rsidRPr="00D549EE" w:rsidRDefault="00375289" w:rsidP="00375289">
            <w:pPr>
              <w:contextualSpacing/>
              <w:rPr>
                <w:color w:val="000000" w:themeColor="text1"/>
                <w:sz w:val="20"/>
                <w:szCs w:val="20"/>
                <w:lang w:val="en-US"/>
              </w:rPr>
            </w:pPr>
          </w:p>
          <w:p w14:paraId="43418F27" w14:textId="77777777" w:rsidR="00375289" w:rsidRPr="00D549EE" w:rsidRDefault="00375289" w:rsidP="00375289">
            <w:pPr>
              <w:rPr>
                <w:color w:val="000000" w:themeColor="text1"/>
                <w:sz w:val="20"/>
                <w:szCs w:val="20"/>
                <w:lang w:val="en-US"/>
              </w:rPr>
            </w:pPr>
            <w:r w:rsidRPr="00D549EE">
              <w:rPr>
                <w:color w:val="000000" w:themeColor="text1"/>
                <w:sz w:val="20"/>
                <w:szCs w:val="20"/>
                <w:shd w:val="clear" w:color="auto" w:fill="FFFFFF"/>
                <w:lang w:val="en-US"/>
              </w:rPr>
              <w:t>The positive impact on the behavioral intention of crowd funders or donors in assisting waqf institutions in developing waqf land in Malaysia</w:t>
            </w:r>
          </w:p>
          <w:p w14:paraId="451DB44B"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Importance of religiosity in work engagement</w:t>
            </w:r>
          </w:p>
          <w:p w14:paraId="1F9A7505" w14:textId="77777777" w:rsidR="00375289" w:rsidRPr="00D549EE" w:rsidRDefault="00375289" w:rsidP="00375289">
            <w:pPr>
              <w:contextualSpacing/>
              <w:rPr>
                <w:color w:val="000000" w:themeColor="text1"/>
                <w:sz w:val="20"/>
                <w:szCs w:val="20"/>
                <w:lang w:val="en-US"/>
              </w:rPr>
            </w:pPr>
          </w:p>
          <w:p w14:paraId="0387F725" w14:textId="77777777" w:rsidR="00375289" w:rsidRPr="00D549EE" w:rsidRDefault="00375289" w:rsidP="00375289">
            <w:pPr>
              <w:contextualSpacing/>
              <w:rPr>
                <w:color w:val="000000" w:themeColor="text1"/>
                <w:sz w:val="20"/>
                <w:szCs w:val="20"/>
                <w:lang w:val="en-US"/>
              </w:rPr>
            </w:pPr>
          </w:p>
          <w:p w14:paraId="1220EE02" w14:textId="77777777" w:rsidR="00375289" w:rsidRPr="00D549EE" w:rsidRDefault="00375289" w:rsidP="00375289">
            <w:pPr>
              <w:contextualSpacing/>
              <w:rPr>
                <w:color w:val="000000" w:themeColor="text1"/>
                <w:sz w:val="20"/>
                <w:szCs w:val="20"/>
                <w:lang w:val="en-US"/>
              </w:rPr>
            </w:pPr>
          </w:p>
          <w:p w14:paraId="1457729C" w14:textId="77777777" w:rsidR="00375289" w:rsidRPr="00D549EE" w:rsidRDefault="00375289" w:rsidP="00375289">
            <w:pPr>
              <w:contextualSpacing/>
              <w:rPr>
                <w:color w:val="000000" w:themeColor="text1"/>
                <w:sz w:val="20"/>
                <w:szCs w:val="20"/>
                <w:lang w:val="en-US"/>
              </w:rPr>
            </w:pPr>
          </w:p>
          <w:p w14:paraId="79D480C4"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Zakat contributes positively to both firm’s profitability and value and can be considered as a win-win strategy to maximize returns and improve performance while considering the society</w:t>
            </w:r>
          </w:p>
          <w:p w14:paraId="685CE4F3" w14:textId="77777777" w:rsidR="00375289" w:rsidRPr="00D549EE" w:rsidRDefault="00375289" w:rsidP="00375289">
            <w:pPr>
              <w:contextualSpacing/>
              <w:rPr>
                <w:color w:val="000000" w:themeColor="text1"/>
                <w:sz w:val="20"/>
                <w:szCs w:val="20"/>
                <w:lang w:val="en-US"/>
              </w:rPr>
            </w:pPr>
          </w:p>
        </w:tc>
      </w:tr>
      <w:tr w:rsidR="00375289" w:rsidRPr="00FC685D" w14:paraId="528B2D59" w14:textId="77777777" w:rsidTr="00375289">
        <w:tc>
          <w:tcPr>
            <w:tcW w:w="988" w:type="dxa"/>
          </w:tcPr>
          <w:p w14:paraId="6EA5394F" w14:textId="77777777" w:rsidR="00375289" w:rsidRPr="00D549EE" w:rsidRDefault="00375289" w:rsidP="00375289">
            <w:pPr>
              <w:contextualSpacing/>
              <w:rPr>
                <w:bCs/>
                <w:color w:val="000000" w:themeColor="text1"/>
                <w:sz w:val="20"/>
                <w:szCs w:val="20"/>
                <w:lang w:val="en-US"/>
              </w:rPr>
            </w:pPr>
            <w:r w:rsidRPr="00D549EE">
              <w:rPr>
                <w:bCs/>
                <w:color w:val="000000" w:themeColor="text1"/>
                <w:sz w:val="20"/>
                <w:szCs w:val="20"/>
                <w:lang w:val="en-US"/>
              </w:rPr>
              <w:t>70</w:t>
            </w:r>
          </w:p>
        </w:tc>
        <w:tc>
          <w:tcPr>
            <w:tcW w:w="1275" w:type="dxa"/>
          </w:tcPr>
          <w:p w14:paraId="53947187"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2019</w:t>
            </w:r>
          </w:p>
          <w:p w14:paraId="00D41C31"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(5)</w:t>
            </w:r>
          </w:p>
          <w:p w14:paraId="644A369A" w14:textId="77777777" w:rsidR="00375289" w:rsidRPr="00D549EE" w:rsidRDefault="00375289" w:rsidP="00375289">
            <w:pPr>
              <w:contextualSpacing/>
              <w:rPr>
                <w:color w:val="000000" w:themeColor="text1"/>
                <w:sz w:val="20"/>
                <w:szCs w:val="20"/>
                <w:lang w:val="en-US"/>
              </w:rPr>
            </w:pPr>
          </w:p>
          <w:p w14:paraId="0E1D91A2" w14:textId="77777777" w:rsidR="00375289" w:rsidRPr="00D549EE" w:rsidRDefault="00375289" w:rsidP="00375289">
            <w:pPr>
              <w:contextualSpacing/>
              <w:rPr>
                <w:color w:val="000000" w:themeColor="text1"/>
                <w:sz w:val="20"/>
                <w:szCs w:val="20"/>
                <w:lang w:val="en-US"/>
              </w:rPr>
            </w:pPr>
          </w:p>
          <w:p w14:paraId="1F68B112" w14:textId="77777777" w:rsidR="00375289" w:rsidRPr="00D549EE" w:rsidRDefault="00375289" w:rsidP="00375289">
            <w:pPr>
              <w:contextualSpacing/>
              <w:rPr>
                <w:color w:val="000000" w:themeColor="text1"/>
                <w:sz w:val="20"/>
                <w:szCs w:val="20"/>
                <w:lang w:val="en-US"/>
              </w:rPr>
            </w:pPr>
          </w:p>
          <w:p w14:paraId="0E5DC261" w14:textId="77777777" w:rsidR="00375289" w:rsidRPr="00D549EE" w:rsidRDefault="00375289" w:rsidP="00375289">
            <w:pPr>
              <w:contextualSpacing/>
              <w:rPr>
                <w:color w:val="000000" w:themeColor="text1"/>
                <w:sz w:val="20"/>
                <w:szCs w:val="20"/>
                <w:lang w:val="en-US"/>
              </w:rPr>
            </w:pPr>
          </w:p>
          <w:p w14:paraId="3DF6B79D" w14:textId="77777777" w:rsidR="00375289" w:rsidRPr="00D549EE" w:rsidRDefault="00375289" w:rsidP="00375289">
            <w:pPr>
              <w:contextualSpacing/>
              <w:rPr>
                <w:color w:val="000000" w:themeColor="text1"/>
                <w:sz w:val="20"/>
                <w:szCs w:val="20"/>
                <w:lang w:val="en-US"/>
              </w:rPr>
            </w:pPr>
          </w:p>
          <w:p w14:paraId="3CEEDA9A" w14:textId="77777777" w:rsidR="00375289" w:rsidRPr="00D549EE" w:rsidRDefault="00375289" w:rsidP="00375289">
            <w:pPr>
              <w:contextualSpacing/>
              <w:rPr>
                <w:color w:val="000000" w:themeColor="text1"/>
                <w:sz w:val="20"/>
                <w:szCs w:val="20"/>
                <w:lang w:val="en-US"/>
              </w:rPr>
            </w:pPr>
          </w:p>
          <w:p w14:paraId="3245143F" w14:textId="77777777" w:rsidR="00375289" w:rsidRPr="00D549EE" w:rsidRDefault="00375289" w:rsidP="00375289">
            <w:pPr>
              <w:contextualSpacing/>
              <w:rPr>
                <w:color w:val="000000" w:themeColor="text1"/>
                <w:sz w:val="20"/>
                <w:szCs w:val="20"/>
                <w:lang w:val="en-US"/>
              </w:rPr>
            </w:pPr>
          </w:p>
          <w:p w14:paraId="1F26879C" w14:textId="77777777" w:rsidR="00375289" w:rsidRPr="00D549EE" w:rsidRDefault="00375289" w:rsidP="00375289">
            <w:pPr>
              <w:contextualSpacing/>
              <w:rPr>
                <w:color w:val="000000" w:themeColor="text1"/>
                <w:sz w:val="20"/>
                <w:szCs w:val="20"/>
                <w:lang w:val="en-US"/>
              </w:rPr>
            </w:pPr>
          </w:p>
          <w:p w14:paraId="242D3388" w14:textId="77777777" w:rsidR="00375289" w:rsidRPr="00D549EE" w:rsidRDefault="00375289" w:rsidP="00375289">
            <w:pPr>
              <w:contextualSpacing/>
              <w:rPr>
                <w:color w:val="000000" w:themeColor="text1"/>
                <w:sz w:val="20"/>
                <w:szCs w:val="20"/>
                <w:lang w:val="en-US"/>
              </w:rPr>
            </w:pPr>
          </w:p>
          <w:p w14:paraId="751EA34C"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(5)</w:t>
            </w:r>
          </w:p>
          <w:p w14:paraId="336B91F9" w14:textId="77777777" w:rsidR="00375289" w:rsidRPr="00D549EE" w:rsidRDefault="00375289" w:rsidP="00375289">
            <w:pPr>
              <w:contextualSpacing/>
              <w:rPr>
                <w:color w:val="000000" w:themeColor="text1"/>
                <w:sz w:val="20"/>
                <w:szCs w:val="20"/>
                <w:lang w:val="en-US"/>
              </w:rPr>
            </w:pPr>
          </w:p>
          <w:p w14:paraId="40CBBE92" w14:textId="77777777" w:rsidR="00375289" w:rsidRPr="00D549EE" w:rsidRDefault="00375289" w:rsidP="00375289">
            <w:pPr>
              <w:contextualSpacing/>
              <w:rPr>
                <w:color w:val="000000" w:themeColor="text1"/>
                <w:sz w:val="20"/>
                <w:szCs w:val="20"/>
                <w:lang w:val="en-US"/>
              </w:rPr>
            </w:pPr>
          </w:p>
          <w:p w14:paraId="635ABAF5" w14:textId="77777777" w:rsidR="00375289" w:rsidRPr="00D549EE" w:rsidRDefault="00375289" w:rsidP="00375289">
            <w:pPr>
              <w:contextualSpacing/>
              <w:rPr>
                <w:color w:val="000000" w:themeColor="text1"/>
                <w:sz w:val="20"/>
                <w:szCs w:val="20"/>
                <w:lang w:val="en-US"/>
              </w:rPr>
            </w:pPr>
          </w:p>
          <w:p w14:paraId="2AC333A1" w14:textId="77777777" w:rsidR="00375289" w:rsidRPr="00D549EE" w:rsidRDefault="00375289" w:rsidP="00375289">
            <w:pPr>
              <w:contextualSpacing/>
              <w:rPr>
                <w:color w:val="000000" w:themeColor="text1"/>
                <w:sz w:val="20"/>
                <w:szCs w:val="20"/>
                <w:lang w:val="en-US"/>
              </w:rPr>
            </w:pPr>
          </w:p>
          <w:p w14:paraId="1DA06D2D" w14:textId="77777777" w:rsidR="00375289" w:rsidRPr="00D549EE" w:rsidRDefault="00375289" w:rsidP="00375289">
            <w:pPr>
              <w:contextualSpacing/>
              <w:rPr>
                <w:color w:val="000000" w:themeColor="text1"/>
                <w:sz w:val="20"/>
                <w:szCs w:val="20"/>
                <w:lang w:val="en-US"/>
              </w:rPr>
            </w:pPr>
          </w:p>
          <w:p w14:paraId="2E8907FA"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(4)</w:t>
            </w:r>
          </w:p>
        </w:tc>
        <w:tc>
          <w:tcPr>
            <w:tcW w:w="1843" w:type="dxa"/>
          </w:tcPr>
          <w:p w14:paraId="5A03D73D"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{"citationItems":[{"id":"ITEM-1","itemData":{"abstract":"Purpose The purpose of this paper is to investigate the effects of the following factors: image, awareness, Shariah compliance and individualism, on the attitude and intention of customers to use Islamic banking among Bank customers in UAE, and the mediating role of attitude in that model, using a theoretical model based on the multi-attribute attitude model, the theory of reasoned actions and the theory of planned behaviour.","author":[{"dropping-particle":"","family":"Abdulkader Kaakeh, M. Kabir Hassan","given":"Stefan F. Van Hemmen Almazor","non-dropping-particle":"","parse-names":false,"suffix":""}],"container-title":"International Journal of Emerging Markets","id":"ITEM-1","issue":"4","issued":{"date-parts":[["2019"]]},"title":"Factors affecting customers’ attitude towards Islamic banking in UAE","type":"article-journal","volume":"14"},"uris":["http://www.mendeley.com/documents/?uuid=6c58a380-76d7-4234-9693-10de81877f53"]}],"mendeley":{"formattedCitation":"[105]","plainTextFormattedCitation":"[105]","previouslyFormattedCitation":"[5]"},"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[105]</w:t>
            </w:r>
            <w:r w:rsidRPr="00D549EE">
              <w:rPr>
                <w:color w:val="000000" w:themeColor="text1"/>
                <w:sz w:val="20"/>
                <w:szCs w:val="20"/>
                <w:lang w:val="en-US"/>
              </w:rPr>
              <w:fldChar w:fldCharType="end"/>
            </w:r>
          </w:p>
          <w:p w14:paraId="60651BB2" w14:textId="77777777" w:rsidR="00375289" w:rsidRPr="00D549EE" w:rsidRDefault="00375289" w:rsidP="00375289">
            <w:pPr>
              <w:contextualSpacing/>
              <w:rPr>
                <w:color w:val="000000" w:themeColor="text1"/>
                <w:sz w:val="20"/>
                <w:szCs w:val="20"/>
                <w:highlight w:val="yellow"/>
                <w:lang w:val="en-US"/>
              </w:rPr>
            </w:pPr>
          </w:p>
          <w:p w14:paraId="21E46205" w14:textId="77777777" w:rsidR="00375289" w:rsidRPr="00D549EE" w:rsidRDefault="00375289" w:rsidP="00375289">
            <w:pPr>
              <w:contextualSpacing/>
              <w:rPr>
                <w:color w:val="000000" w:themeColor="text1"/>
                <w:sz w:val="20"/>
                <w:szCs w:val="20"/>
                <w:highlight w:val="yellow"/>
                <w:lang w:val="en-US"/>
              </w:rPr>
            </w:pPr>
          </w:p>
          <w:p w14:paraId="519111F0" w14:textId="77777777" w:rsidR="00375289" w:rsidRPr="00D549EE" w:rsidRDefault="00375289" w:rsidP="00375289">
            <w:pPr>
              <w:contextualSpacing/>
              <w:rPr>
                <w:color w:val="000000" w:themeColor="text1"/>
                <w:sz w:val="20"/>
                <w:szCs w:val="20"/>
                <w:highlight w:val="yellow"/>
                <w:lang w:val="en-US"/>
              </w:rPr>
            </w:pPr>
          </w:p>
          <w:p w14:paraId="4569FFE6" w14:textId="77777777" w:rsidR="00375289" w:rsidRPr="00D549EE" w:rsidRDefault="00375289" w:rsidP="00375289">
            <w:pPr>
              <w:contextualSpacing/>
              <w:rPr>
                <w:color w:val="000000" w:themeColor="text1"/>
                <w:sz w:val="20"/>
                <w:szCs w:val="20"/>
                <w:highlight w:val="yellow"/>
                <w:lang w:val="en-US"/>
              </w:rPr>
            </w:pPr>
          </w:p>
          <w:p w14:paraId="0E8B00FC" w14:textId="77777777" w:rsidR="00375289" w:rsidRPr="00D549EE" w:rsidRDefault="00375289" w:rsidP="00375289">
            <w:pPr>
              <w:contextualSpacing/>
              <w:rPr>
                <w:color w:val="000000" w:themeColor="text1"/>
                <w:sz w:val="20"/>
                <w:szCs w:val="20"/>
                <w:highlight w:val="yellow"/>
                <w:lang w:val="en-US"/>
              </w:rPr>
            </w:pPr>
          </w:p>
          <w:p w14:paraId="05B182A4" w14:textId="77777777" w:rsidR="00375289" w:rsidRPr="00D549EE" w:rsidRDefault="00375289" w:rsidP="00375289">
            <w:pPr>
              <w:contextualSpacing/>
              <w:rPr>
                <w:color w:val="000000" w:themeColor="text1"/>
                <w:sz w:val="20"/>
                <w:szCs w:val="20"/>
                <w:highlight w:val="yellow"/>
                <w:lang w:val="en-US"/>
              </w:rPr>
            </w:pPr>
          </w:p>
          <w:p w14:paraId="05ED7ECF" w14:textId="77777777" w:rsidR="00375289" w:rsidRPr="00D549EE" w:rsidRDefault="00375289" w:rsidP="00375289">
            <w:pPr>
              <w:contextualSpacing/>
              <w:rPr>
                <w:color w:val="000000" w:themeColor="text1"/>
                <w:sz w:val="20"/>
                <w:szCs w:val="20"/>
                <w:highlight w:val="yellow"/>
                <w:lang w:val="en-US"/>
              </w:rPr>
            </w:pPr>
          </w:p>
          <w:p w14:paraId="03268BA4"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{"citationItems":[{"id":"ITEM-1","itemData":{"DOI":"doi.org/10.1108/JIABR-08-2016-0097","abstract":"The purpose of this paper is to identify the factors influencing intention of Muslim Filipinos to give zakat on employment income.","author":[{"dropping-particle":"","family":"Abdullah Campong Andam","given":"Ahmad Zamri Osman","non-dropping-particle":"","parse-names":false,"suffix":""}],"container-title":"Journal of Islamic Accounting and Business Research","id":"ITEM-1","issue":"4","issued":{"date-parts":[["2019"]]},"page":"528-545","title":"Снимок экрана 2021-03-11 в 16","type":"article-journal","volume":"10"},"uris":["http://www.mendeley.com/documents/?uuid=2db8662b-8520-4e3c-aa87-8e0ee3b5aa3b"]}],"mendeley":{"formattedCitation":"[106]","plainTextFormattedCitation":"[106]","previouslyFormattedCitation":"[7]"},"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[106]</w:t>
            </w:r>
            <w:r w:rsidRPr="00D549EE">
              <w:rPr>
                <w:color w:val="000000" w:themeColor="text1"/>
                <w:sz w:val="20"/>
                <w:szCs w:val="20"/>
                <w:lang w:val="en-US"/>
              </w:rPr>
              <w:fldChar w:fldCharType="end"/>
            </w:r>
          </w:p>
          <w:p w14:paraId="78C7CE25" w14:textId="77777777" w:rsidR="00375289" w:rsidRPr="00D549EE" w:rsidRDefault="00375289" w:rsidP="00375289">
            <w:pPr>
              <w:contextualSpacing/>
              <w:rPr>
                <w:color w:val="000000" w:themeColor="text1"/>
                <w:sz w:val="20"/>
                <w:szCs w:val="20"/>
                <w:highlight w:val="yellow"/>
                <w:lang w:val="en-US"/>
              </w:rPr>
            </w:pPr>
          </w:p>
          <w:p w14:paraId="243C4ACC" w14:textId="77777777" w:rsidR="00375289" w:rsidRPr="00D549EE" w:rsidRDefault="00375289" w:rsidP="00375289">
            <w:pPr>
              <w:contextualSpacing/>
              <w:rPr>
                <w:color w:val="000000" w:themeColor="text1"/>
                <w:sz w:val="20"/>
                <w:szCs w:val="20"/>
                <w:highlight w:val="yellow"/>
                <w:lang w:val="en-US"/>
              </w:rPr>
            </w:pPr>
          </w:p>
          <w:p w14:paraId="380E2723" w14:textId="77777777" w:rsidR="00375289" w:rsidRPr="00D549EE" w:rsidRDefault="00375289" w:rsidP="00375289">
            <w:pPr>
              <w:contextualSpacing/>
              <w:rPr>
                <w:color w:val="000000" w:themeColor="text1"/>
                <w:sz w:val="20"/>
                <w:szCs w:val="20"/>
                <w:highlight w:val="yellow"/>
                <w:lang w:val="en-US"/>
              </w:rPr>
            </w:pPr>
          </w:p>
          <w:p w14:paraId="120037F1" w14:textId="77777777" w:rsidR="00375289" w:rsidRPr="00D549EE" w:rsidRDefault="00375289" w:rsidP="00375289">
            <w:pPr>
              <w:contextualSpacing/>
              <w:rPr>
                <w:color w:val="000000" w:themeColor="text1"/>
                <w:sz w:val="20"/>
                <w:szCs w:val="20"/>
                <w:highlight w:val="yellow"/>
                <w:lang w:val="en-US"/>
              </w:rPr>
            </w:pPr>
          </w:p>
          <w:p w14:paraId="2D6EE44E" w14:textId="77777777" w:rsidR="00375289" w:rsidRPr="00D549EE" w:rsidRDefault="00375289" w:rsidP="00375289">
            <w:pPr>
              <w:contextualSpacing/>
              <w:rPr>
                <w:color w:val="000000" w:themeColor="text1"/>
                <w:sz w:val="20"/>
                <w:szCs w:val="20"/>
                <w:highlight w:val="yellow"/>
                <w:lang w:val="en-US"/>
              </w:rPr>
            </w:pPr>
          </w:p>
          <w:p w14:paraId="12395051"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{"citationItems":[{"id":"ITEM-1","itemData":{"DOI":"doi.org/10.1108/IMEFM-10-2017-0276","author":[{"dropping-particle":"","family":"Al-Awlaqi, M.A. and Aamer","given":"A.M.","non-dropping-particle":"","parse-names":false,"suffix":""}],"container-title":"International Journal of Islamic and Middle Eastern Finance and Management","id":"ITEM-1","issue":"3","issued":{"date-parts":[["2019"]]},"page":"322-345","title":"Financial and social efficiency in the Yemen microfinance institutions: A Hicks–Moorsteen TFP index analysis","type":"article-journal","volume":"12"},"uris":["http://www.mendeley.com/documents/?uuid=d5aba1f1-a435-4ef8-bee8-576b2d18c5a4"]}],"mendeley":{"formattedCitation":"[107]","plainTextFormattedCitation":"[107]","previouslyFormattedCitation":"[13]"},"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[107]</w:t>
            </w:r>
            <w:r w:rsidRPr="00D549EE">
              <w:rPr>
                <w:color w:val="000000" w:themeColor="text1"/>
                <w:sz w:val="20"/>
                <w:szCs w:val="20"/>
                <w:lang w:val="en-US"/>
              </w:rPr>
              <w:fldChar w:fldCharType="end"/>
            </w:r>
          </w:p>
          <w:p w14:paraId="3BCAEDF2" w14:textId="77777777" w:rsidR="00375289" w:rsidRPr="00D549EE" w:rsidRDefault="00375289" w:rsidP="00375289">
            <w:pPr>
              <w:contextualSpacing/>
              <w:rPr>
                <w:color w:val="000000" w:themeColor="text1"/>
                <w:sz w:val="20"/>
                <w:szCs w:val="20"/>
                <w:highlight w:val="yellow"/>
                <w:lang w:val="en-US"/>
              </w:rPr>
            </w:pPr>
          </w:p>
          <w:p w14:paraId="7317316E" w14:textId="77777777" w:rsidR="00375289" w:rsidRPr="00D549EE" w:rsidRDefault="00375289" w:rsidP="00375289">
            <w:pPr>
              <w:contextualSpacing/>
              <w:rPr>
                <w:color w:val="000000" w:themeColor="text1"/>
                <w:sz w:val="20"/>
                <w:szCs w:val="20"/>
                <w:highlight w:val="yellow"/>
                <w:lang w:val="en-US"/>
              </w:rPr>
            </w:pPr>
          </w:p>
          <w:p w14:paraId="5BD044F7" w14:textId="77777777" w:rsidR="00375289" w:rsidRPr="00D549EE" w:rsidRDefault="00375289" w:rsidP="00375289">
            <w:pPr>
              <w:contextualSpacing/>
              <w:rPr>
                <w:color w:val="000000" w:themeColor="text1"/>
                <w:sz w:val="20"/>
                <w:szCs w:val="20"/>
                <w:highlight w:val="yellow"/>
                <w:lang w:val="en-US"/>
              </w:rPr>
            </w:pPr>
          </w:p>
          <w:p w14:paraId="5FF2A93F" w14:textId="77777777" w:rsidR="00375289" w:rsidRPr="00D549EE" w:rsidRDefault="00375289" w:rsidP="00375289">
            <w:pPr>
              <w:contextualSpacing/>
              <w:rPr>
                <w:color w:val="000000" w:themeColor="text1"/>
                <w:sz w:val="20"/>
                <w:szCs w:val="20"/>
                <w:highlight w:val="yellow"/>
                <w:lang w:val="en-US"/>
              </w:rPr>
            </w:pPr>
          </w:p>
          <w:p w14:paraId="7B53B6D7" w14:textId="77777777" w:rsidR="00375289" w:rsidRPr="00D549EE" w:rsidRDefault="00375289" w:rsidP="00375289">
            <w:pPr>
              <w:contextualSpacing/>
              <w:rPr>
                <w:color w:val="000000" w:themeColor="text1"/>
                <w:sz w:val="20"/>
                <w:szCs w:val="20"/>
                <w:highlight w:val="yellow"/>
                <w:lang w:val="en-US"/>
              </w:rPr>
            </w:pPr>
          </w:p>
          <w:p w14:paraId="559A57F5" w14:textId="77777777" w:rsidR="00375289" w:rsidRPr="00D549EE" w:rsidRDefault="00375289" w:rsidP="00375289">
            <w:pPr>
              <w:contextualSpacing/>
              <w:rPr>
                <w:color w:val="000000" w:themeColor="text1"/>
                <w:sz w:val="20"/>
                <w:szCs w:val="20"/>
                <w:highlight w:val="yellow"/>
                <w:lang w:val="en-US"/>
              </w:rPr>
            </w:pPr>
            <w:r w:rsidRPr="00D549EE">
              <w:rPr>
                <w:color w:val="000000" w:themeColor="text1"/>
                <w:sz w:val="20"/>
                <w:szCs w:val="20"/>
                <w:lang w:val="en-US"/>
              </w:rPr>
              <w:fldChar w:fldCharType="begin" w:fldLock="1"/>
            </w:r>
            <w:r w:rsidRPr="00D549EE">
              <w:rPr>
                <w:color w:val="000000" w:themeColor="text1"/>
                <w:sz w:val="20"/>
                <w:szCs w:val="20"/>
                <w:lang w:val="en-US"/>
              </w:rPr>
              <w:instrText>ADDIN CSL_CITATION {"citationItems":[{"id":"ITEM-1","itemData":{"abstract":"This study aims to explore the role of Islamic social finance in achieving the Sustainable Development Goals (SDGs), particularly goal number two, \"end hunger, achieve food security and improved nutrition and promote sustainable agriculture\". Three Islamic social finance tools namely infaq, waqf and zakat are discussed together with Thya' al-Mawat and al-Iqta'. The findings show that infaq, waqf and zakat are excellent alternative philanthropies' fund to cover the USD2.5 trillion annual average global SDG's investment gap. Establishing and funding state-of-the-art research laboratory, end hunger, improved nutrition and achieve food security from the short and medium-term targets are the main area for fund utilization. Meanwhile, expanding quality agricultural land through Ihya' al-Mawat and al-Iqta' can be the best alternative to achieve the long-term target i.e. sustainable agriculture. This study also recommends countries not to work individually but together regionally or internationally in achieving the goal, especially for developing and least developed countries.","author":[{"dropping-particle":"","family":"Abduh","given":"Muhamad","non-dropping-particle":"","parse-names":false,"suffix":""}],"container-title":"AL-SHAJARAH","id":"ITEM-1","issue":"2","issued":{"date-parts":[["2019"]]},"page":"185-206","title":"THE ROLE OF ISLAMIC SOCIAL FINANCE IN ACHIEVING SDG NUMBER 2: END HUNGER, ACHIEVE FOOD SECURITY AND IMPROVED NUTRITION AND PROMOTE SUSTAINABLE AGRICULTURE","type":"article-journal"},"uris":["http://www.mendeley.com/documents/?uuid=738bcea2-c456-4362-9ddb-360b950d5948"]}],"mendeley":{"formattedCitation":"[108]","plainTextFormattedCitation":"[108]","previouslyFormattedCitation":"[4]"},"properties":{"noteIndex":0},"schema":"https://github.com/citation-style-language/schema/raw/master/csl-citation.json"}</w:instrText>
            </w:r>
            <w:r w:rsidRPr="00D549EE">
              <w:rPr>
                <w:color w:val="000000" w:themeColor="text1"/>
                <w:sz w:val="20"/>
                <w:szCs w:val="20"/>
                <w:lang w:val="en-US"/>
              </w:rPr>
              <w:fldChar w:fldCharType="separate"/>
            </w:r>
            <w:r w:rsidRPr="00D549EE">
              <w:rPr>
                <w:noProof/>
                <w:color w:val="000000" w:themeColor="text1"/>
                <w:sz w:val="20"/>
                <w:szCs w:val="20"/>
                <w:lang w:val="en-US"/>
              </w:rPr>
              <w:t>[108]</w:t>
            </w:r>
            <w:r w:rsidRPr="00D549EE">
              <w:rPr>
                <w:color w:val="000000" w:themeColor="text1"/>
                <w:sz w:val="20"/>
                <w:szCs w:val="20"/>
                <w:lang w:val="en-US"/>
              </w:rPr>
              <w:fldChar w:fldCharType="end"/>
            </w:r>
          </w:p>
        </w:tc>
        <w:tc>
          <w:tcPr>
            <w:tcW w:w="2693" w:type="dxa"/>
          </w:tcPr>
          <w:p w14:paraId="1D2D239A" w14:textId="77777777" w:rsidR="00375289" w:rsidRPr="00D549EE" w:rsidRDefault="00375289" w:rsidP="00375289">
            <w:pPr>
              <w:rPr>
                <w:color w:val="000000" w:themeColor="text1"/>
                <w:sz w:val="20"/>
                <w:szCs w:val="20"/>
                <w:shd w:val="clear" w:color="auto" w:fill="FFFFFF"/>
                <w:lang w:val="en-US"/>
              </w:rPr>
            </w:pPr>
            <w:r w:rsidRPr="00D549EE">
              <w:rPr>
                <w:color w:val="000000" w:themeColor="text1"/>
                <w:sz w:val="20"/>
                <w:szCs w:val="20"/>
                <w:shd w:val="clear" w:color="auto" w:fill="FFFFFF"/>
                <w:lang w:val="en-US"/>
              </w:rPr>
              <w:t>The structural equation modelling for analyzing the surveying bank customers living in UAE</w:t>
            </w:r>
          </w:p>
          <w:p w14:paraId="67BB9D5D" w14:textId="77777777" w:rsidR="00375289" w:rsidRPr="00D549EE" w:rsidRDefault="00375289" w:rsidP="00375289">
            <w:pPr>
              <w:rPr>
                <w:color w:val="000000" w:themeColor="text1"/>
                <w:lang w:val="en-US"/>
              </w:rPr>
            </w:pPr>
          </w:p>
          <w:p w14:paraId="2390F17F" w14:textId="77777777" w:rsidR="00375289" w:rsidRPr="00D549EE" w:rsidRDefault="00375289" w:rsidP="00375289">
            <w:pPr>
              <w:rPr>
                <w:color w:val="000000" w:themeColor="text1"/>
                <w:lang w:val="en-US"/>
              </w:rPr>
            </w:pPr>
          </w:p>
          <w:p w14:paraId="0A8D6085" w14:textId="77777777" w:rsidR="00375289" w:rsidRPr="00D549EE" w:rsidRDefault="00375289" w:rsidP="00375289">
            <w:pPr>
              <w:rPr>
                <w:color w:val="000000" w:themeColor="text1"/>
                <w:lang w:val="en-US"/>
              </w:rPr>
            </w:pPr>
          </w:p>
          <w:p w14:paraId="6CBC7773" w14:textId="77777777" w:rsidR="00375289" w:rsidRPr="00D549EE" w:rsidRDefault="00375289" w:rsidP="00375289">
            <w:pPr>
              <w:rPr>
                <w:color w:val="000000" w:themeColor="text1"/>
                <w:sz w:val="20"/>
                <w:szCs w:val="20"/>
                <w:lang w:val="en-US"/>
              </w:rPr>
            </w:pPr>
          </w:p>
          <w:p w14:paraId="153F6C45" w14:textId="77777777" w:rsidR="00375289" w:rsidRPr="00D549EE" w:rsidRDefault="00375289" w:rsidP="00375289">
            <w:pPr>
              <w:rPr>
                <w:color w:val="000000" w:themeColor="text1"/>
                <w:sz w:val="20"/>
                <w:szCs w:val="20"/>
                <w:lang w:val="en-US"/>
              </w:rPr>
            </w:pPr>
          </w:p>
          <w:p w14:paraId="72702095" w14:textId="33C2B294" w:rsidR="00375289" w:rsidRPr="00D549EE" w:rsidRDefault="00375289" w:rsidP="00375289">
            <w:pPr>
              <w:rPr>
                <w:color w:val="000000" w:themeColor="text1"/>
                <w:sz w:val="20"/>
                <w:szCs w:val="20"/>
                <w:lang w:val="en-US"/>
              </w:rPr>
            </w:pPr>
            <w:r w:rsidRPr="00D549EE">
              <w:rPr>
                <w:color w:val="000000" w:themeColor="text1"/>
                <w:sz w:val="20"/>
                <w:szCs w:val="20"/>
                <w:lang w:val="en-US"/>
              </w:rPr>
              <w:t xml:space="preserve">The multiple regression analysis of 384 respondents’ survey in Muslim areas for investigating factors for giving zakat in the Philippines </w:t>
            </w:r>
          </w:p>
          <w:p w14:paraId="529ED982" w14:textId="77777777" w:rsidR="00375289" w:rsidRPr="00D549EE" w:rsidRDefault="00375289" w:rsidP="00375289">
            <w:pPr>
              <w:pStyle w:val="1"/>
              <w:outlineLvl w:val="0"/>
              <w:rPr>
                <w:rFonts w:ascii="Times New Roman" w:hAnsi="Times New Roman" w:cs="Times New Roman"/>
                <w:color w:val="000000" w:themeColor="text1"/>
                <w:sz w:val="20"/>
                <w:szCs w:val="20"/>
                <w:lang w:val="en-US"/>
              </w:rPr>
            </w:pPr>
            <w:r w:rsidRPr="00D549EE">
              <w:rPr>
                <w:rFonts w:ascii="Times New Roman" w:hAnsi="Times New Roman" w:cs="Times New Roman"/>
                <w:color w:val="000000" w:themeColor="text1"/>
                <w:sz w:val="20"/>
                <w:szCs w:val="20"/>
                <w:shd w:val="clear" w:color="auto" w:fill="FFFFFF"/>
                <w:lang w:val="en-US"/>
              </w:rPr>
              <w:t xml:space="preserve">The data envelopment analysis (DEA) of </w:t>
            </w:r>
            <w:r w:rsidRPr="00D549EE">
              <w:rPr>
                <w:rFonts w:ascii="Times New Roman" w:hAnsi="Times New Roman" w:cs="Times New Roman"/>
                <w:bCs/>
                <w:color w:val="000000" w:themeColor="text1"/>
                <w:sz w:val="20"/>
                <w:szCs w:val="20"/>
                <w:lang w:val="en-US"/>
              </w:rPr>
              <w:t>Financial and social efficiency in the Yemen microfinance institutions</w:t>
            </w:r>
          </w:p>
          <w:p w14:paraId="51C7AA8F" w14:textId="562A671D" w:rsidR="00375289" w:rsidRPr="00D549EE" w:rsidRDefault="00375289" w:rsidP="00375289">
            <w:pPr>
              <w:rPr>
                <w:color w:val="000000" w:themeColor="text1"/>
                <w:lang w:val="en-US"/>
              </w:rPr>
            </w:pPr>
            <w:r w:rsidRPr="00D549EE">
              <w:rPr>
                <w:rStyle w:val="apple-converted-space"/>
                <w:color w:val="000000" w:themeColor="text1"/>
                <w:sz w:val="27"/>
                <w:szCs w:val="27"/>
                <w:shd w:val="clear" w:color="auto" w:fill="FFFFFF"/>
                <w:lang w:val="en-US"/>
              </w:rPr>
              <w:t> </w:t>
            </w:r>
          </w:p>
          <w:p w14:paraId="73E71D31" w14:textId="77777777" w:rsidR="00375289" w:rsidRPr="00D549EE" w:rsidRDefault="00375289" w:rsidP="00375289">
            <w:pPr>
              <w:rPr>
                <w:color w:val="000000" w:themeColor="text1"/>
                <w:sz w:val="20"/>
                <w:szCs w:val="20"/>
                <w:lang w:val="en-US"/>
              </w:rPr>
            </w:pPr>
            <w:r w:rsidRPr="00D549EE">
              <w:rPr>
                <w:color w:val="000000" w:themeColor="text1"/>
                <w:sz w:val="20"/>
                <w:szCs w:val="20"/>
                <w:lang w:val="en-US"/>
              </w:rPr>
              <w:t>Analysis of ISF perspectives for achieving SDG 2.</w:t>
            </w:r>
          </w:p>
          <w:p w14:paraId="0457DA90" w14:textId="77777777" w:rsidR="00375289" w:rsidRPr="00D549EE" w:rsidRDefault="00375289" w:rsidP="00375289">
            <w:pPr>
              <w:contextualSpacing/>
              <w:rPr>
                <w:color w:val="000000" w:themeColor="text1"/>
                <w:sz w:val="20"/>
                <w:szCs w:val="20"/>
                <w:lang w:val="en-US"/>
              </w:rPr>
            </w:pPr>
          </w:p>
        </w:tc>
        <w:tc>
          <w:tcPr>
            <w:tcW w:w="2540" w:type="dxa"/>
          </w:tcPr>
          <w:p w14:paraId="3968803C"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Identification of affection attitude and awareness to intention directly. The image, awareness, Shariah compliance and individualism affect attitude directly and intention indirectly mediated by attitude</w:t>
            </w:r>
          </w:p>
          <w:p w14:paraId="790C40EE" w14:textId="77777777" w:rsidR="00375289" w:rsidRPr="00D549EE" w:rsidRDefault="00375289" w:rsidP="00375289">
            <w:pPr>
              <w:contextualSpacing/>
              <w:rPr>
                <w:color w:val="000000" w:themeColor="text1"/>
                <w:sz w:val="20"/>
                <w:szCs w:val="20"/>
                <w:lang w:val="en-US"/>
              </w:rPr>
            </w:pPr>
          </w:p>
          <w:p w14:paraId="6623E112"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The positive relationship of the descriptive norm and moral norm to give zakat</w:t>
            </w:r>
          </w:p>
          <w:p w14:paraId="0E71F0DC" w14:textId="77777777" w:rsidR="00375289" w:rsidRPr="00D549EE" w:rsidRDefault="00375289" w:rsidP="00375289">
            <w:pPr>
              <w:contextualSpacing/>
              <w:rPr>
                <w:color w:val="000000" w:themeColor="text1"/>
                <w:sz w:val="20"/>
                <w:szCs w:val="20"/>
                <w:lang w:val="en-US"/>
              </w:rPr>
            </w:pPr>
          </w:p>
          <w:p w14:paraId="4431EA75"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The absence of differences in productivity between Islamic microfinance banks and non-governmental organizations and non-Islamic MFIs</w:t>
            </w:r>
          </w:p>
          <w:p w14:paraId="49FC6FBB" w14:textId="77777777" w:rsidR="00375289" w:rsidRPr="00D549EE" w:rsidRDefault="00375289" w:rsidP="00375289">
            <w:pPr>
              <w:contextualSpacing/>
              <w:rPr>
                <w:color w:val="000000" w:themeColor="text1"/>
                <w:sz w:val="20"/>
                <w:szCs w:val="20"/>
                <w:lang w:val="en-US"/>
              </w:rPr>
            </w:pPr>
          </w:p>
          <w:p w14:paraId="745741FB" w14:textId="77777777" w:rsidR="00375289" w:rsidRPr="00D549EE" w:rsidRDefault="00375289" w:rsidP="00375289">
            <w:pPr>
              <w:contextualSpacing/>
              <w:rPr>
                <w:color w:val="000000" w:themeColor="text1"/>
                <w:sz w:val="20"/>
                <w:szCs w:val="20"/>
                <w:lang w:val="en-US"/>
              </w:rPr>
            </w:pPr>
            <w:r w:rsidRPr="00D549EE">
              <w:rPr>
                <w:color w:val="000000" w:themeColor="text1"/>
                <w:sz w:val="20"/>
                <w:szCs w:val="20"/>
                <w:lang w:val="en-US"/>
              </w:rPr>
              <w:t>Identification of ISF (inqaf, zakat, waqf) amount as alternative funding for covering the annual average global SDG's investment gap</w:t>
            </w:r>
          </w:p>
        </w:tc>
      </w:tr>
      <w:tr w:rsidR="00375289" w:rsidRPr="00FC685D" w14:paraId="7A44627F" w14:textId="77777777" w:rsidTr="00375289">
        <w:tc>
          <w:tcPr>
            <w:tcW w:w="9339" w:type="dxa"/>
            <w:gridSpan w:val="5"/>
          </w:tcPr>
          <w:p w14:paraId="40579037" w14:textId="38EEA83F" w:rsidR="00375289" w:rsidRPr="00D549EE" w:rsidRDefault="00375289" w:rsidP="00FC685D">
            <w:pPr>
              <w:contextualSpacing/>
              <w:rPr>
                <w:color w:val="000000" w:themeColor="text1"/>
                <w:sz w:val="20"/>
                <w:szCs w:val="20"/>
                <w:lang w:val="en-US"/>
              </w:rPr>
            </w:pPr>
          </w:p>
        </w:tc>
      </w:tr>
    </w:tbl>
    <w:p w14:paraId="08B49060" w14:textId="48DF8F9F" w:rsidR="00AA2938" w:rsidRPr="00D549EE" w:rsidRDefault="00AA2938" w:rsidP="00AA2938">
      <w:pPr>
        <w:jc w:val="center"/>
        <w:rPr>
          <w:b/>
          <w:color w:val="000000" w:themeColor="text1"/>
          <w:sz w:val="28"/>
          <w:szCs w:val="28"/>
          <w:lang w:val="en-US"/>
        </w:rPr>
      </w:pPr>
      <w:r w:rsidRPr="00D549EE">
        <w:rPr>
          <w:b/>
          <w:color w:val="000000" w:themeColor="text1"/>
          <w:sz w:val="28"/>
          <w:szCs w:val="28"/>
          <w:lang w:val="en-US"/>
        </w:rPr>
        <w:t>Appendix C</w:t>
      </w:r>
    </w:p>
    <w:p w14:paraId="4395B548" w14:textId="77777777" w:rsidR="00AA2938" w:rsidRPr="00D549EE" w:rsidRDefault="00AA2938" w:rsidP="00AA2938">
      <w:pPr>
        <w:jc w:val="center"/>
        <w:rPr>
          <w:b/>
          <w:color w:val="000000" w:themeColor="text1"/>
          <w:sz w:val="28"/>
          <w:szCs w:val="28"/>
          <w:lang w:val="en-US"/>
        </w:rPr>
      </w:pPr>
    </w:p>
    <w:p w14:paraId="12137A49" w14:textId="77777777" w:rsidR="00AA2938" w:rsidRPr="00D549EE" w:rsidRDefault="00AA2938" w:rsidP="00AA2938">
      <w:pPr>
        <w:jc w:val="both"/>
        <w:rPr>
          <w:color w:val="000000" w:themeColor="text1"/>
          <w:sz w:val="28"/>
          <w:szCs w:val="28"/>
          <w:lang w:val="en-US"/>
        </w:rPr>
      </w:pPr>
      <w:r w:rsidRPr="00D549EE">
        <w:rPr>
          <w:color w:val="000000" w:themeColor="text1"/>
          <w:sz w:val="28"/>
          <w:szCs w:val="28"/>
          <w:lang w:val="en-US"/>
        </w:rPr>
        <w:t xml:space="preserve">Critical stages of Islamic finance development in Kazakhstan </w:t>
      </w:r>
      <w:r w:rsidRPr="00D549EE">
        <w:rPr>
          <w:color w:val="000000" w:themeColor="text1"/>
          <w:sz w:val="28"/>
          <w:szCs w:val="28"/>
          <w:lang w:val="en-US"/>
        </w:rPr>
        <w:br/>
      </w:r>
    </w:p>
    <w:tbl>
      <w:tblPr>
        <w:tblStyle w:val="a9"/>
        <w:tblW w:w="0" w:type="auto"/>
        <w:tblLook w:val="04A0" w:firstRow="1" w:lastRow="0" w:firstColumn="1" w:lastColumn="0" w:noHBand="0" w:noVBand="1"/>
      </w:tblPr>
      <w:tblGrid>
        <w:gridCol w:w="1555"/>
        <w:gridCol w:w="7784"/>
      </w:tblGrid>
      <w:tr w:rsidR="00AA2938" w:rsidRPr="00D549EE" w14:paraId="59FDE14B" w14:textId="77777777" w:rsidTr="00D549EE">
        <w:tc>
          <w:tcPr>
            <w:tcW w:w="1555" w:type="dxa"/>
          </w:tcPr>
          <w:p w14:paraId="1046F9F8" w14:textId="77777777" w:rsidR="00AA2938" w:rsidRPr="00D549EE" w:rsidRDefault="00AA2938" w:rsidP="00D549EE">
            <w:pPr>
              <w:contextualSpacing/>
              <w:rPr>
                <w:color w:val="212121"/>
                <w:lang w:val="en"/>
              </w:rPr>
            </w:pPr>
            <w:r w:rsidRPr="00D549EE">
              <w:rPr>
                <w:color w:val="212121"/>
                <w:lang w:val="en"/>
              </w:rPr>
              <w:t>Period</w:t>
            </w:r>
          </w:p>
        </w:tc>
        <w:tc>
          <w:tcPr>
            <w:tcW w:w="7784" w:type="dxa"/>
          </w:tcPr>
          <w:p w14:paraId="0DF06275" w14:textId="77777777" w:rsidR="00AA2938" w:rsidRPr="00D549EE" w:rsidRDefault="00AA2938" w:rsidP="00D549EE">
            <w:pPr>
              <w:contextualSpacing/>
              <w:rPr>
                <w:color w:val="212121"/>
                <w:lang w:val="en"/>
              </w:rPr>
            </w:pPr>
            <w:r w:rsidRPr="00D549EE">
              <w:rPr>
                <w:color w:val="212121"/>
                <w:lang w:val="en"/>
              </w:rPr>
              <w:t xml:space="preserve">Key </w:t>
            </w:r>
            <w:r w:rsidRPr="00D549EE">
              <w:rPr>
                <w:color w:val="000000" w:themeColor="text1"/>
                <w:lang w:val="en"/>
              </w:rPr>
              <w:t>milestone</w:t>
            </w:r>
          </w:p>
        </w:tc>
      </w:tr>
      <w:tr w:rsidR="00AA2938" w:rsidRPr="00FC685D" w14:paraId="766DB931" w14:textId="77777777" w:rsidTr="00D549EE">
        <w:tc>
          <w:tcPr>
            <w:tcW w:w="1555" w:type="dxa"/>
          </w:tcPr>
          <w:p w14:paraId="7BB8DC53" w14:textId="77777777" w:rsidR="00AA2938" w:rsidRPr="00D549EE" w:rsidRDefault="00AA2938" w:rsidP="00D549EE">
            <w:pPr>
              <w:contextualSpacing/>
              <w:rPr>
                <w:color w:val="212121"/>
                <w:lang w:val="en"/>
              </w:rPr>
            </w:pPr>
            <w:r w:rsidRPr="00D549EE">
              <w:rPr>
                <w:color w:val="212121"/>
                <w:lang w:val="en"/>
              </w:rPr>
              <w:t>2009</w:t>
            </w:r>
          </w:p>
        </w:tc>
        <w:tc>
          <w:tcPr>
            <w:tcW w:w="7784" w:type="dxa"/>
          </w:tcPr>
          <w:p w14:paraId="7DE9536F" w14:textId="77777777" w:rsidR="00AA2938" w:rsidRPr="00D549EE" w:rsidRDefault="00AA2938" w:rsidP="00D549EE">
            <w:pPr>
              <w:contextualSpacing/>
              <w:rPr>
                <w:color w:val="000000" w:themeColor="text1"/>
                <w:lang w:val="en-US"/>
              </w:rPr>
            </w:pPr>
            <w:r w:rsidRPr="00D549EE">
              <w:rPr>
                <w:color w:val="000000" w:themeColor="text1"/>
                <w:lang w:val="en-US"/>
              </w:rPr>
              <w:t>Introduction legislation for Islamic banking and to create the legal basis;</w:t>
            </w:r>
          </w:p>
          <w:p w14:paraId="7B32D01E" w14:textId="77777777" w:rsidR="00AA2938" w:rsidRPr="00D549EE" w:rsidRDefault="00AA2938" w:rsidP="00D549EE">
            <w:pPr>
              <w:contextualSpacing/>
              <w:rPr>
                <w:color w:val="212121"/>
                <w:lang w:val="en"/>
              </w:rPr>
            </w:pPr>
            <w:r w:rsidRPr="00D549EE">
              <w:rPr>
                <w:color w:val="212121"/>
                <w:lang w:val="en"/>
              </w:rPr>
              <w:t>Islamic company JSC Fattah finance started operation;</w:t>
            </w:r>
          </w:p>
          <w:p w14:paraId="67670668" w14:textId="77777777" w:rsidR="00AA2938" w:rsidRPr="00D549EE" w:rsidRDefault="00AA2938" w:rsidP="00D549EE">
            <w:pPr>
              <w:contextualSpacing/>
              <w:rPr>
                <w:color w:val="212121"/>
                <w:lang w:val="en"/>
              </w:rPr>
            </w:pPr>
            <w:r w:rsidRPr="00D549EE">
              <w:rPr>
                <w:bCs/>
                <w:color w:val="000000" w:themeColor="text1"/>
                <w:lang w:val="en-US"/>
              </w:rPr>
              <w:t xml:space="preserve">The Association for Development of Islamic Finance </w:t>
            </w:r>
            <w:r w:rsidRPr="00D549EE">
              <w:rPr>
                <w:color w:val="000000" w:themeColor="text1"/>
                <w:lang w:val="en-US"/>
              </w:rPr>
              <w:t>(ADIF) was established;</w:t>
            </w:r>
          </w:p>
        </w:tc>
      </w:tr>
      <w:tr w:rsidR="00AA2938" w:rsidRPr="00FC685D" w14:paraId="395F623B" w14:textId="77777777" w:rsidTr="00D549EE">
        <w:tc>
          <w:tcPr>
            <w:tcW w:w="1555" w:type="dxa"/>
          </w:tcPr>
          <w:p w14:paraId="6A667ED7" w14:textId="77777777" w:rsidR="00AA2938" w:rsidRPr="00D549EE" w:rsidRDefault="00AA2938" w:rsidP="00D549EE">
            <w:pPr>
              <w:contextualSpacing/>
              <w:rPr>
                <w:color w:val="212121"/>
                <w:lang w:val="en"/>
              </w:rPr>
            </w:pPr>
            <w:r w:rsidRPr="00D549EE">
              <w:rPr>
                <w:color w:val="212121"/>
                <w:lang w:val="en"/>
              </w:rPr>
              <w:t>2010</w:t>
            </w:r>
          </w:p>
        </w:tc>
        <w:tc>
          <w:tcPr>
            <w:tcW w:w="7784" w:type="dxa"/>
          </w:tcPr>
          <w:p w14:paraId="791CE9A0" w14:textId="77777777" w:rsidR="00AA2938" w:rsidRPr="00D549EE" w:rsidRDefault="00AA2938" w:rsidP="00D549EE">
            <w:pPr>
              <w:contextualSpacing/>
              <w:jc w:val="left"/>
              <w:rPr>
                <w:color w:val="000000" w:themeColor="text1"/>
                <w:lang w:val="en-US"/>
              </w:rPr>
            </w:pPr>
            <w:r w:rsidRPr="00D549EE">
              <w:rPr>
                <w:bCs/>
                <w:color w:val="000000" w:themeColor="text1"/>
                <w:lang w:val="en-US"/>
              </w:rPr>
              <w:t xml:space="preserve">Al Hilal Islamic Bank </w:t>
            </w:r>
            <w:r w:rsidRPr="00D549EE">
              <w:rPr>
                <w:color w:val="000000" w:themeColor="text1"/>
                <w:lang w:val="en-US"/>
              </w:rPr>
              <w:t>started to operate as a full-fledged Islamic bank under an intergovernmental agreement between Kazakhstan and UAE;</w:t>
            </w:r>
          </w:p>
          <w:p w14:paraId="653B9210" w14:textId="77777777" w:rsidR="00AA2938" w:rsidRPr="00D549EE" w:rsidRDefault="00AA2938" w:rsidP="00D549EE">
            <w:pPr>
              <w:contextualSpacing/>
              <w:jc w:val="left"/>
              <w:rPr>
                <w:color w:val="212121"/>
                <w:lang w:val="en-US"/>
              </w:rPr>
            </w:pPr>
            <w:r w:rsidRPr="00D549EE">
              <w:rPr>
                <w:bCs/>
                <w:color w:val="000000" w:themeColor="text1"/>
                <w:lang w:val="en-US"/>
              </w:rPr>
              <w:t xml:space="preserve">Takaful, </w:t>
            </w:r>
            <w:r w:rsidRPr="00D549EE">
              <w:rPr>
                <w:color w:val="000000" w:themeColor="text1"/>
                <w:lang w:val="en-US"/>
              </w:rPr>
              <w:t>the first Islamic insurance company in Kazakhstan was established as a Mutual Insurance Society;</w:t>
            </w:r>
          </w:p>
        </w:tc>
      </w:tr>
      <w:tr w:rsidR="00AA2938" w:rsidRPr="00FC685D" w14:paraId="7C359211" w14:textId="77777777" w:rsidTr="00D549EE">
        <w:tc>
          <w:tcPr>
            <w:tcW w:w="1555" w:type="dxa"/>
          </w:tcPr>
          <w:p w14:paraId="1B4832EC" w14:textId="77777777" w:rsidR="00AA2938" w:rsidRPr="00D549EE" w:rsidRDefault="00AA2938" w:rsidP="00D549EE">
            <w:pPr>
              <w:contextualSpacing/>
              <w:rPr>
                <w:color w:val="212121"/>
                <w:lang w:val="en"/>
              </w:rPr>
            </w:pPr>
            <w:r w:rsidRPr="00D549EE">
              <w:rPr>
                <w:color w:val="212121"/>
                <w:lang w:val="en"/>
              </w:rPr>
              <w:t>2011</w:t>
            </w:r>
          </w:p>
        </w:tc>
        <w:tc>
          <w:tcPr>
            <w:tcW w:w="7784" w:type="dxa"/>
          </w:tcPr>
          <w:p w14:paraId="3BD65822" w14:textId="77777777" w:rsidR="00AA2938" w:rsidRPr="00D549EE" w:rsidRDefault="00AA2938" w:rsidP="00D549EE">
            <w:pPr>
              <w:contextualSpacing/>
              <w:rPr>
                <w:color w:val="000000" w:themeColor="text1"/>
                <w:lang w:val="en-US"/>
              </w:rPr>
            </w:pPr>
            <w:r w:rsidRPr="00D549EE">
              <w:rPr>
                <w:bCs/>
                <w:color w:val="000000" w:themeColor="text1"/>
                <w:lang w:val="en-US"/>
              </w:rPr>
              <w:t>The 7th</w:t>
            </w:r>
            <w:r w:rsidRPr="00D549EE">
              <w:rPr>
                <w:bCs/>
                <w:color w:val="000000" w:themeColor="text1"/>
                <w:position w:val="6"/>
                <w:lang w:val="en-US"/>
              </w:rPr>
              <w:t xml:space="preserve"> </w:t>
            </w:r>
            <w:r w:rsidRPr="00D549EE">
              <w:rPr>
                <w:bCs/>
                <w:color w:val="000000" w:themeColor="text1"/>
                <w:lang w:val="en-US"/>
              </w:rPr>
              <w:t xml:space="preserve">World Islamic Economic Forum (WIEF) </w:t>
            </w:r>
            <w:r w:rsidRPr="00D549EE">
              <w:rPr>
                <w:color w:val="000000" w:themeColor="text1"/>
                <w:lang w:val="en-US"/>
              </w:rPr>
              <w:t>was held in Astana;</w:t>
            </w:r>
          </w:p>
          <w:p w14:paraId="28FFE65F" w14:textId="77777777" w:rsidR="00AA2938" w:rsidRPr="00D549EE" w:rsidRDefault="00AA2938" w:rsidP="00D549EE">
            <w:pPr>
              <w:contextualSpacing/>
              <w:rPr>
                <w:color w:val="212121"/>
                <w:lang w:val="en-US"/>
              </w:rPr>
            </w:pPr>
            <w:r w:rsidRPr="00D549EE">
              <w:rPr>
                <w:bCs/>
                <w:color w:val="000000" w:themeColor="text1"/>
                <w:lang w:val="en-US"/>
              </w:rPr>
              <w:t xml:space="preserve">A set of new amendments </w:t>
            </w:r>
            <w:r w:rsidRPr="00D549EE">
              <w:rPr>
                <w:color w:val="000000" w:themeColor="text1"/>
                <w:lang w:val="en-US"/>
              </w:rPr>
              <w:t xml:space="preserve">to the legislation was adopted related to the </w:t>
            </w:r>
            <w:r w:rsidRPr="00D549EE">
              <w:rPr>
                <w:bCs/>
                <w:color w:val="000000" w:themeColor="text1"/>
                <w:lang w:val="en-US"/>
              </w:rPr>
              <w:t xml:space="preserve">Sukuk </w:t>
            </w:r>
            <w:r w:rsidRPr="00D549EE">
              <w:rPr>
                <w:color w:val="000000" w:themeColor="text1"/>
                <w:lang w:val="en-US"/>
              </w:rPr>
              <w:t>market;</w:t>
            </w:r>
          </w:p>
        </w:tc>
      </w:tr>
      <w:tr w:rsidR="00AA2938" w:rsidRPr="00FC685D" w14:paraId="3AD5BE16" w14:textId="77777777" w:rsidTr="00D549EE">
        <w:tc>
          <w:tcPr>
            <w:tcW w:w="1555" w:type="dxa"/>
          </w:tcPr>
          <w:p w14:paraId="2E3181ED" w14:textId="77777777" w:rsidR="00AA2938" w:rsidRPr="00D549EE" w:rsidRDefault="00AA2938" w:rsidP="00D549EE">
            <w:pPr>
              <w:contextualSpacing/>
              <w:rPr>
                <w:color w:val="212121"/>
                <w:lang w:val="en"/>
              </w:rPr>
            </w:pPr>
            <w:r w:rsidRPr="00D549EE">
              <w:rPr>
                <w:color w:val="212121"/>
                <w:lang w:val="en"/>
              </w:rPr>
              <w:t>2012</w:t>
            </w:r>
          </w:p>
        </w:tc>
        <w:tc>
          <w:tcPr>
            <w:tcW w:w="7784" w:type="dxa"/>
          </w:tcPr>
          <w:p w14:paraId="3C521C5E" w14:textId="77777777" w:rsidR="00AA2938" w:rsidRPr="00D549EE" w:rsidRDefault="00AA2938" w:rsidP="00D549EE">
            <w:pPr>
              <w:contextualSpacing/>
              <w:rPr>
                <w:color w:val="000000" w:themeColor="text1"/>
                <w:lang w:val="en-US"/>
              </w:rPr>
            </w:pPr>
            <w:r w:rsidRPr="00D549EE">
              <w:rPr>
                <w:bCs/>
                <w:color w:val="000000" w:themeColor="text1"/>
                <w:lang w:val="en-US"/>
              </w:rPr>
              <w:t xml:space="preserve">The Government approved the Road Map for Islamic Finance Development </w:t>
            </w:r>
            <w:r w:rsidRPr="00D549EE">
              <w:rPr>
                <w:color w:val="000000" w:themeColor="text1"/>
                <w:lang w:val="en-US"/>
              </w:rPr>
              <w:t>in Kazakhstan by;</w:t>
            </w:r>
          </w:p>
          <w:p w14:paraId="35170FA0" w14:textId="77777777" w:rsidR="00AA2938" w:rsidRPr="00D549EE" w:rsidRDefault="00AA2938" w:rsidP="00D549EE">
            <w:pPr>
              <w:contextualSpacing/>
              <w:rPr>
                <w:color w:val="000000" w:themeColor="text1"/>
                <w:lang w:val="en-US"/>
              </w:rPr>
            </w:pPr>
            <w:r w:rsidRPr="00D549EE">
              <w:rPr>
                <w:bCs/>
                <w:color w:val="000000" w:themeColor="text1"/>
                <w:lang w:val="en-US"/>
              </w:rPr>
              <w:t xml:space="preserve">The Member Country Partnership Strategy </w:t>
            </w:r>
            <w:r w:rsidRPr="00D549EE">
              <w:rPr>
                <w:color w:val="000000" w:themeColor="text1"/>
                <w:lang w:val="en-US"/>
              </w:rPr>
              <w:t>2012-2014 was signed by the Government of Kazakhstan and IDB Group;</w:t>
            </w:r>
          </w:p>
          <w:p w14:paraId="50BF3FEC" w14:textId="77777777" w:rsidR="00AA2938" w:rsidRPr="00D549EE" w:rsidRDefault="00AA2938" w:rsidP="00D549EE">
            <w:pPr>
              <w:contextualSpacing/>
              <w:rPr>
                <w:color w:val="000000" w:themeColor="text1"/>
                <w:lang w:val="en-US"/>
              </w:rPr>
            </w:pPr>
            <w:r w:rsidRPr="00D549EE">
              <w:rPr>
                <w:bCs/>
                <w:color w:val="000000" w:themeColor="text1"/>
                <w:lang w:val="en-US"/>
              </w:rPr>
              <w:t xml:space="preserve">The Development Bank of Kazakhstan </w:t>
            </w:r>
            <w:r w:rsidRPr="00D549EE">
              <w:rPr>
                <w:color w:val="000000" w:themeColor="text1"/>
                <w:lang w:val="en-US"/>
              </w:rPr>
              <w:t>issued the first Sukuk to the amount of 76.7 million US dollars;</w:t>
            </w:r>
          </w:p>
          <w:p w14:paraId="54040F8F" w14:textId="77777777" w:rsidR="00AA2938" w:rsidRPr="00D549EE" w:rsidRDefault="00AA2938" w:rsidP="00D549EE">
            <w:pPr>
              <w:contextualSpacing/>
              <w:rPr>
                <w:color w:val="212121"/>
                <w:lang w:val="en-US"/>
              </w:rPr>
            </w:pPr>
            <w:r w:rsidRPr="00D549EE">
              <w:rPr>
                <w:color w:val="000000" w:themeColor="text1"/>
                <w:lang w:val="en-US"/>
              </w:rPr>
              <w:t xml:space="preserve">The National Bank of Kazakhstan became a Member of IFSB; </w:t>
            </w:r>
            <w:r w:rsidRPr="00D549EE">
              <w:rPr>
                <w:color w:val="000000" w:themeColor="text1"/>
                <w:lang w:val="en-US"/>
              </w:rPr>
              <w:fldChar w:fldCharType="begin" w:fldLock="1"/>
            </w:r>
            <w:r w:rsidRPr="00D549EE">
              <w:rPr>
                <w:color w:val="000000" w:themeColor="text1"/>
                <w:lang w:val="en-US"/>
              </w:rPr>
              <w:instrText>ADDIN CSL_CITATION {"citationItems":[{"id":"ITEM-1","itemData":{"author":[{"dropping-particle":"","family":"National Bank of Kazakhstan","given":"","non-dropping-particle":"","parse-names":false,"suffix":""}],"container-title":"Kazakhstan Islamic Finance","id":"ITEM-1","issued":{"date-parts":[["2016"]]},"number-of-pages":"1-140","publisher-place":"Almaty","title":"A new frontier for Islamic finance","type":"report"},"uris":["http://www.mendeley.com/documents/?uuid=4d4eb56b-e57c-4af2-bd35-5ee2811721db"]}],"mendeley":{"formattedCitation":"(National Bank of Kazakhstan, 2016)","plainTextFormattedCitation":"(National Bank of Kazakhstan, 2016)","previouslyFormattedCitation":"(National Bank of Kazakhstan, 2016)"},"properties":{"noteIndex":0},"schema":"https://github.com/citation-style-language/schema/raw/master/csl-citation.json"}</w:instrText>
            </w:r>
            <w:r w:rsidRPr="00D549EE">
              <w:rPr>
                <w:color w:val="000000" w:themeColor="text1"/>
                <w:lang w:val="en-US"/>
              </w:rPr>
              <w:fldChar w:fldCharType="separate"/>
            </w:r>
            <w:r w:rsidRPr="00D549EE">
              <w:rPr>
                <w:noProof/>
                <w:color w:val="000000" w:themeColor="text1"/>
                <w:lang w:val="en-US"/>
              </w:rPr>
              <w:t>(National Bank of Kazakhstan, 2016)</w:t>
            </w:r>
            <w:r w:rsidRPr="00D549EE">
              <w:rPr>
                <w:color w:val="000000" w:themeColor="text1"/>
                <w:lang w:val="en-US"/>
              </w:rPr>
              <w:fldChar w:fldCharType="end"/>
            </w:r>
          </w:p>
        </w:tc>
      </w:tr>
      <w:tr w:rsidR="00AA2938" w:rsidRPr="00FC685D" w14:paraId="78DE17D8" w14:textId="77777777" w:rsidTr="00D549EE">
        <w:tc>
          <w:tcPr>
            <w:tcW w:w="1555" w:type="dxa"/>
          </w:tcPr>
          <w:p w14:paraId="34EA235E" w14:textId="77777777" w:rsidR="00AA2938" w:rsidRPr="00D549EE" w:rsidRDefault="00AA2938" w:rsidP="00D549EE">
            <w:pPr>
              <w:contextualSpacing/>
              <w:rPr>
                <w:color w:val="212121"/>
                <w:lang w:val="en"/>
              </w:rPr>
            </w:pPr>
            <w:r w:rsidRPr="00D549EE">
              <w:rPr>
                <w:color w:val="212121"/>
                <w:lang w:val="en"/>
              </w:rPr>
              <w:t>2013</w:t>
            </w:r>
          </w:p>
        </w:tc>
        <w:tc>
          <w:tcPr>
            <w:tcW w:w="7784" w:type="dxa"/>
          </w:tcPr>
          <w:p w14:paraId="155B8AAB" w14:textId="77777777" w:rsidR="00AA2938" w:rsidRPr="00D549EE" w:rsidRDefault="00AA2938" w:rsidP="00D549EE">
            <w:pPr>
              <w:contextualSpacing/>
              <w:rPr>
                <w:color w:val="000000" w:themeColor="text1"/>
                <w:lang w:val="en-US"/>
              </w:rPr>
            </w:pPr>
            <w:r w:rsidRPr="00D549EE">
              <w:rPr>
                <w:color w:val="000000" w:themeColor="text1"/>
                <w:lang w:val="en-US"/>
              </w:rPr>
              <w:t>Islamic Corporation for the Development of the Private Sector (ICD) acquired shares in the capital of local bank Zaman Bank;</w:t>
            </w:r>
          </w:p>
          <w:p w14:paraId="73E37A77" w14:textId="77777777" w:rsidR="00AA2938" w:rsidRPr="00D549EE" w:rsidRDefault="00AA2938" w:rsidP="00D549EE">
            <w:pPr>
              <w:contextualSpacing/>
              <w:rPr>
                <w:color w:val="212121"/>
                <w:lang w:val="en"/>
              </w:rPr>
            </w:pPr>
            <w:r w:rsidRPr="00D549EE">
              <w:rPr>
                <w:color w:val="000000" w:themeColor="text1"/>
                <w:lang w:val="en-US"/>
              </w:rPr>
              <w:t xml:space="preserve">ICD and a group of international and local investors established the first </w:t>
            </w:r>
            <w:r w:rsidRPr="00D549EE">
              <w:rPr>
                <w:bCs/>
                <w:color w:val="000000" w:themeColor="text1"/>
                <w:lang w:val="en-US"/>
              </w:rPr>
              <w:t>Kazakhstan Ijara Company;</w:t>
            </w:r>
          </w:p>
        </w:tc>
      </w:tr>
      <w:tr w:rsidR="00AA2938" w:rsidRPr="00FC685D" w14:paraId="4BD6C688" w14:textId="77777777" w:rsidTr="00D549EE">
        <w:tc>
          <w:tcPr>
            <w:tcW w:w="1555" w:type="dxa"/>
          </w:tcPr>
          <w:p w14:paraId="7B45B9F8" w14:textId="77777777" w:rsidR="00AA2938" w:rsidRPr="00D549EE" w:rsidRDefault="00AA2938" w:rsidP="00D549EE">
            <w:pPr>
              <w:contextualSpacing/>
              <w:rPr>
                <w:color w:val="212121"/>
                <w:lang w:val="en"/>
              </w:rPr>
            </w:pPr>
            <w:r w:rsidRPr="00D549EE">
              <w:rPr>
                <w:color w:val="212121"/>
                <w:lang w:val="en"/>
              </w:rPr>
              <w:t>2014</w:t>
            </w:r>
          </w:p>
        </w:tc>
        <w:tc>
          <w:tcPr>
            <w:tcW w:w="7784" w:type="dxa"/>
          </w:tcPr>
          <w:p w14:paraId="3CFC4CB7" w14:textId="77777777" w:rsidR="00AA2938" w:rsidRPr="00D549EE" w:rsidRDefault="00AA2938" w:rsidP="00D549EE">
            <w:pPr>
              <w:contextualSpacing/>
              <w:rPr>
                <w:color w:val="000000" w:themeColor="text1"/>
                <w:lang w:val="en-US"/>
              </w:rPr>
            </w:pPr>
            <w:r w:rsidRPr="00D549EE">
              <w:rPr>
                <w:color w:val="000000" w:themeColor="text1"/>
                <w:lang w:val="en-US"/>
              </w:rPr>
              <w:t>The first President of Kazakhstan, was awarded the Global Islamic Finance Award (GIFA);</w:t>
            </w:r>
          </w:p>
          <w:p w14:paraId="3617D86E" w14:textId="77777777" w:rsidR="00AA2938" w:rsidRPr="00D549EE" w:rsidRDefault="00AA2938" w:rsidP="00D549EE">
            <w:pPr>
              <w:contextualSpacing/>
              <w:rPr>
                <w:color w:val="000000" w:themeColor="text1"/>
                <w:lang w:val="en-US"/>
              </w:rPr>
            </w:pPr>
            <w:r w:rsidRPr="00D549EE">
              <w:rPr>
                <w:color w:val="000000" w:themeColor="text1"/>
                <w:lang w:val="en-US"/>
              </w:rPr>
              <w:t xml:space="preserve">The National Bank of Kazakhstan became an Observer Member of </w:t>
            </w:r>
            <w:r w:rsidRPr="00D549EE">
              <w:rPr>
                <w:bCs/>
                <w:color w:val="000000" w:themeColor="text1"/>
                <w:lang w:val="en-US"/>
              </w:rPr>
              <w:t xml:space="preserve">AAOIFI </w:t>
            </w:r>
            <w:r w:rsidRPr="00D549EE">
              <w:rPr>
                <w:color w:val="000000" w:themeColor="text1"/>
                <w:lang w:val="en-US"/>
              </w:rPr>
              <w:t xml:space="preserve">and an Observer Member of </w:t>
            </w:r>
            <w:r w:rsidRPr="00D549EE">
              <w:rPr>
                <w:bCs/>
                <w:color w:val="000000" w:themeColor="text1"/>
                <w:lang w:val="en-US"/>
              </w:rPr>
              <w:t xml:space="preserve">IIFM; </w:t>
            </w:r>
            <w:sdt>
              <w:sdtPr>
                <w:rPr>
                  <w:bCs/>
                  <w:color w:val="000000" w:themeColor="text1"/>
                  <w:lang w:val="en-US"/>
                </w:rPr>
                <w:id w:val="-936979390"/>
                <w:citation/>
              </w:sdtPr>
              <w:sdtEndPr/>
              <w:sdtContent>
                <w:r w:rsidRPr="00D549EE">
                  <w:rPr>
                    <w:bCs/>
                    <w:color w:val="000000" w:themeColor="text1"/>
                    <w:lang w:val="en-US"/>
                  </w:rPr>
                  <w:fldChar w:fldCharType="begin"/>
                </w:r>
                <w:r w:rsidRPr="00D549EE">
                  <w:rPr>
                    <w:bCs/>
                    <w:color w:val="000000" w:themeColor="text1"/>
                    <w:lang w:val="en-US"/>
                  </w:rPr>
                  <w:instrText xml:space="preserve"> CITATION Glo14 \l 1033 </w:instrText>
                </w:r>
                <w:r w:rsidRPr="00D549EE">
                  <w:rPr>
                    <w:bCs/>
                    <w:color w:val="000000" w:themeColor="text1"/>
                    <w:lang w:val="en-US"/>
                  </w:rPr>
                  <w:fldChar w:fldCharType="separate"/>
                </w:r>
                <w:r w:rsidRPr="00D549EE">
                  <w:rPr>
                    <w:noProof/>
                    <w:color w:val="000000" w:themeColor="text1"/>
                    <w:lang w:val="en-US"/>
                  </w:rPr>
                  <w:t>(Global Islamic Finance Awards, 2014)</w:t>
                </w:r>
                <w:r w:rsidRPr="00D549EE">
                  <w:rPr>
                    <w:bCs/>
                    <w:color w:val="000000" w:themeColor="text1"/>
                    <w:lang w:val="en-US"/>
                  </w:rPr>
                  <w:fldChar w:fldCharType="end"/>
                </w:r>
              </w:sdtContent>
            </w:sdt>
          </w:p>
        </w:tc>
      </w:tr>
      <w:tr w:rsidR="00AA2938" w:rsidRPr="00FC685D" w14:paraId="3FA7E248" w14:textId="77777777" w:rsidTr="00D549EE">
        <w:tc>
          <w:tcPr>
            <w:tcW w:w="1555" w:type="dxa"/>
          </w:tcPr>
          <w:p w14:paraId="098B2FB1" w14:textId="77777777" w:rsidR="00AA2938" w:rsidRPr="00D549EE" w:rsidRDefault="00AA2938" w:rsidP="00D549EE">
            <w:pPr>
              <w:contextualSpacing/>
              <w:rPr>
                <w:color w:val="212121"/>
                <w:lang w:val="en"/>
              </w:rPr>
            </w:pPr>
            <w:r w:rsidRPr="00D549EE">
              <w:rPr>
                <w:color w:val="212121"/>
                <w:lang w:val="en"/>
              </w:rPr>
              <w:t>2015</w:t>
            </w:r>
          </w:p>
        </w:tc>
        <w:tc>
          <w:tcPr>
            <w:tcW w:w="7784" w:type="dxa"/>
          </w:tcPr>
          <w:p w14:paraId="3BB15C70" w14:textId="77777777" w:rsidR="00AA2938" w:rsidRPr="00D549EE" w:rsidRDefault="00AA2938" w:rsidP="00D549EE">
            <w:pPr>
              <w:contextualSpacing/>
              <w:rPr>
                <w:color w:val="000000" w:themeColor="text1"/>
                <w:lang w:val="en-US"/>
              </w:rPr>
            </w:pPr>
            <w:r w:rsidRPr="00D549EE">
              <w:rPr>
                <w:color w:val="000000" w:themeColor="text1"/>
                <w:lang w:val="en-US"/>
              </w:rPr>
              <w:t xml:space="preserve">The </w:t>
            </w:r>
            <w:r w:rsidRPr="00D549EE">
              <w:rPr>
                <w:bCs/>
                <w:color w:val="000000" w:themeColor="text1"/>
                <w:lang w:val="en-US"/>
              </w:rPr>
              <w:t>12</w:t>
            </w:r>
            <w:r w:rsidRPr="00D549EE">
              <w:rPr>
                <w:bCs/>
                <w:color w:val="000000" w:themeColor="text1"/>
                <w:position w:val="6"/>
                <w:lang w:val="en-US"/>
              </w:rPr>
              <w:t xml:space="preserve">th </w:t>
            </w:r>
            <w:r w:rsidRPr="00D549EE">
              <w:rPr>
                <w:bCs/>
                <w:color w:val="000000" w:themeColor="text1"/>
                <w:lang w:val="en-US"/>
              </w:rPr>
              <w:t xml:space="preserve">Summit of IFSB </w:t>
            </w:r>
            <w:r w:rsidRPr="00D549EE">
              <w:rPr>
                <w:color w:val="000000" w:themeColor="text1"/>
                <w:lang w:val="en-US"/>
              </w:rPr>
              <w:t>was held in Almaty;</w:t>
            </w:r>
          </w:p>
          <w:p w14:paraId="1E3404F0" w14:textId="77777777" w:rsidR="00AA2938" w:rsidRPr="00D549EE" w:rsidRDefault="00AA2938" w:rsidP="00D549EE">
            <w:pPr>
              <w:contextualSpacing/>
              <w:rPr>
                <w:color w:val="000000" w:themeColor="text1"/>
                <w:lang w:val="en-US"/>
              </w:rPr>
            </w:pPr>
            <w:r w:rsidRPr="00D549EE">
              <w:rPr>
                <w:color w:val="000000" w:themeColor="text1"/>
                <w:lang w:val="en-US"/>
              </w:rPr>
              <w:t>Relevant legal provisions to allow conventional banks to be converted into Islamic banks;</w:t>
            </w:r>
          </w:p>
          <w:p w14:paraId="4CAE3345" w14:textId="77777777" w:rsidR="00AA2938" w:rsidRPr="00D549EE" w:rsidRDefault="00AA2938" w:rsidP="00D549EE">
            <w:pPr>
              <w:contextualSpacing/>
              <w:rPr>
                <w:color w:val="000000" w:themeColor="text1"/>
                <w:lang w:val="en-US"/>
              </w:rPr>
            </w:pPr>
            <w:r w:rsidRPr="00D549EE">
              <w:rPr>
                <w:bCs/>
                <w:color w:val="000000" w:themeColor="text1"/>
                <w:lang w:val="en-US"/>
              </w:rPr>
              <w:t xml:space="preserve">The Fund for Financial Supporting of Agriculture </w:t>
            </w:r>
            <w:r w:rsidRPr="00D549EE">
              <w:rPr>
                <w:color w:val="000000" w:themeColor="text1"/>
                <w:lang w:val="en-US"/>
              </w:rPr>
              <w:t xml:space="preserve">launched the </w:t>
            </w:r>
            <w:r w:rsidRPr="00D549EE">
              <w:rPr>
                <w:bCs/>
                <w:color w:val="000000" w:themeColor="text1"/>
                <w:lang w:val="en-US"/>
              </w:rPr>
              <w:t xml:space="preserve">Murabahah </w:t>
            </w:r>
            <w:r w:rsidRPr="00D549EE">
              <w:rPr>
                <w:color w:val="000000" w:themeColor="text1"/>
                <w:lang w:val="en-US"/>
              </w:rPr>
              <w:t>Program for Islamic Microfinance under the agreement between the IDB and the Fund;</w:t>
            </w:r>
          </w:p>
          <w:p w14:paraId="51F1ADDD" w14:textId="77777777" w:rsidR="00AA2938" w:rsidRPr="00D549EE" w:rsidRDefault="00AA2938" w:rsidP="00D549EE">
            <w:pPr>
              <w:contextualSpacing/>
              <w:rPr>
                <w:color w:val="000000" w:themeColor="text1"/>
                <w:lang w:val="en-US"/>
              </w:rPr>
            </w:pPr>
            <w:r w:rsidRPr="00D549EE">
              <w:rPr>
                <w:color w:val="000000" w:themeColor="text1"/>
                <w:lang w:val="en-US"/>
              </w:rPr>
              <w:t xml:space="preserve">The National Bank of Kazakhstan established a new Department for </w:t>
            </w:r>
            <w:r w:rsidRPr="00D549EE">
              <w:rPr>
                <w:bCs/>
                <w:color w:val="000000" w:themeColor="text1"/>
                <w:lang w:val="en-US"/>
              </w:rPr>
              <w:t xml:space="preserve">Development of the Regional Financial Centre of Almaty and Islamic Finance; </w:t>
            </w:r>
          </w:p>
        </w:tc>
      </w:tr>
      <w:tr w:rsidR="00AA2938" w:rsidRPr="00FC685D" w14:paraId="3F5A9153" w14:textId="77777777" w:rsidTr="00D549EE">
        <w:tc>
          <w:tcPr>
            <w:tcW w:w="1555" w:type="dxa"/>
          </w:tcPr>
          <w:p w14:paraId="26A0CCAF" w14:textId="77777777" w:rsidR="00AA2938" w:rsidRPr="00D549EE" w:rsidRDefault="00AA2938" w:rsidP="00D549EE">
            <w:pPr>
              <w:contextualSpacing/>
              <w:rPr>
                <w:color w:val="212121"/>
                <w:lang w:val="en"/>
              </w:rPr>
            </w:pPr>
            <w:r w:rsidRPr="00D549EE">
              <w:rPr>
                <w:color w:val="212121"/>
                <w:lang w:val="en"/>
              </w:rPr>
              <w:t>2016</w:t>
            </w:r>
          </w:p>
        </w:tc>
        <w:tc>
          <w:tcPr>
            <w:tcW w:w="7784" w:type="dxa"/>
          </w:tcPr>
          <w:p w14:paraId="01D917F7" w14:textId="77777777" w:rsidR="00AA2938" w:rsidRPr="00D549EE" w:rsidRDefault="00AA2938" w:rsidP="00D549EE">
            <w:pPr>
              <w:contextualSpacing/>
              <w:rPr>
                <w:lang w:val="en-US"/>
              </w:rPr>
            </w:pPr>
            <w:r w:rsidRPr="00D549EE">
              <w:rPr>
                <w:lang w:val="en-US"/>
              </w:rPr>
              <w:t>JSC Al-Saqr finance converted from conventional leasing company to Islamic ijara company:</w:t>
            </w:r>
          </w:p>
          <w:p w14:paraId="00790FAA" w14:textId="77777777" w:rsidR="00AA2938" w:rsidRPr="00D549EE" w:rsidRDefault="00AA2938" w:rsidP="00D549EE">
            <w:pPr>
              <w:contextualSpacing/>
              <w:rPr>
                <w:color w:val="000000" w:themeColor="text1"/>
                <w:lang w:val="en-US"/>
              </w:rPr>
            </w:pPr>
            <w:r w:rsidRPr="00D549EE">
              <w:rPr>
                <w:lang w:val="en-US"/>
              </w:rPr>
              <w:t>The Astana International Financial Centre was established on the base of the Expo-2017 infrastructure and to confer a special status on the AIFC;</w:t>
            </w:r>
          </w:p>
        </w:tc>
      </w:tr>
      <w:tr w:rsidR="00AA2938" w:rsidRPr="00FC685D" w14:paraId="7DCEC56F" w14:textId="77777777" w:rsidTr="00AA2938">
        <w:tc>
          <w:tcPr>
            <w:tcW w:w="1555" w:type="dxa"/>
            <w:tcBorders>
              <w:bottom w:val="single" w:sz="4" w:space="0" w:color="auto"/>
            </w:tcBorders>
          </w:tcPr>
          <w:p w14:paraId="10860034" w14:textId="77777777" w:rsidR="00AA2938" w:rsidRPr="00D549EE" w:rsidRDefault="00AA2938" w:rsidP="00D549EE">
            <w:pPr>
              <w:contextualSpacing/>
              <w:rPr>
                <w:color w:val="212121"/>
                <w:lang w:val="en"/>
              </w:rPr>
            </w:pPr>
            <w:r w:rsidRPr="00D549EE">
              <w:rPr>
                <w:color w:val="212121"/>
                <w:lang w:val="en"/>
              </w:rPr>
              <w:t>2017</w:t>
            </w:r>
          </w:p>
        </w:tc>
        <w:tc>
          <w:tcPr>
            <w:tcW w:w="7784" w:type="dxa"/>
            <w:tcBorders>
              <w:bottom w:val="single" w:sz="4" w:space="0" w:color="auto"/>
            </w:tcBorders>
          </w:tcPr>
          <w:p w14:paraId="7FC29691" w14:textId="77777777" w:rsidR="00AA2938" w:rsidRPr="00D549EE" w:rsidRDefault="00AA2938" w:rsidP="00D549EE">
            <w:pPr>
              <w:contextualSpacing/>
              <w:rPr>
                <w:lang w:val="en-US"/>
              </w:rPr>
            </w:pPr>
            <w:r w:rsidRPr="00D549EE">
              <w:rPr>
                <w:bCs/>
                <w:lang w:val="en-US"/>
              </w:rPr>
              <w:t xml:space="preserve">Astana Financial Services Authority </w:t>
            </w:r>
            <w:r w:rsidRPr="00D549EE">
              <w:rPr>
                <w:lang w:val="en-US"/>
              </w:rPr>
              <w:t>(AFSA) adopted the Islamic Finance Rules;</w:t>
            </w:r>
          </w:p>
          <w:p w14:paraId="6717240C" w14:textId="77777777" w:rsidR="00AA2938" w:rsidRPr="00D549EE" w:rsidRDefault="00AA2938" w:rsidP="00D549EE">
            <w:pPr>
              <w:contextualSpacing/>
              <w:rPr>
                <w:color w:val="000000" w:themeColor="text1"/>
                <w:lang w:val="en-US"/>
              </w:rPr>
            </w:pPr>
            <w:r w:rsidRPr="00D549EE">
              <w:rPr>
                <w:lang w:val="en-US"/>
              </w:rPr>
              <w:t xml:space="preserve">The AIFC holds the awards ceremony of the Global Islamic finance awards; </w:t>
            </w:r>
            <w:sdt>
              <w:sdtPr>
                <w:rPr>
                  <w:color w:val="000000" w:themeColor="text1"/>
                  <w:lang w:val="en-US"/>
                </w:rPr>
                <w:id w:val="1541011929"/>
                <w:citation/>
              </w:sdtPr>
              <w:sdtEndPr/>
              <w:sdtContent>
                <w:r w:rsidRPr="00D549EE">
                  <w:rPr>
                    <w:color w:val="000000" w:themeColor="text1"/>
                    <w:lang w:val="en-US"/>
                  </w:rPr>
                  <w:fldChar w:fldCharType="begin"/>
                </w:r>
                <w:r w:rsidRPr="00D549EE">
                  <w:rPr>
                    <w:color w:val="000000" w:themeColor="text1"/>
                    <w:lang w:val="en-US"/>
                  </w:rPr>
                  <w:instrText xml:space="preserve"> CITATION Glo17 \l 1033 </w:instrText>
                </w:r>
                <w:r w:rsidRPr="00D549EE">
                  <w:rPr>
                    <w:color w:val="000000" w:themeColor="text1"/>
                    <w:lang w:val="en-US"/>
                  </w:rPr>
                  <w:fldChar w:fldCharType="separate"/>
                </w:r>
                <w:r w:rsidRPr="00D549EE">
                  <w:rPr>
                    <w:noProof/>
                    <w:color w:val="000000" w:themeColor="text1"/>
                    <w:lang w:val="en-US"/>
                  </w:rPr>
                  <w:t>(Global Islamic Fianace Awards , 2017)</w:t>
                </w:r>
                <w:r w:rsidRPr="00D549EE">
                  <w:rPr>
                    <w:color w:val="000000" w:themeColor="text1"/>
                    <w:lang w:val="en-US"/>
                  </w:rPr>
                  <w:fldChar w:fldCharType="end"/>
                </w:r>
              </w:sdtContent>
            </w:sdt>
          </w:p>
        </w:tc>
      </w:tr>
      <w:tr w:rsidR="00AA2938" w:rsidRPr="00FC685D" w14:paraId="530987AA" w14:textId="77777777" w:rsidTr="00AA2938">
        <w:tc>
          <w:tcPr>
            <w:tcW w:w="1555" w:type="dxa"/>
            <w:tcBorders>
              <w:bottom w:val="dotted" w:sz="4" w:space="0" w:color="auto"/>
            </w:tcBorders>
          </w:tcPr>
          <w:p w14:paraId="007934CE" w14:textId="77777777" w:rsidR="00AA2938" w:rsidRPr="00D549EE" w:rsidRDefault="00AA2938" w:rsidP="00D549EE">
            <w:pPr>
              <w:contextualSpacing/>
              <w:rPr>
                <w:color w:val="212121"/>
                <w:lang w:val="en"/>
              </w:rPr>
            </w:pPr>
            <w:r w:rsidRPr="00D549EE">
              <w:rPr>
                <w:color w:val="212121"/>
                <w:lang w:val="en"/>
              </w:rPr>
              <w:t>2018</w:t>
            </w:r>
          </w:p>
        </w:tc>
        <w:tc>
          <w:tcPr>
            <w:tcW w:w="7784" w:type="dxa"/>
            <w:tcBorders>
              <w:bottom w:val="dotted" w:sz="4" w:space="0" w:color="auto"/>
            </w:tcBorders>
          </w:tcPr>
          <w:p w14:paraId="44EB7184" w14:textId="77777777" w:rsidR="00AA2938" w:rsidRPr="00D549EE" w:rsidRDefault="00AA2938" w:rsidP="00D549EE">
            <w:pPr>
              <w:contextualSpacing/>
              <w:rPr>
                <w:color w:val="000000" w:themeColor="text1"/>
                <w:shd w:val="clear" w:color="auto" w:fill="FFFFFF"/>
                <w:lang w:val="en-US"/>
              </w:rPr>
            </w:pPr>
            <w:r w:rsidRPr="00D549EE">
              <w:rPr>
                <w:color w:val="000000" w:themeColor="text1"/>
                <w:lang w:val="en-US"/>
              </w:rPr>
              <w:t xml:space="preserve">The AIFC Bureau </w:t>
            </w:r>
            <w:r w:rsidRPr="00D549EE">
              <w:rPr>
                <w:color w:val="000000" w:themeColor="text1"/>
                <w:shd w:val="clear" w:color="auto" w:fill="FFFFFF"/>
                <w:lang w:val="en-US"/>
              </w:rPr>
              <w:t>for Continuing Professional Development started preparing professionals in Islamic finance;</w:t>
            </w:r>
          </w:p>
          <w:p w14:paraId="176EB504" w14:textId="77777777" w:rsidR="00AA2938" w:rsidRPr="00D549EE" w:rsidRDefault="00AA2938" w:rsidP="00D549EE">
            <w:pPr>
              <w:contextualSpacing/>
              <w:rPr>
                <w:color w:val="000000"/>
                <w:lang w:val="en-US"/>
              </w:rPr>
            </w:pPr>
            <w:r w:rsidRPr="00D549EE">
              <w:rPr>
                <w:color w:val="000000"/>
                <w:lang w:val="en-US"/>
              </w:rPr>
              <w:t>Astana International Exchange (AIX), a modern trade platform was created;</w:t>
            </w:r>
          </w:p>
          <w:p w14:paraId="15C8CA67" w14:textId="79A0774E" w:rsidR="00AA2938" w:rsidRPr="00D549EE" w:rsidRDefault="00AA2938" w:rsidP="00D549EE">
            <w:pPr>
              <w:contextualSpacing/>
              <w:rPr>
                <w:color w:val="000000"/>
                <w:lang w:val="en-US"/>
              </w:rPr>
            </w:pPr>
            <w:r w:rsidRPr="00D549EE">
              <w:rPr>
                <w:color w:val="000000"/>
                <w:lang w:val="en-US"/>
              </w:rPr>
              <w:t>The AIFC central Shariah Advisory board is established;</w:t>
            </w:r>
          </w:p>
        </w:tc>
      </w:tr>
    </w:tbl>
    <w:p w14:paraId="1C0DE5FF" w14:textId="77777777" w:rsidR="00AA2938" w:rsidRPr="00287ACF" w:rsidRDefault="00AA2938">
      <w:pPr>
        <w:rPr>
          <w:lang w:val="en-US"/>
        </w:rPr>
      </w:pPr>
    </w:p>
    <w:tbl>
      <w:tblPr>
        <w:tblStyle w:val="a9"/>
        <w:tblW w:w="0" w:type="auto"/>
        <w:tblLook w:val="04A0" w:firstRow="1" w:lastRow="0" w:firstColumn="1" w:lastColumn="0" w:noHBand="0" w:noVBand="1"/>
      </w:tblPr>
      <w:tblGrid>
        <w:gridCol w:w="1555"/>
        <w:gridCol w:w="7784"/>
      </w:tblGrid>
      <w:tr w:rsidR="00AA2938" w:rsidRPr="00D549EE" w14:paraId="4A15DC0E" w14:textId="77777777" w:rsidTr="00D549EE">
        <w:tc>
          <w:tcPr>
            <w:tcW w:w="1555" w:type="dxa"/>
          </w:tcPr>
          <w:p w14:paraId="576BE02E" w14:textId="43A7E033" w:rsidR="00AA2938" w:rsidRPr="00D549EE" w:rsidRDefault="00AA2938" w:rsidP="00D549EE">
            <w:pPr>
              <w:contextualSpacing/>
              <w:rPr>
                <w:color w:val="212121"/>
                <w:lang w:val="en"/>
              </w:rPr>
            </w:pPr>
            <w:r w:rsidRPr="00D549EE">
              <w:rPr>
                <w:color w:val="212121"/>
                <w:lang w:val="en"/>
              </w:rPr>
              <w:t>1</w:t>
            </w:r>
          </w:p>
        </w:tc>
        <w:tc>
          <w:tcPr>
            <w:tcW w:w="7784" w:type="dxa"/>
          </w:tcPr>
          <w:p w14:paraId="60842F42" w14:textId="1A50D993" w:rsidR="00AA2938" w:rsidRPr="00D549EE" w:rsidRDefault="00AA2938" w:rsidP="00D549EE">
            <w:pPr>
              <w:rPr>
                <w:color w:val="000000"/>
                <w:shd w:val="clear" w:color="auto" w:fill="FFFFFF"/>
                <w:lang w:val="en-US"/>
              </w:rPr>
            </w:pPr>
            <w:r w:rsidRPr="00D549EE">
              <w:rPr>
                <w:color w:val="000000"/>
                <w:shd w:val="clear" w:color="auto" w:fill="FFFFFF"/>
                <w:lang w:val="en-US"/>
              </w:rPr>
              <w:t>2</w:t>
            </w:r>
          </w:p>
        </w:tc>
      </w:tr>
      <w:tr w:rsidR="00AA2938" w:rsidRPr="00FC685D" w14:paraId="3BF1114F" w14:textId="77777777" w:rsidTr="00D549EE">
        <w:tc>
          <w:tcPr>
            <w:tcW w:w="1555" w:type="dxa"/>
          </w:tcPr>
          <w:p w14:paraId="2FA67214" w14:textId="77777777" w:rsidR="00AA2938" w:rsidRPr="00D549EE" w:rsidRDefault="00AA2938" w:rsidP="00D549EE">
            <w:pPr>
              <w:contextualSpacing/>
              <w:rPr>
                <w:color w:val="212121"/>
                <w:lang w:val="en"/>
              </w:rPr>
            </w:pPr>
            <w:r w:rsidRPr="00D549EE">
              <w:rPr>
                <w:color w:val="212121"/>
                <w:lang w:val="en"/>
              </w:rPr>
              <w:t>2019</w:t>
            </w:r>
          </w:p>
        </w:tc>
        <w:tc>
          <w:tcPr>
            <w:tcW w:w="7784" w:type="dxa"/>
          </w:tcPr>
          <w:p w14:paraId="1F7343A2" w14:textId="77777777" w:rsidR="00AA2938" w:rsidRPr="00D549EE" w:rsidRDefault="00AA2938" w:rsidP="00D549EE">
            <w:pPr>
              <w:rPr>
                <w:color w:val="000000"/>
                <w:shd w:val="clear" w:color="auto" w:fill="FFFFFF"/>
                <w:lang w:val="en-US"/>
              </w:rPr>
            </w:pPr>
            <w:r w:rsidRPr="00D549EE">
              <w:rPr>
                <w:color w:val="000000"/>
                <w:shd w:val="clear" w:color="auto" w:fill="FFFFFF"/>
                <w:lang w:val="en-US"/>
              </w:rPr>
              <w:t xml:space="preserve">ZICO Shariah Advisory Services presented a Master plan (Road map) for the further development of Islamic Finance in Kazakhstan to the AIFC by the technical support of the Islamic Development Bank. </w:t>
            </w:r>
          </w:p>
          <w:p w14:paraId="23F65394" w14:textId="77777777" w:rsidR="00AA2938" w:rsidRPr="00D549EE" w:rsidRDefault="00AA2938" w:rsidP="00D549EE">
            <w:pPr>
              <w:rPr>
                <w:lang w:val="en-US"/>
              </w:rPr>
            </w:pPr>
            <w:r w:rsidRPr="00D549EE">
              <w:rPr>
                <w:lang w:val="en-US"/>
              </w:rPr>
              <w:t>Al-Farabi Kazakh National University has opened Islamic Finance Centre in cooperation with Hamad Bin Khalifa University and AIFC, the main purpose of which is education in Islamic finance and research in this field.</w:t>
            </w:r>
          </w:p>
        </w:tc>
      </w:tr>
      <w:tr w:rsidR="00AA2938" w:rsidRPr="00FC685D" w14:paraId="6E07BE14" w14:textId="77777777" w:rsidTr="00D549EE">
        <w:tc>
          <w:tcPr>
            <w:tcW w:w="1555" w:type="dxa"/>
          </w:tcPr>
          <w:p w14:paraId="2A31D48C" w14:textId="77777777" w:rsidR="00AA2938" w:rsidRPr="00D549EE" w:rsidRDefault="00AA2938" w:rsidP="00D549EE">
            <w:pPr>
              <w:contextualSpacing/>
              <w:rPr>
                <w:color w:val="212121"/>
              </w:rPr>
            </w:pPr>
            <w:r w:rsidRPr="00D549EE">
              <w:rPr>
                <w:color w:val="212121"/>
              </w:rPr>
              <w:t xml:space="preserve">2020 </w:t>
            </w:r>
          </w:p>
        </w:tc>
        <w:tc>
          <w:tcPr>
            <w:tcW w:w="7784" w:type="dxa"/>
          </w:tcPr>
          <w:p w14:paraId="54B3D853" w14:textId="77777777" w:rsidR="00AA2938" w:rsidRPr="00D549EE" w:rsidRDefault="00AA2938" w:rsidP="00D549EE">
            <w:pPr>
              <w:rPr>
                <w:color w:val="000000"/>
                <w:shd w:val="clear" w:color="auto" w:fill="FFFFFF"/>
                <w:lang w:val="en-US"/>
              </w:rPr>
            </w:pPr>
            <w:r w:rsidRPr="00D549EE">
              <w:rPr>
                <w:color w:val="000000"/>
                <w:shd w:val="clear" w:color="auto" w:fill="FFFFFF"/>
                <w:lang w:val="en-US"/>
              </w:rPr>
              <w:t>Kazakhstan took grant from Asian Development Bank for realization the program “Islamic finance for inclusive growth - capacity building”</w:t>
            </w:r>
          </w:p>
          <w:p w14:paraId="127EBD59" w14:textId="77777777" w:rsidR="00AA2938" w:rsidRPr="00D549EE" w:rsidRDefault="00AA2938" w:rsidP="00D549EE">
            <w:pPr>
              <w:rPr>
                <w:color w:val="000000"/>
                <w:shd w:val="clear" w:color="auto" w:fill="FFFFFF"/>
                <w:lang w:val="en-US"/>
              </w:rPr>
            </w:pPr>
            <w:r w:rsidRPr="00D549EE">
              <w:rPr>
                <w:color w:val="000000"/>
                <w:shd w:val="clear" w:color="auto" w:fill="FFFFFF"/>
                <w:lang w:val="en-US"/>
              </w:rPr>
              <w:t>The Islamic Bank Al-Rayan has registered in AIFC as a participant</w:t>
            </w:r>
          </w:p>
          <w:p w14:paraId="2332C6F7" w14:textId="77777777" w:rsidR="00AA2938" w:rsidRPr="00D549EE" w:rsidRDefault="00AA2938" w:rsidP="00D549EE">
            <w:pPr>
              <w:rPr>
                <w:color w:val="000000"/>
                <w:shd w:val="clear" w:color="auto" w:fill="FFFFFF"/>
                <w:lang w:val="en-US"/>
              </w:rPr>
            </w:pPr>
            <w:r w:rsidRPr="00D549EE">
              <w:rPr>
                <w:color w:val="000000"/>
                <w:shd w:val="clear" w:color="auto" w:fill="FFFFFF"/>
                <w:lang w:val="en-US"/>
              </w:rPr>
              <w:t>AIX included issued sukuk of the Qatar International Islamic bank in the official list</w:t>
            </w:r>
          </w:p>
        </w:tc>
      </w:tr>
      <w:tr w:rsidR="00AA2938" w:rsidRPr="00FC685D" w14:paraId="6311A0B1" w14:textId="77777777" w:rsidTr="00D549EE">
        <w:tc>
          <w:tcPr>
            <w:tcW w:w="1555" w:type="dxa"/>
          </w:tcPr>
          <w:p w14:paraId="3A1408FE" w14:textId="77777777" w:rsidR="00AA2938" w:rsidRPr="00D549EE" w:rsidRDefault="00AA2938" w:rsidP="00D549EE">
            <w:pPr>
              <w:contextualSpacing/>
              <w:rPr>
                <w:color w:val="212121"/>
                <w:lang w:val="en"/>
              </w:rPr>
            </w:pPr>
            <w:r w:rsidRPr="00D549EE">
              <w:rPr>
                <w:color w:val="212121"/>
                <w:lang w:val="en"/>
              </w:rPr>
              <w:t>2021</w:t>
            </w:r>
          </w:p>
        </w:tc>
        <w:tc>
          <w:tcPr>
            <w:tcW w:w="7784" w:type="dxa"/>
          </w:tcPr>
          <w:p w14:paraId="2DA9B857" w14:textId="77777777" w:rsidR="00AA2938" w:rsidRPr="00D549EE" w:rsidRDefault="00AA2938" w:rsidP="00D549EE">
            <w:pPr>
              <w:rPr>
                <w:color w:val="000000"/>
                <w:shd w:val="clear" w:color="auto" w:fill="FFFFFF"/>
                <w:lang w:val="en-US"/>
              </w:rPr>
            </w:pPr>
            <w:r w:rsidRPr="00D549EE">
              <w:rPr>
                <w:color w:val="000000"/>
                <w:shd w:val="clear" w:color="auto" w:fill="FFFFFF"/>
                <w:lang w:val="en-US"/>
              </w:rPr>
              <w:t>Kazakhstan has been ranked 27 in the Global Islamic Fintech (GIFT) Index with 29.1 score (according methodology of the ranking it were taken into account the quality of human capital, regulation, infrastructure, Islamic fintech market and ecosystem, access to capital)</w:t>
            </w:r>
          </w:p>
        </w:tc>
      </w:tr>
      <w:tr w:rsidR="00AA2938" w:rsidRPr="00FC685D" w14:paraId="0200386B" w14:textId="77777777" w:rsidTr="00D549EE">
        <w:tc>
          <w:tcPr>
            <w:tcW w:w="9339" w:type="dxa"/>
            <w:gridSpan w:val="2"/>
          </w:tcPr>
          <w:p w14:paraId="364EA442" w14:textId="77777777" w:rsidR="00AA2938" w:rsidRPr="00D549EE" w:rsidRDefault="00AA2938" w:rsidP="00D549EE">
            <w:pPr>
              <w:rPr>
                <w:color w:val="000000"/>
                <w:shd w:val="clear" w:color="auto" w:fill="FFFFFF"/>
                <w:lang w:val="en-US"/>
              </w:rPr>
            </w:pPr>
            <w:r w:rsidRPr="00D549EE">
              <w:rPr>
                <w:color w:val="000000"/>
                <w:shd w:val="clear" w:color="auto" w:fill="FFFFFF"/>
                <w:lang w:val="en-US"/>
              </w:rPr>
              <w:t xml:space="preserve">Note </w:t>
            </w:r>
            <w:r w:rsidRPr="00D549EE">
              <w:rPr>
                <w:lang w:val="en-US"/>
              </w:rPr>
              <w:t>–</w:t>
            </w:r>
            <w:r w:rsidRPr="00D549EE">
              <w:rPr>
                <w:color w:val="000000"/>
                <w:shd w:val="clear" w:color="auto" w:fill="FFFFFF"/>
                <w:lang w:val="en-US"/>
              </w:rPr>
              <w:t xml:space="preserve"> Compiled by the author</w:t>
            </w:r>
          </w:p>
        </w:tc>
      </w:tr>
    </w:tbl>
    <w:p w14:paraId="5D811C70" w14:textId="77777777" w:rsidR="00AA2938" w:rsidRPr="00D549EE" w:rsidRDefault="00AA2938" w:rsidP="00AA2938">
      <w:pPr>
        <w:rPr>
          <w:lang w:val="en-US"/>
        </w:rPr>
      </w:pPr>
    </w:p>
    <w:p w14:paraId="2C839E25" w14:textId="77777777" w:rsidR="00375289" w:rsidRPr="00D549EE" w:rsidRDefault="00375289" w:rsidP="00375289">
      <w:pPr>
        <w:rPr>
          <w:lang w:val="en-US"/>
        </w:rPr>
      </w:pPr>
    </w:p>
    <w:p w14:paraId="2163F971" w14:textId="63E0F675" w:rsidR="00375289" w:rsidRPr="00D549EE" w:rsidRDefault="00375289" w:rsidP="00FB76E6">
      <w:pPr>
        <w:snapToGrid w:val="0"/>
        <w:contextualSpacing/>
        <w:jc w:val="center"/>
        <w:rPr>
          <w:b/>
          <w:color w:val="000000" w:themeColor="text1"/>
          <w:sz w:val="28"/>
          <w:szCs w:val="28"/>
          <w:lang w:val="kk-KZ"/>
        </w:rPr>
      </w:pPr>
    </w:p>
    <w:p w14:paraId="485BD3D3" w14:textId="05DA2005" w:rsidR="00AA2938" w:rsidRPr="00D549EE" w:rsidRDefault="00AA2938" w:rsidP="00FB76E6">
      <w:pPr>
        <w:snapToGrid w:val="0"/>
        <w:contextualSpacing/>
        <w:jc w:val="center"/>
        <w:rPr>
          <w:b/>
          <w:color w:val="000000" w:themeColor="text1"/>
          <w:sz w:val="28"/>
          <w:szCs w:val="28"/>
          <w:lang w:val="kk-KZ"/>
        </w:rPr>
      </w:pPr>
    </w:p>
    <w:p w14:paraId="1C0B158B" w14:textId="70463209" w:rsidR="00AA2938" w:rsidRPr="00D549EE" w:rsidRDefault="00AA2938" w:rsidP="00FB76E6">
      <w:pPr>
        <w:snapToGrid w:val="0"/>
        <w:contextualSpacing/>
        <w:jc w:val="center"/>
        <w:rPr>
          <w:b/>
          <w:color w:val="000000" w:themeColor="text1"/>
          <w:sz w:val="28"/>
          <w:szCs w:val="28"/>
          <w:lang w:val="kk-KZ"/>
        </w:rPr>
      </w:pPr>
    </w:p>
    <w:p w14:paraId="4FFA7A7B" w14:textId="57399A39" w:rsidR="00AA2938" w:rsidRPr="00D549EE" w:rsidRDefault="00AA2938" w:rsidP="00FB76E6">
      <w:pPr>
        <w:snapToGrid w:val="0"/>
        <w:contextualSpacing/>
        <w:jc w:val="center"/>
        <w:rPr>
          <w:b/>
          <w:color w:val="000000" w:themeColor="text1"/>
          <w:sz w:val="28"/>
          <w:szCs w:val="28"/>
          <w:lang w:val="kk-KZ"/>
        </w:rPr>
      </w:pPr>
    </w:p>
    <w:p w14:paraId="57DE58DE" w14:textId="08042687" w:rsidR="00AA2938" w:rsidRPr="00D549EE" w:rsidRDefault="00AA2938" w:rsidP="00FB76E6">
      <w:pPr>
        <w:snapToGrid w:val="0"/>
        <w:contextualSpacing/>
        <w:jc w:val="center"/>
        <w:rPr>
          <w:b/>
          <w:color w:val="000000" w:themeColor="text1"/>
          <w:sz w:val="28"/>
          <w:szCs w:val="28"/>
          <w:lang w:val="kk-KZ"/>
        </w:rPr>
      </w:pPr>
    </w:p>
    <w:p w14:paraId="2246AF69" w14:textId="0CC402A0" w:rsidR="00AA2938" w:rsidRPr="00D549EE" w:rsidRDefault="00AA2938" w:rsidP="00FB76E6">
      <w:pPr>
        <w:snapToGrid w:val="0"/>
        <w:contextualSpacing/>
        <w:jc w:val="center"/>
        <w:rPr>
          <w:b/>
          <w:color w:val="000000" w:themeColor="text1"/>
          <w:sz w:val="28"/>
          <w:szCs w:val="28"/>
          <w:lang w:val="kk-KZ"/>
        </w:rPr>
      </w:pPr>
    </w:p>
    <w:p w14:paraId="56A55F6F" w14:textId="214AFEB7" w:rsidR="00AA2938" w:rsidRPr="00D549EE" w:rsidRDefault="00AA2938" w:rsidP="00FB76E6">
      <w:pPr>
        <w:snapToGrid w:val="0"/>
        <w:contextualSpacing/>
        <w:jc w:val="center"/>
        <w:rPr>
          <w:b/>
          <w:color w:val="000000" w:themeColor="text1"/>
          <w:sz w:val="28"/>
          <w:szCs w:val="28"/>
          <w:lang w:val="kk-KZ"/>
        </w:rPr>
      </w:pPr>
    </w:p>
    <w:p w14:paraId="551A80B4" w14:textId="74C86B81" w:rsidR="00AA2938" w:rsidRPr="00D549EE" w:rsidRDefault="00AA2938" w:rsidP="00FB76E6">
      <w:pPr>
        <w:snapToGrid w:val="0"/>
        <w:contextualSpacing/>
        <w:jc w:val="center"/>
        <w:rPr>
          <w:b/>
          <w:color w:val="000000" w:themeColor="text1"/>
          <w:sz w:val="28"/>
          <w:szCs w:val="28"/>
          <w:lang w:val="kk-KZ"/>
        </w:rPr>
      </w:pPr>
    </w:p>
    <w:p w14:paraId="47D12634" w14:textId="3DB379EC" w:rsidR="00AA2938" w:rsidRPr="00D549EE" w:rsidRDefault="00AA2938" w:rsidP="00FB76E6">
      <w:pPr>
        <w:snapToGrid w:val="0"/>
        <w:contextualSpacing/>
        <w:jc w:val="center"/>
        <w:rPr>
          <w:b/>
          <w:color w:val="000000" w:themeColor="text1"/>
          <w:sz w:val="28"/>
          <w:szCs w:val="28"/>
          <w:lang w:val="kk-KZ"/>
        </w:rPr>
      </w:pPr>
    </w:p>
    <w:p w14:paraId="29593531" w14:textId="5E5A6633" w:rsidR="00AA2938" w:rsidRPr="00D549EE" w:rsidRDefault="00AA2938" w:rsidP="00FB76E6">
      <w:pPr>
        <w:snapToGrid w:val="0"/>
        <w:contextualSpacing/>
        <w:jc w:val="center"/>
        <w:rPr>
          <w:b/>
          <w:color w:val="000000" w:themeColor="text1"/>
          <w:sz w:val="28"/>
          <w:szCs w:val="28"/>
          <w:lang w:val="kk-KZ"/>
        </w:rPr>
      </w:pPr>
    </w:p>
    <w:p w14:paraId="4D0FA4B8" w14:textId="6C2EF9C9" w:rsidR="00AA2938" w:rsidRPr="00D549EE" w:rsidRDefault="00AA2938" w:rsidP="00FB76E6">
      <w:pPr>
        <w:snapToGrid w:val="0"/>
        <w:contextualSpacing/>
        <w:jc w:val="center"/>
        <w:rPr>
          <w:b/>
          <w:color w:val="000000" w:themeColor="text1"/>
          <w:sz w:val="28"/>
          <w:szCs w:val="28"/>
          <w:lang w:val="kk-KZ"/>
        </w:rPr>
      </w:pPr>
    </w:p>
    <w:p w14:paraId="61319724" w14:textId="46803B7C" w:rsidR="00AA2938" w:rsidRPr="00D549EE" w:rsidRDefault="00AA2938" w:rsidP="00FB76E6">
      <w:pPr>
        <w:snapToGrid w:val="0"/>
        <w:contextualSpacing/>
        <w:jc w:val="center"/>
        <w:rPr>
          <w:b/>
          <w:color w:val="000000" w:themeColor="text1"/>
          <w:sz w:val="28"/>
          <w:szCs w:val="28"/>
          <w:lang w:val="kk-KZ"/>
        </w:rPr>
      </w:pPr>
    </w:p>
    <w:p w14:paraId="4076E41B" w14:textId="2C19B467" w:rsidR="00AA2938" w:rsidRPr="00D549EE" w:rsidRDefault="00AA2938" w:rsidP="00FB76E6">
      <w:pPr>
        <w:snapToGrid w:val="0"/>
        <w:contextualSpacing/>
        <w:jc w:val="center"/>
        <w:rPr>
          <w:b/>
          <w:color w:val="000000" w:themeColor="text1"/>
          <w:sz w:val="28"/>
          <w:szCs w:val="28"/>
          <w:lang w:val="kk-KZ"/>
        </w:rPr>
      </w:pPr>
    </w:p>
    <w:p w14:paraId="712AB007" w14:textId="0DAFE9DE" w:rsidR="00AA2938" w:rsidRPr="00D549EE" w:rsidRDefault="00AA2938" w:rsidP="00FB76E6">
      <w:pPr>
        <w:snapToGrid w:val="0"/>
        <w:contextualSpacing/>
        <w:jc w:val="center"/>
        <w:rPr>
          <w:b/>
          <w:color w:val="000000" w:themeColor="text1"/>
          <w:sz w:val="28"/>
          <w:szCs w:val="28"/>
          <w:lang w:val="kk-KZ"/>
        </w:rPr>
      </w:pPr>
    </w:p>
    <w:p w14:paraId="30AB9DBA" w14:textId="42CEA543" w:rsidR="00AA2938" w:rsidRPr="00D549EE" w:rsidRDefault="00AA2938" w:rsidP="00FB76E6">
      <w:pPr>
        <w:snapToGrid w:val="0"/>
        <w:contextualSpacing/>
        <w:jc w:val="center"/>
        <w:rPr>
          <w:b/>
          <w:color w:val="000000" w:themeColor="text1"/>
          <w:sz w:val="28"/>
          <w:szCs w:val="28"/>
          <w:lang w:val="kk-KZ"/>
        </w:rPr>
      </w:pPr>
    </w:p>
    <w:p w14:paraId="0CA6DA21" w14:textId="780ACED8" w:rsidR="00AA2938" w:rsidRPr="00D549EE" w:rsidRDefault="00AA2938" w:rsidP="00FB76E6">
      <w:pPr>
        <w:snapToGrid w:val="0"/>
        <w:contextualSpacing/>
        <w:jc w:val="center"/>
        <w:rPr>
          <w:b/>
          <w:color w:val="000000" w:themeColor="text1"/>
          <w:sz w:val="28"/>
          <w:szCs w:val="28"/>
          <w:lang w:val="kk-KZ"/>
        </w:rPr>
      </w:pPr>
    </w:p>
    <w:p w14:paraId="51AE30C6" w14:textId="229202F5" w:rsidR="00AA2938" w:rsidRPr="00D549EE" w:rsidRDefault="00AA2938" w:rsidP="00FB76E6">
      <w:pPr>
        <w:snapToGrid w:val="0"/>
        <w:contextualSpacing/>
        <w:jc w:val="center"/>
        <w:rPr>
          <w:b/>
          <w:color w:val="000000" w:themeColor="text1"/>
          <w:sz w:val="28"/>
          <w:szCs w:val="28"/>
          <w:lang w:val="kk-KZ"/>
        </w:rPr>
      </w:pPr>
    </w:p>
    <w:p w14:paraId="5688417A" w14:textId="4444C24E" w:rsidR="00AA2938" w:rsidRPr="00D549EE" w:rsidRDefault="00AA2938" w:rsidP="00FB76E6">
      <w:pPr>
        <w:snapToGrid w:val="0"/>
        <w:contextualSpacing/>
        <w:jc w:val="center"/>
        <w:rPr>
          <w:b/>
          <w:color w:val="000000" w:themeColor="text1"/>
          <w:sz w:val="28"/>
          <w:szCs w:val="28"/>
          <w:lang w:val="kk-KZ"/>
        </w:rPr>
      </w:pPr>
    </w:p>
    <w:p w14:paraId="1CDF1423" w14:textId="35144879" w:rsidR="00AA2938" w:rsidRPr="00D549EE" w:rsidRDefault="00AA2938" w:rsidP="00FB76E6">
      <w:pPr>
        <w:snapToGrid w:val="0"/>
        <w:contextualSpacing/>
        <w:jc w:val="center"/>
        <w:rPr>
          <w:b/>
          <w:color w:val="000000" w:themeColor="text1"/>
          <w:sz w:val="28"/>
          <w:szCs w:val="28"/>
          <w:lang w:val="kk-KZ"/>
        </w:rPr>
      </w:pPr>
    </w:p>
    <w:p w14:paraId="662D27EA" w14:textId="6D6133AA" w:rsidR="00AA2938" w:rsidRPr="00D549EE" w:rsidRDefault="00AA2938" w:rsidP="00FB76E6">
      <w:pPr>
        <w:snapToGrid w:val="0"/>
        <w:contextualSpacing/>
        <w:jc w:val="center"/>
        <w:rPr>
          <w:b/>
          <w:color w:val="000000" w:themeColor="text1"/>
          <w:sz w:val="28"/>
          <w:szCs w:val="28"/>
          <w:lang w:val="kk-KZ"/>
        </w:rPr>
      </w:pPr>
    </w:p>
    <w:p w14:paraId="45080408" w14:textId="5F8F89BC" w:rsidR="00AA2938" w:rsidRPr="00D549EE" w:rsidRDefault="00AA2938" w:rsidP="00FB76E6">
      <w:pPr>
        <w:snapToGrid w:val="0"/>
        <w:contextualSpacing/>
        <w:jc w:val="center"/>
        <w:rPr>
          <w:b/>
          <w:color w:val="000000" w:themeColor="text1"/>
          <w:sz w:val="28"/>
          <w:szCs w:val="28"/>
          <w:lang w:val="kk-KZ"/>
        </w:rPr>
      </w:pPr>
    </w:p>
    <w:p w14:paraId="20A3E18B" w14:textId="4A1048B8" w:rsidR="00AA2938" w:rsidRPr="00D549EE" w:rsidRDefault="00AA2938" w:rsidP="00FB76E6">
      <w:pPr>
        <w:snapToGrid w:val="0"/>
        <w:contextualSpacing/>
        <w:jc w:val="center"/>
        <w:rPr>
          <w:b/>
          <w:color w:val="000000" w:themeColor="text1"/>
          <w:sz w:val="28"/>
          <w:szCs w:val="28"/>
          <w:lang w:val="kk-KZ"/>
        </w:rPr>
      </w:pPr>
    </w:p>
    <w:p w14:paraId="6DC28FA9" w14:textId="5C0E37E9" w:rsidR="00AA2938" w:rsidRPr="00D549EE" w:rsidRDefault="00AA2938" w:rsidP="00FB76E6">
      <w:pPr>
        <w:snapToGrid w:val="0"/>
        <w:contextualSpacing/>
        <w:jc w:val="center"/>
        <w:rPr>
          <w:b/>
          <w:color w:val="000000" w:themeColor="text1"/>
          <w:sz w:val="28"/>
          <w:szCs w:val="28"/>
          <w:lang w:val="kk-KZ"/>
        </w:rPr>
      </w:pPr>
    </w:p>
    <w:p w14:paraId="2883C6AE" w14:textId="6269BD4D" w:rsidR="00AA2938" w:rsidRPr="00D549EE" w:rsidRDefault="00AA2938" w:rsidP="00FB76E6">
      <w:pPr>
        <w:snapToGrid w:val="0"/>
        <w:contextualSpacing/>
        <w:jc w:val="center"/>
        <w:rPr>
          <w:b/>
          <w:color w:val="000000" w:themeColor="text1"/>
          <w:sz w:val="28"/>
          <w:szCs w:val="28"/>
          <w:lang w:val="kk-KZ"/>
        </w:rPr>
      </w:pPr>
    </w:p>
    <w:p w14:paraId="0D9026BE" w14:textId="6E2AEC7C" w:rsidR="00AA2938" w:rsidRPr="00D549EE" w:rsidRDefault="00AA2938" w:rsidP="00FB76E6">
      <w:pPr>
        <w:snapToGrid w:val="0"/>
        <w:contextualSpacing/>
        <w:jc w:val="center"/>
        <w:rPr>
          <w:b/>
          <w:color w:val="000000" w:themeColor="text1"/>
          <w:sz w:val="28"/>
          <w:szCs w:val="28"/>
          <w:lang w:val="kk-KZ"/>
        </w:rPr>
      </w:pPr>
    </w:p>
    <w:p w14:paraId="7FBF4A5A" w14:textId="47887220" w:rsidR="00AA2938" w:rsidRPr="00D549EE" w:rsidRDefault="00AA2938" w:rsidP="00FB76E6">
      <w:pPr>
        <w:snapToGrid w:val="0"/>
        <w:contextualSpacing/>
        <w:jc w:val="center"/>
        <w:rPr>
          <w:b/>
          <w:color w:val="000000" w:themeColor="text1"/>
          <w:sz w:val="28"/>
          <w:szCs w:val="28"/>
          <w:lang w:val="kk-KZ"/>
        </w:rPr>
      </w:pPr>
    </w:p>
    <w:p w14:paraId="588F00ED" w14:textId="77777777" w:rsidR="00E54AAA" w:rsidRPr="00D549EE" w:rsidRDefault="00E54AAA" w:rsidP="00FB76E6">
      <w:pPr>
        <w:snapToGrid w:val="0"/>
        <w:contextualSpacing/>
        <w:jc w:val="center"/>
        <w:rPr>
          <w:b/>
          <w:color w:val="000000" w:themeColor="text1"/>
          <w:sz w:val="28"/>
          <w:szCs w:val="28"/>
          <w:lang w:val="kk-KZ"/>
        </w:rPr>
      </w:pPr>
    </w:p>
    <w:p w14:paraId="3CFBB818" w14:textId="6B94E8D6" w:rsidR="00AA2938" w:rsidRPr="00D549EE" w:rsidRDefault="00AA2938" w:rsidP="00FB76E6">
      <w:pPr>
        <w:snapToGrid w:val="0"/>
        <w:contextualSpacing/>
        <w:jc w:val="center"/>
        <w:rPr>
          <w:b/>
          <w:color w:val="000000" w:themeColor="text1"/>
          <w:sz w:val="28"/>
          <w:szCs w:val="28"/>
          <w:lang w:val="kk-KZ"/>
        </w:rPr>
      </w:pPr>
    </w:p>
    <w:p w14:paraId="5BFD16F4" w14:textId="47FF4D85" w:rsidR="00E54AAA" w:rsidRPr="00D549EE" w:rsidRDefault="00E54AAA" w:rsidP="00E54AAA">
      <w:pPr>
        <w:jc w:val="center"/>
        <w:rPr>
          <w:b/>
          <w:bCs/>
          <w:sz w:val="22"/>
          <w:szCs w:val="22"/>
          <w:lang w:val="en-GB"/>
        </w:rPr>
      </w:pPr>
      <w:r w:rsidRPr="00D549EE">
        <w:rPr>
          <w:b/>
          <w:bCs/>
          <w:sz w:val="22"/>
          <w:szCs w:val="22"/>
          <w:lang w:val="en-GB"/>
        </w:rPr>
        <w:t>Appendix D</w:t>
      </w:r>
    </w:p>
    <w:p w14:paraId="284DB997" w14:textId="77777777" w:rsidR="00E54AAA" w:rsidRPr="00D549EE" w:rsidRDefault="00E54AAA" w:rsidP="00E54AAA">
      <w:pPr>
        <w:jc w:val="center"/>
        <w:rPr>
          <w:b/>
          <w:bCs/>
          <w:sz w:val="22"/>
          <w:szCs w:val="22"/>
          <w:lang w:val="en-GB"/>
        </w:rPr>
      </w:pPr>
    </w:p>
    <w:p w14:paraId="17667ED0" w14:textId="77777777" w:rsidR="00E54AAA" w:rsidRPr="00D549EE" w:rsidRDefault="00E54AAA" w:rsidP="00E54AAA">
      <w:pPr>
        <w:rPr>
          <w:bCs/>
          <w:sz w:val="22"/>
          <w:szCs w:val="22"/>
          <w:lang w:val="en-GB"/>
        </w:rPr>
      </w:pPr>
      <w:r w:rsidRPr="00D549EE">
        <w:rPr>
          <w:bCs/>
          <w:sz w:val="22"/>
          <w:szCs w:val="22"/>
          <w:lang w:val="en-GB"/>
        </w:rPr>
        <w:t>Survey for Players:</w:t>
      </w:r>
      <w:r w:rsidRPr="00D549EE">
        <w:rPr>
          <w:b/>
          <w:bCs/>
          <w:sz w:val="22"/>
          <w:szCs w:val="22"/>
          <w:lang w:val="en-GB"/>
        </w:rPr>
        <w:t> </w:t>
      </w:r>
      <w:r w:rsidRPr="00D549EE">
        <w:rPr>
          <w:sz w:val="22"/>
          <w:szCs w:val="22"/>
          <w:lang w:val="en-GB"/>
        </w:rPr>
        <w:t>Islamic Banking / Islamic Non-Bank / Islamic Capital Market / Takaful / Social Finance / Halal Industry</w:t>
      </w:r>
    </w:p>
    <w:p w14:paraId="091BA7DF" w14:textId="77777777" w:rsidR="00E54AAA" w:rsidRPr="00D549EE" w:rsidRDefault="00E54AAA" w:rsidP="00E54AAA">
      <w:pPr>
        <w:rPr>
          <w:b/>
          <w:sz w:val="22"/>
          <w:szCs w:val="22"/>
          <w:lang w:val="en-GB"/>
        </w:rPr>
      </w:pPr>
      <w:r w:rsidRPr="00D549EE">
        <w:rPr>
          <w:b/>
          <w:sz w:val="22"/>
          <w:szCs w:val="22"/>
          <w:lang w:val="en-GB"/>
        </w:rPr>
        <w:t xml:space="preserve">Surname and Name: </w:t>
      </w:r>
    </w:p>
    <w:p w14:paraId="7B13CC13" w14:textId="012372FF" w:rsidR="00E54AAA" w:rsidRPr="00D549EE" w:rsidRDefault="00E54AAA" w:rsidP="00E54AAA">
      <w:pPr>
        <w:rPr>
          <w:b/>
          <w:sz w:val="22"/>
          <w:szCs w:val="22"/>
          <w:lang w:val="en-GB"/>
        </w:rPr>
      </w:pPr>
      <w:r w:rsidRPr="00D549EE">
        <w:rPr>
          <w:b/>
          <w:sz w:val="22"/>
          <w:szCs w:val="22"/>
          <w:lang w:val="en-GB"/>
        </w:rPr>
        <w:t xml:space="preserve">Company and </w:t>
      </w:r>
      <w:r w:rsidRPr="00D549EE">
        <w:rPr>
          <w:b/>
          <w:sz w:val="22"/>
          <w:szCs w:val="22"/>
          <w:lang w:val="en-US"/>
        </w:rPr>
        <w:t>position</w:t>
      </w:r>
      <w:r w:rsidRPr="00D549EE">
        <w:rPr>
          <w:b/>
          <w:sz w:val="22"/>
          <w:szCs w:val="22"/>
          <w:lang w:val="en-GB"/>
        </w:rPr>
        <w:t xml:space="preserve">: </w:t>
      </w:r>
    </w:p>
    <w:p w14:paraId="3BC5DA49" w14:textId="208AAE3D" w:rsidR="00E54AAA" w:rsidRPr="00D549EE" w:rsidRDefault="00E54AAA" w:rsidP="00E54AAA">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hAnsi="Times New Roman"/>
          <w:color w:val="222222"/>
          <w:lang w:val="en-US"/>
        </w:rPr>
      </w:pPr>
      <w:r w:rsidRPr="00D549EE">
        <w:rPr>
          <w:rFonts w:ascii="Times New Roman" w:hAnsi="Times New Roman"/>
          <w:color w:val="222222"/>
          <w:lang w:val="en"/>
        </w:rPr>
        <w:t>What are the advantages (benefits) of Islamic financial instruments for use in Kazakhstan?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4"/>
        <w:gridCol w:w="991"/>
        <w:gridCol w:w="1376"/>
        <w:gridCol w:w="1323"/>
        <w:gridCol w:w="975"/>
      </w:tblGrid>
      <w:tr w:rsidR="00E54AAA" w:rsidRPr="00D549EE" w14:paraId="54256327" w14:textId="77777777" w:rsidTr="00D549EE">
        <w:tc>
          <w:tcPr>
            <w:tcW w:w="4674" w:type="dxa"/>
          </w:tcPr>
          <w:p w14:paraId="3053FF95" w14:textId="77777777" w:rsidR="00E54AAA" w:rsidRPr="00D549EE" w:rsidRDefault="00E54AAA" w:rsidP="00D549EE">
            <w:pPr>
              <w:jc w:val="both"/>
              <w:rPr>
                <w:b/>
                <w:sz w:val="22"/>
                <w:szCs w:val="22"/>
                <w:lang w:val="en-US"/>
              </w:rPr>
            </w:pPr>
            <w:r w:rsidRPr="00D549EE">
              <w:rPr>
                <w:b/>
                <w:sz w:val="22"/>
                <w:szCs w:val="22"/>
                <w:lang w:val="en-US"/>
              </w:rPr>
              <w:t xml:space="preserve">Advantages </w:t>
            </w:r>
          </w:p>
        </w:tc>
        <w:tc>
          <w:tcPr>
            <w:tcW w:w="991" w:type="dxa"/>
          </w:tcPr>
          <w:p w14:paraId="2180C189" w14:textId="77777777" w:rsidR="00E54AAA" w:rsidRPr="00D549EE" w:rsidRDefault="00E54AAA" w:rsidP="00D549EE">
            <w:pPr>
              <w:jc w:val="both"/>
              <w:rPr>
                <w:b/>
                <w:sz w:val="22"/>
                <w:szCs w:val="22"/>
                <w:lang w:val="en-US"/>
              </w:rPr>
            </w:pPr>
            <w:r w:rsidRPr="00D549EE">
              <w:rPr>
                <w:b/>
                <w:sz w:val="22"/>
                <w:szCs w:val="22"/>
                <w:lang w:val="en-US"/>
              </w:rPr>
              <w:t xml:space="preserve">No </w:t>
            </w:r>
          </w:p>
        </w:tc>
        <w:tc>
          <w:tcPr>
            <w:tcW w:w="1376" w:type="dxa"/>
          </w:tcPr>
          <w:p w14:paraId="638D6668" w14:textId="77777777" w:rsidR="00E54AAA" w:rsidRPr="00D549EE" w:rsidRDefault="00E54AAA" w:rsidP="00D549EE">
            <w:pPr>
              <w:jc w:val="both"/>
              <w:rPr>
                <w:b/>
                <w:sz w:val="22"/>
                <w:szCs w:val="22"/>
                <w:lang w:val="en-US"/>
              </w:rPr>
            </w:pPr>
            <w:r w:rsidRPr="00D549EE">
              <w:rPr>
                <w:b/>
                <w:sz w:val="22"/>
                <w:szCs w:val="22"/>
                <w:lang w:val="en-US"/>
              </w:rPr>
              <w:t xml:space="preserve">Minor </w:t>
            </w:r>
          </w:p>
        </w:tc>
        <w:tc>
          <w:tcPr>
            <w:tcW w:w="1323" w:type="dxa"/>
          </w:tcPr>
          <w:p w14:paraId="429E821E" w14:textId="77777777" w:rsidR="00E54AAA" w:rsidRPr="00D549EE" w:rsidRDefault="00E54AAA" w:rsidP="00D549EE">
            <w:pPr>
              <w:jc w:val="both"/>
              <w:rPr>
                <w:b/>
                <w:sz w:val="22"/>
                <w:szCs w:val="22"/>
                <w:lang w:val="en-US"/>
              </w:rPr>
            </w:pPr>
            <w:r w:rsidRPr="00D549EE">
              <w:rPr>
                <w:b/>
                <w:sz w:val="22"/>
                <w:szCs w:val="22"/>
                <w:lang w:val="en-US"/>
              </w:rPr>
              <w:t xml:space="preserve">Significant </w:t>
            </w:r>
          </w:p>
        </w:tc>
        <w:tc>
          <w:tcPr>
            <w:tcW w:w="975" w:type="dxa"/>
          </w:tcPr>
          <w:p w14:paraId="55F286AC" w14:textId="77777777" w:rsidR="00E54AAA" w:rsidRPr="00D549EE" w:rsidRDefault="00E54AAA" w:rsidP="00D549EE">
            <w:pPr>
              <w:jc w:val="both"/>
              <w:rPr>
                <w:b/>
                <w:sz w:val="22"/>
                <w:szCs w:val="22"/>
                <w:lang w:val="en-US"/>
              </w:rPr>
            </w:pPr>
            <w:r w:rsidRPr="00D549EE">
              <w:rPr>
                <w:b/>
                <w:sz w:val="22"/>
                <w:szCs w:val="22"/>
                <w:lang w:val="en-US"/>
              </w:rPr>
              <w:t xml:space="preserve">Major </w:t>
            </w:r>
          </w:p>
        </w:tc>
      </w:tr>
      <w:tr w:rsidR="00E54AAA" w:rsidRPr="00FC685D" w14:paraId="30C2C94B" w14:textId="77777777" w:rsidTr="00D549EE">
        <w:trPr>
          <w:trHeight w:val="460"/>
        </w:trPr>
        <w:tc>
          <w:tcPr>
            <w:tcW w:w="4674" w:type="dxa"/>
          </w:tcPr>
          <w:p w14:paraId="3959B3DF" w14:textId="77777777" w:rsidR="00E54AAA" w:rsidRPr="00D549EE" w:rsidRDefault="00E54AAA" w:rsidP="00D549EE">
            <w:pPr>
              <w:textAlignment w:val="baseline"/>
              <w:outlineLvl w:val="1"/>
              <w:rPr>
                <w:color w:val="000000"/>
                <w:sz w:val="22"/>
                <w:szCs w:val="22"/>
                <w:lang w:val="en-US"/>
              </w:rPr>
            </w:pPr>
            <w:r w:rsidRPr="00D549EE">
              <w:rPr>
                <w:color w:val="000000"/>
                <w:sz w:val="22"/>
                <w:szCs w:val="22"/>
                <w:lang w:val="en-US"/>
              </w:rPr>
              <w:t>It helps by assisting financial inclusion</w:t>
            </w:r>
            <w:r w:rsidRPr="00D549EE">
              <w:rPr>
                <w:color w:val="000000"/>
                <w:sz w:val="22"/>
                <w:szCs w:val="22"/>
                <w:lang w:val="kk-KZ"/>
              </w:rPr>
              <w:t xml:space="preserve"> </w:t>
            </w:r>
            <w:r w:rsidRPr="00D549EE">
              <w:rPr>
                <w:color w:val="000000"/>
                <w:sz w:val="22"/>
                <w:szCs w:val="22"/>
                <w:lang w:val="en-US"/>
              </w:rPr>
              <w:t>(individuals, small and medium business)</w:t>
            </w:r>
          </w:p>
        </w:tc>
        <w:tc>
          <w:tcPr>
            <w:tcW w:w="991" w:type="dxa"/>
          </w:tcPr>
          <w:p w14:paraId="415650A5" w14:textId="77777777" w:rsidR="00E54AAA" w:rsidRPr="00D549EE" w:rsidRDefault="00E54AAA" w:rsidP="00D549EE">
            <w:pPr>
              <w:jc w:val="both"/>
              <w:rPr>
                <w:sz w:val="22"/>
                <w:szCs w:val="22"/>
                <w:lang w:val="en-US"/>
              </w:rPr>
            </w:pPr>
          </w:p>
        </w:tc>
        <w:tc>
          <w:tcPr>
            <w:tcW w:w="1376" w:type="dxa"/>
          </w:tcPr>
          <w:p w14:paraId="2760B398" w14:textId="77777777" w:rsidR="00E54AAA" w:rsidRPr="00D549EE" w:rsidRDefault="00E54AAA" w:rsidP="00D549EE">
            <w:pPr>
              <w:jc w:val="both"/>
              <w:rPr>
                <w:sz w:val="22"/>
                <w:szCs w:val="22"/>
                <w:lang w:val="en-US"/>
              </w:rPr>
            </w:pPr>
          </w:p>
        </w:tc>
        <w:tc>
          <w:tcPr>
            <w:tcW w:w="1323" w:type="dxa"/>
          </w:tcPr>
          <w:p w14:paraId="43D6860A" w14:textId="77777777" w:rsidR="00E54AAA" w:rsidRPr="00D549EE" w:rsidRDefault="00E54AAA" w:rsidP="00D549EE">
            <w:pPr>
              <w:jc w:val="both"/>
              <w:rPr>
                <w:sz w:val="22"/>
                <w:szCs w:val="22"/>
                <w:lang w:val="en-US"/>
              </w:rPr>
            </w:pPr>
          </w:p>
        </w:tc>
        <w:tc>
          <w:tcPr>
            <w:tcW w:w="975" w:type="dxa"/>
          </w:tcPr>
          <w:p w14:paraId="17E113D6" w14:textId="77777777" w:rsidR="00E54AAA" w:rsidRPr="00D549EE" w:rsidRDefault="00E54AAA" w:rsidP="00D549EE">
            <w:pPr>
              <w:jc w:val="both"/>
              <w:rPr>
                <w:sz w:val="22"/>
                <w:szCs w:val="22"/>
                <w:lang w:val="en-US"/>
              </w:rPr>
            </w:pPr>
          </w:p>
        </w:tc>
      </w:tr>
      <w:tr w:rsidR="00E54AAA" w:rsidRPr="00FC685D" w14:paraId="3F517584" w14:textId="77777777" w:rsidTr="00D549EE">
        <w:tc>
          <w:tcPr>
            <w:tcW w:w="4674" w:type="dxa"/>
          </w:tcPr>
          <w:p w14:paraId="3BB0FFD6" w14:textId="77777777" w:rsidR="00E54AAA" w:rsidRPr="00D549EE" w:rsidRDefault="00E54AAA" w:rsidP="00D549EE">
            <w:pPr>
              <w:pStyle w:val="2"/>
              <w:spacing w:before="0" w:beforeAutospacing="0" w:after="0" w:afterAutospacing="0"/>
              <w:textAlignment w:val="baseline"/>
              <w:rPr>
                <w:b w:val="0"/>
                <w:bCs w:val="0"/>
                <w:color w:val="000000"/>
                <w:sz w:val="22"/>
                <w:szCs w:val="22"/>
                <w:lang w:val="en-US"/>
              </w:rPr>
            </w:pPr>
            <w:r w:rsidRPr="00D549EE">
              <w:rPr>
                <w:b w:val="0"/>
                <w:bCs w:val="0"/>
                <w:color w:val="000000"/>
                <w:sz w:val="22"/>
                <w:szCs w:val="22"/>
                <w:lang w:val="en-US"/>
              </w:rPr>
              <w:t>Reducing the impact of harmful products and practices</w:t>
            </w:r>
          </w:p>
        </w:tc>
        <w:tc>
          <w:tcPr>
            <w:tcW w:w="991" w:type="dxa"/>
          </w:tcPr>
          <w:p w14:paraId="10539A6C" w14:textId="77777777" w:rsidR="00E54AAA" w:rsidRPr="00D549EE" w:rsidRDefault="00E54AAA" w:rsidP="00D549EE">
            <w:pPr>
              <w:jc w:val="both"/>
              <w:rPr>
                <w:sz w:val="22"/>
                <w:szCs w:val="22"/>
                <w:lang w:val="en-US"/>
              </w:rPr>
            </w:pPr>
          </w:p>
        </w:tc>
        <w:tc>
          <w:tcPr>
            <w:tcW w:w="1376" w:type="dxa"/>
          </w:tcPr>
          <w:p w14:paraId="7257E75D" w14:textId="77777777" w:rsidR="00E54AAA" w:rsidRPr="00D549EE" w:rsidRDefault="00E54AAA" w:rsidP="00D549EE">
            <w:pPr>
              <w:jc w:val="both"/>
              <w:rPr>
                <w:sz w:val="22"/>
                <w:szCs w:val="22"/>
                <w:lang w:val="en-US"/>
              </w:rPr>
            </w:pPr>
          </w:p>
        </w:tc>
        <w:tc>
          <w:tcPr>
            <w:tcW w:w="1323" w:type="dxa"/>
          </w:tcPr>
          <w:p w14:paraId="3153DB97" w14:textId="77777777" w:rsidR="00E54AAA" w:rsidRPr="00D549EE" w:rsidRDefault="00E54AAA" w:rsidP="00D549EE">
            <w:pPr>
              <w:jc w:val="both"/>
              <w:rPr>
                <w:sz w:val="22"/>
                <w:szCs w:val="22"/>
                <w:lang w:val="en-US"/>
              </w:rPr>
            </w:pPr>
          </w:p>
        </w:tc>
        <w:tc>
          <w:tcPr>
            <w:tcW w:w="975" w:type="dxa"/>
          </w:tcPr>
          <w:p w14:paraId="791BEC9F" w14:textId="77777777" w:rsidR="00E54AAA" w:rsidRPr="00D549EE" w:rsidRDefault="00E54AAA" w:rsidP="00D549EE">
            <w:pPr>
              <w:jc w:val="both"/>
              <w:rPr>
                <w:sz w:val="22"/>
                <w:szCs w:val="22"/>
                <w:lang w:val="en-US"/>
              </w:rPr>
            </w:pPr>
          </w:p>
        </w:tc>
      </w:tr>
      <w:tr w:rsidR="00E54AAA" w:rsidRPr="00D549EE" w14:paraId="068BC08D" w14:textId="77777777" w:rsidTr="00D549EE">
        <w:tc>
          <w:tcPr>
            <w:tcW w:w="4674" w:type="dxa"/>
          </w:tcPr>
          <w:p w14:paraId="33161635" w14:textId="77777777" w:rsidR="00E54AAA" w:rsidRPr="00D549EE" w:rsidRDefault="00E54AAA" w:rsidP="00D549EE">
            <w:pPr>
              <w:pStyle w:val="2"/>
              <w:spacing w:before="0" w:beforeAutospacing="0" w:after="0" w:afterAutospacing="0"/>
              <w:textAlignment w:val="baseline"/>
              <w:rPr>
                <w:b w:val="0"/>
                <w:bCs w:val="0"/>
                <w:color w:val="000000"/>
                <w:sz w:val="22"/>
                <w:szCs w:val="22"/>
              </w:rPr>
            </w:pPr>
            <w:r w:rsidRPr="00D549EE">
              <w:rPr>
                <w:b w:val="0"/>
                <w:bCs w:val="0"/>
                <w:color w:val="000000"/>
                <w:sz w:val="22"/>
                <w:szCs w:val="22"/>
              </w:rPr>
              <w:t>Principle of financial justice</w:t>
            </w:r>
          </w:p>
        </w:tc>
        <w:tc>
          <w:tcPr>
            <w:tcW w:w="991" w:type="dxa"/>
          </w:tcPr>
          <w:p w14:paraId="715EAD24" w14:textId="77777777" w:rsidR="00E54AAA" w:rsidRPr="00D549EE" w:rsidRDefault="00E54AAA" w:rsidP="00D549EE">
            <w:pPr>
              <w:jc w:val="both"/>
              <w:rPr>
                <w:sz w:val="22"/>
                <w:szCs w:val="22"/>
              </w:rPr>
            </w:pPr>
          </w:p>
        </w:tc>
        <w:tc>
          <w:tcPr>
            <w:tcW w:w="1376" w:type="dxa"/>
          </w:tcPr>
          <w:p w14:paraId="58253FA1" w14:textId="77777777" w:rsidR="00E54AAA" w:rsidRPr="00D549EE" w:rsidRDefault="00E54AAA" w:rsidP="00D549EE">
            <w:pPr>
              <w:jc w:val="both"/>
              <w:rPr>
                <w:sz w:val="22"/>
                <w:szCs w:val="22"/>
              </w:rPr>
            </w:pPr>
          </w:p>
        </w:tc>
        <w:tc>
          <w:tcPr>
            <w:tcW w:w="1323" w:type="dxa"/>
          </w:tcPr>
          <w:p w14:paraId="2806DF94" w14:textId="77777777" w:rsidR="00E54AAA" w:rsidRPr="00D549EE" w:rsidRDefault="00E54AAA" w:rsidP="00D549EE">
            <w:pPr>
              <w:jc w:val="both"/>
              <w:rPr>
                <w:sz w:val="22"/>
                <w:szCs w:val="22"/>
              </w:rPr>
            </w:pPr>
          </w:p>
        </w:tc>
        <w:tc>
          <w:tcPr>
            <w:tcW w:w="975" w:type="dxa"/>
          </w:tcPr>
          <w:p w14:paraId="2ABBED4F" w14:textId="77777777" w:rsidR="00E54AAA" w:rsidRPr="00D549EE" w:rsidRDefault="00E54AAA" w:rsidP="00D549EE">
            <w:pPr>
              <w:jc w:val="both"/>
              <w:rPr>
                <w:sz w:val="22"/>
                <w:szCs w:val="22"/>
              </w:rPr>
            </w:pPr>
          </w:p>
        </w:tc>
      </w:tr>
      <w:tr w:rsidR="00E54AAA" w:rsidRPr="00D549EE" w14:paraId="5E31C430" w14:textId="77777777" w:rsidTr="00D549EE">
        <w:tc>
          <w:tcPr>
            <w:tcW w:w="4674" w:type="dxa"/>
          </w:tcPr>
          <w:p w14:paraId="3A669453" w14:textId="77777777" w:rsidR="00E54AAA" w:rsidRPr="00D549EE" w:rsidRDefault="00E54AAA" w:rsidP="00D549EE">
            <w:pPr>
              <w:pStyle w:val="2"/>
              <w:spacing w:before="0" w:beforeAutospacing="0" w:after="0" w:afterAutospacing="0"/>
              <w:textAlignment w:val="baseline"/>
              <w:rPr>
                <w:b w:val="0"/>
                <w:bCs w:val="0"/>
                <w:color w:val="000000"/>
                <w:sz w:val="22"/>
                <w:szCs w:val="22"/>
              </w:rPr>
            </w:pPr>
            <w:r w:rsidRPr="00D549EE">
              <w:rPr>
                <w:b w:val="0"/>
                <w:bCs w:val="0"/>
                <w:color w:val="000000"/>
                <w:sz w:val="22"/>
                <w:szCs w:val="22"/>
              </w:rPr>
              <w:t>Encouraging stability in investments</w:t>
            </w:r>
          </w:p>
        </w:tc>
        <w:tc>
          <w:tcPr>
            <w:tcW w:w="991" w:type="dxa"/>
          </w:tcPr>
          <w:p w14:paraId="0C550959" w14:textId="77777777" w:rsidR="00E54AAA" w:rsidRPr="00D549EE" w:rsidRDefault="00E54AAA" w:rsidP="00D549EE">
            <w:pPr>
              <w:jc w:val="both"/>
              <w:rPr>
                <w:sz w:val="22"/>
                <w:szCs w:val="22"/>
              </w:rPr>
            </w:pPr>
          </w:p>
        </w:tc>
        <w:tc>
          <w:tcPr>
            <w:tcW w:w="1376" w:type="dxa"/>
          </w:tcPr>
          <w:p w14:paraId="355462F7" w14:textId="77777777" w:rsidR="00E54AAA" w:rsidRPr="00D549EE" w:rsidRDefault="00E54AAA" w:rsidP="00D549EE">
            <w:pPr>
              <w:jc w:val="both"/>
              <w:rPr>
                <w:sz w:val="22"/>
                <w:szCs w:val="22"/>
              </w:rPr>
            </w:pPr>
          </w:p>
        </w:tc>
        <w:tc>
          <w:tcPr>
            <w:tcW w:w="1323" w:type="dxa"/>
          </w:tcPr>
          <w:p w14:paraId="01656A16" w14:textId="77777777" w:rsidR="00E54AAA" w:rsidRPr="00D549EE" w:rsidRDefault="00E54AAA" w:rsidP="00D549EE">
            <w:pPr>
              <w:jc w:val="both"/>
              <w:rPr>
                <w:sz w:val="22"/>
                <w:szCs w:val="22"/>
              </w:rPr>
            </w:pPr>
          </w:p>
        </w:tc>
        <w:tc>
          <w:tcPr>
            <w:tcW w:w="975" w:type="dxa"/>
          </w:tcPr>
          <w:p w14:paraId="2AA384FE" w14:textId="77777777" w:rsidR="00E54AAA" w:rsidRPr="00D549EE" w:rsidRDefault="00E54AAA" w:rsidP="00D549EE">
            <w:pPr>
              <w:jc w:val="both"/>
              <w:rPr>
                <w:sz w:val="22"/>
                <w:szCs w:val="22"/>
              </w:rPr>
            </w:pPr>
          </w:p>
        </w:tc>
      </w:tr>
      <w:tr w:rsidR="00E54AAA" w:rsidRPr="00D549EE" w14:paraId="702F4616" w14:textId="77777777" w:rsidTr="00D549EE">
        <w:tc>
          <w:tcPr>
            <w:tcW w:w="4674" w:type="dxa"/>
          </w:tcPr>
          <w:p w14:paraId="36404875" w14:textId="77777777" w:rsidR="00E54AAA" w:rsidRPr="00D549EE" w:rsidRDefault="00E54AAA" w:rsidP="00D549EE">
            <w:pPr>
              <w:pStyle w:val="2"/>
              <w:spacing w:before="0" w:beforeAutospacing="0" w:after="0" w:afterAutospacing="0"/>
              <w:textAlignment w:val="baseline"/>
              <w:rPr>
                <w:b w:val="0"/>
                <w:bCs w:val="0"/>
                <w:color w:val="000000"/>
                <w:sz w:val="22"/>
                <w:szCs w:val="22"/>
              </w:rPr>
            </w:pPr>
            <w:r w:rsidRPr="00D549EE">
              <w:rPr>
                <w:b w:val="0"/>
                <w:bCs w:val="0"/>
                <w:color w:val="000000"/>
                <w:sz w:val="22"/>
                <w:szCs w:val="22"/>
              </w:rPr>
              <w:t>Accelerating economic development</w:t>
            </w:r>
          </w:p>
        </w:tc>
        <w:tc>
          <w:tcPr>
            <w:tcW w:w="991" w:type="dxa"/>
          </w:tcPr>
          <w:p w14:paraId="5B287895" w14:textId="77777777" w:rsidR="00E54AAA" w:rsidRPr="00D549EE" w:rsidRDefault="00E54AAA" w:rsidP="00D549EE">
            <w:pPr>
              <w:jc w:val="both"/>
              <w:rPr>
                <w:sz w:val="22"/>
                <w:szCs w:val="22"/>
              </w:rPr>
            </w:pPr>
          </w:p>
        </w:tc>
        <w:tc>
          <w:tcPr>
            <w:tcW w:w="1376" w:type="dxa"/>
          </w:tcPr>
          <w:p w14:paraId="3AA6E24B" w14:textId="77777777" w:rsidR="00E54AAA" w:rsidRPr="00D549EE" w:rsidRDefault="00E54AAA" w:rsidP="00D549EE">
            <w:pPr>
              <w:jc w:val="both"/>
              <w:rPr>
                <w:sz w:val="22"/>
                <w:szCs w:val="22"/>
              </w:rPr>
            </w:pPr>
          </w:p>
        </w:tc>
        <w:tc>
          <w:tcPr>
            <w:tcW w:w="1323" w:type="dxa"/>
          </w:tcPr>
          <w:p w14:paraId="2F441BE2" w14:textId="77777777" w:rsidR="00E54AAA" w:rsidRPr="00D549EE" w:rsidRDefault="00E54AAA" w:rsidP="00D549EE">
            <w:pPr>
              <w:jc w:val="both"/>
              <w:rPr>
                <w:sz w:val="22"/>
                <w:szCs w:val="22"/>
              </w:rPr>
            </w:pPr>
          </w:p>
        </w:tc>
        <w:tc>
          <w:tcPr>
            <w:tcW w:w="975" w:type="dxa"/>
          </w:tcPr>
          <w:p w14:paraId="62EE6F43" w14:textId="77777777" w:rsidR="00E54AAA" w:rsidRPr="00D549EE" w:rsidRDefault="00E54AAA" w:rsidP="00D549EE">
            <w:pPr>
              <w:jc w:val="both"/>
              <w:rPr>
                <w:sz w:val="22"/>
                <w:szCs w:val="22"/>
              </w:rPr>
            </w:pPr>
          </w:p>
        </w:tc>
      </w:tr>
    </w:tbl>
    <w:p w14:paraId="60A0B7A5" w14:textId="77777777" w:rsidR="00E54AAA" w:rsidRPr="00D549EE" w:rsidRDefault="00E54AAA" w:rsidP="00E54AAA">
      <w:pPr>
        <w:pStyle w:val="a3"/>
        <w:rPr>
          <w:rFonts w:ascii="Times New Roman" w:hAnsi="Times New Roman"/>
          <w:color w:val="000000" w:themeColor="text1"/>
          <w:lang w:val="en-US"/>
        </w:rPr>
      </w:pPr>
    </w:p>
    <w:p w14:paraId="1D7477B9" w14:textId="266EE0AE" w:rsidR="00E54AAA" w:rsidRPr="00D549EE" w:rsidRDefault="00E54AAA" w:rsidP="00E54AAA">
      <w:pPr>
        <w:pStyle w:val="a3"/>
        <w:numPr>
          <w:ilvl w:val="0"/>
          <w:numId w:val="19"/>
        </w:numPr>
        <w:spacing w:after="0" w:line="240" w:lineRule="auto"/>
        <w:rPr>
          <w:rFonts w:ascii="Times New Roman" w:hAnsi="Times New Roman"/>
          <w:color w:val="000000" w:themeColor="text1"/>
          <w:lang w:val="en-US"/>
        </w:rPr>
      </w:pPr>
      <w:r w:rsidRPr="00D549EE">
        <w:rPr>
          <w:rFonts w:ascii="Times New Roman" w:hAnsi="Times New Roman"/>
          <w:color w:val="000000" w:themeColor="text1"/>
          <w:lang w:val="en-US"/>
        </w:rPr>
        <w:t>What institutional (legal, personnel, social, organizational, administrative) and economic (marketing strategies and tax incentives) barriers should be overcome for the effective development of Islamic finance in Kazakhstan? And how, please specify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34"/>
      </w:tblGrid>
      <w:tr w:rsidR="00E54AAA" w:rsidRPr="00D549EE" w14:paraId="03ED01D9" w14:textId="77777777" w:rsidTr="00D549EE">
        <w:tc>
          <w:tcPr>
            <w:tcW w:w="2405" w:type="dxa"/>
          </w:tcPr>
          <w:p w14:paraId="1821B193" w14:textId="77777777" w:rsidR="00E54AAA" w:rsidRPr="00D549EE" w:rsidRDefault="00E54AAA" w:rsidP="00D549EE">
            <w:pPr>
              <w:jc w:val="both"/>
              <w:rPr>
                <w:b/>
                <w:sz w:val="22"/>
                <w:szCs w:val="22"/>
                <w:lang w:val="en-US"/>
              </w:rPr>
            </w:pPr>
            <w:r w:rsidRPr="00D549EE">
              <w:rPr>
                <w:b/>
                <w:sz w:val="22"/>
                <w:szCs w:val="22"/>
                <w:lang w:val="en-US"/>
              </w:rPr>
              <w:t>Barriers</w:t>
            </w:r>
          </w:p>
        </w:tc>
        <w:tc>
          <w:tcPr>
            <w:tcW w:w="6934" w:type="dxa"/>
          </w:tcPr>
          <w:p w14:paraId="5FA6252C" w14:textId="77777777" w:rsidR="00E54AAA" w:rsidRPr="00D549EE" w:rsidRDefault="00E54AAA" w:rsidP="00D549EE">
            <w:pPr>
              <w:jc w:val="both"/>
              <w:rPr>
                <w:b/>
                <w:sz w:val="22"/>
                <w:szCs w:val="22"/>
                <w:lang w:val="en-US"/>
              </w:rPr>
            </w:pPr>
            <w:r w:rsidRPr="00D549EE">
              <w:rPr>
                <w:b/>
                <w:sz w:val="22"/>
                <w:szCs w:val="22"/>
                <w:lang w:val="en-US"/>
              </w:rPr>
              <w:t>Description</w:t>
            </w:r>
          </w:p>
        </w:tc>
      </w:tr>
      <w:tr w:rsidR="00E54AAA" w:rsidRPr="00D549EE" w14:paraId="285535AB" w14:textId="77777777" w:rsidTr="00D549EE">
        <w:tc>
          <w:tcPr>
            <w:tcW w:w="2405" w:type="dxa"/>
          </w:tcPr>
          <w:p w14:paraId="366C94C9" w14:textId="77777777" w:rsidR="00E54AAA" w:rsidRPr="00D549EE" w:rsidRDefault="00E54AAA" w:rsidP="00D549EE">
            <w:pPr>
              <w:jc w:val="both"/>
              <w:rPr>
                <w:sz w:val="22"/>
                <w:szCs w:val="22"/>
                <w:lang w:val="en-US"/>
              </w:rPr>
            </w:pPr>
            <w:r w:rsidRPr="00D549EE">
              <w:rPr>
                <w:sz w:val="22"/>
                <w:szCs w:val="22"/>
                <w:lang w:val="en-US"/>
              </w:rPr>
              <w:t xml:space="preserve">Marketing strategies </w:t>
            </w:r>
          </w:p>
        </w:tc>
        <w:tc>
          <w:tcPr>
            <w:tcW w:w="6934" w:type="dxa"/>
          </w:tcPr>
          <w:p w14:paraId="7E94AA46" w14:textId="77777777" w:rsidR="00E54AAA" w:rsidRPr="00D549EE" w:rsidRDefault="00E54AAA" w:rsidP="00D549EE">
            <w:pPr>
              <w:jc w:val="both"/>
              <w:rPr>
                <w:sz w:val="22"/>
                <w:szCs w:val="22"/>
                <w:lang w:val="en-US"/>
              </w:rPr>
            </w:pPr>
          </w:p>
        </w:tc>
      </w:tr>
      <w:tr w:rsidR="00E54AAA" w:rsidRPr="00D549EE" w14:paraId="69FB3293" w14:textId="77777777" w:rsidTr="00D549EE">
        <w:tc>
          <w:tcPr>
            <w:tcW w:w="2405" w:type="dxa"/>
          </w:tcPr>
          <w:p w14:paraId="67F8ACDF" w14:textId="77777777" w:rsidR="00E54AAA" w:rsidRPr="00D549EE" w:rsidRDefault="00E54AAA" w:rsidP="00D549EE">
            <w:pPr>
              <w:jc w:val="both"/>
              <w:rPr>
                <w:sz w:val="22"/>
                <w:szCs w:val="22"/>
                <w:lang w:val="en-US"/>
              </w:rPr>
            </w:pPr>
            <w:r w:rsidRPr="00D549EE">
              <w:rPr>
                <w:sz w:val="22"/>
                <w:szCs w:val="22"/>
                <w:lang w:val="en-US"/>
              </w:rPr>
              <w:t>Tax incentives</w:t>
            </w:r>
          </w:p>
        </w:tc>
        <w:tc>
          <w:tcPr>
            <w:tcW w:w="6934" w:type="dxa"/>
          </w:tcPr>
          <w:p w14:paraId="4A0CD95A" w14:textId="77777777" w:rsidR="00E54AAA" w:rsidRPr="00D549EE" w:rsidRDefault="00E54AAA" w:rsidP="00D549EE">
            <w:pPr>
              <w:jc w:val="both"/>
              <w:rPr>
                <w:sz w:val="22"/>
                <w:szCs w:val="22"/>
                <w:lang w:val="en-US"/>
              </w:rPr>
            </w:pPr>
          </w:p>
        </w:tc>
      </w:tr>
      <w:tr w:rsidR="00E54AAA" w:rsidRPr="00D549EE" w14:paraId="26089056" w14:textId="77777777" w:rsidTr="00D549EE">
        <w:tc>
          <w:tcPr>
            <w:tcW w:w="2405" w:type="dxa"/>
          </w:tcPr>
          <w:p w14:paraId="64D02C48" w14:textId="77777777" w:rsidR="00E54AAA" w:rsidRPr="00D549EE" w:rsidRDefault="00E54AAA" w:rsidP="00D549EE">
            <w:pPr>
              <w:jc w:val="both"/>
              <w:rPr>
                <w:sz w:val="22"/>
                <w:szCs w:val="22"/>
                <w:lang w:val="en-US"/>
              </w:rPr>
            </w:pPr>
            <w:r w:rsidRPr="00D549EE">
              <w:rPr>
                <w:sz w:val="22"/>
                <w:szCs w:val="22"/>
                <w:lang w:val="en-US"/>
              </w:rPr>
              <w:t xml:space="preserve">Legal </w:t>
            </w:r>
          </w:p>
        </w:tc>
        <w:tc>
          <w:tcPr>
            <w:tcW w:w="6934" w:type="dxa"/>
          </w:tcPr>
          <w:p w14:paraId="213FC22A" w14:textId="77777777" w:rsidR="00E54AAA" w:rsidRPr="00D549EE" w:rsidRDefault="00E54AAA" w:rsidP="00D549EE">
            <w:pPr>
              <w:jc w:val="both"/>
              <w:rPr>
                <w:sz w:val="22"/>
                <w:szCs w:val="22"/>
                <w:lang w:val="en-US"/>
              </w:rPr>
            </w:pPr>
          </w:p>
        </w:tc>
      </w:tr>
      <w:tr w:rsidR="00E54AAA" w:rsidRPr="00D549EE" w14:paraId="14852725" w14:textId="77777777" w:rsidTr="00D549EE">
        <w:tc>
          <w:tcPr>
            <w:tcW w:w="2405" w:type="dxa"/>
          </w:tcPr>
          <w:p w14:paraId="31960D3B" w14:textId="77777777" w:rsidR="00E54AAA" w:rsidRPr="00D549EE" w:rsidRDefault="00E54AAA" w:rsidP="00D549EE">
            <w:pPr>
              <w:rPr>
                <w:sz w:val="22"/>
                <w:szCs w:val="22"/>
                <w:lang w:val="en-US"/>
              </w:rPr>
            </w:pPr>
            <w:r w:rsidRPr="00D549EE">
              <w:rPr>
                <w:sz w:val="22"/>
                <w:szCs w:val="22"/>
                <w:lang w:val="en-US"/>
              </w:rPr>
              <w:t>Organizational</w:t>
            </w:r>
          </w:p>
        </w:tc>
        <w:tc>
          <w:tcPr>
            <w:tcW w:w="6934" w:type="dxa"/>
          </w:tcPr>
          <w:p w14:paraId="6486700A" w14:textId="77777777" w:rsidR="00E54AAA" w:rsidRPr="00D549EE" w:rsidRDefault="00E54AAA" w:rsidP="00D549EE">
            <w:pPr>
              <w:jc w:val="both"/>
              <w:rPr>
                <w:sz w:val="22"/>
                <w:szCs w:val="22"/>
              </w:rPr>
            </w:pPr>
          </w:p>
        </w:tc>
      </w:tr>
      <w:tr w:rsidR="00E54AAA" w:rsidRPr="00D549EE" w14:paraId="40F40342" w14:textId="77777777" w:rsidTr="00D549EE">
        <w:tc>
          <w:tcPr>
            <w:tcW w:w="2405" w:type="dxa"/>
          </w:tcPr>
          <w:p w14:paraId="533B856A" w14:textId="77777777" w:rsidR="00E54AAA" w:rsidRPr="00D549EE" w:rsidRDefault="00E54AAA" w:rsidP="00D549EE">
            <w:pPr>
              <w:rPr>
                <w:sz w:val="22"/>
                <w:szCs w:val="22"/>
                <w:lang w:val="en-US"/>
              </w:rPr>
            </w:pPr>
            <w:r w:rsidRPr="00D549EE">
              <w:rPr>
                <w:sz w:val="22"/>
                <w:szCs w:val="22"/>
                <w:lang w:val="en-US"/>
              </w:rPr>
              <w:t>Administrative</w:t>
            </w:r>
          </w:p>
        </w:tc>
        <w:tc>
          <w:tcPr>
            <w:tcW w:w="6934" w:type="dxa"/>
          </w:tcPr>
          <w:p w14:paraId="2D7A1E95" w14:textId="77777777" w:rsidR="00E54AAA" w:rsidRPr="00D549EE" w:rsidRDefault="00E54AAA" w:rsidP="00D549EE">
            <w:pPr>
              <w:jc w:val="both"/>
              <w:rPr>
                <w:sz w:val="22"/>
                <w:szCs w:val="22"/>
                <w:lang w:val="kk-KZ"/>
              </w:rPr>
            </w:pPr>
          </w:p>
        </w:tc>
      </w:tr>
      <w:tr w:rsidR="00E54AAA" w:rsidRPr="00D549EE" w14:paraId="00798262" w14:textId="77777777" w:rsidTr="00D549EE">
        <w:tc>
          <w:tcPr>
            <w:tcW w:w="2405" w:type="dxa"/>
          </w:tcPr>
          <w:p w14:paraId="6C2DDF9A" w14:textId="77777777" w:rsidR="00E54AAA" w:rsidRPr="00D549EE" w:rsidRDefault="00E54AAA" w:rsidP="00D549EE">
            <w:pPr>
              <w:jc w:val="both"/>
              <w:rPr>
                <w:sz w:val="22"/>
                <w:szCs w:val="22"/>
                <w:lang w:val="en-US"/>
              </w:rPr>
            </w:pPr>
            <w:r w:rsidRPr="00D549EE">
              <w:rPr>
                <w:sz w:val="22"/>
                <w:szCs w:val="22"/>
                <w:lang w:val="en-US"/>
              </w:rPr>
              <w:t xml:space="preserve">Human resources </w:t>
            </w:r>
          </w:p>
        </w:tc>
        <w:tc>
          <w:tcPr>
            <w:tcW w:w="6934" w:type="dxa"/>
          </w:tcPr>
          <w:p w14:paraId="36E814FA" w14:textId="77777777" w:rsidR="00E54AAA" w:rsidRPr="00D549EE" w:rsidRDefault="00E54AAA" w:rsidP="00D549EE">
            <w:pPr>
              <w:jc w:val="both"/>
              <w:rPr>
                <w:sz w:val="22"/>
                <w:szCs w:val="22"/>
              </w:rPr>
            </w:pPr>
          </w:p>
        </w:tc>
      </w:tr>
      <w:tr w:rsidR="00E54AAA" w:rsidRPr="00D549EE" w14:paraId="233FC4E4" w14:textId="77777777" w:rsidTr="00D549EE">
        <w:tc>
          <w:tcPr>
            <w:tcW w:w="2405" w:type="dxa"/>
          </w:tcPr>
          <w:p w14:paraId="508B889F" w14:textId="77777777" w:rsidR="00E54AAA" w:rsidRPr="00D549EE" w:rsidRDefault="00E54AAA" w:rsidP="00D549EE">
            <w:pPr>
              <w:jc w:val="both"/>
              <w:rPr>
                <w:sz w:val="22"/>
                <w:szCs w:val="22"/>
                <w:lang w:val="en-US"/>
              </w:rPr>
            </w:pPr>
            <w:r w:rsidRPr="00D549EE">
              <w:rPr>
                <w:sz w:val="22"/>
                <w:szCs w:val="22"/>
                <w:lang w:val="en-US"/>
              </w:rPr>
              <w:t>Social</w:t>
            </w:r>
          </w:p>
        </w:tc>
        <w:tc>
          <w:tcPr>
            <w:tcW w:w="6934" w:type="dxa"/>
          </w:tcPr>
          <w:p w14:paraId="14051D3F" w14:textId="77777777" w:rsidR="00E54AAA" w:rsidRPr="00D549EE" w:rsidRDefault="00E54AAA" w:rsidP="00D549EE">
            <w:pPr>
              <w:jc w:val="both"/>
              <w:rPr>
                <w:sz w:val="22"/>
                <w:szCs w:val="22"/>
              </w:rPr>
            </w:pPr>
          </w:p>
        </w:tc>
      </w:tr>
    </w:tbl>
    <w:p w14:paraId="7192358F" w14:textId="77777777" w:rsidR="00E54AAA" w:rsidRPr="00D549EE" w:rsidRDefault="00E54AAA" w:rsidP="00E54AAA">
      <w:pPr>
        <w:pStyle w:val="HTML"/>
        <w:numPr>
          <w:ilvl w:val="0"/>
          <w:numId w:val="19"/>
        </w:numPr>
        <w:spacing w:line="360" w:lineRule="atLeast"/>
        <w:jc w:val="left"/>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
        </w:rPr>
        <w:t>What institutional (legal, personnel, social, organizational, administrative) barriers need to be overcome to increase the number of investors and issuers of Islamic financial instruments in Kazakhstan?</w:t>
      </w:r>
    </w:p>
    <w:p w14:paraId="111DA617" w14:textId="77777777" w:rsidR="00E54AAA" w:rsidRPr="00D549EE" w:rsidRDefault="00E54AAA" w:rsidP="00E54AAA">
      <w:pPr>
        <w:pStyle w:val="HTML"/>
        <w:numPr>
          <w:ilvl w:val="0"/>
          <w:numId w:val="20"/>
        </w:numPr>
        <w:contextualSpacing/>
        <w:jc w:val="left"/>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
        </w:rPr>
        <w:t>relaxation of requirements for Islamic financial institutions</w:t>
      </w:r>
    </w:p>
    <w:p w14:paraId="39796CA4" w14:textId="77777777" w:rsidR="00E54AAA" w:rsidRPr="00D549EE" w:rsidRDefault="00E54AAA" w:rsidP="00E54AAA">
      <w:pPr>
        <w:pStyle w:val="HTML"/>
        <w:contextualSpacing/>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US"/>
        </w:rPr>
        <w:t xml:space="preserve">       b) changing listing rules</w:t>
      </w:r>
    </w:p>
    <w:p w14:paraId="02499078" w14:textId="77777777" w:rsidR="00E54AAA" w:rsidRPr="00D549EE" w:rsidRDefault="00E54AAA" w:rsidP="00E54AAA">
      <w:pPr>
        <w:pStyle w:val="HTML"/>
        <w:contextualSpacing/>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US"/>
        </w:rPr>
        <w:t xml:space="preserve">       c) creation </w:t>
      </w:r>
      <w:r w:rsidRPr="00D549EE">
        <w:rPr>
          <w:rFonts w:ascii="Times New Roman" w:hAnsi="Times New Roman" w:cs="Times New Roman"/>
          <w:sz w:val="22"/>
          <w:szCs w:val="22"/>
          <w:lang w:val="en-US"/>
        </w:rPr>
        <w:t xml:space="preserve">specific and unified Islamic finance legislation </w:t>
      </w:r>
    </w:p>
    <w:p w14:paraId="5B380A9B" w14:textId="6BDD1574" w:rsidR="00E54AAA" w:rsidRPr="00D549EE" w:rsidRDefault="00E54AAA" w:rsidP="00E54AAA">
      <w:pPr>
        <w:ind w:left="426"/>
        <w:rPr>
          <w:sz w:val="22"/>
          <w:szCs w:val="22"/>
          <w:lang w:val="en-US"/>
        </w:rPr>
      </w:pPr>
      <w:r w:rsidRPr="00D549EE">
        <w:rPr>
          <w:sz w:val="22"/>
          <w:szCs w:val="22"/>
          <w:lang w:val="en-US"/>
        </w:rPr>
        <w:t>d) other (please specify)_______________________________________________________________________________________________________________________________________________________________</w:t>
      </w:r>
    </w:p>
    <w:p w14:paraId="0FFBD34D" w14:textId="77777777" w:rsidR="00E54AAA" w:rsidRPr="00D549EE" w:rsidRDefault="00E54AAA" w:rsidP="00E54AAA">
      <w:pPr>
        <w:ind w:left="426"/>
        <w:rPr>
          <w:sz w:val="22"/>
          <w:szCs w:val="22"/>
          <w:lang w:val="en-US"/>
        </w:rPr>
      </w:pPr>
    </w:p>
    <w:p w14:paraId="4AE5E62C" w14:textId="77777777" w:rsidR="00E54AAA" w:rsidRPr="00D549EE" w:rsidRDefault="00E54AAA" w:rsidP="00E54AAA">
      <w:pPr>
        <w:pStyle w:val="a3"/>
        <w:numPr>
          <w:ilvl w:val="0"/>
          <w:numId w:val="19"/>
        </w:numPr>
        <w:spacing w:after="0" w:line="240" w:lineRule="auto"/>
        <w:rPr>
          <w:rFonts w:ascii="Times New Roman" w:hAnsi="Times New Roman"/>
          <w:color w:val="222222"/>
          <w:lang w:val="en"/>
        </w:rPr>
      </w:pPr>
      <w:r w:rsidRPr="00D549EE">
        <w:rPr>
          <w:rFonts w:ascii="Times New Roman" w:hAnsi="Times New Roman"/>
          <w:color w:val="222222"/>
          <w:lang w:val="en"/>
        </w:rPr>
        <w:t>How should the investment climate be changed in order to increase the inflow of long-term Islamic investments in Kazakhstan?</w:t>
      </w:r>
    </w:p>
    <w:p w14:paraId="70BBFE79" w14:textId="77777777" w:rsidR="00E54AAA" w:rsidRPr="00D549EE" w:rsidRDefault="00E54AAA" w:rsidP="00E54AAA">
      <w:pPr>
        <w:pStyle w:val="a3"/>
        <w:numPr>
          <w:ilvl w:val="0"/>
          <w:numId w:val="25"/>
        </w:numPr>
        <w:spacing w:after="0" w:line="240" w:lineRule="auto"/>
        <w:rPr>
          <w:rFonts w:ascii="Times New Roman" w:hAnsi="Times New Roman"/>
          <w:color w:val="222222"/>
          <w:lang w:val="en"/>
        </w:rPr>
      </w:pPr>
      <w:r w:rsidRPr="00D549EE">
        <w:rPr>
          <w:rFonts w:ascii="Times New Roman" w:hAnsi="Times New Roman"/>
          <w:color w:val="222222"/>
          <w:lang w:val="en"/>
        </w:rPr>
        <w:t>improve the guarantee the rights and legal protection</w:t>
      </w:r>
    </w:p>
    <w:p w14:paraId="771E55A6" w14:textId="77777777" w:rsidR="00E54AAA" w:rsidRPr="00D549EE" w:rsidRDefault="00E54AAA" w:rsidP="00E54AAA">
      <w:pPr>
        <w:pStyle w:val="a3"/>
        <w:numPr>
          <w:ilvl w:val="0"/>
          <w:numId w:val="25"/>
        </w:numPr>
        <w:spacing w:after="0" w:line="240" w:lineRule="auto"/>
        <w:rPr>
          <w:rFonts w:ascii="Times New Roman" w:hAnsi="Times New Roman"/>
          <w:color w:val="222222"/>
          <w:lang w:val="en"/>
        </w:rPr>
      </w:pPr>
      <w:r w:rsidRPr="00D549EE">
        <w:rPr>
          <w:rFonts w:ascii="Times New Roman" w:hAnsi="Times New Roman"/>
          <w:color w:val="222222"/>
          <w:lang w:val="en"/>
        </w:rPr>
        <w:t>improve the guarantee the use of income</w:t>
      </w:r>
    </w:p>
    <w:p w14:paraId="61C8BE82" w14:textId="77777777" w:rsidR="00E54AAA" w:rsidRPr="00D549EE" w:rsidRDefault="00E54AAA" w:rsidP="00E54AAA">
      <w:pPr>
        <w:pStyle w:val="a3"/>
        <w:numPr>
          <w:ilvl w:val="0"/>
          <w:numId w:val="25"/>
        </w:numPr>
        <w:spacing w:after="0" w:line="240" w:lineRule="auto"/>
        <w:rPr>
          <w:rFonts w:ascii="Times New Roman" w:hAnsi="Times New Roman"/>
          <w:color w:val="222222"/>
          <w:lang w:val="en"/>
        </w:rPr>
      </w:pPr>
      <w:r w:rsidRPr="00D549EE">
        <w:rPr>
          <w:rFonts w:ascii="Times New Roman" w:hAnsi="Times New Roman"/>
          <w:color w:val="222222"/>
          <w:lang w:val="en"/>
        </w:rPr>
        <w:t>improve the regulation of investment dispute resolution</w:t>
      </w:r>
    </w:p>
    <w:p w14:paraId="0251CA31" w14:textId="04CB8BD3" w:rsidR="00E54AAA" w:rsidRPr="00D549EE" w:rsidRDefault="00E54AAA" w:rsidP="00E54AAA">
      <w:pPr>
        <w:pStyle w:val="a3"/>
        <w:numPr>
          <w:ilvl w:val="0"/>
          <w:numId w:val="25"/>
        </w:numPr>
        <w:spacing w:after="0" w:line="240" w:lineRule="auto"/>
        <w:rPr>
          <w:rFonts w:ascii="Times New Roman" w:hAnsi="Times New Roman"/>
          <w:color w:val="222222"/>
          <w:lang w:val="en"/>
        </w:rPr>
      </w:pPr>
      <w:r w:rsidRPr="00D549EE">
        <w:rPr>
          <w:rFonts w:ascii="Times New Roman" w:hAnsi="Times New Roman"/>
          <w:lang w:val="en-US"/>
        </w:rPr>
        <w:t>other (please     specify)___________________________________________________________________________________________________________________________________________________________</w:t>
      </w:r>
    </w:p>
    <w:p w14:paraId="16C67512" w14:textId="77777777" w:rsidR="00E54AAA" w:rsidRPr="00D549EE" w:rsidRDefault="00E54AAA" w:rsidP="00E54AAA">
      <w:pPr>
        <w:pStyle w:val="a3"/>
        <w:numPr>
          <w:ilvl w:val="0"/>
          <w:numId w:val="21"/>
        </w:numPr>
        <w:spacing w:after="0" w:line="240" w:lineRule="auto"/>
        <w:rPr>
          <w:rFonts w:ascii="Times New Roman" w:hAnsi="Times New Roman"/>
          <w:color w:val="222222"/>
          <w:lang w:val="en"/>
        </w:rPr>
      </w:pPr>
      <w:r w:rsidRPr="00D549EE">
        <w:rPr>
          <w:rFonts w:ascii="Times New Roman" w:hAnsi="Times New Roman"/>
          <w:color w:val="222222"/>
          <w:lang w:val="en"/>
        </w:rPr>
        <w:t>How can financial technology affect the spread of Islamic finance in Kazakhstan?</w:t>
      </w:r>
    </w:p>
    <w:p w14:paraId="56860104" w14:textId="77777777" w:rsidR="00E54AAA" w:rsidRPr="00D549EE" w:rsidRDefault="00E54AAA" w:rsidP="00E54AAA">
      <w:pPr>
        <w:pStyle w:val="a3"/>
        <w:numPr>
          <w:ilvl w:val="0"/>
          <w:numId w:val="22"/>
        </w:numPr>
        <w:spacing w:after="0" w:line="240" w:lineRule="auto"/>
        <w:rPr>
          <w:rFonts w:ascii="Times New Roman" w:hAnsi="Times New Roman"/>
          <w:color w:val="222222"/>
          <w:lang w:val="en"/>
        </w:rPr>
      </w:pPr>
      <w:r w:rsidRPr="00D549EE">
        <w:rPr>
          <w:rFonts w:ascii="Times New Roman" w:hAnsi="Times New Roman"/>
          <w:color w:val="222222"/>
          <w:lang w:val="en"/>
        </w:rPr>
        <w:t>promote Islamic financial inclusion</w:t>
      </w:r>
    </w:p>
    <w:p w14:paraId="6DE1E040" w14:textId="77777777" w:rsidR="00E54AAA" w:rsidRPr="00D549EE" w:rsidRDefault="00E54AAA" w:rsidP="00E54AAA">
      <w:pPr>
        <w:pStyle w:val="a3"/>
        <w:numPr>
          <w:ilvl w:val="0"/>
          <w:numId w:val="22"/>
        </w:numPr>
        <w:spacing w:after="0" w:line="240" w:lineRule="auto"/>
        <w:rPr>
          <w:rFonts w:ascii="Times New Roman" w:hAnsi="Times New Roman"/>
          <w:color w:val="222222"/>
          <w:lang w:val="en"/>
        </w:rPr>
      </w:pPr>
      <w:r w:rsidRPr="00D549EE">
        <w:rPr>
          <w:rFonts w:ascii="Times New Roman" w:hAnsi="Times New Roman"/>
          <w:color w:val="222222"/>
          <w:lang w:val="en"/>
        </w:rPr>
        <w:t>reduce the cost of financial intermediation for Islamic banks</w:t>
      </w:r>
    </w:p>
    <w:p w14:paraId="0D64E360" w14:textId="77777777" w:rsidR="00E54AAA" w:rsidRPr="00D549EE" w:rsidRDefault="00E54AAA" w:rsidP="00E54AAA">
      <w:pPr>
        <w:pStyle w:val="a3"/>
        <w:numPr>
          <w:ilvl w:val="0"/>
          <w:numId w:val="22"/>
        </w:numPr>
        <w:spacing w:after="0" w:line="240" w:lineRule="auto"/>
        <w:rPr>
          <w:rFonts w:ascii="Times New Roman" w:hAnsi="Times New Roman"/>
          <w:color w:val="222222"/>
          <w:lang w:val="en"/>
        </w:rPr>
      </w:pPr>
      <w:r w:rsidRPr="00D549EE">
        <w:rPr>
          <w:rFonts w:ascii="Times New Roman" w:hAnsi="Times New Roman"/>
          <w:color w:val="222222"/>
          <w:lang w:val="en"/>
        </w:rPr>
        <w:t>reduce the aggregate expenditure for government</w:t>
      </w:r>
    </w:p>
    <w:p w14:paraId="7273918B" w14:textId="69D04AB6" w:rsidR="00E54AAA" w:rsidRPr="00D549EE" w:rsidRDefault="00E54AAA" w:rsidP="00E54AAA">
      <w:pPr>
        <w:ind w:left="426"/>
        <w:rPr>
          <w:color w:val="222222"/>
          <w:sz w:val="22"/>
          <w:szCs w:val="22"/>
          <w:lang w:val="en"/>
        </w:rPr>
      </w:pPr>
      <w:r w:rsidRPr="00D549EE">
        <w:rPr>
          <w:sz w:val="22"/>
          <w:szCs w:val="22"/>
          <w:lang w:val="en-US"/>
        </w:rPr>
        <w:t>d) other (please specify)_______________________________________________________________________________________________________________________________________________________________</w:t>
      </w:r>
    </w:p>
    <w:p w14:paraId="56A38020" w14:textId="77777777" w:rsidR="00E54AAA" w:rsidRPr="00D549EE" w:rsidRDefault="00E54AAA" w:rsidP="00E54AAA">
      <w:pPr>
        <w:pStyle w:val="HTML"/>
        <w:contextualSpacing/>
        <w:rPr>
          <w:rFonts w:ascii="Times New Roman" w:hAnsi="Times New Roman" w:cs="Times New Roman"/>
          <w:color w:val="222222"/>
          <w:sz w:val="22"/>
          <w:szCs w:val="22"/>
          <w:lang w:val="en-US"/>
        </w:rPr>
      </w:pPr>
    </w:p>
    <w:p w14:paraId="59772490" w14:textId="77777777" w:rsidR="00E54AAA" w:rsidRPr="00D549EE" w:rsidRDefault="00E54AAA" w:rsidP="00E54AAA">
      <w:pPr>
        <w:pStyle w:val="HTML"/>
        <w:numPr>
          <w:ilvl w:val="0"/>
          <w:numId w:val="21"/>
        </w:numPr>
        <w:spacing w:line="360" w:lineRule="atLeast"/>
        <w:jc w:val="left"/>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
        </w:rPr>
        <w:t>How can the development of financial technologies affect the trading of Islamic securities?</w:t>
      </w:r>
    </w:p>
    <w:p w14:paraId="4AC29974" w14:textId="77777777" w:rsidR="00E54AAA" w:rsidRPr="00D549EE" w:rsidRDefault="00E54AAA" w:rsidP="00E54AAA">
      <w:pPr>
        <w:pStyle w:val="a3"/>
        <w:numPr>
          <w:ilvl w:val="0"/>
          <w:numId w:val="23"/>
        </w:numPr>
        <w:spacing w:after="0" w:line="240" w:lineRule="auto"/>
        <w:rPr>
          <w:rFonts w:ascii="Times New Roman" w:hAnsi="Times New Roman"/>
          <w:color w:val="222222"/>
          <w:lang w:val="en"/>
        </w:rPr>
      </w:pPr>
      <w:r w:rsidRPr="00D549EE">
        <w:rPr>
          <w:rFonts w:ascii="Times New Roman" w:hAnsi="Times New Roman"/>
          <w:color w:val="222222"/>
          <w:lang w:val="en"/>
        </w:rPr>
        <w:t>increase  the number of participant in Islamic securities market</w:t>
      </w:r>
    </w:p>
    <w:p w14:paraId="2685DB9F" w14:textId="77777777" w:rsidR="00E54AAA" w:rsidRPr="00D549EE" w:rsidRDefault="00E54AAA" w:rsidP="00E54AAA">
      <w:pPr>
        <w:pStyle w:val="a3"/>
        <w:numPr>
          <w:ilvl w:val="0"/>
          <w:numId w:val="23"/>
        </w:numPr>
        <w:spacing w:after="0" w:line="240" w:lineRule="auto"/>
        <w:rPr>
          <w:rFonts w:ascii="Times New Roman" w:hAnsi="Times New Roman"/>
          <w:color w:val="222222"/>
          <w:lang w:val="en"/>
        </w:rPr>
      </w:pPr>
      <w:r w:rsidRPr="00D549EE">
        <w:rPr>
          <w:rFonts w:ascii="Times New Roman" w:hAnsi="Times New Roman"/>
          <w:color w:val="222222"/>
          <w:lang w:val="en"/>
        </w:rPr>
        <w:t>increase in market activation</w:t>
      </w:r>
    </w:p>
    <w:p w14:paraId="78472C7D" w14:textId="77777777" w:rsidR="00E54AAA" w:rsidRPr="00D549EE" w:rsidRDefault="00E54AAA" w:rsidP="00E54AAA">
      <w:pPr>
        <w:pStyle w:val="a3"/>
        <w:numPr>
          <w:ilvl w:val="0"/>
          <w:numId w:val="23"/>
        </w:numPr>
        <w:spacing w:after="0" w:line="240" w:lineRule="auto"/>
        <w:rPr>
          <w:rFonts w:ascii="Times New Roman" w:hAnsi="Times New Roman"/>
          <w:color w:val="222222"/>
          <w:lang w:val="en"/>
        </w:rPr>
      </w:pPr>
      <w:r w:rsidRPr="00D549EE">
        <w:rPr>
          <w:rFonts w:ascii="Times New Roman" w:hAnsi="Times New Roman"/>
          <w:color w:val="222222"/>
          <w:lang w:val="en"/>
        </w:rPr>
        <w:t>increase in stock market capitalization</w:t>
      </w:r>
    </w:p>
    <w:p w14:paraId="5D82AD6C" w14:textId="0AC344EF" w:rsidR="00E54AAA" w:rsidRPr="00D549EE" w:rsidRDefault="00E54AAA" w:rsidP="00E54AAA">
      <w:pPr>
        <w:pStyle w:val="a3"/>
        <w:numPr>
          <w:ilvl w:val="0"/>
          <w:numId w:val="23"/>
        </w:numPr>
        <w:spacing w:after="0" w:line="240" w:lineRule="auto"/>
        <w:rPr>
          <w:rFonts w:ascii="Times New Roman" w:hAnsi="Times New Roman"/>
          <w:color w:val="222222"/>
          <w:lang w:val="en"/>
        </w:rPr>
      </w:pPr>
      <w:r w:rsidRPr="00D549EE">
        <w:rPr>
          <w:rFonts w:ascii="Times New Roman" w:hAnsi="Times New Roman"/>
          <w:lang w:val="en-US"/>
        </w:rPr>
        <w:t>other (please specify)____________________________________________________________________________________________________________________________________________________</w:t>
      </w:r>
    </w:p>
    <w:p w14:paraId="7943E55E" w14:textId="77777777" w:rsidR="00E54AAA" w:rsidRPr="00D549EE" w:rsidRDefault="00E54AAA" w:rsidP="00E54AAA">
      <w:pPr>
        <w:pStyle w:val="HTML"/>
        <w:numPr>
          <w:ilvl w:val="0"/>
          <w:numId w:val="21"/>
        </w:numPr>
        <w:spacing w:line="360" w:lineRule="atLeast"/>
        <w:jc w:val="left"/>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
        </w:rPr>
        <w:t>Do financial technologies comply with sharia principles?</w:t>
      </w:r>
    </w:p>
    <w:p w14:paraId="3CC33EE2" w14:textId="77777777" w:rsidR="00E54AAA" w:rsidRPr="00D549EE" w:rsidRDefault="00E54AAA" w:rsidP="00E54AAA">
      <w:pPr>
        <w:pStyle w:val="HTML"/>
        <w:numPr>
          <w:ilvl w:val="0"/>
          <w:numId w:val="26"/>
        </w:numPr>
        <w:contextualSpacing/>
        <w:jc w:val="left"/>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US"/>
        </w:rPr>
        <w:t xml:space="preserve"> yes </w:t>
      </w:r>
    </w:p>
    <w:p w14:paraId="29504822" w14:textId="77777777" w:rsidR="00E54AAA" w:rsidRPr="00D549EE" w:rsidRDefault="00E54AAA" w:rsidP="00E54AAA">
      <w:pPr>
        <w:pStyle w:val="HTML"/>
        <w:numPr>
          <w:ilvl w:val="0"/>
          <w:numId w:val="26"/>
        </w:numPr>
        <w:contextualSpacing/>
        <w:jc w:val="left"/>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US"/>
        </w:rPr>
        <w:t>no</w:t>
      </w:r>
    </w:p>
    <w:p w14:paraId="04C75D3B" w14:textId="0410B211" w:rsidR="00E54AAA" w:rsidRPr="00D549EE" w:rsidRDefault="00E54AAA" w:rsidP="00E54AAA">
      <w:pPr>
        <w:pStyle w:val="a3"/>
        <w:numPr>
          <w:ilvl w:val="0"/>
          <w:numId w:val="23"/>
        </w:numPr>
        <w:spacing w:after="0" w:line="240" w:lineRule="auto"/>
        <w:rPr>
          <w:rFonts w:ascii="Times New Roman" w:hAnsi="Times New Roman"/>
          <w:color w:val="222222"/>
          <w:lang w:val="en"/>
        </w:rPr>
      </w:pPr>
      <w:r w:rsidRPr="00D549EE">
        <w:rPr>
          <w:rFonts w:ascii="Times New Roman" w:hAnsi="Times New Roman"/>
          <w:lang w:val="en-US"/>
        </w:rPr>
        <w:t>other (please specify)____________________________________________________________________________________________________________________________________________________</w:t>
      </w:r>
    </w:p>
    <w:p w14:paraId="6F5054E1" w14:textId="77777777" w:rsidR="00E54AAA" w:rsidRPr="00D549EE" w:rsidRDefault="00E54AAA" w:rsidP="00E54AAA">
      <w:pPr>
        <w:pStyle w:val="HTML"/>
        <w:numPr>
          <w:ilvl w:val="0"/>
          <w:numId w:val="21"/>
        </w:numPr>
        <w:contextualSpacing/>
        <w:jc w:val="left"/>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US"/>
        </w:rPr>
        <w:t>How can blockchain technology, which leaves electronic traces of any transaction, ensure the transparency and purity of financial transactions in the context of the value of Sharia?</w:t>
      </w:r>
    </w:p>
    <w:p w14:paraId="77D541A2" w14:textId="0F8BEA2E" w:rsidR="00E54AAA" w:rsidRPr="00D549EE" w:rsidRDefault="00E54AAA" w:rsidP="00E54AAA">
      <w:pPr>
        <w:pStyle w:val="HTML"/>
        <w:ind w:left="720"/>
        <w:contextualSpacing/>
        <w:rPr>
          <w:rFonts w:ascii="Times New Roman" w:hAnsi="Times New Roman" w:cs="Times New Roman"/>
          <w:color w:val="222222"/>
          <w:sz w:val="22"/>
          <w:szCs w:val="22"/>
          <w:lang w:val="en-US"/>
        </w:rPr>
      </w:pPr>
      <w:r w:rsidRPr="00D549EE">
        <w:rPr>
          <w:rFonts w:ascii="Times New Roman" w:hAnsi="Times New Roman" w:cs="Times New Roman"/>
          <w:color w:val="222222"/>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w:t>
      </w:r>
    </w:p>
    <w:p w14:paraId="60BFC87A" w14:textId="6E8A734F" w:rsidR="00E54AAA" w:rsidRPr="00D549EE" w:rsidRDefault="00E54AAA" w:rsidP="00E54AAA">
      <w:pPr>
        <w:pStyle w:val="a3"/>
        <w:ind w:left="426"/>
        <w:rPr>
          <w:rFonts w:ascii="Times New Roman" w:hAnsi="Times New Roman"/>
          <w:lang w:val="en-US"/>
        </w:rPr>
      </w:pPr>
      <w:r w:rsidRPr="00D549EE">
        <w:rPr>
          <w:rFonts w:ascii="Times New Roman" w:hAnsi="Times New Roman"/>
          <w:lang w:val="en-US"/>
        </w:rPr>
        <w:t>9.</w:t>
      </w:r>
      <w:r w:rsidRPr="00D549EE">
        <w:rPr>
          <w:rFonts w:ascii="Times New Roman" w:hAnsi="Times New Roman"/>
          <w:lang w:val="en-US"/>
        </w:rPr>
        <w:tab/>
        <w:t>How do you think the confidence that arises in Islamic finance contributes to the stability of the financial sector as a whole? Please, estimate from 1 to 10 points, where 1 – minor, 10 – major</w:t>
      </w:r>
    </w:p>
    <w:tbl>
      <w:tblPr>
        <w:tblStyle w:val="a9"/>
        <w:tblW w:w="8970" w:type="dxa"/>
        <w:tblInd w:w="439" w:type="dxa"/>
        <w:tblLook w:val="04A0" w:firstRow="1" w:lastRow="0" w:firstColumn="1" w:lastColumn="0" w:noHBand="0" w:noVBand="1"/>
      </w:tblPr>
      <w:tblGrid>
        <w:gridCol w:w="897"/>
        <w:gridCol w:w="897"/>
        <w:gridCol w:w="897"/>
        <w:gridCol w:w="897"/>
        <w:gridCol w:w="897"/>
        <w:gridCol w:w="897"/>
        <w:gridCol w:w="897"/>
        <w:gridCol w:w="897"/>
        <w:gridCol w:w="897"/>
        <w:gridCol w:w="897"/>
      </w:tblGrid>
      <w:tr w:rsidR="00E54AAA" w:rsidRPr="00D549EE" w14:paraId="379A9069" w14:textId="77777777" w:rsidTr="00D549EE">
        <w:trPr>
          <w:trHeight w:val="254"/>
        </w:trPr>
        <w:tc>
          <w:tcPr>
            <w:tcW w:w="897" w:type="dxa"/>
          </w:tcPr>
          <w:p w14:paraId="387ADF97"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1</w:t>
            </w:r>
          </w:p>
        </w:tc>
        <w:tc>
          <w:tcPr>
            <w:tcW w:w="897" w:type="dxa"/>
          </w:tcPr>
          <w:p w14:paraId="5CE07394"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2</w:t>
            </w:r>
          </w:p>
        </w:tc>
        <w:tc>
          <w:tcPr>
            <w:tcW w:w="897" w:type="dxa"/>
          </w:tcPr>
          <w:p w14:paraId="29BED8CC"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3</w:t>
            </w:r>
          </w:p>
        </w:tc>
        <w:tc>
          <w:tcPr>
            <w:tcW w:w="897" w:type="dxa"/>
          </w:tcPr>
          <w:p w14:paraId="198FD065"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4</w:t>
            </w:r>
          </w:p>
        </w:tc>
        <w:tc>
          <w:tcPr>
            <w:tcW w:w="897" w:type="dxa"/>
          </w:tcPr>
          <w:p w14:paraId="3D3A74B4"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5</w:t>
            </w:r>
          </w:p>
        </w:tc>
        <w:tc>
          <w:tcPr>
            <w:tcW w:w="897" w:type="dxa"/>
          </w:tcPr>
          <w:p w14:paraId="069BF835"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6</w:t>
            </w:r>
          </w:p>
        </w:tc>
        <w:tc>
          <w:tcPr>
            <w:tcW w:w="897" w:type="dxa"/>
          </w:tcPr>
          <w:p w14:paraId="288DC26D"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7</w:t>
            </w:r>
          </w:p>
        </w:tc>
        <w:tc>
          <w:tcPr>
            <w:tcW w:w="897" w:type="dxa"/>
          </w:tcPr>
          <w:p w14:paraId="616899C6"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8</w:t>
            </w:r>
          </w:p>
        </w:tc>
        <w:tc>
          <w:tcPr>
            <w:tcW w:w="897" w:type="dxa"/>
          </w:tcPr>
          <w:p w14:paraId="04E03A64"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9</w:t>
            </w:r>
          </w:p>
        </w:tc>
        <w:tc>
          <w:tcPr>
            <w:tcW w:w="897" w:type="dxa"/>
          </w:tcPr>
          <w:p w14:paraId="292CD2AA" w14:textId="77777777" w:rsidR="00E54AAA" w:rsidRPr="00D549EE" w:rsidRDefault="00E54AAA" w:rsidP="00D549EE">
            <w:pPr>
              <w:pStyle w:val="a3"/>
              <w:ind w:left="0"/>
              <w:rPr>
                <w:rFonts w:ascii="Times New Roman" w:hAnsi="Times New Roman"/>
                <w:lang w:val="en-US"/>
              </w:rPr>
            </w:pPr>
            <w:r w:rsidRPr="00D549EE">
              <w:rPr>
                <w:rFonts w:ascii="Times New Roman" w:hAnsi="Times New Roman"/>
                <w:lang w:val="en-US"/>
              </w:rPr>
              <w:t>10</w:t>
            </w:r>
          </w:p>
        </w:tc>
      </w:tr>
    </w:tbl>
    <w:p w14:paraId="3FA2DF04" w14:textId="77777777" w:rsidR="00E54AAA" w:rsidRPr="00D549EE" w:rsidRDefault="00E54AAA" w:rsidP="00E54AAA">
      <w:pPr>
        <w:rPr>
          <w:sz w:val="22"/>
          <w:szCs w:val="22"/>
          <w:lang w:val="en-US"/>
        </w:rPr>
      </w:pPr>
    </w:p>
    <w:p w14:paraId="6652723E" w14:textId="77777777" w:rsidR="00E54AAA" w:rsidRPr="00D549EE" w:rsidRDefault="00E54AAA" w:rsidP="00E54AAA">
      <w:pPr>
        <w:pStyle w:val="a3"/>
        <w:numPr>
          <w:ilvl w:val="0"/>
          <w:numId w:val="21"/>
        </w:numPr>
        <w:spacing w:after="0" w:line="240" w:lineRule="auto"/>
        <w:rPr>
          <w:rFonts w:ascii="Times New Roman" w:hAnsi="Times New Roman"/>
          <w:lang w:val="en-US"/>
        </w:rPr>
      </w:pPr>
      <w:r w:rsidRPr="00D549EE">
        <w:rPr>
          <w:rFonts w:ascii="Times New Roman" w:hAnsi="Times New Roman"/>
          <w:lang w:val="en-US"/>
        </w:rPr>
        <w:t xml:space="preserve">What is hampered Islamic finance flows in Kazakhstan? </w:t>
      </w:r>
    </w:p>
    <w:p w14:paraId="03F5B3E8" w14:textId="77777777" w:rsidR="00E54AAA" w:rsidRPr="00D549EE" w:rsidRDefault="00E54AAA" w:rsidP="00E54AAA">
      <w:pPr>
        <w:pStyle w:val="a3"/>
        <w:numPr>
          <w:ilvl w:val="0"/>
          <w:numId w:val="24"/>
        </w:numPr>
        <w:spacing w:after="0" w:line="240" w:lineRule="auto"/>
        <w:rPr>
          <w:rFonts w:ascii="Times New Roman" w:hAnsi="Times New Roman"/>
          <w:lang w:val="en-US"/>
        </w:rPr>
      </w:pPr>
      <w:r w:rsidRPr="00D549EE">
        <w:rPr>
          <w:rFonts w:ascii="Times New Roman" w:hAnsi="Times New Roman"/>
          <w:lang w:val="en-US"/>
        </w:rPr>
        <w:t>condition of finance sector</w:t>
      </w:r>
    </w:p>
    <w:p w14:paraId="040376AB" w14:textId="77777777" w:rsidR="00E54AAA" w:rsidRPr="00D549EE" w:rsidRDefault="00E54AAA" w:rsidP="00E54AAA">
      <w:pPr>
        <w:pStyle w:val="a3"/>
        <w:numPr>
          <w:ilvl w:val="0"/>
          <w:numId w:val="24"/>
        </w:numPr>
        <w:spacing w:after="0" w:line="240" w:lineRule="auto"/>
        <w:rPr>
          <w:rFonts w:ascii="Times New Roman" w:hAnsi="Times New Roman"/>
          <w:lang w:val="en-US"/>
        </w:rPr>
      </w:pPr>
      <w:r w:rsidRPr="00D549EE">
        <w:rPr>
          <w:rFonts w:ascii="Times New Roman" w:hAnsi="Times New Roman"/>
          <w:lang w:val="en-US"/>
        </w:rPr>
        <w:t>legal framework</w:t>
      </w:r>
    </w:p>
    <w:p w14:paraId="13EC381E" w14:textId="77777777" w:rsidR="00E54AAA" w:rsidRPr="00D549EE" w:rsidRDefault="00E54AAA" w:rsidP="00E54AAA">
      <w:pPr>
        <w:pStyle w:val="a3"/>
        <w:numPr>
          <w:ilvl w:val="0"/>
          <w:numId w:val="24"/>
        </w:numPr>
        <w:spacing w:after="0" w:line="240" w:lineRule="auto"/>
        <w:rPr>
          <w:rFonts w:ascii="Times New Roman" w:hAnsi="Times New Roman"/>
          <w:lang w:val="en-US"/>
        </w:rPr>
      </w:pPr>
      <w:r w:rsidRPr="00D549EE">
        <w:rPr>
          <w:rFonts w:ascii="Times New Roman" w:hAnsi="Times New Roman"/>
          <w:lang w:val="en-US"/>
        </w:rPr>
        <w:t>absence of technologies</w:t>
      </w:r>
    </w:p>
    <w:p w14:paraId="6831A100" w14:textId="77777777" w:rsidR="00E54AAA" w:rsidRPr="00D549EE" w:rsidRDefault="00E54AAA" w:rsidP="00E54AAA">
      <w:pPr>
        <w:pStyle w:val="a3"/>
        <w:numPr>
          <w:ilvl w:val="0"/>
          <w:numId w:val="24"/>
        </w:numPr>
        <w:spacing w:after="0" w:line="240" w:lineRule="auto"/>
        <w:rPr>
          <w:rFonts w:ascii="Times New Roman" w:hAnsi="Times New Roman"/>
          <w:lang w:val="en-US"/>
        </w:rPr>
      </w:pPr>
      <w:r w:rsidRPr="00D549EE">
        <w:rPr>
          <w:rFonts w:ascii="Times New Roman" w:hAnsi="Times New Roman"/>
          <w:lang w:val="en-US"/>
        </w:rPr>
        <w:t>level of Islamic financial literacy</w:t>
      </w:r>
    </w:p>
    <w:p w14:paraId="52FA6F7D" w14:textId="77777777" w:rsidR="00E54AAA" w:rsidRPr="00D549EE" w:rsidRDefault="00E54AAA" w:rsidP="00E54AAA">
      <w:pPr>
        <w:pStyle w:val="a3"/>
        <w:numPr>
          <w:ilvl w:val="0"/>
          <w:numId w:val="24"/>
        </w:numPr>
        <w:spacing w:after="0" w:line="240" w:lineRule="auto"/>
        <w:rPr>
          <w:rFonts w:ascii="Times New Roman" w:hAnsi="Times New Roman"/>
          <w:lang w:val="en-US"/>
        </w:rPr>
      </w:pPr>
      <w:r w:rsidRPr="00D549EE">
        <w:rPr>
          <w:rFonts w:ascii="Times New Roman" w:hAnsi="Times New Roman"/>
          <w:lang w:val="en-US"/>
        </w:rPr>
        <w:t>Other (please specify)________________________________________________________________</w:t>
      </w:r>
    </w:p>
    <w:p w14:paraId="6C93FD3A" w14:textId="77777777" w:rsidR="00E54AAA" w:rsidRPr="00D549EE" w:rsidRDefault="00E54AAA" w:rsidP="00E54AAA">
      <w:pPr>
        <w:ind w:left="360"/>
        <w:rPr>
          <w:sz w:val="22"/>
          <w:szCs w:val="22"/>
        </w:rPr>
      </w:pPr>
    </w:p>
    <w:p w14:paraId="04668CB7" w14:textId="77777777" w:rsidR="00E54AAA" w:rsidRPr="00D549EE" w:rsidRDefault="00E54AAA" w:rsidP="00E54AAA">
      <w:pPr>
        <w:pStyle w:val="a3"/>
        <w:numPr>
          <w:ilvl w:val="0"/>
          <w:numId w:val="21"/>
        </w:numPr>
        <w:spacing w:after="0" w:line="240" w:lineRule="auto"/>
        <w:rPr>
          <w:rFonts w:ascii="Times New Roman" w:hAnsi="Times New Roman"/>
          <w:lang w:val="en-US"/>
        </w:rPr>
      </w:pPr>
      <w:r w:rsidRPr="00D549EE">
        <w:rPr>
          <w:rFonts w:ascii="Times New Roman" w:hAnsi="Times New Roman"/>
          <w:lang w:val="en-US"/>
        </w:rPr>
        <w:t>Is it necessary to allow Islamic windows, branches and subsidiaries in Kazakhstan for developing Islamic financial services?</w:t>
      </w:r>
    </w:p>
    <w:p w14:paraId="6D30F8A8" w14:textId="77777777" w:rsidR="00E54AAA" w:rsidRPr="00D549EE" w:rsidRDefault="00E54AAA" w:rsidP="00E54AAA">
      <w:pPr>
        <w:pStyle w:val="a3"/>
        <w:numPr>
          <w:ilvl w:val="0"/>
          <w:numId w:val="27"/>
        </w:numPr>
        <w:spacing w:after="0" w:line="240" w:lineRule="auto"/>
        <w:rPr>
          <w:rFonts w:ascii="Times New Roman" w:hAnsi="Times New Roman"/>
          <w:lang w:val="en-US"/>
        </w:rPr>
      </w:pPr>
      <w:r w:rsidRPr="00D549EE">
        <w:rPr>
          <w:rFonts w:ascii="Times New Roman" w:hAnsi="Times New Roman"/>
          <w:lang w:val="en-US"/>
        </w:rPr>
        <w:t xml:space="preserve">yes (windows, branches or subsidiaries) please underline </w:t>
      </w:r>
    </w:p>
    <w:p w14:paraId="0AC03D5F" w14:textId="77777777" w:rsidR="00E54AAA" w:rsidRPr="00D549EE" w:rsidRDefault="00E54AAA" w:rsidP="00E54AAA">
      <w:pPr>
        <w:pStyle w:val="a3"/>
        <w:numPr>
          <w:ilvl w:val="0"/>
          <w:numId w:val="27"/>
        </w:numPr>
        <w:spacing w:after="0" w:line="240" w:lineRule="auto"/>
        <w:rPr>
          <w:rFonts w:ascii="Times New Roman" w:hAnsi="Times New Roman"/>
          <w:lang w:val="en-US"/>
        </w:rPr>
      </w:pPr>
      <w:r w:rsidRPr="00D549EE">
        <w:rPr>
          <w:rFonts w:ascii="Times New Roman" w:hAnsi="Times New Roman"/>
          <w:lang w:val="en-US"/>
        </w:rPr>
        <w:t>no</w:t>
      </w:r>
    </w:p>
    <w:p w14:paraId="0BFF0E34" w14:textId="77777777" w:rsidR="00E54AAA" w:rsidRPr="00D549EE" w:rsidRDefault="00E54AAA" w:rsidP="00E54AAA">
      <w:pPr>
        <w:pStyle w:val="a3"/>
        <w:numPr>
          <w:ilvl w:val="0"/>
          <w:numId w:val="27"/>
        </w:numPr>
        <w:spacing w:after="0" w:line="240" w:lineRule="auto"/>
        <w:rPr>
          <w:rFonts w:ascii="Times New Roman" w:hAnsi="Times New Roman"/>
          <w:lang w:val="en-US"/>
        </w:rPr>
      </w:pPr>
      <w:r w:rsidRPr="00D549EE">
        <w:rPr>
          <w:rFonts w:ascii="Times New Roman" w:hAnsi="Times New Roman"/>
          <w:lang w:val="en-US"/>
        </w:rPr>
        <w:t>Other (please specify)______________________________________________________________</w:t>
      </w:r>
    </w:p>
    <w:p w14:paraId="52D08634" w14:textId="77777777" w:rsidR="00E54AAA" w:rsidRPr="00D549EE" w:rsidRDefault="00E54AAA" w:rsidP="00E54AAA">
      <w:pPr>
        <w:rPr>
          <w:sz w:val="22"/>
          <w:szCs w:val="22"/>
          <w:lang w:val="en-US"/>
        </w:rPr>
      </w:pPr>
    </w:p>
    <w:p w14:paraId="24B96444" w14:textId="0516497A" w:rsidR="00E54AAA" w:rsidRPr="00D549EE" w:rsidRDefault="00E54AAA" w:rsidP="00E54AAA">
      <w:pPr>
        <w:rPr>
          <w:sz w:val="22"/>
          <w:szCs w:val="22"/>
          <w:lang w:val="en-US"/>
        </w:rPr>
      </w:pPr>
      <w:r w:rsidRPr="00D549EE">
        <w:rPr>
          <w:sz w:val="22"/>
          <w:szCs w:val="22"/>
          <w:lang w:val="en-US"/>
        </w:rPr>
        <w:t>We will be grateful for any additional opinion and view 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B53A1A" w14:textId="77777777" w:rsidR="00AA2938" w:rsidRPr="00D549EE" w:rsidRDefault="00AA2938" w:rsidP="00FB76E6">
      <w:pPr>
        <w:snapToGrid w:val="0"/>
        <w:contextualSpacing/>
        <w:jc w:val="center"/>
        <w:rPr>
          <w:b/>
          <w:color w:val="000000" w:themeColor="text1"/>
          <w:sz w:val="28"/>
          <w:szCs w:val="28"/>
          <w:lang w:val="en-US"/>
        </w:rPr>
      </w:pPr>
    </w:p>
    <w:p w14:paraId="61581A90" w14:textId="0BFFEE17" w:rsidR="00AA2938" w:rsidRPr="00D549EE" w:rsidRDefault="00AA2938" w:rsidP="00FB76E6">
      <w:pPr>
        <w:snapToGrid w:val="0"/>
        <w:contextualSpacing/>
        <w:jc w:val="center"/>
        <w:rPr>
          <w:b/>
          <w:color w:val="000000" w:themeColor="text1"/>
          <w:sz w:val="28"/>
          <w:szCs w:val="28"/>
          <w:lang w:val="kk-KZ"/>
        </w:rPr>
      </w:pPr>
    </w:p>
    <w:p w14:paraId="745DB1C8" w14:textId="497A4628" w:rsidR="00AA2938" w:rsidRPr="00D549EE" w:rsidRDefault="00AA2938" w:rsidP="00FB76E6">
      <w:pPr>
        <w:snapToGrid w:val="0"/>
        <w:contextualSpacing/>
        <w:jc w:val="center"/>
        <w:rPr>
          <w:b/>
          <w:color w:val="000000" w:themeColor="text1"/>
          <w:sz w:val="28"/>
          <w:szCs w:val="28"/>
          <w:lang w:val="kk-KZ"/>
        </w:rPr>
      </w:pPr>
    </w:p>
    <w:p w14:paraId="72E25A26" w14:textId="70A95A0A" w:rsidR="00AA2938" w:rsidRPr="00D549EE" w:rsidRDefault="00AA2938" w:rsidP="00FB76E6">
      <w:pPr>
        <w:snapToGrid w:val="0"/>
        <w:contextualSpacing/>
        <w:jc w:val="center"/>
        <w:rPr>
          <w:b/>
          <w:color w:val="000000" w:themeColor="text1"/>
          <w:sz w:val="28"/>
          <w:szCs w:val="28"/>
          <w:lang w:val="kk-KZ"/>
        </w:rPr>
      </w:pPr>
    </w:p>
    <w:p w14:paraId="2BF023C0" w14:textId="369848CE" w:rsidR="00AA2938" w:rsidRPr="00D549EE" w:rsidRDefault="00AA2938" w:rsidP="00FB76E6">
      <w:pPr>
        <w:snapToGrid w:val="0"/>
        <w:contextualSpacing/>
        <w:jc w:val="center"/>
        <w:rPr>
          <w:b/>
          <w:color w:val="000000" w:themeColor="text1"/>
          <w:sz w:val="28"/>
          <w:szCs w:val="28"/>
          <w:lang w:val="kk-KZ"/>
        </w:rPr>
      </w:pPr>
    </w:p>
    <w:p w14:paraId="0B2DC854" w14:textId="766AE88C" w:rsidR="00AA2938" w:rsidRPr="00D549EE" w:rsidRDefault="00AA2938" w:rsidP="00FB76E6">
      <w:pPr>
        <w:snapToGrid w:val="0"/>
        <w:contextualSpacing/>
        <w:jc w:val="center"/>
        <w:rPr>
          <w:b/>
          <w:color w:val="000000" w:themeColor="text1"/>
          <w:sz w:val="28"/>
          <w:szCs w:val="28"/>
          <w:lang w:val="kk-KZ"/>
        </w:rPr>
      </w:pPr>
    </w:p>
    <w:p w14:paraId="7E683F3D" w14:textId="004EF516" w:rsidR="00AA2938" w:rsidRPr="00D549EE" w:rsidRDefault="00AA2938" w:rsidP="00FB76E6">
      <w:pPr>
        <w:snapToGrid w:val="0"/>
        <w:contextualSpacing/>
        <w:jc w:val="center"/>
        <w:rPr>
          <w:b/>
          <w:color w:val="000000" w:themeColor="text1"/>
          <w:sz w:val="28"/>
          <w:szCs w:val="28"/>
          <w:lang w:val="kk-KZ"/>
        </w:rPr>
      </w:pPr>
    </w:p>
    <w:p w14:paraId="701CEC16" w14:textId="2099F072" w:rsidR="00AA2938" w:rsidRPr="00D549EE" w:rsidRDefault="00AA2938" w:rsidP="00FB76E6">
      <w:pPr>
        <w:snapToGrid w:val="0"/>
        <w:contextualSpacing/>
        <w:jc w:val="center"/>
        <w:rPr>
          <w:b/>
          <w:color w:val="000000" w:themeColor="text1"/>
          <w:sz w:val="28"/>
          <w:szCs w:val="28"/>
          <w:lang w:val="kk-KZ"/>
        </w:rPr>
      </w:pPr>
    </w:p>
    <w:p w14:paraId="4CAA0F38" w14:textId="3316ADF6" w:rsidR="00AA2938" w:rsidRPr="00D549EE" w:rsidRDefault="00AA2938" w:rsidP="00FB76E6">
      <w:pPr>
        <w:snapToGrid w:val="0"/>
        <w:contextualSpacing/>
        <w:jc w:val="center"/>
        <w:rPr>
          <w:b/>
          <w:color w:val="000000" w:themeColor="text1"/>
          <w:sz w:val="28"/>
          <w:szCs w:val="28"/>
          <w:lang w:val="kk-KZ"/>
        </w:rPr>
      </w:pPr>
    </w:p>
    <w:p w14:paraId="081C8F50" w14:textId="4AB2947A" w:rsidR="00AA2938" w:rsidRPr="00D549EE" w:rsidRDefault="00AA2938" w:rsidP="00FB76E6">
      <w:pPr>
        <w:snapToGrid w:val="0"/>
        <w:contextualSpacing/>
        <w:jc w:val="center"/>
        <w:rPr>
          <w:b/>
          <w:color w:val="000000" w:themeColor="text1"/>
          <w:sz w:val="28"/>
          <w:szCs w:val="28"/>
          <w:lang w:val="kk-KZ"/>
        </w:rPr>
      </w:pPr>
    </w:p>
    <w:p w14:paraId="3FF6F0CD" w14:textId="7F80B233" w:rsidR="00AA2938" w:rsidRPr="00D549EE" w:rsidRDefault="00AA2938" w:rsidP="00FB76E6">
      <w:pPr>
        <w:snapToGrid w:val="0"/>
        <w:contextualSpacing/>
        <w:jc w:val="center"/>
        <w:rPr>
          <w:b/>
          <w:color w:val="000000" w:themeColor="text1"/>
          <w:sz w:val="28"/>
          <w:szCs w:val="28"/>
          <w:lang w:val="kk-KZ"/>
        </w:rPr>
      </w:pPr>
    </w:p>
    <w:p w14:paraId="0741448B" w14:textId="6DEF3F44" w:rsidR="00AA2938" w:rsidRPr="00D549EE" w:rsidRDefault="00AA2938" w:rsidP="00FB76E6">
      <w:pPr>
        <w:snapToGrid w:val="0"/>
        <w:contextualSpacing/>
        <w:jc w:val="center"/>
        <w:rPr>
          <w:b/>
          <w:color w:val="000000" w:themeColor="text1"/>
          <w:sz w:val="28"/>
          <w:szCs w:val="28"/>
          <w:lang w:val="kk-KZ"/>
        </w:rPr>
      </w:pPr>
    </w:p>
    <w:p w14:paraId="470E6276" w14:textId="1B9B9230" w:rsidR="00D549EE" w:rsidRPr="00D549EE" w:rsidRDefault="00D549EE" w:rsidP="00D549EE">
      <w:pPr>
        <w:jc w:val="center"/>
        <w:rPr>
          <w:b/>
          <w:bCs/>
          <w:lang w:val="en-US"/>
        </w:rPr>
      </w:pPr>
      <w:r w:rsidRPr="00D549EE">
        <w:rPr>
          <w:b/>
          <w:bCs/>
          <w:lang w:val="en-US"/>
        </w:rPr>
        <w:t>Appendix E</w:t>
      </w:r>
    </w:p>
    <w:p w14:paraId="3A43FFC6" w14:textId="77777777" w:rsidR="00D549EE" w:rsidRPr="00D549EE" w:rsidRDefault="00D549EE" w:rsidP="00D549EE">
      <w:pPr>
        <w:jc w:val="center"/>
        <w:rPr>
          <w:bCs/>
          <w:lang w:val="en-US"/>
        </w:rPr>
      </w:pPr>
    </w:p>
    <w:p w14:paraId="0DE431FF" w14:textId="77777777" w:rsidR="00D549EE" w:rsidRPr="00D549EE" w:rsidRDefault="00D549EE" w:rsidP="00D549EE">
      <w:pPr>
        <w:jc w:val="center"/>
        <w:rPr>
          <w:bCs/>
          <w:lang w:val="en-US"/>
        </w:rPr>
      </w:pPr>
      <w:r w:rsidRPr="00D549EE">
        <w:rPr>
          <w:bCs/>
          <w:lang w:val="en-US"/>
        </w:rPr>
        <w:t>Technical requirement (specification) of the Zeket Crowdfunding platform</w:t>
      </w:r>
    </w:p>
    <w:p w14:paraId="065EB10C" w14:textId="77777777" w:rsidR="00D549EE" w:rsidRPr="00D549EE" w:rsidRDefault="00D549EE" w:rsidP="00D549EE">
      <w:pPr>
        <w:jc w:val="both"/>
        <w:rPr>
          <w:bCs/>
          <w:lang w:val="en-US"/>
        </w:rPr>
      </w:pPr>
    </w:p>
    <w:p w14:paraId="79BACFAE" w14:textId="77777777" w:rsidR="00D549EE" w:rsidRPr="00D549EE" w:rsidRDefault="00D549EE" w:rsidP="00D549EE">
      <w:pPr>
        <w:jc w:val="both"/>
        <w:rPr>
          <w:b/>
          <w:bCs/>
          <w:lang w:val="en-US"/>
        </w:rPr>
      </w:pPr>
      <w:r w:rsidRPr="00D549EE">
        <w:rPr>
          <w:bCs/>
          <w:i/>
          <w:lang w:val="en-US"/>
        </w:rPr>
        <w:t>Prerequisites:</w:t>
      </w:r>
      <w:r w:rsidRPr="00D549EE">
        <w:rPr>
          <w:b/>
          <w:bCs/>
          <w:lang w:val="en-US"/>
        </w:rPr>
        <w:t xml:space="preserve"> </w:t>
      </w:r>
      <w:r w:rsidRPr="00D549EE">
        <w:rPr>
          <w:bCs/>
          <w:lang w:val="en-US"/>
        </w:rPr>
        <w:t>The platform is integrated with payment systems with minimal involvement of external manipulation by people (automatizated), by using smart contracts (blockchain technology).</w:t>
      </w:r>
    </w:p>
    <w:p w14:paraId="0EBE3A81" w14:textId="77777777" w:rsidR="00D549EE" w:rsidRPr="00D549EE" w:rsidRDefault="00D549EE" w:rsidP="00D549EE">
      <w:pPr>
        <w:jc w:val="both"/>
        <w:rPr>
          <w:bCs/>
          <w:lang w:val="en-US"/>
        </w:rPr>
      </w:pPr>
    </w:p>
    <w:p w14:paraId="32D716BE" w14:textId="77777777" w:rsidR="00D549EE" w:rsidRPr="00D549EE" w:rsidRDefault="00D549EE" w:rsidP="00D549EE">
      <w:pPr>
        <w:jc w:val="both"/>
        <w:rPr>
          <w:bCs/>
          <w:i/>
          <w:lang w:val="en-US"/>
        </w:rPr>
      </w:pPr>
      <w:r w:rsidRPr="00D549EE">
        <w:rPr>
          <w:bCs/>
          <w:i/>
          <w:lang w:val="en-US"/>
        </w:rPr>
        <w:t xml:space="preserve">System modules: </w:t>
      </w:r>
    </w:p>
    <w:p w14:paraId="0090537D" w14:textId="77777777" w:rsidR="00D549EE" w:rsidRPr="00D549EE" w:rsidRDefault="00D549EE" w:rsidP="00D549EE">
      <w:pPr>
        <w:contextualSpacing/>
        <w:jc w:val="both"/>
        <w:rPr>
          <w:bCs/>
          <w:lang w:val="en-US"/>
        </w:rPr>
      </w:pPr>
    </w:p>
    <w:p w14:paraId="3BDF9B6E" w14:textId="77777777" w:rsidR="00D549EE" w:rsidRPr="00D549EE" w:rsidRDefault="00D549EE" w:rsidP="00D549EE">
      <w:pPr>
        <w:pStyle w:val="a3"/>
        <w:numPr>
          <w:ilvl w:val="0"/>
          <w:numId w:val="31"/>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Development of project individual design</w:t>
      </w:r>
    </w:p>
    <w:p w14:paraId="0C5AAD92" w14:textId="77777777" w:rsidR="00D549EE" w:rsidRPr="00D549EE" w:rsidRDefault="00D549EE" w:rsidP="00D549EE">
      <w:pPr>
        <w:pStyle w:val="a3"/>
        <w:numPr>
          <w:ilvl w:val="0"/>
          <w:numId w:val="31"/>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Advertising module</w:t>
      </w:r>
    </w:p>
    <w:p w14:paraId="0DC17A7B" w14:textId="77777777" w:rsidR="00D549EE" w:rsidRPr="00D549EE" w:rsidRDefault="00D549EE" w:rsidP="00D549EE">
      <w:pPr>
        <w:pStyle w:val="a3"/>
        <w:numPr>
          <w:ilvl w:val="0"/>
          <w:numId w:val="31"/>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The platform must be in 3 languages (Kazakh, Russian, English)</w:t>
      </w:r>
    </w:p>
    <w:p w14:paraId="3F9F8C99" w14:textId="5A956B4A" w:rsidR="00D549EE" w:rsidRPr="00D549EE" w:rsidRDefault="00D549EE" w:rsidP="00D549EE">
      <w:pPr>
        <w:pStyle w:val="a3"/>
        <w:numPr>
          <w:ilvl w:val="0"/>
          <w:numId w:val="31"/>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The functionality of the main page:</w:t>
      </w:r>
    </w:p>
    <w:p w14:paraId="3141CEC0" w14:textId="77777777" w:rsidR="00D549EE" w:rsidRPr="00D549EE" w:rsidRDefault="00D549EE" w:rsidP="00D549EE">
      <w:pPr>
        <w:pStyle w:val="a3"/>
        <w:spacing w:after="0" w:line="240" w:lineRule="auto"/>
        <w:jc w:val="both"/>
        <w:rPr>
          <w:rFonts w:ascii="Times New Roman" w:eastAsia="Times New Roman" w:hAnsi="Times New Roman"/>
          <w:bCs/>
          <w:sz w:val="24"/>
          <w:szCs w:val="24"/>
          <w:lang w:val="en-US" w:eastAsia="ru-RU"/>
        </w:rPr>
      </w:pPr>
    </w:p>
    <w:p w14:paraId="66E1B241" w14:textId="77777777" w:rsidR="00D549EE" w:rsidRPr="00D549EE" w:rsidRDefault="00D549EE" w:rsidP="00D549EE">
      <w:pPr>
        <w:pStyle w:val="a3"/>
        <w:numPr>
          <w:ilvl w:val="0"/>
          <w:numId w:val="28"/>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The Main menu</w:t>
      </w:r>
    </w:p>
    <w:p w14:paraId="7B805E4C" w14:textId="77777777" w:rsidR="00D549EE" w:rsidRPr="00D549EE" w:rsidRDefault="00D549EE" w:rsidP="00D549EE">
      <w:pPr>
        <w:pStyle w:val="a3"/>
        <w:numPr>
          <w:ilvl w:val="0"/>
          <w:numId w:val="28"/>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The general information about zakat and sadaqah, including the amount of nisab;</w:t>
      </w:r>
    </w:p>
    <w:p w14:paraId="06AE7F07" w14:textId="77777777" w:rsidR="00D549EE" w:rsidRPr="00D549EE" w:rsidRDefault="00D549EE" w:rsidP="00D549EE">
      <w:pPr>
        <w:pStyle w:val="a3"/>
        <w:numPr>
          <w:ilvl w:val="0"/>
          <w:numId w:val="28"/>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On-line calculator of zakat amount (from savings in monetary form, from gold and silver, from property and cattle);</w:t>
      </w:r>
    </w:p>
    <w:p w14:paraId="6F4BD4EE" w14:textId="77777777" w:rsidR="00D549EE" w:rsidRPr="00D549EE" w:rsidRDefault="00D549EE" w:rsidP="00D549EE">
      <w:pPr>
        <w:pStyle w:val="a3"/>
        <w:numPr>
          <w:ilvl w:val="0"/>
          <w:numId w:val="28"/>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Instructions for submitting a social project (needy people can submit the request) and projects (requests application) submited</w:t>
      </w:r>
    </w:p>
    <w:p w14:paraId="4B34A0CD" w14:textId="77777777" w:rsidR="00D549EE" w:rsidRPr="00D549EE" w:rsidRDefault="00D549EE" w:rsidP="00D549EE">
      <w:pPr>
        <w:pStyle w:val="a3"/>
        <w:numPr>
          <w:ilvl w:val="0"/>
          <w:numId w:val="28"/>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 xml:space="preserve">The total amount of the collected zakat in real time </w:t>
      </w:r>
    </w:p>
    <w:p w14:paraId="3D09B981" w14:textId="77777777" w:rsidR="00D549EE" w:rsidRPr="00D549EE" w:rsidRDefault="00D549EE" w:rsidP="00D549EE">
      <w:pPr>
        <w:pStyle w:val="a3"/>
        <w:numPr>
          <w:ilvl w:val="0"/>
          <w:numId w:val="28"/>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Reporting on the distribution of funds</w:t>
      </w:r>
    </w:p>
    <w:p w14:paraId="391E6C52" w14:textId="77777777" w:rsidR="00D549EE" w:rsidRPr="00D549EE" w:rsidRDefault="00D549EE" w:rsidP="00D549EE">
      <w:pPr>
        <w:pStyle w:val="a3"/>
        <w:numPr>
          <w:ilvl w:val="0"/>
          <w:numId w:val="28"/>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Contacts</w:t>
      </w:r>
    </w:p>
    <w:p w14:paraId="5F2E5330" w14:textId="77777777" w:rsidR="00D549EE" w:rsidRPr="00D549EE" w:rsidRDefault="00D549EE" w:rsidP="00D549EE">
      <w:pPr>
        <w:pStyle w:val="a3"/>
        <w:ind w:left="644"/>
        <w:jc w:val="both"/>
        <w:rPr>
          <w:rFonts w:ascii="Times New Roman" w:eastAsia="Times New Roman" w:hAnsi="Times New Roman"/>
          <w:bCs/>
          <w:sz w:val="24"/>
          <w:szCs w:val="24"/>
          <w:lang w:val="en-US" w:eastAsia="ru-RU"/>
        </w:rPr>
      </w:pPr>
    </w:p>
    <w:p w14:paraId="4A4DD56F" w14:textId="4D522842" w:rsidR="00D549EE" w:rsidRPr="00D549EE" w:rsidRDefault="00D549EE" w:rsidP="00D549EE">
      <w:pPr>
        <w:pStyle w:val="a3"/>
        <w:numPr>
          <w:ilvl w:val="0"/>
          <w:numId w:val="31"/>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Project application module</w:t>
      </w:r>
    </w:p>
    <w:p w14:paraId="2701E016" w14:textId="77777777" w:rsidR="00D549EE" w:rsidRPr="00D549EE" w:rsidRDefault="00D549EE" w:rsidP="00D549EE">
      <w:pPr>
        <w:jc w:val="both"/>
        <w:rPr>
          <w:bCs/>
          <w:lang w:val="en-US"/>
        </w:rPr>
      </w:pPr>
      <w:r w:rsidRPr="00D549EE">
        <w:rPr>
          <w:bCs/>
          <w:lang w:val="en-US"/>
        </w:rPr>
        <w:tab/>
        <w:t xml:space="preserve">It must be implementation of submitting a social request application function by registered users in the platform. </w:t>
      </w:r>
    </w:p>
    <w:p w14:paraId="0DFE80E4" w14:textId="77777777" w:rsidR="00D549EE" w:rsidRPr="00D549EE" w:rsidRDefault="00D549EE" w:rsidP="00D549EE">
      <w:pPr>
        <w:jc w:val="both"/>
        <w:rPr>
          <w:bCs/>
          <w:lang w:val="en-US"/>
        </w:rPr>
      </w:pPr>
      <w:r w:rsidRPr="00D549EE">
        <w:rPr>
          <w:bCs/>
          <w:lang w:val="en-US"/>
        </w:rPr>
        <w:tab/>
        <w:t>Registered users of the platform create a request application by filling in the required data:</w:t>
      </w:r>
    </w:p>
    <w:p w14:paraId="77A35695" w14:textId="77777777" w:rsidR="00D549EE" w:rsidRPr="00D549EE" w:rsidRDefault="00D549EE" w:rsidP="00D549EE">
      <w:pPr>
        <w:jc w:val="both"/>
        <w:rPr>
          <w:bCs/>
          <w:lang w:val="en-US"/>
        </w:rPr>
      </w:pPr>
      <w:r w:rsidRPr="00D549EE">
        <w:rPr>
          <w:bCs/>
          <w:lang w:val="en-US"/>
        </w:rPr>
        <w:t>1) Short name of the request;</w:t>
      </w:r>
    </w:p>
    <w:p w14:paraId="503D9554" w14:textId="77777777" w:rsidR="00D549EE" w:rsidRPr="00D549EE" w:rsidRDefault="00D549EE" w:rsidP="00D549EE">
      <w:pPr>
        <w:jc w:val="both"/>
        <w:rPr>
          <w:bCs/>
          <w:lang w:val="en-US"/>
        </w:rPr>
      </w:pPr>
      <w:r w:rsidRPr="00D549EE">
        <w:rPr>
          <w:bCs/>
          <w:lang w:val="en-US"/>
        </w:rPr>
        <w:t>2) Full name of the request;</w:t>
      </w:r>
    </w:p>
    <w:p w14:paraId="65969373" w14:textId="77777777" w:rsidR="00D549EE" w:rsidRPr="00D549EE" w:rsidRDefault="00D549EE" w:rsidP="00D549EE">
      <w:pPr>
        <w:jc w:val="both"/>
        <w:rPr>
          <w:bCs/>
          <w:lang w:val="en-US"/>
        </w:rPr>
      </w:pPr>
      <w:r w:rsidRPr="00D549EE">
        <w:rPr>
          <w:bCs/>
          <w:lang w:val="en-US"/>
        </w:rPr>
        <w:t>3) The brief information of the situation and photos;</w:t>
      </w:r>
    </w:p>
    <w:p w14:paraId="5CA39E1C" w14:textId="77777777" w:rsidR="00D549EE" w:rsidRPr="00D549EE" w:rsidRDefault="00D549EE" w:rsidP="00D549EE">
      <w:pPr>
        <w:jc w:val="both"/>
        <w:rPr>
          <w:bCs/>
          <w:lang w:val="en-US"/>
        </w:rPr>
      </w:pPr>
      <w:r w:rsidRPr="00D549EE">
        <w:rPr>
          <w:bCs/>
          <w:lang w:val="en-US"/>
        </w:rPr>
        <w:t>3) Start date of fundraising-automatically the date of approval of the application;</w:t>
      </w:r>
    </w:p>
    <w:p w14:paraId="0BF57144" w14:textId="77777777" w:rsidR="00D549EE" w:rsidRPr="00D549EE" w:rsidRDefault="00D549EE" w:rsidP="00D549EE">
      <w:pPr>
        <w:jc w:val="both"/>
        <w:rPr>
          <w:bCs/>
          <w:lang w:val="en-US"/>
        </w:rPr>
      </w:pPr>
      <w:r w:rsidRPr="00D549EE">
        <w:rPr>
          <w:bCs/>
          <w:lang w:val="en-US"/>
        </w:rPr>
        <w:t xml:space="preserve">4) End date of fundraising-reaching the requested sum; </w:t>
      </w:r>
    </w:p>
    <w:p w14:paraId="6206F00E" w14:textId="77777777" w:rsidR="00D549EE" w:rsidRPr="00D549EE" w:rsidRDefault="00D549EE" w:rsidP="00D549EE">
      <w:pPr>
        <w:jc w:val="both"/>
        <w:rPr>
          <w:bCs/>
          <w:lang w:val="en-US"/>
        </w:rPr>
      </w:pPr>
      <w:r w:rsidRPr="00D549EE">
        <w:rPr>
          <w:bCs/>
          <w:lang w:val="en-US"/>
        </w:rPr>
        <w:t>5) Project type - selected according to the directory of project types in the system;</w:t>
      </w:r>
    </w:p>
    <w:p w14:paraId="3F342553" w14:textId="77777777" w:rsidR="00D549EE" w:rsidRPr="00D549EE" w:rsidRDefault="00D549EE" w:rsidP="00D549EE">
      <w:pPr>
        <w:jc w:val="both"/>
        <w:rPr>
          <w:bCs/>
          <w:lang w:val="en-US"/>
        </w:rPr>
      </w:pPr>
      <w:r w:rsidRPr="00D549EE">
        <w:rPr>
          <w:bCs/>
          <w:lang w:val="en-US"/>
        </w:rPr>
        <w:t>6) Total cost of requested social assistance;</w:t>
      </w:r>
    </w:p>
    <w:p w14:paraId="4E88ABA1" w14:textId="77777777" w:rsidR="00D549EE" w:rsidRPr="00D549EE" w:rsidRDefault="00D549EE" w:rsidP="00D549EE">
      <w:pPr>
        <w:jc w:val="both"/>
        <w:rPr>
          <w:bCs/>
          <w:lang w:val="en-US"/>
        </w:rPr>
      </w:pPr>
      <w:r w:rsidRPr="00D549EE">
        <w:rPr>
          <w:bCs/>
          <w:lang w:val="en-US"/>
        </w:rPr>
        <w:t>7) Project development time – there is required to develop a configurable project time limit for the project in the system.</w:t>
      </w:r>
    </w:p>
    <w:p w14:paraId="6C2D2E74" w14:textId="77777777" w:rsidR="00D549EE" w:rsidRPr="00D549EE" w:rsidRDefault="00D549EE" w:rsidP="00D549EE">
      <w:pPr>
        <w:jc w:val="both"/>
        <w:rPr>
          <w:bCs/>
          <w:lang w:val="en-US"/>
        </w:rPr>
      </w:pPr>
      <w:r w:rsidRPr="00D549EE">
        <w:rPr>
          <w:bCs/>
          <w:lang w:val="en-US"/>
        </w:rPr>
        <w:t>8) The system needs to implement the ability to upload files for the project. The system must have a function for limiting file types and file sizes. Project files – the user enters the name of the file and downloads it.</w:t>
      </w:r>
    </w:p>
    <w:p w14:paraId="1C5C18B8" w14:textId="77777777" w:rsidR="00D549EE" w:rsidRPr="00D549EE" w:rsidRDefault="00D549EE" w:rsidP="00D549EE">
      <w:pPr>
        <w:jc w:val="both"/>
        <w:rPr>
          <w:bCs/>
          <w:lang w:val="en-US"/>
        </w:rPr>
      </w:pPr>
      <w:r w:rsidRPr="00D549EE">
        <w:rPr>
          <w:bCs/>
          <w:lang w:val="en-US"/>
        </w:rPr>
        <w:tab/>
        <w:t>After the application is submitted, the system assigns the user an additional role – the user of the crowdfunding platform. The status of the project application is under review by the moderator.</w:t>
      </w:r>
    </w:p>
    <w:p w14:paraId="142D18FF" w14:textId="77777777" w:rsidR="00D549EE" w:rsidRPr="00D549EE" w:rsidRDefault="00D549EE" w:rsidP="00D549EE">
      <w:pPr>
        <w:jc w:val="both"/>
        <w:rPr>
          <w:bCs/>
          <w:lang w:val="en-US"/>
        </w:rPr>
      </w:pPr>
    </w:p>
    <w:p w14:paraId="18040656" w14:textId="31EE4288" w:rsidR="00D549EE" w:rsidRPr="00D549EE" w:rsidRDefault="00D549EE" w:rsidP="00D549EE">
      <w:pPr>
        <w:pStyle w:val="a3"/>
        <w:numPr>
          <w:ilvl w:val="0"/>
          <w:numId w:val="31"/>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Application evaluation module</w:t>
      </w:r>
    </w:p>
    <w:p w14:paraId="6D73CB62" w14:textId="77777777" w:rsidR="00D549EE" w:rsidRPr="00D549EE" w:rsidRDefault="00D549EE" w:rsidP="00D549EE">
      <w:pPr>
        <w:jc w:val="both"/>
        <w:rPr>
          <w:bCs/>
          <w:lang w:val="en-US"/>
        </w:rPr>
      </w:pPr>
      <w:r w:rsidRPr="00D549EE">
        <w:rPr>
          <w:bCs/>
          <w:lang w:val="en-US"/>
        </w:rPr>
        <w:tab/>
        <w:t>The platform needs to implement the application evaluation function. It is required implementation the ability to assign the role of the evaluation commission from existing system administrators. After the application is submitted by the users, it is sent for evaluation to the administrators with the role of the evaluation commission.</w:t>
      </w:r>
    </w:p>
    <w:p w14:paraId="0E4E6D02" w14:textId="77777777" w:rsidR="00D549EE" w:rsidRPr="00D549EE" w:rsidRDefault="00D549EE" w:rsidP="00D549EE">
      <w:pPr>
        <w:jc w:val="both"/>
        <w:rPr>
          <w:bCs/>
          <w:lang w:val="en-US"/>
        </w:rPr>
      </w:pPr>
      <w:r w:rsidRPr="00D549EE">
        <w:rPr>
          <w:bCs/>
          <w:lang w:val="en-US"/>
        </w:rPr>
        <w:tab/>
        <w:t>The following functions are available for the evaluation commission role:</w:t>
      </w:r>
    </w:p>
    <w:p w14:paraId="71B8A9AF" w14:textId="77777777" w:rsidR="00D549EE" w:rsidRPr="00D549EE" w:rsidRDefault="00D549EE" w:rsidP="00D549EE">
      <w:pPr>
        <w:pStyle w:val="a3"/>
        <w:numPr>
          <w:ilvl w:val="0"/>
          <w:numId w:val="29"/>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View the list of applications;</w:t>
      </w:r>
    </w:p>
    <w:p w14:paraId="5452951C" w14:textId="77777777" w:rsidR="00D549EE" w:rsidRPr="00D549EE" w:rsidRDefault="00D549EE" w:rsidP="00D549EE">
      <w:pPr>
        <w:pStyle w:val="a3"/>
        <w:numPr>
          <w:ilvl w:val="0"/>
          <w:numId w:val="29"/>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Detailed view of the application;</w:t>
      </w:r>
    </w:p>
    <w:p w14:paraId="7F2F3ACB" w14:textId="77777777" w:rsidR="00D549EE" w:rsidRPr="00D549EE" w:rsidRDefault="00D549EE" w:rsidP="00D549EE">
      <w:pPr>
        <w:pStyle w:val="a3"/>
        <w:numPr>
          <w:ilvl w:val="0"/>
          <w:numId w:val="29"/>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Approval – when the application is approved, it becomes available for viewing and financing among ordinary users (a notification is sent to the mail);</w:t>
      </w:r>
    </w:p>
    <w:p w14:paraId="51EF85F7" w14:textId="77777777" w:rsidR="00D549EE" w:rsidRPr="00D549EE" w:rsidRDefault="00D549EE" w:rsidP="00D549EE">
      <w:pPr>
        <w:pStyle w:val="a3"/>
        <w:numPr>
          <w:ilvl w:val="0"/>
          <w:numId w:val="29"/>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Rejection – in case of rejection, the initiator of the application is sent a notification to the mail about the rejection with the reason;</w:t>
      </w:r>
    </w:p>
    <w:p w14:paraId="6CF33742" w14:textId="77777777" w:rsidR="00D549EE" w:rsidRPr="00D549EE" w:rsidRDefault="00D549EE" w:rsidP="00D549EE">
      <w:pPr>
        <w:pStyle w:val="a3"/>
        <w:numPr>
          <w:ilvl w:val="0"/>
          <w:numId w:val="29"/>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Sending an application for revision – the initiator of the application is sent a notification to the mail about the need for revision with the comment specified by the administrator.</w:t>
      </w:r>
    </w:p>
    <w:p w14:paraId="499BD9B5" w14:textId="77777777" w:rsidR="00D549EE" w:rsidRPr="00D549EE" w:rsidRDefault="00D549EE" w:rsidP="00D549EE">
      <w:pPr>
        <w:pStyle w:val="a3"/>
        <w:ind w:left="1364"/>
        <w:jc w:val="both"/>
        <w:rPr>
          <w:rFonts w:ascii="Times New Roman" w:eastAsia="Times New Roman" w:hAnsi="Times New Roman"/>
          <w:bCs/>
          <w:sz w:val="24"/>
          <w:szCs w:val="24"/>
          <w:lang w:val="en-US" w:eastAsia="ru-RU"/>
        </w:rPr>
      </w:pPr>
    </w:p>
    <w:p w14:paraId="2C3F4BB7" w14:textId="5147E6CF" w:rsidR="00D549EE" w:rsidRPr="00D549EE" w:rsidRDefault="00D549EE" w:rsidP="00D549EE">
      <w:pPr>
        <w:pStyle w:val="a3"/>
        <w:numPr>
          <w:ilvl w:val="0"/>
          <w:numId w:val="30"/>
        </w:numPr>
        <w:spacing w:after="0" w:line="240" w:lineRule="auto"/>
        <w:ind w:left="1418" w:hanging="284"/>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The module for accepting funds (financing) for the project</w:t>
      </w:r>
    </w:p>
    <w:p w14:paraId="13487CA2" w14:textId="77777777" w:rsidR="00D549EE" w:rsidRPr="00D549EE" w:rsidRDefault="00D549EE" w:rsidP="00D549EE">
      <w:pPr>
        <w:jc w:val="both"/>
        <w:rPr>
          <w:bCs/>
          <w:lang w:val="en-US"/>
        </w:rPr>
      </w:pPr>
      <w:r w:rsidRPr="00D549EE">
        <w:rPr>
          <w:bCs/>
          <w:lang w:val="en-US"/>
        </w:rPr>
        <w:tab/>
        <w:t>Approved project applications become available for viewing in the corresponding section of the crowdfunding platform. View projects are available to all visitors of the system's website. The system requires sorting by project type.</w:t>
      </w:r>
    </w:p>
    <w:p w14:paraId="5EE1FB76" w14:textId="77777777" w:rsidR="00D549EE" w:rsidRPr="00D549EE" w:rsidRDefault="00D549EE" w:rsidP="00D549EE">
      <w:pPr>
        <w:jc w:val="both"/>
        <w:rPr>
          <w:bCs/>
          <w:lang w:val="en-US"/>
        </w:rPr>
      </w:pPr>
      <w:r w:rsidRPr="00D549EE">
        <w:rPr>
          <w:bCs/>
          <w:lang w:val="en-US"/>
        </w:rPr>
        <w:tab/>
        <w:t>To financing the project, the user uses an integrated payment system. Further, to link the payment to a specific application, additional functionality will be developed for logging the payment transaction, the sponsor, and the project. For example, storing the author's data(full name), project ID, and transaction result.</w:t>
      </w:r>
    </w:p>
    <w:p w14:paraId="1E78C8F1" w14:textId="77777777" w:rsidR="00D549EE" w:rsidRPr="00D549EE" w:rsidRDefault="00D549EE" w:rsidP="00D549EE">
      <w:pPr>
        <w:jc w:val="both"/>
        <w:rPr>
          <w:bCs/>
          <w:lang w:val="en-US"/>
        </w:rPr>
      </w:pPr>
      <w:r w:rsidRPr="00D549EE">
        <w:rPr>
          <w:bCs/>
          <w:lang w:val="en-US"/>
        </w:rPr>
        <w:tab/>
        <w:t>The user must have an available method of transferring finance. The system needs to develop integration with popular payment systems such as Paybox and PayPal. (Kaspi.kz)</w:t>
      </w:r>
    </w:p>
    <w:p w14:paraId="0E8B8DD8" w14:textId="5DB81B94" w:rsidR="00D549EE" w:rsidRPr="00D549EE" w:rsidRDefault="00D549EE" w:rsidP="00D549EE">
      <w:pPr>
        <w:jc w:val="both"/>
        <w:rPr>
          <w:bCs/>
          <w:lang w:val="en-US"/>
        </w:rPr>
      </w:pPr>
      <w:r w:rsidRPr="00D549EE">
        <w:rPr>
          <w:bCs/>
          <w:lang w:val="en-US"/>
        </w:rPr>
        <w:tab/>
        <w:t>The system will not provide return financial resources.</w:t>
      </w:r>
    </w:p>
    <w:p w14:paraId="1ACD48C6" w14:textId="77777777" w:rsidR="00D549EE" w:rsidRPr="00D549EE" w:rsidRDefault="00D549EE" w:rsidP="00D549EE">
      <w:pPr>
        <w:pStyle w:val="a3"/>
        <w:numPr>
          <w:ilvl w:val="0"/>
          <w:numId w:val="30"/>
        </w:numPr>
        <w:spacing w:after="0" w:line="240" w:lineRule="auto"/>
        <w:jc w:val="both"/>
        <w:rPr>
          <w:rFonts w:ascii="Times New Roman" w:eastAsia="Times New Roman" w:hAnsi="Times New Roman"/>
          <w:bCs/>
          <w:sz w:val="24"/>
          <w:szCs w:val="24"/>
          <w:lang w:val="en-US" w:eastAsia="ru-RU"/>
        </w:rPr>
      </w:pPr>
      <w:r w:rsidRPr="00D549EE">
        <w:rPr>
          <w:rFonts w:ascii="Times New Roman" w:eastAsia="Times New Roman" w:hAnsi="Times New Roman"/>
          <w:bCs/>
          <w:sz w:val="24"/>
          <w:szCs w:val="24"/>
          <w:lang w:val="en-US" w:eastAsia="ru-RU"/>
        </w:rPr>
        <w:t>Application lifecycle module</w:t>
      </w:r>
    </w:p>
    <w:p w14:paraId="506D9B56" w14:textId="77777777" w:rsidR="00D549EE" w:rsidRPr="00D549EE" w:rsidRDefault="00D549EE" w:rsidP="00D549EE">
      <w:pPr>
        <w:jc w:val="both"/>
        <w:rPr>
          <w:bCs/>
          <w:lang w:val="en-US"/>
        </w:rPr>
      </w:pPr>
      <w:r w:rsidRPr="00D549EE">
        <w:rPr>
          <w:bCs/>
          <w:lang w:val="en-US"/>
        </w:rPr>
        <w:tab/>
        <w:t>Each application in the system has a configurable lifecycle. The system automatically checks on a daily basis for the end date of fundraising and the threshold value. When the threshold value is reached, the system sends a notification about the end of the fundraising to the Initiator of the application. The status of the application is the end of the fundraising process.</w:t>
      </w:r>
    </w:p>
    <w:p w14:paraId="17ED100E" w14:textId="77777777" w:rsidR="00D549EE" w:rsidRPr="00D549EE" w:rsidRDefault="00D549EE" w:rsidP="00D549EE">
      <w:pPr>
        <w:jc w:val="both"/>
        <w:rPr>
          <w:bCs/>
          <w:lang w:val="en-US"/>
        </w:rPr>
      </w:pPr>
      <w:r w:rsidRPr="00D549EE">
        <w:rPr>
          <w:bCs/>
          <w:lang w:val="en-US"/>
        </w:rPr>
        <w:tab/>
        <w:t xml:space="preserve">After the end of the fundraising, the moderator and the author will have an additional function in their personal account, in which they must post the results of the fundraising (photos, etc). </w:t>
      </w:r>
    </w:p>
    <w:p w14:paraId="0E5B0B71" w14:textId="55D2ABB7" w:rsidR="00AA2938" w:rsidRPr="00D549EE" w:rsidRDefault="00AA2938" w:rsidP="00FB76E6">
      <w:pPr>
        <w:snapToGrid w:val="0"/>
        <w:contextualSpacing/>
        <w:jc w:val="center"/>
        <w:rPr>
          <w:b/>
          <w:color w:val="000000" w:themeColor="text1"/>
          <w:lang w:val="en-US"/>
        </w:rPr>
      </w:pPr>
    </w:p>
    <w:p w14:paraId="0E127821" w14:textId="75974BFF" w:rsidR="00AA2938" w:rsidRPr="00D549EE" w:rsidRDefault="00AA2938" w:rsidP="00FB76E6">
      <w:pPr>
        <w:snapToGrid w:val="0"/>
        <w:contextualSpacing/>
        <w:jc w:val="center"/>
        <w:rPr>
          <w:b/>
          <w:color w:val="000000" w:themeColor="text1"/>
          <w:lang w:val="kk-KZ"/>
        </w:rPr>
      </w:pPr>
    </w:p>
    <w:p w14:paraId="484B76D0" w14:textId="1219E919" w:rsidR="00AA2938" w:rsidRPr="00D549EE" w:rsidRDefault="00AA2938" w:rsidP="00FB76E6">
      <w:pPr>
        <w:snapToGrid w:val="0"/>
        <w:contextualSpacing/>
        <w:jc w:val="center"/>
        <w:rPr>
          <w:b/>
          <w:color w:val="000000" w:themeColor="text1"/>
          <w:lang w:val="kk-KZ"/>
        </w:rPr>
      </w:pPr>
    </w:p>
    <w:p w14:paraId="07102E44" w14:textId="12CB9370" w:rsidR="00AA2938" w:rsidRPr="00D549EE" w:rsidRDefault="00AA2938" w:rsidP="00FB76E6">
      <w:pPr>
        <w:snapToGrid w:val="0"/>
        <w:contextualSpacing/>
        <w:jc w:val="center"/>
        <w:rPr>
          <w:b/>
          <w:color w:val="000000" w:themeColor="text1"/>
          <w:lang w:val="kk-KZ"/>
        </w:rPr>
      </w:pPr>
    </w:p>
    <w:p w14:paraId="26E3F406" w14:textId="121556D6" w:rsidR="00AA2938" w:rsidRPr="00D549EE" w:rsidRDefault="00AA2938" w:rsidP="00FB76E6">
      <w:pPr>
        <w:snapToGrid w:val="0"/>
        <w:contextualSpacing/>
        <w:jc w:val="center"/>
        <w:rPr>
          <w:b/>
          <w:color w:val="000000" w:themeColor="text1"/>
          <w:lang w:val="kk-KZ"/>
        </w:rPr>
      </w:pPr>
    </w:p>
    <w:p w14:paraId="57B0FC40" w14:textId="3BC9F90B" w:rsidR="00AA2938" w:rsidRPr="00D549EE" w:rsidRDefault="00AA2938" w:rsidP="00FB76E6">
      <w:pPr>
        <w:snapToGrid w:val="0"/>
        <w:contextualSpacing/>
        <w:jc w:val="center"/>
        <w:rPr>
          <w:b/>
          <w:color w:val="000000" w:themeColor="text1"/>
          <w:lang w:val="kk-KZ"/>
        </w:rPr>
      </w:pPr>
    </w:p>
    <w:p w14:paraId="4E63F403" w14:textId="4E6E785A" w:rsidR="00AA2938" w:rsidRPr="00D549EE" w:rsidRDefault="00AA2938" w:rsidP="00FB76E6">
      <w:pPr>
        <w:snapToGrid w:val="0"/>
        <w:contextualSpacing/>
        <w:jc w:val="center"/>
        <w:rPr>
          <w:b/>
          <w:color w:val="000000" w:themeColor="text1"/>
          <w:lang w:val="kk-KZ"/>
        </w:rPr>
      </w:pPr>
    </w:p>
    <w:p w14:paraId="7F0BF6C6" w14:textId="09070138" w:rsidR="00D549EE" w:rsidRPr="00D549EE" w:rsidRDefault="00D549EE" w:rsidP="00FB76E6">
      <w:pPr>
        <w:snapToGrid w:val="0"/>
        <w:contextualSpacing/>
        <w:jc w:val="center"/>
        <w:rPr>
          <w:b/>
          <w:color w:val="000000" w:themeColor="text1"/>
          <w:lang w:val="kk-KZ"/>
        </w:rPr>
      </w:pPr>
    </w:p>
    <w:p w14:paraId="6CC67B69" w14:textId="15796295" w:rsidR="00D549EE" w:rsidRPr="00D549EE" w:rsidRDefault="00D549EE" w:rsidP="00FB76E6">
      <w:pPr>
        <w:snapToGrid w:val="0"/>
        <w:contextualSpacing/>
        <w:jc w:val="center"/>
        <w:rPr>
          <w:b/>
          <w:color w:val="000000" w:themeColor="text1"/>
          <w:lang w:val="kk-KZ"/>
        </w:rPr>
      </w:pPr>
    </w:p>
    <w:p w14:paraId="6CC7B648" w14:textId="44A8E549" w:rsidR="00D549EE" w:rsidRPr="00D549EE" w:rsidRDefault="00D549EE" w:rsidP="00FB76E6">
      <w:pPr>
        <w:snapToGrid w:val="0"/>
        <w:contextualSpacing/>
        <w:jc w:val="center"/>
        <w:rPr>
          <w:b/>
          <w:color w:val="000000" w:themeColor="text1"/>
          <w:lang w:val="kk-KZ"/>
        </w:rPr>
      </w:pPr>
    </w:p>
    <w:p w14:paraId="1E71088C" w14:textId="7161B354" w:rsidR="00D549EE" w:rsidRPr="00D549EE" w:rsidRDefault="00D549EE" w:rsidP="00FB76E6">
      <w:pPr>
        <w:snapToGrid w:val="0"/>
        <w:contextualSpacing/>
        <w:jc w:val="center"/>
        <w:rPr>
          <w:b/>
          <w:color w:val="000000" w:themeColor="text1"/>
          <w:lang w:val="kk-KZ"/>
        </w:rPr>
      </w:pPr>
    </w:p>
    <w:p w14:paraId="4C29A0DD" w14:textId="740D2828" w:rsidR="00D549EE" w:rsidRPr="00D549EE" w:rsidRDefault="00D549EE" w:rsidP="00FB76E6">
      <w:pPr>
        <w:snapToGrid w:val="0"/>
        <w:contextualSpacing/>
        <w:jc w:val="center"/>
        <w:rPr>
          <w:b/>
          <w:color w:val="000000" w:themeColor="text1"/>
          <w:lang w:val="kk-KZ"/>
        </w:rPr>
      </w:pPr>
    </w:p>
    <w:p w14:paraId="37CA799F" w14:textId="6DA8A299" w:rsidR="00D549EE" w:rsidRPr="00D549EE" w:rsidRDefault="00D549EE" w:rsidP="00FB76E6">
      <w:pPr>
        <w:snapToGrid w:val="0"/>
        <w:contextualSpacing/>
        <w:jc w:val="center"/>
        <w:rPr>
          <w:b/>
          <w:color w:val="000000" w:themeColor="text1"/>
          <w:lang w:val="kk-KZ"/>
        </w:rPr>
      </w:pPr>
    </w:p>
    <w:p w14:paraId="7972BF9D" w14:textId="422DE9F0" w:rsidR="00D549EE" w:rsidRPr="00D549EE" w:rsidRDefault="00D549EE" w:rsidP="00FB76E6">
      <w:pPr>
        <w:snapToGrid w:val="0"/>
        <w:contextualSpacing/>
        <w:jc w:val="center"/>
        <w:rPr>
          <w:b/>
          <w:color w:val="000000" w:themeColor="text1"/>
          <w:lang w:val="kk-KZ"/>
        </w:rPr>
      </w:pPr>
    </w:p>
    <w:p w14:paraId="7674786C" w14:textId="6D3CB813" w:rsidR="00D549EE" w:rsidRPr="00D549EE" w:rsidRDefault="00D549EE" w:rsidP="00FB76E6">
      <w:pPr>
        <w:snapToGrid w:val="0"/>
        <w:contextualSpacing/>
        <w:jc w:val="center"/>
        <w:rPr>
          <w:b/>
          <w:color w:val="000000" w:themeColor="text1"/>
          <w:lang w:val="kk-KZ"/>
        </w:rPr>
      </w:pPr>
    </w:p>
    <w:p w14:paraId="4D6EA005" w14:textId="27FDC80B" w:rsidR="00D549EE" w:rsidRPr="00D549EE" w:rsidRDefault="00D549EE" w:rsidP="00FB76E6">
      <w:pPr>
        <w:snapToGrid w:val="0"/>
        <w:contextualSpacing/>
        <w:jc w:val="center"/>
        <w:rPr>
          <w:b/>
          <w:color w:val="000000" w:themeColor="text1"/>
          <w:lang w:val="kk-KZ"/>
        </w:rPr>
      </w:pPr>
    </w:p>
    <w:p w14:paraId="4DF01ADF" w14:textId="0F43C4CA" w:rsidR="00D549EE" w:rsidRPr="00D549EE" w:rsidRDefault="00D549EE" w:rsidP="00FB76E6">
      <w:pPr>
        <w:snapToGrid w:val="0"/>
        <w:contextualSpacing/>
        <w:jc w:val="center"/>
        <w:rPr>
          <w:b/>
          <w:color w:val="000000" w:themeColor="text1"/>
          <w:lang w:val="kk-KZ"/>
        </w:rPr>
      </w:pPr>
    </w:p>
    <w:p w14:paraId="35E142D0" w14:textId="1DCCFFB4" w:rsidR="00D549EE" w:rsidRPr="00D549EE" w:rsidRDefault="00D549EE" w:rsidP="00FB76E6">
      <w:pPr>
        <w:snapToGrid w:val="0"/>
        <w:contextualSpacing/>
        <w:jc w:val="center"/>
        <w:rPr>
          <w:b/>
          <w:color w:val="000000" w:themeColor="text1"/>
          <w:lang w:val="kk-KZ"/>
        </w:rPr>
      </w:pPr>
    </w:p>
    <w:p w14:paraId="5C7A6392" w14:textId="5E4AC74E" w:rsidR="00D549EE" w:rsidRPr="00D549EE" w:rsidRDefault="00D549EE" w:rsidP="00FB76E6">
      <w:pPr>
        <w:snapToGrid w:val="0"/>
        <w:contextualSpacing/>
        <w:jc w:val="center"/>
        <w:rPr>
          <w:b/>
          <w:color w:val="000000" w:themeColor="text1"/>
          <w:lang w:val="kk-KZ"/>
        </w:rPr>
      </w:pPr>
    </w:p>
    <w:p w14:paraId="75CCF16C" w14:textId="5256A043" w:rsidR="00D549EE" w:rsidRPr="00D549EE" w:rsidRDefault="00D549EE" w:rsidP="00FB76E6">
      <w:pPr>
        <w:snapToGrid w:val="0"/>
        <w:contextualSpacing/>
        <w:jc w:val="center"/>
        <w:rPr>
          <w:b/>
          <w:color w:val="000000" w:themeColor="text1"/>
          <w:lang w:val="kk-KZ"/>
        </w:rPr>
      </w:pPr>
    </w:p>
    <w:p w14:paraId="604F170F" w14:textId="553489CB" w:rsidR="00D549EE" w:rsidRPr="00D549EE" w:rsidRDefault="00D549EE" w:rsidP="00FB76E6">
      <w:pPr>
        <w:snapToGrid w:val="0"/>
        <w:contextualSpacing/>
        <w:jc w:val="center"/>
        <w:rPr>
          <w:b/>
          <w:color w:val="000000" w:themeColor="text1"/>
          <w:lang w:val="kk-KZ"/>
        </w:rPr>
      </w:pPr>
    </w:p>
    <w:p w14:paraId="5B970770" w14:textId="4C053398" w:rsidR="00D549EE" w:rsidRPr="00D549EE" w:rsidRDefault="00D549EE" w:rsidP="00FB76E6">
      <w:pPr>
        <w:snapToGrid w:val="0"/>
        <w:contextualSpacing/>
        <w:jc w:val="center"/>
        <w:rPr>
          <w:b/>
          <w:color w:val="000000" w:themeColor="text1"/>
          <w:lang w:val="kk-KZ"/>
        </w:rPr>
      </w:pPr>
    </w:p>
    <w:p w14:paraId="7E993B3C" w14:textId="57827803" w:rsidR="00D549EE" w:rsidRPr="00D549EE" w:rsidRDefault="00D549EE" w:rsidP="00FB76E6">
      <w:pPr>
        <w:snapToGrid w:val="0"/>
        <w:contextualSpacing/>
        <w:jc w:val="center"/>
        <w:rPr>
          <w:b/>
          <w:color w:val="000000" w:themeColor="text1"/>
          <w:lang w:val="kk-KZ"/>
        </w:rPr>
      </w:pPr>
    </w:p>
    <w:p w14:paraId="4342F7D0" w14:textId="7B29AF8A" w:rsidR="00D549EE" w:rsidRPr="00D549EE" w:rsidRDefault="00D549EE" w:rsidP="00FB76E6">
      <w:pPr>
        <w:snapToGrid w:val="0"/>
        <w:contextualSpacing/>
        <w:jc w:val="center"/>
        <w:rPr>
          <w:b/>
          <w:color w:val="000000" w:themeColor="text1"/>
          <w:lang w:val="kk-KZ"/>
        </w:rPr>
      </w:pPr>
    </w:p>
    <w:p w14:paraId="09403E31" w14:textId="009E976D" w:rsidR="00D549EE" w:rsidRPr="00D549EE" w:rsidRDefault="00D549EE" w:rsidP="00FB76E6">
      <w:pPr>
        <w:snapToGrid w:val="0"/>
        <w:contextualSpacing/>
        <w:jc w:val="center"/>
        <w:rPr>
          <w:b/>
          <w:color w:val="000000" w:themeColor="text1"/>
          <w:lang w:val="kk-KZ"/>
        </w:rPr>
      </w:pPr>
    </w:p>
    <w:p w14:paraId="78ED4312" w14:textId="77777777" w:rsidR="00D549EE" w:rsidRPr="00287ACF" w:rsidRDefault="00D549EE" w:rsidP="00D549EE">
      <w:pPr>
        <w:jc w:val="center"/>
        <w:rPr>
          <w:sz w:val="40"/>
          <w:szCs w:val="40"/>
          <w:lang w:val="en-US"/>
        </w:rPr>
      </w:pPr>
    </w:p>
    <w:p w14:paraId="41330C4A" w14:textId="4D5FB330" w:rsidR="00D549EE" w:rsidRPr="00D549EE" w:rsidRDefault="00D549EE" w:rsidP="00D549EE">
      <w:pPr>
        <w:jc w:val="center"/>
        <w:rPr>
          <w:b/>
          <w:sz w:val="28"/>
          <w:szCs w:val="28"/>
          <w:lang w:val="en-US"/>
        </w:rPr>
      </w:pPr>
      <w:r w:rsidRPr="00D549EE">
        <w:rPr>
          <w:b/>
          <w:sz w:val="28"/>
          <w:szCs w:val="28"/>
          <w:lang w:val="en-US"/>
        </w:rPr>
        <w:t xml:space="preserve">Appendix </w:t>
      </w:r>
      <w:r w:rsidR="000F5298">
        <w:rPr>
          <w:b/>
          <w:sz w:val="28"/>
          <w:szCs w:val="28"/>
          <w:lang w:val="en-US"/>
        </w:rPr>
        <w:t>F</w:t>
      </w:r>
    </w:p>
    <w:p w14:paraId="5E6B4B5F" w14:textId="77777777" w:rsidR="00D549EE" w:rsidRPr="00D549EE" w:rsidRDefault="00D549EE" w:rsidP="00D549EE">
      <w:pPr>
        <w:jc w:val="center"/>
        <w:rPr>
          <w:sz w:val="40"/>
          <w:szCs w:val="40"/>
          <w:lang w:val="en-US"/>
        </w:rPr>
      </w:pPr>
    </w:p>
    <w:p w14:paraId="55376935" w14:textId="77777777" w:rsidR="00D549EE" w:rsidRPr="00D549EE" w:rsidRDefault="00D549EE" w:rsidP="00D549EE">
      <w:pPr>
        <w:jc w:val="center"/>
        <w:rPr>
          <w:sz w:val="40"/>
          <w:szCs w:val="40"/>
          <w:lang w:val="en-US"/>
        </w:rPr>
      </w:pPr>
    </w:p>
    <w:p w14:paraId="49CBED18" w14:textId="77777777" w:rsidR="00D549EE" w:rsidRPr="00D549EE" w:rsidRDefault="00D549EE" w:rsidP="00D549EE">
      <w:pPr>
        <w:jc w:val="center"/>
        <w:rPr>
          <w:sz w:val="40"/>
          <w:szCs w:val="40"/>
          <w:lang w:val="en-US"/>
        </w:rPr>
      </w:pPr>
    </w:p>
    <w:p w14:paraId="2F539F91" w14:textId="77777777" w:rsidR="00D549EE" w:rsidRPr="00D549EE" w:rsidRDefault="00D549EE" w:rsidP="00D549EE">
      <w:pPr>
        <w:jc w:val="center"/>
        <w:rPr>
          <w:sz w:val="40"/>
          <w:szCs w:val="40"/>
          <w:lang w:val="en-US"/>
        </w:rPr>
      </w:pPr>
    </w:p>
    <w:p w14:paraId="361D3C18" w14:textId="77777777" w:rsidR="00D549EE" w:rsidRPr="00D549EE" w:rsidRDefault="00D549EE" w:rsidP="00D549EE">
      <w:pPr>
        <w:jc w:val="center"/>
        <w:rPr>
          <w:sz w:val="40"/>
          <w:szCs w:val="40"/>
          <w:lang w:val="en-US"/>
        </w:rPr>
      </w:pPr>
    </w:p>
    <w:p w14:paraId="1A9723F6" w14:textId="77777777" w:rsidR="00D549EE" w:rsidRPr="00D549EE" w:rsidRDefault="00D549EE" w:rsidP="00D549EE">
      <w:pPr>
        <w:jc w:val="center"/>
        <w:rPr>
          <w:sz w:val="40"/>
          <w:szCs w:val="40"/>
          <w:lang w:val="en-US"/>
        </w:rPr>
      </w:pPr>
    </w:p>
    <w:p w14:paraId="334B5388" w14:textId="77777777" w:rsidR="00D549EE" w:rsidRPr="00D549EE" w:rsidRDefault="00D549EE" w:rsidP="00D549EE">
      <w:pPr>
        <w:jc w:val="center"/>
        <w:rPr>
          <w:sz w:val="40"/>
          <w:szCs w:val="40"/>
          <w:lang w:val="en-US"/>
        </w:rPr>
      </w:pPr>
    </w:p>
    <w:p w14:paraId="6BD066F7" w14:textId="77777777" w:rsidR="00D549EE" w:rsidRPr="00D549EE" w:rsidRDefault="00D549EE" w:rsidP="00D549EE">
      <w:pPr>
        <w:jc w:val="center"/>
        <w:rPr>
          <w:sz w:val="40"/>
          <w:szCs w:val="40"/>
          <w:lang w:val="en-US"/>
        </w:rPr>
      </w:pPr>
    </w:p>
    <w:p w14:paraId="350AF469" w14:textId="77777777" w:rsidR="00D549EE" w:rsidRPr="00D549EE" w:rsidRDefault="00D549EE" w:rsidP="00D549EE">
      <w:pPr>
        <w:jc w:val="center"/>
        <w:rPr>
          <w:sz w:val="40"/>
          <w:szCs w:val="40"/>
          <w:lang w:val="en-US"/>
        </w:rPr>
      </w:pPr>
      <w:r w:rsidRPr="00D549EE">
        <w:rPr>
          <w:sz w:val="40"/>
          <w:szCs w:val="40"/>
          <w:lang w:val="en-US"/>
        </w:rPr>
        <w:t>BUSINESS PLAN</w:t>
      </w:r>
    </w:p>
    <w:p w14:paraId="004F4288" w14:textId="77777777" w:rsidR="00D549EE" w:rsidRPr="00D549EE" w:rsidRDefault="00D549EE" w:rsidP="00D549EE">
      <w:pPr>
        <w:jc w:val="center"/>
        <w:rPr>
          <w:b/>
          <w:i/>
          <w:sz w:val="40"/>
          <w:szCs w:val="40"/>
          <w:lang w:val="en-US"/>
        </w:rPr>
      </w:pPr>
      <w:r w:rsidRPr="00D549EE">
        <w:rPr>
          <w:b/>
          <w:i/>
          <w:sz w:val="40"/>
          <w:szCs w:val="40"/>
          <w:lang w:val="en-US"/>
        </w:rPr>
        <w:t>UME Social Market</w:t>
      </w:r>
    </w:p>
    <w:p w14:paraId="7BB7FB79" w14:textId="77777777" w:rsidR="00D549EE" w:rsidRPr="00D549EE" w:rsidRDefault="00D549EE" w:rsidP="00D549EE">
      <w:pPr>
        <w:jc w:val="center"/>
        <w:rPr>
          <w:sz w:val="32"/>
          <w:szCs w:val="32"/>
          <w:lang w:val="en-US"/>
        </w:rPr>
      </w:pPr>
      <w:r w:rsidRPr="00D549EE">
        <w:rPr>
          <w:sz w:val="32"/>
          <w:szCs w:val="32"/>
          <w:lang w:val="en-US"/>
        </w:rPr>
        <w:t>201 240 027 934</w:t>
      </w:r>
    </w:p>
    <w:p w14:paraId="5C374745" w14:textId="77777777" w:rsidR="00D549EE" w:rsidRPr="00D549EE" w:rsidRDefault="00D549EE" w:rsidP="00D549EE">
      <w:pPr>
        <w:jc w:val="center"/>
        <w:rPr>
          <w:sz w:val="40"/>
          <w:szCs w:val="40"/>
          <w:lang w:val="en-US"/>
        </w:rPr>
      </w:pPr>
    </w:p>
    <w:p w14:paraId="4FB60319" w14:textId="77777777" w:rsidR="00D549EE" w:rsidRPr="00D549EE" w:rsidRDefault="00D549EE" w:rsidP="00D549EE">
      <w:pPr>
        <w:jc w:val="center"/>
        <w:rPr>
          <w:sz w:val="40"/>
          <w:szCs w:val="40"/>
          <w:lang w:val="en-US"/>
        </w:rPr>
      </w:pPr>
    </w:p>
    <w:p w14:paraId="14A1B88A" w14:textId="77777777" w:rsidR="00D549EE" w:rsidRPr="00D549EE" w:rsidRDefault="00D549EE" w:rsidP="00D549EE">
      <w:pPr>
        <w:jc w:val="center"/>
        <w:rPr>
          <w:sz w:val="40"/>
          <w:szCs w:val="40"/>
          <w:lang w:val="en-US"/>
        </w:rPr>
      </w:pPr>
      <w:r w:rsidRPr="00D549EE">
        <w:rPr>
          <w:noProof/>
          <w:sz w:val="40"/>
          <w:szCs w:val="40"/>
        </w:rPr>
        <w:drawing>
          <wp:inline distT="0" distB="0" distL="0" distR="0" wp14:anchorId="5A1157EF" wp14:editId="666758F5">
            <wp:extent cx="5936615" cy="3923665"/>
            <wp:effectExtent l="0" t="0" r="0"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1-06-13 в 17.35.22.png"/>
                    <pic:cNvPicPr/>
                  </pic:nvPicPr>
                  <pic:blipFill>
                    <a:blip r:embed="rId92">
                      <a:extLst>
                        <a:ext uri="{28A0092B-C50C-407E-A947-70E740481C1C}">
                          <a14:useLocalDpi xmlns:a14="http://schemas.microsoft.com/office/drawing/2010/main" val="0"/>
                        </a:ext>
                      </a:extLst>
                    </a:blip>
                    <a:stretch>
                      <a:fillRect/>
                    </a:stretch>
                  </pic:blipFill>
                  <pic:spPr>
                    <a:xfrm>
                      <a:off x="0" y="0"/>
                      <a:ext cx="5936615" cy="3923665"/>
                    </a:xfrm>
                    <a:prstGeom prst="rect">
                      <a:avLst/>
                    </a:prstGeom>
                  </pic:spPr>
                </pic:pic>
              </a:graphicData>
            </a:graphic>
          </wp:inline>
        </w:drawing>
      </w:r>
    </w:p>
    <w:p w14:paraId="1B315389" w14:textId="77777777" w:rsidR="00D549EE" w:rsidRPr="00D549EE" w:rsidRDefault="00D549EE" w:rsidP="00D549EE">
      <w:pPr>
        <w:jc w:val="center"/>
        <w:rPr>
          <w:sz w:val="40"/>
          <w:szCs w:val="40"/>
          <w:lang w:val="en-US"/>
        </w:rPr>
      </w:pPr>
    </w:p>
    <w:p w14:paraId="4E5E7A99" w14:textId="77777777" w:rsidR="00D549EE" w:rsidRPr="00D549EE" w:rsidRDefault="00D549EE" w:rsidP="00D549EE">
      <w:pPr>
        <w:jc w:val="center"/>
        <w:rPr>
          <w:sz w:val="40"/>
          <w:szCs w:val="40"/>
          <w:lang w:val="en-US"/>
        </w:rPr>
      </w:pPr>
    </w:p>
    <w:p w14:paraId="19921288" w14:textId="77777777" w:rsidR="00D549EE" w:rsidRPr="00D549EE" w:rsidRDefault="00D549EE" w:rsidP="00D549EE">
      <w:pPr>
        <w:jc w:val="center"/>
        <w:rPr>
          <w:sz w:val="28"/>
          <w:szCs w:val="28"/>
          <w:lang w:val="en-US"/>
        </w:rPr>
      </w:pPr>
      <w:r w:rsidRPr="00D549EE">
        <w:rPr>
          <w:sz w:val="28"/>
          <w:szCs w:val="28"/>
          <w:lang w:val="en-US"/>
        </w:rPr>
        <w:t>Almaty, 2021</w:t>
      </w:r>
    </w:p>
    <w:p w14:paraId="13DDA1CF" w14:textId="77777777" w:rsidR="00D549EE" w:rsidRPr="00D549EE" w:rsidRDefault="00D549EE" w:rsidP="00D549EE">
      <w:pPr>
        <w:jc w:val="center"/>
        <w:rPr>
          <w:sz w:val="28"/>
          <w:szCs w:val="28"/>
          <w:lang w:val="en-US"/>
        </w:rPr>
      </w:pPr>
    </w:p>
    <w:p w14:paraId="389530BB" w14:textId="77777777" w:rsidR="00D549EE" w:rsidRPr="00D549EE" w:rsidRDefault="00D549EE" w:rsidP="00D549EE">
      <w:pPr>
        <w:rPr>
          <w:noProof/>
          <w:color w:val="000000" w:themeColor="text1"/>
          <w:lang w:val="en-US"/>
        </w:rPr>
      </w:pPr>
    </w:p>
    <w:p w14:paraId="4E7B480E" w14:textId="77777777" w:rsidR="00D549EE" w:rsidRPr="00D549EE" w:rsidRDefault="00D549EE" w:rsidP="00D549EE">
      <w:pPr>
        <w:rPr>
          <w:noProof/>
          <w:color w:val="000000" w:themeColor="text1"/>
          <w:lang w:val="en-US"/>
        </w:rPr>
      </w:pPr>
      <w:r w:rsidRPr="00D549EE">
        <w:rPr>
          <w:noProof/>
          <w:color w:val="000000" w:themeColor="text1"/>
          <w:lang w:val="en-US"/>
        </w:rPr>
        <w:t>Table of Contents</w:t>
      </w:r>
    </w:p>
    <w:p w14:paraId="6A881DEB" w14:textId="77777777" w:rsidR="00D549EE" w:rsidRPr="00D549EE" w:rsidRDefault="00D549EE" w:rsidP="00D549EE">
      <w:pPr>
        <w:rPr>
          <w:noProof/>
          <w:color w:val="000000" w:themeColor="text1"/>
          <w:lang w:val="en-US"/>
        </w:rPr>
      </w:pPr>
    </w:p>
    <w:p w14:paraId="02F0C29A" w14:textId="7F68C0B2" w:rsidR="00D549EE" w:rsidRPr="00D549EE" w:rsidRDefault="00D549EE" w:rsidP="00D549EE">
      <w:pPr>
        <w:spacing w:line="360" w:lineRule="auto"/>
        <w:rPr>
          <w:noProof/>
          <w:color w:val="000000" w:themeColor="text1"/>
          <w:lang w:val="en-US"/>
        </w:rPr>
      </w:pPr>
      <w:r w:rsidRPr="00D549EE">
        <w:rPr>
          <w:noProof/>
          <w:color w:val="000000" w:themeColor="text1"/>
          <w:lang w:val="en-US"/>
        </w:rPr>
        <w:t>SECTION 1. EXECUTIVE SUMMARY</w:t>
      </w:r>
      <w:r w:rsidRPr="00D549EE">
        <w:rPr>
          <w:noProof/>
          <w:color w:val="000000" w:themeColor="text1"/>
          <w:lang w:val="en-US"/>
        </w:rPr>
        <w:tab/>
        <w:t xml:space="preserve">                                                            </w:t>
      </w:r>
    </w:p>
    <w:p w14:paraId="69663595" w14:textId="70B578B4" w:rsidR="00D549EE" w:rsidRPr="00D549EE" w:rsidRDefault="00D549EE" w:rsidP="00D549EE">
      <w:pPr>
        <w:spacing w:line="360" w:lineRule="auto"/>
        <w:rPr>
          <w:noProof/>
          <w:color w:val="000000" w:themeColor="text1"/>
          <w:lang w:val="en-US"/>
        </w:rPr>
      </w:pPr>
      <w:r w:rsidRPr="00D549EE">
        <w:rPr>
          <w:noProof/>
          <w:color w:val="000000" w:themeColor="text1"/>
          <w:lang w:val="en-US"/>
        </w:rPr>
        <w:t xml:space="preserve">SECTION 2. BUSINESS OVERVIEW, STRATEGY AND ENVIRONMENT     </w:t>
      </w:r>
    </w:p>
    <w:p w14:paraId="11227258" w14:textId="7CE47DF5" w:rsidR="00D549EE" w:rsidRPr="00D549EE" w:rsidRDefault="00D549EE" w:rsidP="00D549EE">
      <w:pPr>
        <w:spacing w:line="360" w:lineRule="auto"/>
        <w:rPr>
          <w:noProof/>
          <w:color w:val="000000" w:themeColor="text1"/>
          <w:lang w:val="en-US"/>
        </w:rPr>
      </w:pPr>
      <w:r w:rsidRPr="00D549EE">
        <w:rPr>
          <w:noProof/>
          <w:color w:val="000000" w:themeColor="text1"/>
          <w:lang w:val="en-US"/>
        </w:rPr>
        <w:t>SECTION 3. SALES &amp; MARKETING PLAN</w:t>
      </w:r>
      <w:r w:rsidRPr="00D549EE">
        <w:rPr>
          <w:noProof/>
          <w:color w:val="000000" w:themeColor="text1"/>
          <w:lang w:val="en-US"/>
        </w:rPr>
        <w:tab/>
        <w:t xml:space="preserve">                                                  </w:t>
      </w:r>
    </w:p>
    <w:p w14:paraId="718962F2" w14:textId="64C127D9" w:rsidR="00D549EE" w:rsidRPr="00D549EE" w:rsidRDefault="00D549EE" w:rsidP="00D549EE">
      <w:pPr>
        <w:spacing w:line="360" w:lineRule="auto"/>
        <w:rPr>
          <w:noProof/>
          <w:color w:val="000000" w:themeColor="text1"/>
          <w:lang w:val="en-US"/>
        </w:rPr>
      </w:pPr>
      <w:r w:rsidRPr="00D549EE">
        <w:rPr>
          <w:noProof/>
          <w:color w:val="000000" w:themeColor="text1"/>
          <w:lang w:val="en-US"/>
        </w:rPr>
        <w:t>SECTION 4. OPERATING PLAN</w:t>
      </w:r>
      <w:r w:rsidRPr="00D549EE">
        <w:rPr>
          <w:noProof/>
          <w:color w:val="000000" w:themeColor="text1"/>
          <w:lang w:val="en-US"/>
        </w:rPr>
        <w:tab/>
        <w:t xml:space="preserve">                                                                      </w:t>
      </w:r>
    </w:p>
    <w:p w14:paraId="3EA5DAF8" w14:textId="06DA0836" w:rsidR="00D549EE" w:rsidRPr="00D549EE" w:rsidRDefault="00D549EE" w:rsidP="00D549EE">
      <w:pPr>
        <w:spacing w:line="360" w:lineRule="auto"/>
        <w:rPr>
          <w:noProof/>
          <w:color w:val="000000" w:themeColor="text1"/>
          <w:lang w:val="en-US"/>
        </w:rPr>
      </w:pPr>
      <w:r w:rsidRPr="00D549EE">
        <w:rPr>
          <w:noProof/>
          <w:color w:val="000000" w:themeColor="text1"/>
          <w:lang w:val="en-US"/>
        </w:rPr>
        <w:t>SECTION 5. HUMAN RESOURCES PLAN</w:t>
      </w:r>
      <w:r w:rsidRPr="00D549EE">
        <w:rPr>
          <w:noProof/>
          <w:color w:val="000000" w:themeColor="text1"/>
          <w:lang w:val="en-US"/>
        </w:rPr>
        <w:tab/>
        <w:t xml:space="preserve">                                                </w:t>
      </w:r>
    </w:p>
    <w:p w14:paraId="7BCE3C13" w14:textId="56770CCF" w:rsidR="00D549EE" w:rsidRPr="00D549EE" w:rsidRDefault="00D549EE" w:rsidP="00D549EE">
      <w:pPr>
        <w:spacing w:line="360" w:lineRule="auto"/>
        <w:rPr>
          <w:noProof/>
          <w:color w:val="000000" w:themeColor="text1"/>
          <w:lang w:val="en-US"/>
        </w:rPr>
      </w:pPr>
      <w:r w:rsidRPr="00D549EE">
        <w:rPr>
          <w:noProof/>
          <w:color w:val="000000" w:themeColor="text1"/>
          <w:lang w:val="en-US"/>
        </w:rPr>
        <w:t>SECTION 6. ACTION PLAN</w:t>
      </w:r>
      <w:r w:rsidRPr="00D549EE">
        <w:rPr>
          <w:noProof/>
          <w:color w:val="000000" w:themeColor="text1"/>
          <w:lang w:val="en-US"/>
        </w:rPr>
        <w:tab/>
        <w:t xml:space="preserve">                                                                              </w:t>
      </w:r>
    </w:p>
    <w:p w14:paraId="31E398E4" w14:textId="3713CFD3" w:rsidR="00D549EE" w:rsidRPr="00D549EE" w:rsidRDefault="00D549EE" w:rsidP="00D549EE">
      <w:pPr>
        <w:spacing w:line="360" w:lineRule="auto"/>
        <w:rPr>
          <w:noProof/>
          <w:color w:val="000000" w:themeColor="text1"/>
          <w:lang w:val="en-US"/>
        </w:rPr>
      </w:pPr>
      <w:r w:rsidRPr="00D549EE">
        <w:rPr>
          <w:noProof/>
          <w:color w:val="000000" w:themeColor="text1"/>
          <w:lang w:val="en-US"/>
        </w:rPr>
        <w:t>SECTION 7. SOURCES OF FUNDING</w:t>
      </w:r>
      <w:r w:rsidRPr="00D549EE">
        <w:rPr>
          <w:noProof/>
          <w:color w:val="000000" w:themeColor="text1"/>
          <w:lang w:val="en-US"/>
        </w:rPr>
        <w:tab/>
        <w:t xml:space="preserve">                                                          </w:t>
      </w:r>
    </w:p>
    <w:p w14:paraId="036D4391" w14:textId="62C59A76" w:rsidR="00D549EE" w:rsidRPr="00D549EE" w:rsidRDefault="00D549EE" w:rsidP="00D549EE">
      <w:pPr>
        <w:spacing w:line="360" w:lineRule="auto"/>
        <w:rPr>
          <w:noProof/>
          <w:color w:val="000000" w:themeColor="text1"/>
          <w:lang w:val="en-US"/>
        </w:rPr>
      </w:pPr>
      <w:r w:rsidRPr="00D549EE">
        <w:rPr>
          <w:noProof/>
          <w:color w:val="000000" w:themeColor="text1"/>
          <w:lang w:val="en-US"/>
        </w:rPr>
        <w:t>SECTION 8. RISK ANALYSIS</w:t>
      </w:r>
      <w:r w:rsidRPr="00D549EE">
        <w:rPr>
          <w:noProof/>
          <w:color w:val="000000" w:themeColor="text1"/>
          <w:lang w:val="en-US"/>
        </w:rPr>
        <w:tab/>
        <w:t xml:space="preserve">                                                                    </w:t>
      </w:r>
    </w:p>
    <w:p w14:paraId="11C5B1E6" w14:textId="5701987D" w:rsidR="00D549EE" w:rsidRPr="00D549EE" w:rsidRDefault="00D549EE" w:rsidP="00D549EE">
      <w:pPr>
        <w:spacing w:line="360" w:lineRule="auto"/>
        <w:rPr>
          <w:noProof/>
          <w:color w:val="000000" w:themeColor="text1"/>
          <w:lang w:val="en-US"/>
        </w:rPr>
      </w:pPr>
      <w:r w:rsidRPr="00D549EE">
        <w:rPr>
          <w:noProof/>
          <w:color w:val="000000" w:themeColor="text1"/>
          <w:lang w:val="en-US"/>
        </w:rPr>
        <w:t xml:space="preserve">SECTION 9. FINANCIAL PLAN                                                                          </w:t>
      </w:r>
    </w:p>
    <w:p w14:paraId="68467C13" w14:textId="0D030C75" w:rsidR="00D549EE" w:rsidRPr="00D549EE" w:rsidRDefault="00D549EE" w:rsidP="00D549EE">
      <w:pPr>
        <w:spacing w:line="360" w:lineRule="auto"/>
        <w:rPr>
          <w:noProof/>
          <w:color w:val="000000" w:themeColor="text1"/>
          <w:lang w:val="en-US"/>
        </w:rPr>
      </w:pPr>
      <w:r w:rsidRPr="00D549EE">
        <w:rPr>
          <w:noProof/>
          <w:color w:val="000000" w:themeColor="text1"/>
          <w:lang w:val="en-US"/>
        </w:rPr>
        <w:t>APPENDIX</w:t>
      </w:r>
      <w:r w:rsidRPr="00D549EE">
        <w:rPr>
          <w:noProof/>
          <w:color w:val="000000" w:themeColor="text1"/>
          <w:lang w:val="en-US"/>
        </w:rPr>
        <w:tab/>
        <w:t xml:space="preserve">                                                                                                            </w:t>
      </w:r>
    </w:p>
    <w:p w14:paraId="7312D597" w14:textId="5E163F82" w:rsidR="00D549EE" w:rsidRPr="00D549EE" w:rsidRDefault="00D549EE" w:rsidP="00D549EE">
      <w:pPr>
        <w:spacing w:line="360" w:lineRule="auto"/>
        <w:rPr>
          <w:noProof/>
          <w:color w:val="000000" w:themeColor="text1"/>
          <w:lang w:val="en-US"/>
        </w:rPr>
      </w:pPr>
      <w:r w:rsidRPr="00D549EE">
        <w:rPr>
          <w:noProof/>
          <w:color w:val="000000" w:themeColor="text1"/>
          <w:lang w:val="en-US"/>
        </w:rPr>
        <w:t xml:space="preserve">REFERENCES                                                                                                       </w:t>
      </w:r>
    </w:p>
    <w:p w14:paraId="34990940" w14:textId="77777777" w:rsidR="00D549EE" w:rsidRPr="00D549EE" w:rsidRDefault="00D549EE" w:rsidP="00D549EE">
      <w:pPr>
        <w:spacing w:line="360" w:lineRule="auto"/>
        <w:jc w:val="center"/>
        <w:rPr>
          <w:lang w:val="en-US"/>
        </w:rPr>
      </w:pPr>
    </w:p>
    <w:p w14:paraId="7144AF94" w14:textId="77777777" w:rsidR="00D549EE" w:rsidRPr="00D549EE" w:rsidRDefault="00D549EE" w:rsidP="00D549EE">
      <w:pPr>
        <w:jc w:val="center"/>
        <w:rPr>
          <w:lang w:val="en-US"/>
        </w:rPr>
      </w:pPr>
    </w:p>
    <w:p w14:paraId="7310C144" w14:textId="77777777" w:rsidR="00D549EE" w:rsidRPr="00D549EE" w:rsidRDefault="00D549EE" w:rsidP="00D549EE">
      <w:pPr>
        <w:pStyle w:val="1"/>
        <w:rPr>
          <w:rFonts w:ascii="Times New Roman" w:hAnsi="Times New Roman" w:cs="Times New Roman"/>
          <w:color w:val="000000" w:themeColor="text1"/>
          <w:sz w:val="24"/>
          <w:szCs w:val="24"/>
          <w:lang w:val="en-US"/>
        </w:rPr>
      </w:pPr>
      <w:bookmarkStart w:id="2" w:name="_Toc58237895"/>
      <w:r w:rsidRPr="00D549EE">
        <w:rPr>
          <w:rFonts w:ascii="Times New Roman" w:hAnsi="Times New Roman" w:cs="Times New Roman"/>
          <w:b/>
          <w:smallCaps/>
          <w:color w:val="000000" w:themeColor="text1"/>
          <w:sz w:val="24"/>
          <w:szCs w:val="24"/>
          <w:lang w:val="en-US"/>
        </w:rPr>
        <w:t>Section 1.</w:t>
      </w:r>
      <w:r w:rsidRPr="00D549EE">
        <w:rPr>
          <w:rFonts w:ascii="Times New Roman" w:hAnsi="Times New Roman" w:cs="Times New Roman"/>
          <w:color w:val="000000" w:themeColor="text1"/>
          <w:sz w:val="24"/>
          <w:szCs w:val="24"/>
          <w:lang w:val="en-US"/>
        </w:rPr>
        <w:t xml:space="preserve"> </w:t>
      </w:r>
      <w:r w:rsidRPr="00D549EE">
        <w:rPr>
          <w:rFonts w:ascii="Times New Roman" w:hAnsi="Times New Roman" w:cs="Times New Roman"/>
          <w:b/>
          <w:smallCaps/>
          <w:color w:val="000000" w:themeColor="text1"/>
          <w:sz w:val="24"/>
          <w:szCs w:val="24"/>
          <w:lang w:val="en-US"/>
        </w:rPr>
        <w:t>Executive Summary</w:t>
      </w:r>
      <w:bookmarkEnd w:id="2"/>
      <w:r w:rsidRPr="00D549EE">
        <w:rPr>
          <w:rFonts w:ascii="Times New Roman" w:hAnsi="Times New Roman" w:cs="Times New Roman"/>
          <w:b/>
          <w:smallCaps/>
          <w:color w:val="000000" w:themeColor="text1"/>
          <w:sz w:val="24"/>
          <w:szCs w:val="24"/>
          <w:lang w:val="en-US"/>
        </w:rPr>
        <w:t xml:space="preserve"> </w:t>
      </w:r>
    </w:p>
    <w:p w14:paraId="64D33B52" w14:textId="77777777" w:rsidR="00D549EE" w:rsidRPr="00D549EE" w:rsidRDefault="00D549EE" w:rsidP="00D549EE">
      <w:pPr>
        <w:jc w:val="center"/>
        <w:rPr>
          <w:lang w:val="en-US"/>
        </w:rPr>
      </w:pPr>
    </w:p>
    <w:p w14:paraId="1697AF1B" w14:textId="77777777" w:rsidR="00D549EE" w:rsidRPr="00D549EE" w:rsidRDefault="00D549EE" w:rsidP="00D549EE">
      <w:pPr>
        <w:jc w:val="both"/>
        <w:rPr>
          <w:color w:val="000000" w:themeColor="text1"/>
          <w:lang w:val="en-US"/>
        </w:rPr>
      </w:pPr>
      <w:r w:rsidRPr="00D549EE">
        <w:rPr>
          <w:color w:val="000000" w:themeColor="text1"/>
          <w:lang w:val="en-US"/>
        </w:rPr>
        <w:tab/>
      </w:r>
      <w:r w:rsidRPr="00D549EE">
        <w:rPr>
          <w:lang w:val="en-US"/>
        </w:rPr>
        <w:t xml:space="preserve">Charity social service "UME social market" is the first social charity shop in Kazakhstan. </w:t>
      </w:r>
      <w:r w:rsidRPr="00D549EE">
        <w:rPr>
          <w:color w:val="000000" w:themeColor="text1"/>
          <w:lang w:val="en-US"/>
        </w:rPr>
        <w:t xml:space="preserve">Prospective social business that will consist of Social market of clothes, shoes, appliances, and other equipment for house. Market  will be located in the old center of Almaty, near the well-known and the townspeople's favorite market – “Green Bazaar”, with further expansion in the regions. </w:t>
      </w:r>
    </w:p>
    <w:p w14:paraId="54254B04" w14:textId="77777777" w:rsidR="00D549EE" w:rsidRPr="00D549EE" w:rsidRDefault="00D549EE" w:rsidP="00D549EE">
      <w:pPr>
        <w:jc w:val="both"/>
        <w:rPr>
          <w:color w:val="000000" w:themeColor="text1"/>
          <w:lang w:val="en-US"/>
        </w:rPr>
      </w:pPr>
      <w:r w:rsidRPr="00D549EE">
        <w:rPr>
          <w:color w:val="000000" w:themeColor="text1"/>
          <w:lang w:val="en-US"/>
        </w:rPr>
        <w:tab/>
        <w:t xml:space="preserve">The main activity of the enterprise will be the collection and sale of clothes and others of secondary use, or new which will be provided by partner large retails’ stock. This business plan work is considered to obtain an opening of UME Social market as a start-up project with individual investments in the form of charity, in total 50 000 US dollars or about </w:t>
      </w:r>
      <w:r w:rsidRPr="00D549EE">
        <w:rPr>
          <w:bCs/>
          <w:color w:val="000000" w:themeColor="text1"/>
          <w:lang w:val="en-US"/>
        </w:rPr>
        <w:t>20 892 865</w:t>
      </w:r>
      <w:r w:rsidRPr="00D549EE">
        <w:rPr>
          <w:b/>
          <w:bCs/>
          <w:color w:val="000000" w:themeColor="text1"/>
          <w:lang w:val="en-US"/>
        </w:rPr>
        <w:t xml:space="preserve"> </w:t>
      </w:r>
      <w:r w:rsidRPr="00D549EE">
        <w:rPr>
          <w:color w:val="000000" w:themeColor="text1"/>
          <w:lang w:val="en-US"/>
        </w:rPr>
        <w:t xml:space="preserve">tenge. This amount of money will help with renovation of a 500-square-meter space provided for the project for use also as a charity, purchasing equipment for the store, and cover expenses for the first time. It is supposed that huge initial investments will allow us to provide all services as a complete social market. After calculating all possible scenarios of the first year of existence of the project, it was suggested that the first year will have a success, with the condition that if business will open in considering time, without delay in opening. </w:t>
      </w:r>
    </w:p>
    <w:p w14:paraId="35BBB8BD" w14:textId="77777777" w:rsidR="00D549EE" w:rsidRPr="00D549EE" w:rsidRDefault="00D549EE" w:rsidP="00D549EE">
      <w:pPr>
        <w:contextualSpacing/>
        <w:jc w:val="both"/>
        <w:rPr>
          <w:color w:val="000000" w:themeColor="text1"/>
          <w:lang w:val="en-US"/>
        </w:rPr>
      </w:pPr>
      <w:r w:rsidRPr="00D549EE">
        <w:rPr>
          <w:color w:val="000000" w:themeColor="text1"/>
          <w:lang w:val="en-US"/>
        </w:rPr>
        <w:tab/>
        <w:t xml:space="preserve">In the beginning of existence of the business, it is planned that the social market will be considered as an individual enterprise on simplified declaration owned by one of the investors, within the non-governmental public organization “Ume Social Services”. It is considered that for the first time  business will benefit from special tax regime. </w:t>
      </w:r>
    </w:p>
    <w:p w14:paraId="7DAAEDCB" w14:textId="77777777" w:rsidR="00D549EE" w:rsidRPr="00D549EE" w:rsidRDefault="00D549EE" w:rsidP="00D549EE">
      <w:pPr>
        <w:contextualSpacing/>
        <w:jc w:val="both"/>
        <w:rPr>
          <w:color w:val="000000" w:themeColor="text1"/>
          <w:lang w:val="en-US"/>
        </w:rPr>
      </w:pPr>
      <w:r w:rsidRPr="00D549EE">
        <w:rPr>
          <w:color w:val="000000" w:themeColor="text1"/>
          <w:lang w:val="en-US"/>
        </w:rPr>
        <w:tab/>
        <w:t>Mission of the company</w:t>
      </w:r>
    </w:p>
    <w:p w14:paraId="21717B5C" w14:textId="77777777" w:rsidR="00D549EE" w:rsidRPr="00D549EE" w:rsidRDefault="00D549EE" w:rsidP="00D549EE">
      <w:pPr>
        <w:contextualSpacing/>
        <w:jc w:val="both"/>
        <w:rPr>
          <w:color w:val="000000" w:themeColor="text1"/>
          <w:lang w:val="en-US"/>
        </w:rPr>
      </w:pPr>
      <w:r w:rsidRPr="00D549EE">
        <w:rPr>
          <w:color w:val="000000" w:themeColor="text1"/>
          <w:lang w:val="en-US"/>
        </w:rPr>
        <w:tab/>
        <w:t xml:space="preserve">The main philosophy of the social business is concern for caring for needy people, to provide a satisfaction for their needs in clothes, shoes and house equipment by providing possibility for people, who have the clothes, shoes or house equipment to help people in need, and to give the “second life” to the clothes.  </w:t>
      </w:r>
    </w:p>
    <w:p w14:paraId="19964095" w14:textId="77777777" w:rsidR="00D549EE" w:rsidRPr="00D549EE" w:rsidRDefault="00D549EE" w:rsidP="00D549EE">
      <w:pPr>
        <w:jc w:val="both"/>
        <w:rPr>
          <w:lang w:val="en-US"/>
        </w:rPr>
      </w:pPr>
      <w:r w:rsidRPr="00D549EE">
        <w:rPr>
          <w:lang w:val="en-US"/>
        </w:rPr>
        <w:tab/>
        <w:t xml:space="preserve">The purpose of the social project is to provide different segments of the population with a simple and convenient mechanism for the wealthy - giving new life to the goods and helping society; for people with limited income – the ability to save on clothes and non-essential goods; for needy - opportunity to participate in charity events and to get charitable assistance. According to the charter of the social market, part of the total income goes to the operational expenses, and the rest of the profit -goes to charities. </w:t>
      </w:r>
    </w:p>
    <w:p w14:paraId="34384489" w14:textId="77777777" w:rsidR="00D549EE" w:rsidRPr="00D549EE" w:rsidRDefault="00D549EE" w:rsidP="00D549EE">
      <w:pPr>
        <w:jc w:val="both"/>
        <w:rPr>
          <w:lang w:val="en-US"/>
        </w:rPr>
      </w:pPr>
    </w:p>
    <w:p w14:paraId="6DA9FC48" w14:textId="77777777" w:rsidR="00D549EE" w:rsidRPr="00D549EE" w:rsidRDefault="00D549EE" w:rsidP="00D549EE">
      <w:pPr>
        <w:jc w:val="both"/>
        <w:rPr>
          <w:lang w:val="en-US"/>
        </w:rPr>
      </w:pPr>
      <w:r w:rsidRPr="00D549EE">
        <w:rPr>
          <w:noProof/>
        </w:rPr>
        <w:drawing>
          <wp:inline distT="0" distB="0" distL="0" distR="0" wp14:anchorId="25CC8B2B" wp14:editId="3303B422">
            <wp:extent cx="5936615" cy="134903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Снимок экрана 2021-06-13 в 19.58.06.png"/>
                    <pic:cNvPicPr/>
                  </pic:nvPicPr>
                  <pic:blipFill>
                    <a:blip r:embed="rId93">
                      <a:extLst>
                        <a:ext uri="{28A0092B-C50C-407E-A947-70E740481C1C}">
                          <a14:useLocalDpi xmlns:a14="http://schemas.microsoft.com/office/drawing/2010/main" val="0"/>
                        </a:ext>
                      </a:extLst>
                    </a:blip>
                    <a:stretch>
                      <a:fillRect/>
                    </a:stretch>
                  </pic:blipFill>
                  <pic:spPr>
                    <a:xfrm>
                      <a:off x="0" y="0"/>
                      <a:ext cx="5936615" cy="1349035"/>
                    </a:xfrm>
                    <a:prstGeom prst="rect">
                      <a:avLst/>
                    </a:prstGeom>
                  </pic:spPr>
                </pic:pic>
              </a:graphicData>
            </a:graphic>
          </wp:inline>
        </w:drawing>
      </w:r>
    </w:p>
    <w:p w14:paraId="2D403F0F" w14:textId="77777777" w:rsidR="00D549EE" w:rsidRPr="00D549EE" w:rsidRDefault="00D549EE" w:rsidP="00D549EE">
      <w:pPr>
        <w:jc w:val="both"/>
        <w:rPr>
          <w:lang w:val="en-US"/>
        </w:rPr>
      </w:pPr>
    </w:p>
    <w:p w14:paraId="14BFE151" w14:textId="77777777" w:rsidR="00D549EE" w:rsidRPr="00D549EE" w:rsidRDefault="00D549EE" w:rsidP="00D549EE">
      <w:pPr>
        <w:jc w:val="center"/>
        <w:rPr>
          <w:lang w:val="en-US"/>
        </w:rPr>
      </w:pPr>
      <w:r w:rsidRPr="00D549EE">
        <w:rPr>
          <w:lang w:val="en-US"/>
        </w:rPr>
        <w:t>Figure 1. The mechanism of the project.</w:t>
      </w:r>
    </w:p>
    <w:p w14:paraId="2033A31D" w14:textId="77777777" w:rsidR="00D549EE" w:rsidRPr="00D549EE" w:rsidRDefault="00D549EE" w:rsidP="00D549EE">
      <w:pPr>
        <w:jc w:val="center"/>
        <w:rPr>
          <w:lang w:val="en-US"/>
        </w:rPr>
      </w:pPr>
    </w:p>
    <w:p w14:paraId="78055C55" w14:textId="77777777" w:rsidR="00D549EE" w:rsidRPr="00D549EE" w:rsidRDefault="00D549EE" w:rsidP="00D549EE">
      <w:pPr>
        <w:jc w:val="both"/>
        <w:rPr>
          <w:lang w:val="en-US"/>
        </w:rPr>
      </w:pPr>
      <w:r w:rsidRPr="00D549EE">
        <w:rPr>
          <w:lang w:val="en-US"/>
        </w:rPr>
        <w:tab/>
        <w:t xml:space="preserve">The mechanism of the project consists of accepting applications, delivery to the collection points, delivery to the warehouse, points of selling, selling and getting profit. The first step of the mechanism of the project is accepting applications of the people who wish to clothes, home appliances, furniture and others, there are the requirements for the acceptance, clothes must be clean and in the form for future use, home appliances in operating condition. The applications are accepted via the website, social networks, messengers and hotline, there is a minimum volume of the clothes and appliance for the removal – 2 bags/2 boxes, or there are the acceptance points in the malls of the city for self-delivery of donators. </w:t>
      </w:r>
    </w:p>
    <w:p w14:paraId="00B4300E" w14:textId="77777777" w:rsidR="00D549EE" w:rsidRPr="00D549EE" w:rsidRDefault="00D549EE" w:rsidP="00D549EE">
      <w:pPr>
        <w:jc w:val="both"/>
        <w:rPr>
          <w:lang w:val="en-US"/>
        </w:rPr>
      </w:pPr>
      <w:r w:rsidRPr="00D549EE">
        <w:rPr>
          <w:lang w:val="en-US"/>
        </w:rPr>
        <w:tab/>
        <w:t xml:space="preserve">The next step of the mechanism is the sorting by the store departments (clothes for men, women and kids, shoes, home applications, interior and household items), preparation and packaging. In this stage, the necessary equipment for the sorting and preparation process are washing machines and ironing equipment. Furthermore, there must be cooperation with the dry-cleaner company on reasonable terms with a discount.  </w:t>
      </w:r>
    </w:p>
    <w:p w14:paraId="1BA43047" w14:textId="77777777" w:rsidR="00D549EE" w:rsidRPr="00D549EE" w:rsidRDefault="00D549EE" w:rsidP="00D549EE">
      <w:pPr>
        <w:jc w:val="both"/>
        <w:rPr>
          <w:lang w:val="en-US"/>
        </w:rPr>
      </w:pPr>
      <w:r w:rsidRPr="00D549EE">
        <w:rPr>
          <w:lang w:val="en-US"/>
        </w:rPr>
        <w:tab/>
        <w:t>The process of the pricing is based on the simple mechanism, there are clothes for 500, 1000, 1500 and 2000 tenge for the pies or the bag of the clothes (for example bag of clothes for an infant). This is the opportunity for real needy people or for the segment of the population with limited income to buy non-essential goods at affordable prices</w:t>
      </w:r>
      <w:r w:rsidRPr="00D549EE">
        <w:rPr>
          <w:color w:val="000000"/>
          <w:shd w:val="clear" w:color="auto" w:fill="F5F5F5"/>
          <w:lang w:val="en-US"/>
        </w:rPr>
        <w:t xml:space="preserve">. </w:t>
      </w:r>
    </w:p>
    <w:p w14:paraId="04DCC733" w14:textId="77777777" w:rsidR="00D549EE" w:rsidRPr="00D549EE" w:rsidRDefault="00D549EE" w:rsidP="00D549EE">
      <w:pPr>
        <w:contextualSpacing/>
        <w:jc w:val="both"/>
        <w:rPr>
          <w:color w:val="000000" w:themeColor="text1"/>
          <w:lang w:val="en-US"/>
        </w:rPr>
      </w:pPr>
      <w:r w:rsidRPr="00D549EE">
        <w:rPr>
          <w:color w:val="000000" w:themeColor="text1"/>
          <w:lang w:val="en-US"/>
        </w:rPr>
        <w:tab/>
        <w:t>The target group is the socially vulnerable segments of the population:</w:t>
      </w:r>
    </w:p>
    <w:p w14:paraId="24D29F5F" w14:textId="77777777" w:rsidR="00D549EE" w:rsidRPr="00D549EE" w:rsidRDefault="00D549EE" w:rsidP="00D549EE">
      <w:pPr>
        <w:pStyle w:val="a3"/>
        <w:numPr>
          <w:ilvl w:val="0"/>
          <w:numId w:val="34"/>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Large Families (families with four or more children);</w:t>
      </w:r>
    </w:p>
    <w:p w14:paraId="3F38C54F" w14:textId="77777777" w:rsidR="00D549EE" w:rsidRPr="00D549EE" w:rsidRDefault="00D549EE" w:rsidP="00D549EE">
      <w:pPr>
        <w:pStyle w:val="a3"/>
        <w:numPr>
          <w:ilvl w:val="0"/>
          <w:numId w:val="34"/>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Single-parent families;</w:t>
      </w:r>
    </w:p>
    <w:p w14:paraId="7FF635F5" w14:textId="77777777" w:rsidR="00D549EE" w:rsidRPr="00D549EE" w:rsidRDefault="00D549EE" w:rsidP="00D549EE">
      <w:pPr>
        <w:pStyle w:val="a3"/>
        <w:numPr>
          <w:ilvl w:val="0"/>
          <w:numId w:val="34"/>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Families with disabled children;</w:t>
      </w:r>
    </w:p>
    <w:p w14:paraId="238100D3" w14:textId="77777777" w:rsidR="00D549EE" w:rsidRPr="00D549EE" w:rsidRDefault="00D549EE" w:rsidP="00D549EE">
      <w:pPr>
        <w:pStyle w:val="a3"/>
        <w:numPr>
          <w:ilvl w:val="0"/>
          <w:numId w:val="34"/>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People who were disabled in the war or participated in the Great Patriotic War;</w:t>
      </w:r>
    </w:p>
    <w:p w14:paraId="27096C34" w14:textId="77777777" w:rsidR="00D549EE" w:rsidRPr="00D549EE" w:rsidRDefault="00D549EE" w:rsidP="00D549EE">
      <w:pPr>
        <w:pStyle w:val="a3"/>
        <w:numPr>
          <w:ilvl w:val="0"/>
          <w:numId w:val="34"/>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People with disabilities of the 1st and 2nd groups;</w:t>
      </w:r>
    </w:p>
    <w:p w14:paraId="2F88E0A8" w14:textId="77777777" w:rsidR="00D549EE" w:rsidRPr="00D549EE" w:rsidRDefault="00D549EE" w:rsidP="00D549EE">
      <w:pPr>
        <w:pStyle w:val="a3"/>
        <w:numPr>
          <w:ilvl w:val="0"/>
          <w:numId w:val="34"/>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lonely pensioner</w:t>
      </w:r>
    </w:p>
    <w:p w14:paraId="311F57BC" w14:textId="77777777" w:rsidR="00D549EE" w:rsidRPr="00D549EE" w:rsidRDefault="00D549EE" w:rsidP="00D549EE">
      <w:pPr>
        <w:pStyle w:val="a3"/>
        <w:numPr>
          <w:ilvl w:val="0"/>
          <w:numId w:val="34"/>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Children who are orphaned or do not receive parental care.</w:t>
      </w:r>
    </w:p>
    <w:p w14:paraId="1A75A4CF" w14:textId="77777777" w:rsidR="00D549EE" w:rsidRPr="00D549EE" w:rsidRDefault="00D549EE" w:rsidP="00D549EE">
      <w:pPr>
        <w:pStyle w:val="a3"/>
        <w:rPr>
          <w:rFonts w:ascii="Times New Roman" w:hAnsi="Times New Roman"/>
          <w:color w:val="000000" w:themeColor="text1"/>
          <w:sz w:val="24"/>
          <w:szCs w:val="24"/>
          <w:lang w:val="en-US"/>
        </w:rPr>
      </w:pPr>
    </w:p>
    <w:p w14:paraId="2E40670D" w14:textId="77777777" w:rsidR="00D549EE" w:rsidRPr="00D549EE" w:rsidRDefault="00D549EE" w:rsidP="00D549EE">
      <w:pPr>
        <w:contextualSpacing/>
        <w:jc w:val="both"/>
        <w:rPr>
          <w:color w:val="000000" w:themeColor="text1"/>
          <w:lang w:val="en-US"/>
        </w:rPr>
      </w:pPr>
      <w:r w:rsidRPr="00D549EE">
        <w:rPr>
          <w:color w:val="000000" w:themeColor="text1"/>
          <w:lang w:val="en-US"/>
        </w:rPr>
        <w:tab/>
        <w:t>Future business is going to be an example of  the social business, that will have key employees:</w:t>
      </w:r>
    </w:p>
    <w:p w14:paraId="77BE2CFE" w14:textId="77777777" w:rsidR="00D549EE" w:rsidRPr="00D549EE" w:rsidRDefault="00D549EE" w:rsidP="00D549EE">
      <w:pPr>
        <w:pStyle w:val="a3"/>
        <w:numPr>
          <w:ilvl w:val="0"/>
          <w:numId w:val="32"/>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The founder of the company (director);</w:t>
      </w:r>
    </w:p>
    <w:p w14:paraId="55D11338" w14:textId="77777777" w:rsidR="00D549EE" w:rsidRPr="00D549EE" w:rsidRDefault="00D549EE" w:rsidP="00D549EE">
      <w:pPr>
        <w:pStyle w:val="a3"/>
        <w:numPr>
          <w:ilvl w:val="0"/>
          <w:numId w:val="32"/>
        </w:numPr>
        <w:spacing w:after="0" w:line="240" w:lineRule="auto"/>
        <w:jc w:val="both"/>
        <w:rPr>
          <w:rFonts w:ascii="Times New Roman" w:hAnsi="Times New Roman"/>
          <w:color w:val="000000" w:themeColor="text1"/>
          <w:sz w:val="24"/>
          <w:szCs w:val="24"/>
        </w:rPr>
      </w:pPr>
      <w:r w:rsidRPr="00D549EE">
        <w:rPr>
          <w:rFonts w:ascii="Times New Roman" w:hAnsi="Times New Roman"/>
          <w:color w:val="000000" w:themeColor="text1"/>
          <w:sz w:val="24"/>
          <w:szCs w:val="24"/>
        </w:rPr>
        <w:t>Cashier in the market;</w:t>
      </w:r>
    </w:p>
    <w:p w14:paraId="50DB2A6D" w14:textId="77777777" w:rsidR="00D549EE" w:rsidRPr="00D549EE" w:rsidRDefault="00D549EE" w:rsidP="00D549EE">
      <w:pPr>
        <w:pStyle w:val="a3"/>
        <w:numPr>
          <w:ilvl w:val="0"/>
          <w:numId w:val="32"/>
        </w:numPr>
        <w:spacing w:after="0" w:line="240" w:lineRule="auto"/>
        <w:jc w:val="both"/>
        <w:rPr>
          <w:rFonts w:ascii="Times New Roman" w:hAnsi="Times New Roman"/>
          <w:color w:val="000000" w:themeColor="text1"/>
          <w:sz w:val="24"/>
          <w:szCs w:val="24"/>
        </w:rPr>
      </w:pPr>
      <w:r w:rsidRPr="00D549EE">
        <w:rPr>
          <w:rFonts w:ascii="Times New Roman" w:hAnsi="Times New Roman"/>
          <w:color w:val="000000" w:themeColor="text1"/>
          <w:sz w:val="24"/>
          <w:szCs w:val="24"/>
          <w:lang w:val="en-US"/>
        </w:rPr>
        <w:t>S</w:t>
      </w:r>
      <w:r w:rsidRPr="00D549EE">
        <w:rPr>
          <w:rFonts w:ascii="Times New Roman" w:hAnsi="Times New Roman"/>
          <w:color w:val="000000" w:themeColor="text1"/>
          <w:sz w:val="24"/>
          <w:szCs w:val="24"/>
        </w:rPr>
        <w:t>ales consultant;</w:t>
      </w:r>
    </w:p>
    <w:p w14:paraId="02F784B3" w14:textId="77777777" w:rsidR="00D549EE" w:rsidRPr="00D549EE" w:rsidRDefault="00D549EE" w:rsidP="00D549EE">
      <w:pPr>
        <w:pStyle w:val="a3"/>
        <w:numPr>
          <w:ilvl w:val="0"/>
          <w:numId w:val="32"/>
        </w:numPr>
        <w:spacing w:after="0" w:line="240" w:lineRule="auto"/>
        <w:jc w:val="both"/>
        <w:rPr>
          <w:rFonts w:ascii="Times New Roman" w:hAnsi="Times New Roman"/>
          <w:color w:val="000000" w:themeColor="text1"/>
          <w:sz w:val="24"/>
          <w:szCs w:val="24"/>
        </w:rPr>
      </w:pPr>
      <w:r w:rsidRPr="00D549EE">
        <w:rPr>
          <w:rFonts w:ascii="Times New Roman" w:hAnsi="Times New Roman"/>
          <w:color w:val="000000" w:themeColor="text1"/>
          <w:sz w:val="24"/>
          <w:szCs w:val="24"/>
        </w:rPr>
        <w:t>Administrator of the shop.</w:t>
      </w:r>
    </w:p>
    <w:p w14:paraId="6CAA661F" w14:textId="77777777" w:rsidR="00D549EE" w:rsidRPr="00D549EE" w:rsidRDefault="00D549EE" w:rsidP="00D549EE">
      <w:pPr>
        <w:rPr>
          <w:color w:val="000000" w:themeColor="text1"/>
        </w:rPr>
      </w:pPr>
    </w:p>
    <w:p w14:paraId="601C9BB6" w14:textId="77777777" w:rsidR="00D549EE" w:rsidRPr="00D549EE" w:rsidRDefault="00D549EE" w:rsidP="00D549EE">
      <w:pPr>
        <w:rPr>
          <w:color w:val="000000" w:themeColor="text1"/>
          <w:lang w:val="en-US"/>
        </w:rPr>
      </w:pPr>
      <w:r w:rsidRPr="00D549EE">
        <w:rPr>
          <w:color w:val="000000" w:themeColor="text1"/>
          <w:lang w:val="en-US"/>
        </w:rPr>
        <w:tab/>
        <w:t xml:space="preserve">The services of collection of the clothes, sorting, transportation are planned to implement by assistance of volunteers and own efforts of the founders.  </w:t>
      </w:r>
    </w:p>
    <w:p w14:paraId="448E8DFA" w14:textId="77777777" w:rsidR="00D549EE" w:rsidRPr="00D549EE" w:rsidRDefault="00D549EE" w:rsidP="00D549EE">
      <w:pPr>
        <w:rPr>
          <w:color w:val="000000" w:themeColor="text1"/>
          <w:lang w:val="en-US"/>
        </w:rPr>
      </w:pPr>
    </w:p>
    <w:p w14:paraId="2BE98923" w14:textId="77777777" w:rsidR="00D549EE" w:rsidRPr="00D549EE" w:rsidRDefault="00D549EE" w:rsidP="00D549EE">
      <w:pPr>
        <w:jc w:val="both"/>
        <w:rPr>
          <w:color w:val="000000" w:themeColor="text1"/>
          <w:lang w:val="en-US"/>
        </w:rPr>
      </w:pPr>
      <w:r w:rsidRPr="00D549EE">
        <w:rPr>
          <w:color w:val="000000" w:themeColor="text1"/>
          <w:lang w:val="en-US"/>
        </w:rPr>
        <w:tab/>
        <w:t>The future advantages and opportunities of the “Ume Social market” project are as follows:</w:t>
      </w:r>
    </w:p>
    <w:p w14:paraId="393ECAF9"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rPr>
      </w:pPr>
      <w:r w:rsidRPr="00D549EE">
        <w:rPr>
          <w:rFonts w:ascii="Times New Roman" w:eastAsiaTheme="minorHAnsi" w:hAnsi="Times New Roman"/>
          <w:color w:val="000000" w:themeColor="text1"/>
          <w:sz w:val="24"/>
          <w:szCs w:val="24"/>
        </w:rPr>
        <w:t>varied product range</w:t>
      </w:r>
    </w:p>
    <w:p w14:paraId="38FD8255"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rPr>
      </w:pPr>
      <w:r w:rsidRPr="00D549EE">
        <w:rPr>
          <w:rFonts w:ascii="Times New Roman" w:eastAsiaTheme="minorHAnsi" w:hAnsi="Times New Roman"/>
          <w:color w:val="000000" w:themeColor="text1"/>
          <w:sz w:val="24"/>
          <w:szCs w:val="24"/>
          <w:lang w:val="en-US"/>
        </w:rPr>
        <w:t xml:space="preserve">income from the </w:t>
      </w:r>
      <w:r w:rsidRPr="00D549EE">
        <w:rPr>
          <w:rFonts w:ascii="Times New Roman" w:eastAsiaTheme="minorHAnsi" w:hAnsi="Times New Roman"/>
          <w:color w:val="000000" w:themeColor="text1"/>
          <w:sz w:val="24"/>
          <w:szCs w:val="24"/>
        </w:rPr>
        <w:t xml:space="preserve">product </w:t>
      </w:r>
    </w:p>
    <w:p w14:paraId="707DC27B"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rPr>
      </w:pPr>
      <w:r w:rsidRPr="00D549EE">
        <w:rPr>
          <w:rFonts w:ascii="Times New Roman" w:eastAsiaTheme="minorHAnsi" w:hAnsi="Times New Roman"/>
          <w:color w:val="000000" w:themeColor="text1"/>
          <w:sz w:val="24"/>
          <w:szCs w:val="24"/>
        </w:rPr>
        <w:t>customer service</w:t>
      </w:r>
    </w:p>
    <w:p w14:paraId="239ACD17"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lang w:val="en-US"/>
        </w:rPr>
      </w:pPr>
      <w:r w:rsidRPr="00D549EE">
        <w:rPr>
          <w:rFonts w:ascii="Times New Roman" w:eastAsiaTheme="minorHAnsi" w:hAnsi="Times New Roman"/>
          <w:color w:val="000000" w:themeColor="text1"/>
          <w:sz w:val="24"/>
          <w:szCs w:val="24"/>
          <w:lang w:val="en-US"/>
        </w:rPr>
        <w:t>create a unique selling proposition and enter the market with it</w:t>
      </w:r>
    </w:p>
    <w:p w14:paraId="04BAAE1F"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lang w:val="en-US"/>
        </w:rPr>
      </w:pPr>
      <w:r w:rsidRPr="00D549EE">
        <w:rPr>
          <w:rFonts w:ascii="Times New Roman" w:eastAsiaTheme="minorHAnsi" w:hAnsi="Times New Roman"/>
          <w:color w:val="000000" w:themeColor="text1"/>
          <w:sz w:val="24"/>
          <w:szCs w:val="24"/>
          <w:lang w:val="en-US"/>
        </w:rPr>
        <w:t>the possibility of developing a trading network</w:t>
      </w:r>
    </w:p>
    <w:p w14:paraId="08B688AC" w14:textId="77777777" w:rsidR="00D549EE" w:rsidRPr="00D549EE" w:rsidRDefault="00D549EE" w:rsidP="00D549EE">
      <w:pPr>
        <w:pStyle w:val="a3"/>
        <w:numPr>
          <w:ilvl w:val="0"/>
          <w:numId w:val="33"/>
        </w:numPr>
        <w:spacing w:after="0" w:line="240" w:lineRule="auto"/>
        <w:jc w:val="both"/>
        <w:rPr>
          <w:rFonts w:ascii="Times New Roman" w:hAnsi="Times New Roman"/>
          <w:color w:val="000000" w:themeColor="text1"/>
          <w:sz w:val="24"/>
          <w:szCs w:val="24"/>
        </w:rPr>
      </w:pPr>
      <w:r w:rsidRPr="00D549EE">
        <w:rPr>
          <w:rFonts w:ascii="Times New Roman" w:eastAsiaTheme="minorHAnsi" w:hAnsi="Times New Roman"/>
          <w:color w:val="000000" w:themeColor="text1"/>
          <w:sz w:val="24"/>
          <w:szCs w:val="24"/>
          <w:lang w:val="en-US"/>
        </w:rPr>
        <w:t>essential products</w:t>
      </w:r>
    </w:p>
    <w:p w14:paraId="5DA5E4CE" w14:textId="77777777" w:rsidR="00D549EE" w:rsidRPr="00D549EE" w:rsidRDefault="00D549EE" w:rsidP="00D549EE">
      <w:pPr>
        <w:pStyle w:val="a3"/>
        <w:numPr>
          <w:ilvl w:val="0"/>
          <w:numId w:val="33"/>
        </w:numPr>
        <w:spacing w:after="0" w:line="240" w:lineRule="auto"/>
        <w:jc w:val="both"/>
        <w:rPr>
          <w:rFonts w:ascii="Times New Roman" w:hAnsi="Times New Roman"/>
          <w:color w:val="000000" w:themeColor="text1"/>
          <w:sz w:val="24"/>
          <w:szCs w:val="24"/>
        </w:rPr>
      </w:pPr>
      <w:r w:rsidRPr="00D549EE">
        <w:rPr>
          <w:rFonts w:ascii="Times New Roman" w:hAnsi="Times New Roman"/>
          <w:color w:val="000000" w:themeColor="text1"/>
          <w:sz w:val="24"/>
          <w:szCs w:val="24"/>
        </w:rPr>
        <w:t>knowledge of demand</w:t>
      </w:r>
    </w:p>
    <w:p w14:paraId="4047A720"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rPr>
      </w:pPr>
      <w:r w:rsidRPr="00D549EE">
        <w:rPr>
          <w:rFonts w:ascii="Times New Roman" w:eastAsiaTheme="minorHAnsi" w:hAnsi="Times New Roman"/>
          <w:color w:val="000000" w:themeColor="text1"/>
          <w:sz w:val="24"/>
          <w:szCs w:val="24"/>
        </w:rPr>
        <w:t xml:space="preserve">sale of </w:t>
      </w:r>
      <w:r w:rsidRPr="00D549EE">
        <w:rPr>
          <w:rFonts w:ascii="Times New Roman" w:eastAsiaTheme="minorHAnsi" w:hAnsi="Times New Roman"/>
          <w:color w:val="000000" w:themeColor="text1"/>
          <w:sz w:val="24"/>
          <w:szCs w:val="24"/>
          <w:lang w:val="en-US"/>
        </w:rPr>
        <w:t xml:space="preserve">necessary product </w:t>
      </w:r>
    </w:p>
    <w:p w14:paraId="17E34CDF"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lang w:val="en-US"/>
        </w:rPr>
      </w:pPr>
      <w:r w:rsidRPr="00D549EE">
        <w:rPr>
          <w:rFonts w:ascii="Times New Roman" w:eastAsiaTheme="minorHAnsi" w:hAnsi="Times New Roman"/>
          <w:color w:val="000000" w:themeColor="text1"/>
          <w:sz w:val="24"/>
          <w:szCs w:val="24"/>
          <w:lang w:val="en-US"/>
        </w:rPr>
        <w:t>favorable, cheep cost for buyers</w:t>
      </w:r>
    </w:p>
    <w:p w14:paraId="0608BD1D"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rPr>
      </w:pPr>
      <w:r w:rsidRPr="00D549EE">
        <w:rPr>
          <w:rFonts w:ascii="Times New Roman" w:eastAsiaTheme="minorHAnsi" w:hAnsi="Times New Roman"/>
          <w:color w:val="000000" w:themeColor="text1"/>
          <w:sz w:val="24"/>
          <w:szCs w:val="24"/>
        </w:rPr>
        <w:t xml:space="preserve">promotion </w:t>
      </w:r>
    </w:p>
    <w:p w14:paraId="184BBA8F"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lang w:val="en-US"/>
        </w:rPr>
      </w:pPr>
      <w:r w:rsidRPr="00D549EE">
        <w:rPr>
          <w:rFonts w:ascii="Times New Roman" w:eastAsiaTheme="minorHAnsi" w:hAnsi="Times New Roman"/>
          <w:color w:val="000000" w:themeColor="text1"/>
          <w:sz w:val="24"/>
          <w:szCs w:val="24"/>
          <w:lang w:val="en-US"/>
        </w:rPr>
        <w:t>high level of customer service</w:t>
      </w:r>
    </w:p>
    <w:p w14:paraId="2C40BC31" w14:textId="77777777" w:rsidR="00D549EE" w:rsidRPr="00D549EE" w:rsidRDefault="00D549EE" w:rsidP="00D549EE">
      <w:pPr>
        <w:pStyle w:val="a3"/>
        <w:numPr>
          <w:ilvl w:val="0"/>
          <w:numId w:val="33"/>
        </w:numPr>
        <w:spacing w:after="0" w:line="240" w:lineRule="auto"/>
        <w:jc w:val="both"/>
        <w:rPr>
          <w:rFonts w:ascii="Times New Roman" w:eastAsiaTheme="minorHAnsi" w:hAnsi="Times New Roman"/>
          <w:color w:val="000000" w:themeColor="text1"/>
          <w:sz w:val="24"/>
          <w:szCs w:val="24"/>
        </w:rPr>
      </w:pPr>
      <w:r w:rsidRPr="00D549EE">
        <w:rPr>
          <w:rFonts w:ascii="Times New Roman" w:eastAsiaTheme="minorHAnsi" w:hAnsi="Times New Roman"/>
          <w:color w:val="000000" w:themeColor="text1"/>
          <w:sz w:val="24"/>
          <w:szCs w:val="24"/>
        </w:rPr>
        <w:t xml:space="preserve">efficiency of </w:t>
      </w:r>
      <w:r w:rsidRPr="00D549EE">
        <w:rPr>
          <w:rFonts w:ascii="Times New Roman" w:eastAsiaTheme="minorHAnsi" w:hAnsi="Times New Roman"/>
          <w:color w:val="000000" w:themeColor="text1"/>
          <w:sz w:val="24"/>
          <w:szCs w:val="24"/>
          <w:lang w:val="en-US"/>
        </w:rPr>
        <w:t xml:space="preserve">the </w:t>
      </w:r>
      <w:r w:rsidRPr="00D549EE">
        <w:rPr>
          <w:rFonts w:ascii="Times New Roman" w:eastAsiaTheme="minorHAnsi" w:hAnsi="Times New Roman"/>
          <w:color w:val="000000" w:themeColor="text1"/>
          <w:sz w:val="24"/>
          <w:szCs w:val="24"/>
        </w:rPr>
        <w:t>service</w:t>
      </w:r>
    </w:p>
    <w:p w14:paraId="4A807F23" w14:textId="77777777" w:rsidR="00D549EE" w:rsidRPr="00D549EE" w:rsidRDefault="00D549EE" w:rsidP="00D549EE">
      <w:pPr>
        <w:pStyle w:val="a3"/>
        <w:numPr>
          <w:ilvl w:val="0"/>
          <w:numId w:val="33"/>
        </w:numPr>
        <w:spacing w:after="0" w:line="240" w:lineRule="auto"/>
        <w:jc w:val="both"/>
        <w:rPr>
          <w:rFonts w:ascii="Times New Roman" w:hAnsi="Times New Roman"/>
          <w:color w:val="000000" w:themeColor="text1"/>
          <w:sz w:val="24"/>
          <w:szCs w:val="24"/>
        </w:rPr>
      </w:pPr>
      <w:r w:rsidRPr="00D549EE">
        <w:rPr>
          <w:rFonts w:ascii="Times New Roman" w:eastAsiaTheme="minorHAnsi" w:hAnsi="Times New Roman"/>
          <w:color w:val="000000" w:themeColor="text1"/>
          <w:sz w:val="24"/>
          <w:szCs w:val="24"/>
        </w:rPr>
        <w:t>additional privileges for buyers</w:t>
      </w:r>
    </w:p>
    <w:p w14:paraId="3E9A4BAA" w14:textId="77777777" w:rsidR="00D549EE" w:rsidRPr="00D549EE" w:rsidRDefault="00D549EE" w:rsidP="00D549EE">
      <w:pPr>
        <w:jc w:val="both"/>
        <w:rPr>
          <w:color w:val="000000" w:themeColor="text1"/>
        </w:rPr>
      </w:pPr>
    </w:p>
    <w:p w14:paraId="40558C74" w14:textId="77777777" w:rsidR="00D549EE" w:rsidRPr="00D549EE" w:rsidRDefault="00D549EE" w:rsidP="00D549EE">
      <w:pPr>
        <w:jc w:val="both"/>
        <w:rPr>
          <w:color w:val="000000" w:themeColor="text1"/>
          <w:lang w:val="en-US"/>
        </w:rPr>
      </w:pPr>
      <w:r w:rsidRPr="00D549EE">
        <w:rPr>
          <w:color w:val="000000" w:themeColor="text1"/>
          <w:lang w:val="en-US"/>
        </w:rPr>
        <w:tab/>
        <w:t>The purpose of this business plan is:</w:t>
      </w:r>
    </w:p>
    <w:p w14:paraId="2CFA13DC" w14:textId="77777777" w:rsidR="00D549EE" w:rsidRPr="00D549EE" w:rsidRDefault="00D549EE" w:rsidP="00D549EE">
      <w:pPr>
        <w:rPr>
          <w:lang w:val="en-US"/>
        </w:rPr>
      </w:pPr>
    </w:p>
    <w:p w14:paraId="10D8B0F9" w14:textId="77777777" w:rsidR="00D549EE" w:rsidRPr="00D549EE" w:rsidRDefault="00D549EE" w:rsidP="00D549EE">
      <w:pPr>
        <w:rPr>
          <w:lang w:val="en-US"/>
        </w:rPr>
      </w:pPr>
      <w:r w:rsidRPr="00D549EE">
        <w:rPr>
          <w:lang w:val="en-US"/>
        </w:rPr>
        <w:t xml:space="preserve">1. Attracting investment to launch and further expand the business to do modern renovation and good equipment. </w:t>
      </w:r>
    </w:p>
    <w:p w14:paraId="6409EFF6" w14:textId="77777777" w:rsidR="00D549EE" w:rsidRPr="00D549EE" w:rsidRDefault="00D549EE" w:rsidP="00D549EE">
      <w:pPr>
        <w:rPr>
          <w:lang w:val="en-US"/>
        </w:rPr>
      </w:pPr>
      <w:r w:rsidRPr="00D549EE">
        <w:rPr>
          <w:lang w:val="en-US"/>
        </w:rPr>
        <w:t>2. Justify the profitability and efficiency of the investment project.</w:t>
      </w:r>
    </w:p>
    <w:p w14:paraId="6C479059" w14:textId="77777777" w:rsidR="00D549EE" w:rsidRPr="00D549EE" w:rsidRDefault="00D549EE" w:rsidP="00D549EE">
      <w:pPr>
        <w:rPr>
          <w:lang w:val="en-US"/>
        </w:rPr>
      </w:pPr>
      <w:r w:rsidRPr="00D549EE">
        <w:rPr>
          <w:lang w:val="en-US"/>
        </w:rPr>
        <w:t xml:space="preserve">3. Making a profit to further expand services and charity projects. </w:t>
      </w:r>
    </w:p>
    <w:p w14:paraId="24221C86" w14:textId="03813747" w:rsidR="00D549EE" w:rsidRPr="00D549EE" w:rsidRDefault="00D549EE" w:rsidP="00D549EE">
      <w:pPr>
        <w:rPr>
          <w:lang w:val="en-US"/>
        </w:rPr>
      </w:pPr>
      <w:r w:rsidRPr="00D549EE">
        <w:rPr>
          <w:lang w:val="en-US"/>
        </w:rPr>
        <w:t>4. Meeting the demand for these types of services.</w:t>
      </w:r>
    </w:p>
    <w:p w14:paraId="4BAD0743" w14:textId="77777777" w:rsidR="00D549EE" w:rsidRPr="00D549EE" w:rsidRDefault="00D549EE" w:rsidP="00D549EE">
      <w:pPr>
        <w:pStyle w:val="1"/>
        <w:rPr>
          <w:rFonts w:ascii="Times New Roman" w:hAnsi="Times New Roman" w:cs="Times New Roman"/>
          <w:color w:val="000000" w:themeColor="text1"/>
          <w:sz w:val="24"/>
          <w:szCs w:val="24"/>
          <w:lang w:val="en-US"/>
        </w:rPr>
      </w:pPr>
      <w:bookmarkStart w:id="3" w:name="_Toc58237896"/>
      <w:r w:rsidRPr="00D549EE">
        <w:rPr>
          <w:rFonts w:ascii="Times New Roman" w:hAnsi="Times New Roman" w:cs="Times New Roman"/>
          <w:b/>
          <w:smallCaps/>
          <w:color w:val="000000" w:themeColor="text1"/>
          <w:sz w:val="24"/>
          <w:szCs w:val="24"/>
          <w:lang w:val="en-US"/>
        </w:rPr>
        <w:t>Section 2.</w:t>
      </w:r>
      <w:r w:rsidRPr="00D549EE">
        <w:rPr>
          <w:rFonts w:ascii="Times New Roman" w:hAnsi="Times New Roman" w:cs="Times New Roman"/>
          <w:color w:val="000000" w:themeColor="text1"/>
          <w:sz w:val="24"/>
          <w:szCs w:val="24"/>
          <w:lang w:val="en-US"/>
        </w:rPr>
        <w:t xml:space="preserve"> </w:t>
      </w:r>
      <w:r w:rsidRPr="00D549EE">
        <w:rPr>
          <w:rFonts w:ascii="Times New Roman" w:hAnsi="Times New Roman" w:cs="Times New Roman"/>
          <w:b/>
          <w:smallCaps/>
          <w:color w:val="000000" w:themeColor="text1"/>
          <w:sz w:val="24"/>
          <w:szCs w:val="24"/>
          <w:lang w:val="en-US"/>
        </w:rPr>
        <w:t>Business Overview, Strategy and Environment</w:t>
      </w:r>
      <w:bookmarkEnd w:id="3"/>
    </w:p>
    <w:p w14:paraId="47FC733A" w14:textId="77777777" w:rsidR="00D549EE" w:rsidRPr="00D549EE" w:rsidRDefault="00D549EE" w:rsidP="00D549EE">
      <w:pPr>
        <w:jc w:val="center"/>
        <w:rPr>
          <w:lang w:val="en-US"/>
        </w:rPr>
      </w:pPr>
    </w:p>
    <w:p w14:paraId="3ADD4266" w14:textId="77777777" w:rsidR="00D549EE" w:rsidRPr="00D549EE" w:rsidRDefault="00D549EE" w:rsidP="00D549EE">
      <w:pPr>
        <w:jc w:val="both"/>
        <w:rPr>
          <w:color w:val="000000" w:themeColor="text1"/>
          <w:lang w:val="en-US"/>
        </w:rPr>
      </w:pPr>
      <w:r w:rsidRPr="00D549EE">
        <w:rPr>
          <w:color w:val="000000" w:themeColor="text1"/>
          <w:lang w:val="en-US"/>
        </w:rPr>
        <w:tab/>
        <w:t xml:space="preserve">Clothes are a necessary products for all population. Especially in Almaty, there are four seasons of the year, that means it is demand for clothes and shoes for four seasons, for cold and hot weather. For the large families with limited amount of income the purchasing clothes and shoes for children every season is problem. If to turn in attention, that by officially data about 45% of income our citizens are spend on the meal, and there is spending on public utilities, such as electricity, water and heating, the problem of clothing is actual not only for large families. Nowadays, the market has a huge number of players who are involved in the sale of clothes, shoes and house equipment. As Kazakhstan has limited light manufacturing, the main amount of clothes and shoes are exported from other countries. There are extra payments for logistic and other services, and consequently the price of the products in Kazakhstan grows before reach our stores from producers. If to take into account the unstable exchange rate of national currency and devaluation, we have access to expensive clothes and shoes, even in mass-market. In this situation of price formation there is restricted access for people with limited income. </w:t>
      </w:r>
    </w:p>
    <w:p w14:paraId="55492416" w14:textId="77777777" w:rsidR="00D549EE" w:rsidRPr="00D549EE" w:rsidRDefault="00D549EE" w:rsidP="00D549EE">
      <w:pPr>
        <w:jc w:val="both"/>
        <w:rPr>
          <w:lang w:val="en-US"/>
        </w:rPr>
      </w:pPr>
      <w:r w:rsidRPr="00D549EE">
        <w:rPr>
          <w:lang w:val="en-US"/>
        </w:rPr>
        <w:tab/>
        <w:t xml:space="preserve">On the other hand, there is other segment of population, which has overconsumption behavior, or has opportunity to purchase clothes or other products every season and needs to free the shelves of cabinets from things of past seasons. And for this segment the service of Ume Social market if usable, as there is opportunity to transportation from the house of applicants to the service.    </w:t>
      </w:r>
    </w:p>
    <w:p w14:paraId="71FA4272" w14:textId="77777777" w:rsidR="00D549EE" w:rsidRPr="00D549EE" w:rsidRDefault="00D549EE" w:rsidP="00D549EE">
      <w:pPr>
        <w:jc w:val="both"/>
        <w:rPr>
          <w:lang w:val="en-US"/>
        </w:rPr>
      </w:pPr>
      <w:r w:rsidRPr="00D549EE">
        <w:rPr>
          <w:lang w:val="en-US"/>
        </w:rPr>
        <w:tab/>
        <w:t>Nowadays, the demand for a special social market for the socially vulnerable segment of the population is high for several reasons:</w:t>
      </w:r>
    </w:p>
    <w:p w14:paraId="28D4032E" w14:textId="77777777" w:rsidR="00D549EE" w:rsidRPr="00D549EE" w:rsidRDefault="00D549EE" w:rsidP="00D549EE">
      <w:pPr>
        <w:jc w:val="both"/>
        <w:rPr>
          <w:lang w:val="en-US"/>
        </w:rPr>
      </w:pPr>
      <w:r w:rsidRPr="00D549EE">
        <w:rPr>
          <w:lang w:val="en-US"/>
        </w:rPr>
        <w:tab/>
        <w:t>First, the current economic situation has led to a decrease in the purchasing power of the population. The growing unemployment has affected the population's income, and the instability of the national currency has led to a decrease in real incomes and purchases of the population "for the soul".</w:t>
      </w:r>
    </w:p>
    <w:p w14:paraId="688AC79C" w14:textId="77777777" w:rsidR="00D549EE" w:rsidRPr="00D549EE" w:rsidRDefault="00D549EE" w:rsidP="00D549EE">
      <w:pPr>
        <w:jc w:val="both"/>
        <w:rPr>
          <w:lang w:val="en-US"/>
        </w:rPr>
      </w:pPr>
      <w:r w:rsidRPr="00D549EE">
        <w:rPr>
          <w:lang w:val="en-US"/>
        </w:rPr>
        <w:tab/>
        <w:t>Second, the short life cycle of goods and rampant consumption contributed to an increase in unnecessary waste and inventory.</w:t>
      </w:r>
    </w:p>
    <w:p w14:paraId="2F18ABF3" w14:textId="77777777" w:rsidR="00D549EE" w:rsidRPr="00D549EE" w:rsidRDefault="00D549EE" w:rsidP="00D549EE">
      <w:pPr>
        <w:jc w:val="both"/>
        <w:rPr>
          <w:lang w:val="en-US"/>
        </w:rPr>
      </w:pPr>
      <w:r w:rsidRPr="00D549EE">
        <w:rPr>
          <w:lang w:val="en-US"/>
        </w:rPr>
        <w:tab/>
        <w:t>Third, a sharp activation of social activity and mutual assistance. A social store is one of the most transparent and, most importantly, convenient ways to help.</w:t>
      </w:r>
    </w:p>
    <w:p w14:paraId="608961EA" w14:textId="77777777" w:rsidR="00D549EE" w:rsidRPr="00D549EE" w:rsidRDefault="00D549EE" w:rsidP="00D549EE">
      <w:pPr>
        <w:jc w:val="both"/>
        <w:rPr>
          <w:lang w:val="en-US"/>
        </w:rPr>
      </w:pPr>
      <w:r w:rsidRPr="00D549EE">
        <w:rPr>
          <w:lang w:val="en-US"/>
        </w:rPr>
        <w:tab/>
        <w:t xml:space="preserve">The idea of the Social market is came from the successful business projects of the world’s companies. For example, “Svalka.me” the joint business of Russia and Israel, the profitable commercial business, which was established in 2015, and first shop was opened in 2019. The company has 9 shops in Russia, Ukraine, Latvia and Israel. The revenue for year from one shop is 512 000 US dollars (35 thousand kg of clothes). The price of the franchise is started from 32 000 US dollars, and additional payment of royalty is 10%. Another example of the business is “Salvos Stores – Salvation army” of Australia, which was established 1980. There are 330 supermarkets of the company, these days. This project is partly social and partly commercial. The annual revenue of the company is 39 000 000 US dollars, and additionally, company does the charity for 189 000 families per year by providing expensive medical treatment and surgery and others. </w:t>
      </w:r>
    </w:p>
    <w:p w14:paraId="117E49A5" w14:textId="77777777" w:rsidR="00D549EE" w:rsidRPr="00D549EE" w:rsidRDefault="00D549EE" w:rsidP="00D549EE">
      <w:pPr>
        <w:jc w:val="both"/>
        <w:rPr>
          <w:lang w:val="en-US"/>
        </w:rPr>
      </w:pPr>
      <w:r w:rsidRPr="00D549EE">
        <w:rPr>
          <w:lang w:val="en-US"/>
        </w:rPr>
        <w:tab/>
        <w:t xml:space="preserve">The concept of the Ume social market is totally social, that is spending all profit, after payment of the salary to the stuff and other payments, to the charity. Furthermore, the mechanism of involving people in charity process by providing them opportunity to do charity and to give “second life” for clothes, it is also way of the environment protection and reducing of overconsumption.   </w:t>
      </w:r>
    </w:p>
    <w:p w14:paraId="34DBE72E" w14:textId="77777777" w:rsidR="00D549EE" w:rsidRPr="00D549EE" w:rsidRDefault="00D549EE" w:rsidP="00D549EE">
      <w:pPr>
        <w:rPr>
          <w:color w:val="000000" w:themeColor="text1"/>
          <w:lang w:val="en-US"/>
        </w:rPr>
      </w:pPr>
      <w:r w:rsidRPr="00D549EE">
        <w:rPr>
          <w:lang w:val="en-US"/>
        </w:rPr>
        <w:tab/>
      </w:r>
      <w:r w:rsidRPr="00D549EE">
        <w:rPr>
          <w:color w:val="000000" w:themeColor="text1"/>
          <w:lang w:val="en-US"/>
        </w:rPr>
        <w:t>The main key partners of the social business are:</w:t>
      </w:r>
    </w:p>
    <w:p w14:paraId="734097F0" w14:textId="77777777" w:rsidR="00D549EE" w:rsidRPr="00D549EE" w:rsidRDefault="00D549EE" w:rsidP="00D549EE">
      <w:pPr>
        <w:pStyle w:val="a3"/>
        <w:numPr>
          <w:ilvl w:val="0"/>
          <w:numId w:val="35"/>
        </w:numPr>
        <w:spacing w:after="0" w:line="240" w:lineRule="auto"/>
        <w:ind w:left="0" w:firstLine="426"/>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The large retails of the city;</w:t>
      </w:r>
    </w:p>
    <w:p w14:paraId="1011D64A" w14:textId="77777777" w:rsidR="00D549EE" w:rsidRPr="00D549EE" w:rsidRDefault="00D549EE" w:rsidP="00D549EE">
      <w:pPr>
        <w:pStyle w:val="a3"/>
        <w:numPr>
          <w:ilvl w:val="0"/>
          <w:numId w:val="35"/>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People, who have clothes for giving;</w:t>
      </w:r>
    </w:p>
    <w:p w14:paraId="1756915A" w14:textId="77777777" w:rsidR="00D549EE" w:rsidRPr="00D549EE" w:rsidRDefault="00D549EE" w:rsidP="00D549EE">
      <w:pPr>
        <w:pStyle w:val="a3"/>
        <w:numPr>
          <w:ilvl w:val="0"/>
          <w:numId w:val="35"/>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Dry Cleaner and Laundry companies;</w:t>
      </w:r>
    </w:p>
    <w:p w14:paraId="6F12F392" w14:textId="77777777" w:rsidR="00D549EE" w:rsidRPr="00D549EE" w:rsidRDefault="00D549EE" w:rsidP="00D549EE">
      <w:pPr>
        <w:pStyle w:val="a3"/>
        <w:numPr>
          <w:ilvl w:val="0"/>
          <w:numId w:val="35"/>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Factory for sewing branded products (Ume Social Services).</w:t>
      </w:r>
    </w:p>
    <w:p w14:paraId="45172BFD" w14:textId="77777777" w:rsidR="00D549EE" w:rsidRPr="00D549EE" w:rsidRDefault="00D549EE" w:rsidP="00D549EE">
      <w:pPr>
        <w:rPr>
          <w:color w:val="000000" w:themeColor="text1"/>
          <w:lang w:val="en-US"/>
        </w:rPr>
      </w:pPr>
      <w:r w:rsidRPr="00D549EE">
        <w:rPr>
          <w:color w:val="000000" w:themeColor="text1"/>
          <w:lang w:val="en-US"/>
        </w:rPr>
        <w:tab/>
      </w:r>
    </w:p>
    <w:p w14:paraId="49CDBACB" w14:textId="77777777" w:rsidR="00D549EE" w:rsidRPr="00D549EE" w:rsidRDefault="00D549EE" w:rsidP="00D549EE">
      <w:pPr>
        <w:pStyle w:val="1"/>
        <w:rPr>
          <w:rFonts w:ascii="Times New Roman" w:hAnsi="Times New Roman" w:cs="Times New Roman"/>
          <w:b/>
          <w:smallCaps/>
          <w:color w:val="000000" w:themeColor="text1"/>
          <w:sz w:val="24"/>
          <w:szCs w:val="24"/>
          <w:lang w:val="en-US"/>
        </w:rPr>
      </w:pPr>
      <w:bookmarkStart w:id="4" w:name="_Toc58237897"/>
      <w:r w:rsidRPr="00D549EE">
        <w:rPr>
          <w:rFonts w:ascii="Times New Roman" w:hAnsi="Times New Roman" w:cs="Times New Roman"/>
          <w:b/>
          <w:smallCaps/>
          <w:color w:val="000000" w:themeColor="text1"/>
          <w:sz w:val="24"/>
          <w:szCs w:val="24"/>
          <w:lang w:val="en-US"/>
        </w:rPr>
        <w:t>Section 3. Sales and Marketing Plan</w:t>
      </w:r>
      <w:bookmarkEnd w:id="4"/>
      <w:r w:rsidRPr="00D549EE">
        <w:rPr>
          <w:rFonts w:ascii="Times New Roman" w:hAnsi="Times New Roman" w:cs="Times New Roman"/>
          <w:b/>
          <w:smallCaps/>
          <w:color w:val="000000" w:themeColor="text1"/>
          <w:sz w:val="24"/>
          <w:szCs w:val="24"/>
          <w:lang w:val="en-US"/>
        </w:rPr>
        <w:t xml:space="preserve"> </w:t>
      </w:r>
    </w:p>
    <w:p w14:paraId="7483D81C" w14:textId="77777777" w:rsidR="00D549EE" w:rsidRPr="00D549EE" w:rsidRDefault="00D549EE" w:rsidP="00D549EE">
      <w:pPr>
        <w:rPr>
          <w:i/>
          <w:color w:val="000000" w:themeColor="text1"/>
          <w:lang w:val="en-US"/>
        </w:rPr>
      </w:pPr>
      <w:r w:rsidRPr="00D549EE">
        <w:rPr>
          <w:i/>
          <w:color w:val="000000" w:themeColor="text1"/>
          <w:lang w:val="en-US"/>
        </w:rPr>
        <w:t xml:space="preserve"> </w:t>
      </w:r>
    </w:p>
    <w:p w14:paraId="01069D44" w14:textId="77777777" w:rsidR="00D549EE" w:rsidRPr="00D549EE" w:rsidRDefault="00D549EE" w:rsidP="00D549EE">
      <w:pPr>
        <w:pStyle w:val="a3"/>
        <w:spacing w:line="240" w:lineRule="auto"/>
        <w:ind w:left="0" w:firstLine="720"/>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Due to the global crisis and the COVID-19 pandemic, this year there is an atypical and expected negative picture of changes in the incomes of Kazakhstanis.  Usually after the standard calendar decline in the first quarter (January-March) in April and beyond, the income level should show a stable quarterly growth until the end of the year. However, in 2020, the indicators of April were inferior to those of March, and in May another decline followed. For comparison: in last year's April, there was an increase of 6.6% compared to March 2019 [1].</w:t>
      </w:r>
    </w:p>
    <w:p w14:paraId="75CBED2D" w14:textId="77777777" w:rsidR="00D549EE" w:rsidRPr="00D549EE" w:rsidRDefault="00D549EE" w:rsidP="00D549EE">
      <w:pPr>
        <w:pStyle w:val="a3"/>
        <w:spacing w:line="240" w:lineRule="auto"/>
        <w:ind w:left="0" w:firstLine="709"/>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In the second quarter of 2020, the share of the country's population with incomes below the subsistence minimum increased to 5.7% (a year earlier - 4.3%), which is the worst indicator since 2011. This happened against the background of a decline in economic activity in the country, as well as the general negative consequences of the corona-crisis. Recall that in the second quarter of 2020, the cost of living in the Republic of Kazakhstan on average per capita amounted to 32.6 thousand tenge. And according to the calculations of the World Bank, the poverty line is 5.5 US dollars per day, which is a little more than 70,000 tenge per month. That is, anyone who earns less than 70,000 a month in Kazakhstan, according to the World Bank's methods, is a poor person [2].</w:t>
      </w:r>
    </w:p>
    <w:p w14:paraId="2B56CF63" w14:textId="77777777" w:rsidR="00D549EE" w:rsidRPr="00D549EE" w:rsidRDefault="00D549EE" w:rsidP="00D549EE">
      <w:pPr>
        <w:pStyle w:val="a3"/>
        <w:spacing w:line="240" w:lineRule="auto"/>
        <w:ind w:left="0" w:firstLine="720"/>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In total, the population with incomes below the subsistence minimum was 1.1 million people. There is still a noticeable difference in indicators in urban and rural areas. Thus, in the reporting period, in rural areas of Kazakhstan with incomes below the subsistence minimum was 7.8%, in urban areas-only 4.2% (by 3.6%) [3].</w:t>
      </w:r>
    </w:p>
    <w:p w14:paraId="3C5EC788" w14:textId="77777777" w:rsidR="00D549EE" w:rsidRPr="00D549EE" w:rsidRDefault="00D549EE" w:rsidP="00D549EE">
      <w:pPr>
        <w:pStyle w:val="a3"/>
        <w:spacing w:line="240" w:lineRule="auto"/>
        <w:ind w:left="0" w:firstLine="720"/>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Based on these data, we can say that services for collecting things and selling them will be in demand, since according to official data, there are about 1 million poor people in the country who have incomes below the subsistence minimum. Although there are other figures. The World Bank believes that the level of poverty in Kazakhstan may rise to 12-14%. As a result, the number of poor people may reach more than 2 million.</w:t>
      </w:r>
    </w:p>
    <w:p w14:paraId="1B197996" w14:textId="77777777" w:rsidR="00D549EE" w:rsidRPr="00D549EE" w:rsidRDefault="00D549EE" w:rsidP="00D549EE">
      <w:pPr>
        <w:pStyle w:val="a3"/>
        <w:spacing w:line="240" w:lineRule="auto"/>
        <w:ind w:left="0" w:firstLine="720"/>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 xml:space="preserve">Ume Social market is the first market in this format in the country. By using the business mechanism for social project and charitable activity, there is a plan for expanding the business and open shops and markets in other main cities of the country. </w:t>
      </w:r>
    </w:p>
    <w:p w14:paraId="29D8C164" w14:textId="77777777" w:rsidR="00D549EE" w:rsidRDefault="00D549EE" w:rsidP="00D549EE">
      <w:pPr>
        <w:pStyle w:val="a3"/>
        <w:spacing w:line="240" w:lineRule="auto"/>
        <w:ind w:left="0" w:firstLine="720"/>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 xml:space="preserve">There are several charitable organizations, that carry out the clothes collection for needy people: </w:t>
      </w:r>
    </w:p>
    <w:p w14:paraId="72705A87" w14:textId="77777777" w:rsidR="00D549EE" w:rsidRDefault="00D549EE" w:rsidP="00D549EE">
      <w:pPr>
        <w:pStyle w:val="a3"/>
        <w:spacing w:line="240" w:lineRule="auto"/>
        <w:ind w:left="0"/>
        <w:jc w:val="both"/>
        <w:rPr>
          <w:rFonts w:ascii="Times New Roman" w:hAnsi="Times New Roman"/>
          <w:color w:val="000000" w:themeColor="text1"/>
          <w:sz w:val="24"/>
          <w:szCs w:val="24"/>
          <w:lang w:val="en-US"/>
        </w:rPr>
      </w:pPr>
    </w:p>
    <w:p w14:paraId="746013C5" w14:textId="7EECE567" w:rsidR="00D549EE" w:rsidRPr="00D549EE" w:rsidRDefault="00D549EE" w:rsidP="00D549EE">
      <w:pPr>
        <w:pStyle w:val="a3"/>
        <w:spacing w:line="240" w:lineRule="auto"/>
        <w:ind w:left="0"/>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Table 1</w:t>
      </w:r>
      <w:r>
        <w:rPr>
          <w:rFonts w:ascii="Times New Roman" w:hAnsi="Times New Roman"/>
          <w:color w:val="000000" w:themeColor="text1"/>
          <w:sz w:val="24"/>
          <w:szCs w:val="24"/>
          <w:lang w:val="en-US"/>
        </w:rPr>
        <w:t xml:space="preserve"> -</w:t>
      </w:r>
      <w:r w:rsidRPr="00D549EE">
        <w:rPr>
          <w:rFonts w:ascii="Times New Roman" w:hAnsi="Times New Roman"/>
          <w:color w:val="000000" w:themeColor="text1"/>
          <w:sz w:val="24"/>
          <w:szCs w:val="24"/>
          <w:lang w:val="en-US"/>
        </w:rPr>
        <w:t xml:space="preserve"> List of organizations in Kazakhstan for collecting and selling clothes at a low cost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4"/>
        <w:gridCol w:w="3278"/>
        <w:gridCol w:w="3101"/>
      </w:tblGrid>
      <w:tr w:rsidR="00D549EE" w:rsidRPr="00D549EE" w14:paraId="2837101B" w14:textId="77777777" w:rsidTr="00D549EE">
        <w:tc>
          <w:tcPr>
            <w:tcW w:w="1686" w:type="pct"/>
          </w:tcPr>
          <w:p w14:paraId="24E35624" w14:textId="77777777" w:rsidR="00D549EE" w:rsidRPr="00D549EE" w:rsidRDefault="00D549EE" w:rsidP="00D549EE">
            <w:pPr>
              <w:spacing w:after="120"/>
              <w:jc w:val="both"/>
              <w:rPr>
                <w:color w:val="000000" w:themeColor="text1"/>
                <w:lang w:val="en-US"/>
              </w:rPr>
            </w:pPr>
            <w:r w:rsidRPr="00D549EE">
              <w:rPr>
                <w:color w:val="000000" w:themeColor="text1"/>
                <w:lang w:val="en-US"/>
              </w:rPr>
              <w:t>Organization</w:t>
            </w:r>
          </w:p>
        </w:tc>
        <w:tc>
          <w:tcPr>
            <w:tcW w:w="1703" w:type="pct"/>
          </w:tcPr>
          <w:p w14:paraId="406C7A5F" w14:textId="77777777" w:rsidR="00D549EE" w:rsidRPr="00D549EE" w:rsidRDefault="00D549EE" w:rsidP="00D549EE">
            <w:pPr>
              <w:spacing w:after="120"/>
              <w:jc w:val="both"/>
              <w:rPr>
                <w:color w:val="000000" w:themeColor="text1"/>
                <w:lang w:val="en-US"/>
              </w:rPr>
            </w:pPr>
            <w:r w:rsidRPr="00D549EE">
              <w:rPr>
                <w:color w:val="000000" w:themeColor="text1"/>
                <w:lang w:val="en-US"/>
              </w:rPr>
              <w:t>City</w:t>
            </w:r>
          </w:p>
        </w:tc>
        <w:tc>
          <w:tcPr>
            <w:tcW w:w="1611" w:type="pct"/>
          </w:tcPr>
          <w:p w14:paraId="1C9F5971" w14:textId="77777777" w:rsidR="00D549EE" w:rsidRPr="00D549EE" w:rsidRDefault="00D549EE" w:rsidP="00D549EE">
            <w:pPr>
              <w:spacing w:after="120"/>
              <w:jc w:val="both"/>
              <w:rPr>
                <w:color w:val="000000" w:themeColor="text1"/>
                <w:lang w:val="en-US"/>
              </w:rPr>
            </w:pPr>
            <w:r w:rsidRPr="00D549EE">
              <w:rPr>
                <w:color w:val="000000" w:themeColor="text1"/>
                <w:lang w:val="en-US"/>
              </w:rPr>
              <w:t xml:space="preserve">Address </w:t>
            </w:r>
          </w:p>
        </w:tc>
      </w:tr>
      <w:tr w:rsidR="00D549EE" w:rsidRPr="00D549EE" w14:paraId="6D3FA5F1" w14:textId="77777777" w:rsidTr="00D549EE">
        <w:tc>
          <w:tcPr>
            <w:tcW w:w="1686" w:type="pct"/>
          </w:tcPr>
          <w:p w14:paraId="63719D4B" w14:textId="77777777" w:rsidR="00D549EE" w:rsidRPr="00D549EE" w:rsidRDefault="00D549EE" w:rsidP="00D549EE">
            <w:pPr>
              <w:spacing w:after="120"/>
              <w:jc w:val="both"/>
              <w:rPr>
                <w:color w:val="000000" w:themeColor="text1"/>
              </w:rPr>
            </w:pPr>
            <w:r w:rsidRPr="00D549EE">
              <w:rPr>
                <w:color w:val="000000" w:themeColor="text1"/>
                <w:lang w:val="en-US"/>
              </w:rPr>
              <w:t>“</w:t>
            </w:r>
            <w:r w:rsidRPr="00D549EE">
              <w:rPr>
                <w:color w:val="000000" w:themeColor="text1"/>
              </w:rPr>
              <w:t>Club of Good People</w:t>
            </w:r>
            <w:r w:rsidRPr="00D549EE">
              <w:rPr>
                <w:color w:val="000000" w:themeColor="text1"/>
                <w:lang w:val="en-US"/>
              </w:rPr>
              <w:t>”</w:t>
            </w:r>
          </w:p>
        </w:tc>
        <w:tc>
          <w:tcPr>
            <w:tcW w:w="1703" w:type="pct"/>
          </w:tcPr>
          <w:p w14:paraId="18AC3D03" w14:textId="77777777" w:rsidR="00D549EE" w:rsidRPr="00D549EE" w:rsidRDefault="00D549EE" w:rsidP="00D549EE">
            <w:pPr>
              <w:spacing w:after="120"/>
              <w:jc w:val="both"/>
              <w:rPr>
                <w:color w:val="000000" w:themeColor="text1"/>
                <w:lang w:val="en-US"/>
              </w:rPr>
            </w:pPr>
            <w:r w:rsidRPr="00D549EE">
              <w:rPr>
                <w:color w:val="000000" w:themeColor="text1"/>
                <w:lang w:val="en-US"/>
              </w:rPr>
              <w:t>Almaty</w:t>
            </w:r>
          </w:p>
        </w:tc>
        <w:tc>
          <w:tcPr>
            <w:tcW w:w="1611" w:type="pct"/>
          </w:tcPr>
          <w:p w14:paraId="22AD4BBF" w14:textId="77777777" w:rsidR="00D549EE" w:rsidRPr="00D549EE" w:rsidRDefault="00D549EE" w:rsidP="00D549EE">
            <w:pPr>
              <w:spacing w:after="120"/>
              <w:jc w:val="both"/>
              <w:rPr>
                <w:color w:val="000000" w:themeColor="text1"/>
              </w:rPr>
            </w:pPr>
            <w:r w:rsidRPr="00D549EE">
              <w:rPr>
                <w:color w:val="000000" w:themeColor="text1"/>
                <w:lang w:val="en-US"/>
              </w:rPr>
              <w:t>Kazybek Bi street, 22</w:t>
            </w:r>
            <w:r w:rsidRPr="00D549EE">
              <w:rPr>
                <w:color w:val="000000" w:themeColor="text1"/>
              </w:rPr>
              <w:t xml:space="preserve"> </w:t>
            </w:r>
          </w:p>
        </w:tc>
      </w:tr>
      <w:tr w:rsidR="00D549EE" w:rsidRPr="00D549EE" w14:paraId="13F899CC" w14:textId="77777777" w:rsidTr="00D549EE">
        <w:tc>
          <w:tcPr>
            <w:tcW w:w="1686" w:type="pct"/>
          </w:tcPr>
          <w:p w14:paraId="3DCDFA4C" w14:textId="77777777" w:rsidR="00D549EE" w:rsidRPr="00D549EE" w:rsidRDefault="00D549EE" w:rsidP="00D549EE">
            <w:pPr>
              <w:spacing w:after="120"/>
              <w:jc w:val="both"/>
              <w:rPr>
                <w:color w:val="000000" w:themeColor="text1"/>
              </w:rPr>
            </w:pPr>
            <w:r w:rsidRPr="00D549EE">
              <w:rPr>
                <w:color w:val="000000" w:themeColor="text1"/>
                <w:lang w:val="en-US"/>
              </w:rPr>
              <w:t>Charitable shop</w:t>
            </w:r>
            <w:r w:rsidRPr="00D549EE">
              <w:rPr>
                <w:color w:val="000000" w:themeColor="text1"/>
              </w:rPr>
              <w:t xml:space="preserve"> </w:t>
            </w:r>
            <w:r w:rsidRPr="00D549EE">
              <w:rPr>
                <w:color w:val="000000" w:themeColor="text1"/>
                <w:lang w:val="en-US"/>
              </w:rPr>
              <w:t>SSH</w:t>
            </w:r>
            <w:r w:rsidRPr="00D549EE">
              <w:rPr>
                <w:color w:val="000000" w:themeColor="text1"/>
              </w:rPr>
              <w:t xml:space="preserve"> «</w:t>
            </w:r>
            <w:r w:rsidRPr="00D549EE">
              <w:rPr>
                <w:color w:val="000000" w:themeColor="text1"/>
                <w:lang w:val="en-US"/>
              </w:rPr>
              <w:t>Keremet</w:t>
            </w:r>
            <w:r w:rsidRPr="00D549EE">
              <w:rPr>
                <w:color w:val="000000" w:themeColor="text1"/>
              </w:rPr>
              <w:t>»</w:t>
            </w:r>
          </w:p>
        </w:tc>
        <w:tc>
          <w:tcPr>
            <w:tcW w:w="1703" w:type="pct"/>
          </w:tcPr>
          <w:p w14:paraId="2208173E" w14:textId="77777777" w:rsidR="00D549EE" w:rsidRPr="00D549EE" w:rsidRDefault="00D549EE" w:rsidP="00D549EE">
            <w:pPr>
              <w:spacing w:after="120"/>
              <w:jc w:val="both"/>
              <w:rPr>
                <w:color w:val="000000" w:themeColor="text1"/>
                <w:lang w:val="en-US"/>
              </w:rPr>
            </w:pPr>
            <w:r w:rsidRPr="00D549EE">
              <w:rPr>
                <w:color w:val="000000" w:themeColor="text1"/>
                <w:lang w:val="en-US"/>
              </w:rPr>
              <w:t xml:space="preserve">Almaty </w:t>
            </w:r>
          </w:p>
        </w:tc>
        <w:tc>
          <w:tcPr>
            <w:tcW w:w="1611" w:type="pct"/>
          </w:tcPr>
          <w:p w14:paraId="2B707300" w14:textId="77777777" w:rsidR="00D549EE" w:rsidRPr="00D549EE" w:rsidRDefault="00D549EE" w:rsidP="00D549EE">
            <w:pPr>
              <w:spacing w:after="120"/>
              <w:jc w:val="both"/>
              <w:rPr>
                <w:color w:val="000000" w:themeColor="text1"/>
              </w:rPr>
            </w:pPr>
            <w:r w:rsidRPr="00D549EE">
              <w:rPr>
                <w:color w:val="000000" w:themeColor="text1"/>
                <w:lang w:val="en-US"/>
              </w:rPr>
              <w:t>Al-Farabi avenue</w:t>
            </w:r>
            <w:r w:rsidRPr="00D549EE">
              <w:rPr>
                <w:color w:val="000000" w:themeColor="text1"/>
              </w:rPr>
              <w:t>, 71/21</w:t>
            </w:r>
          </w:p>
        </w:tc>
      </w:tr>
      <w:tr w:rsidR="00D549EE" w:rsidRPr="00D549EE" w14:paraId="36570A8A" w14:textId="77777777" w:rsidTr="00D549EE">
        <w:tc>
          <w:tcPr>
            <w:tcW w:w="1686" w:type="pct"/>
          </w:tcPr>
          <w:p w14:paraId="4330F5EF" w14:textId="77777777" w:rsidR="00D549EE" w:rsidRPr="00D549EE" w:rsidRDefault="00D549EE" w:rsidP="00D549EE">
            <w:pPr>
              <w:spacing w:after="120"/>
              <w:jc w:val="both"/>
              <w:rPr>
                <w:color w:val="000000" w:themeColor="text1"/>
                <w:lang w:val="en-US"/>
              </w:rPr>
            </w:pPr>
            <w:r w:rsidRPr="00D549EE">
              <w:rPr>
                <w:color w:val="000000" w:themeColor="text1"/>
                <w:lang w:val="en-US"/>
              </w:rPr>
              <w:t>Store «Do A Good Deed»</w:t>
            </w:r>
          </w:p>
        </w:tc>
        <w:tc>
          <w:tcPr>
            <w:tcW w:w="1703" w:type="pct"/>
          </w:tcPr>
          <w:p w14:paraId="4857AEF6" w14:textId="77777777" w:rsidR="00D549EE" w:rsidRPr="00D549EE" w:rsidRDefault="00D549EE" w:rsidP="00D549EE">
            <w:pPr>
              <w:spacing w:after="120"/>
              <w:jc w:val="both"/>
              <w:rPr>
                <w:color w:val="000000" w:themeColor="text1"/>
                <w:lang w:val="en-US"/>
              </w:rPr>
            </w:pPr>
            <w:r w:rsidRPr="00D549EE">
              <w:rPr>
                <w:color w:val="000000" w:themeColor="text1"/>
                <w:lang w:val="en-US"/>
              </w:rPr>
              <w:t xml:space="preserve">Almaty </w:t>
            </w:r>
          </w:p>
        </w:tc>
        <w:tc>
          <w:tcPr>
            <w:tcW w:w="1611" w:type="pct"/>
          </w:tcPr>
          <w:p w14:paraId="66DFE4BD" w14:textId="77777777" w:rsidR="00D549EE" w:rsidRPr="00D549EE" w:rsidRDefault="00D549EE" w:rsidP="00D549EE">
            <w:pPr>
              <w:spacing w:after="120"/>
              <w:jc w:val="both"/>
              <w:rPr>
                <w:color w:val="000000" w:themeColor="text1"/>
                <w:lang w:val="en-US"/>
              </w:rPr>
            </w:pPr>
            <w:r w:rsidRPr="00D549EE">
              <w:rPr>
                <w:color w:val="000000" w:themeColor="text1"/>
                <w:lang w:val="en-US"/>
              </w:rPr>
              <w:t>Abai street</w:t>
            </w:r>
            <w:r w:rsidRPr="00D549EE">
              <w:rPr>
                <w:color w:val="000000" w:themeColor="text1"/>
              </w:rPr>
              <w:t>, 52</w:t>
            </w:r>
            <w:r w:rsidRPr="00D549EE">
              <w:rPr>
                <w:color w:val="000000" w:themeColor="text1"/>
                <w:lang w:val="en-US"/>
              </w:rPr>
              <w:t>B</w:t>
            </w:r>
          </w:p>
        </w:tc>
      </w:tr>
      <w:tr w:rsidR="00D549EE" w:rsidRPr="00D549EE" w14:paraId="46BFF2A5" w14:textId="77777777" w:rsidTr="00D549EE">
        <w:tc>
          <w:tcPr>
            <w:tcW w:w="1686" w:type="pct"/>
          </w:tcPr>
          <w:p w14:paraId="443C2ED8" w14:textId="77777777" w:rsidR="00D549EE" w:rsidRPr="00D549EE" w:rsidRDefault="00D549EE" w:rsidP="00D549EE">
            <w:pPr>
              <w:spacing w:after="120"/>
              <w:jc w:val="both"/>
              <w:rPr>
                <w:color w:val="000000" w:themeColor="text1"/>
              </w:rPr>
            </w:pPr>
            <w:r w:rsidRPr="00D549EE">
              <w:rPr>
                <w:color w:val="000000" w:themeColor="text1"/>
              </w:rPr>
              <w:t>«The Good Store»</w:t>
            </w:r>
          </w:p>
        </w:tc>
        <w:tc>
          <w:tcPr>
            <w:tcW w:w="1703" w:type="pct"/>
          </w:tcPr>
          <w:p w14:paraId="53DDDEB9" w14:textId="77777777" w:rsidR="00D549EE" w:rsidRPr="00D549EE" w:rsidRDefault="00D549EE" w:rsidP="00D549EE">
            <w:pPr>
              <w:spacing w:after="120"/>
              <w:jc w:val="both"/>
              <w:rPr>
                <w:color w:val="000000" w:themeColor="text1"/>
                <w:lang w:val="en-US"/>
              </w:rPr>
            </w:pPr>
            <w:r w:rsidRPr="00D549EE">
              <w:rPr>
                <w:color w:val="000000" w:themeColor="text1"/>
                <w:lang w:val="en-US"/>
              </w:rPr>
              <w:t>Almaty</w:t>
            </w:r>
          </w:p>
        </w:tc>
        <w:tc>
          <w:tcPr>
            <w:tcW w:w="1611" w:type="pct"/>
          </w:tcPr>
          <w:p w14:paraId="01B63946" w14:textId="77777777" w:rsidR="00D549EE" w:rsidRPr="00D549EE" w:rsidRDefault="00D549EE" w:rsidP="00D549EE">
            <w:pPr>
              <w:spacing w:after="120"/>
              <w:jc w:val="both"/>
              <w:rPr>
                <w:color w:val="000000" w:themeColor="text1"/>
                <w:lang w:val="en-US"/>
              </w:rPr>
            </w:pPr>
            <w:r w:rsidRPr="00D549EE">
              <w:rPr>
                <w:color w:val="000000" w:themeColor="text1"/>
                <w:lang w:val="en-US"/>
              </w:rPr>
              <w:t>Nauryzbai Batyr street, 7B</w:t>
            </w:r>
          </w:p>
        </w:tc>
      </w:tr>
      <w:tr w:rsidR="00D549EE" w:rsidRPr="00D549EE" w14:paraId="2EBF5A45" w14:textId="77777777" w:rsidTr="00D549EE">
        <w:tc>
          <w:tcPr>
            <w:tcW w:w="1686" w:type="pct"/>
          </w:tcPr>
          <w:p w14:paraId="4CCC70F8" w14:textId="77777777" w:rsidR="00D549EE" w:rsidRPr="00D549EE" w:rsidRDefault="00D549EE" w:rsidP="00D549EE">
            <w:pPr>
              <w:spacing w:after="120"/>
              <w:jc w:val="both"/>
              <w:rPr>
                <w:color w:val="000000" w:themeColor="text1"/>
                <w:lang w:val="en-US"/>
              </w:rPr>
            </w:pPr>
            <w:r w:rsidRPr="00D549EE">
              <w:rPr>
                <w:color w:val="000000" w:themeColor="text1"/>
                <w:lang w:val="en-US"/>
              </w:rPr>
              <w:t>Second Hand shops</w:t>
            </w:r>
          </w:p>
        </w:tc>
        <w:tc>
          <w:tcPr>
            <w:tcW w:w="1703" w:type="pct"/>
          </w:tcPr>
          <w:p w14:paraId="5A16C072" w14:textId="77777777" w:rsidR="00D549EE" w:rsidRPr="00D549EE" w:rsidRDefault="00D549EE" w:rsidP="00D549EE">
            <w:pPr>
              <w:spacing w:after="120"/>
              <w:jc w:val="both"/>
              <w:rPr>
                <w:color w:val="000000" w:themeColor="text1"/>
                <w:lang w:val="en-US"/>
              </w:rPr>
            </w:pPr>
            <w:r w:rsidRPr="00D549EE">
              <w:rPr>
                <w:color w:val="000000" w:themeColor="text1"/>
                <w:lang w:val="en-US"/>
              </w:rPr>
              <w:t xml:space="preserve">Kazakhstan </w:t>
            </w:r>
          </w:p>
        </w:tc>
        <w:tc>
          <w:tcPr>
            <w:tcW w:w="1611" w:type="pct"/>
          </w:tcPr>
          <w:p w14:paraId="35E1B3E6" w14:textId="77777777" w:rsidR="00D549EE" w:rsidRPr="00D549EE" w:rsidRDefault="00D549EE" w:rsidP="00D549EE">
            <w:pPr>
              <w:spacing w:after="120"/>
              <w:jc w:val="both"/>
              <w:rPr>
                <w:color w:val="000000" w:themeColor="text1"/>
                <w:lang w:val="en-US"/>
              </w:rPr>
            </w:pPr>
            <w:r w:rsidRPr="00D549EE">
              <w:rPr>
                <w:color w:val="000000" w:themeColor="text1"/>
                <w:lang w:val="en-US"/>
              </w:rPr>
              <w:t xml:space="preserve">All cities </w:t>
            </w:r>
          </w:p>
        </w:tc>
      </w:tr>
      <w:tr w:rsidR="00D549EE" w:rsidRPr="00FC685D" w14:paraId="7F8EDC70" w14:textId="77777777" w:rsidTr="00D549EE">
        <w:tc>
          <w:tcPr>
            <w:tcW w:w="5000" w:type="pct"/>
            <w:gridSpan w:val="3"/>
          </w:tcPr>
          <w:p w14:paraId="7DF6C920" w14:textId="77777777" w:rsidR="00D549EE" w:rsidRPr="00D549EE" w:rsidRDefault="00D549EE" w:rsidP="00D549EE">
            <w:pPr>
              <w:spacing w:after="120"/>
              <w:jc w:val="both"/>
              <w:rPr>
                <w:color w:val="000000" w:themeColor="text1"/>
                <w:lang w:val="en-US"/>
              </w:rPr>
            </w:pPr>
            <w:r w:rsidRPr="00D549EE">
              <w:rPr>
                <w:color w:val="000000" w:themeColor="text1"/>
                <w:lang w:val="en-US"/>
              </w:rPr>
              <w:t>Note – Source: Portal “</w:t>
            </w:r>
            <w:r w:rsidRPr="00D549EE">
              <w:rPr>
                <w:i/>
                <w:color w:val="000000" w:themeColor="text1"/>
                <w:lang w:val="en-US"/>
              </w:rPr>
              <w:t>Shodim Almaty”</w:t>
            </w:r>
          </w:p>
        </w:tc>
      </w:tr>
    </w:tbl>
    <w:p w14:paraId="26ABB2CB" w14:textId="77777777" w:rsidR="00D549EE" w:rsidRPr="00D549EE" w:rsidRDefault="00D549EE" w:rsidP="00D549EE">
      <w:pPr>
        <w:pStyle w:val="a3"/>
        <w:spacing w:line="240" w:lineRule="auto"/>
        <w:ind w:left="0" w:firstLine="720"/>
        <w:jc w:val="both"/>
        <w:rPr>
          <w:rFonts w:ascii="Times New Roman" w:hAnsi="Times New Roman"/>
          <w:color w:val="000000" w:themeColor="text1"/>
          <w:sz w:val="24"/>
          <w:szCs w:val="24"/>
          <w:lang w:val="en-US"/>
        </w:rPr>
      </w:pPr>
    </w:p>
    <w:p w14:paraId="23F6E433" w14:textId="77777777" w:rsidR="00D549EE" w:rsidRPr="00D549EE" w:rsidRDefault="00D549EE" w:rsidP="00D549EE">
      <w:pPr>
        <w:jc w:val="both"/>
        <w:rPr>
          <w:lang w:val="en-US"/>
        </w:rPr>
      </w:pPr>
      <w:r w:rsidRPr="00D549EE">
        <w:rPr>
          <w:lang w:val="en-US"/>
        </w:rPr>
        <w:tab/>
        <w:t xml:space="preserve">As can be seen from table, there are shops and stores, which collect clothes and ether sale for lower price, than in the market, ether give clothes without special pre-sale preparation to the needy people. If to turn to the Second hand stores, mostly, clothes are delivered from aboard, and are sold by kilograms in little shops. </w:t>
      </w:r>
    </w:p>
    <w:p w14:paraId="519D32D2" w14:textId="77777777" w:rsidR="00D549EE" w:rsidRPr="00D549EE" w:rsidRDefault="00D549EE" w:rsidP="00D549EE">
      <w:pPr>
        <w:jc w:val="both"/>
        <w:rPr>
          <w:lang w:val="en-US"/>
        </w:rPr>
      </w:pPr>
      <w:r w:rsidRPr="00D549EE">
        <w:rPr>
          <w:lang w:val="en-US"/>
        </w:rPr>
        <w:tab/>
        <w:t xml:space="preserve">The difference and advantage of Ume social market is in large comfortable shop with fashionable design, where clothes, shoes and other house equipment sorted by shelves, the spacious and bright fitting rooms, the clothes are sorted by different brands from famous Italian designers to the Turkish products, all clothes and shoes must be in wearable condition and special prepared for the sale. </w:t>
      </w:r>
    </w:p>
    <w:p w14:paraId="16B38845" w14:textId="77777777" w:rsidR="00D549EE" w:rsidRPr="00D549EE" w:rsidRDefault="00D549EE" w:rsidP="00D549EE">
      <w:pPr>
        <w:jc w:val="both"/>
        <w:rPr>
          <w:lang w:val="en-US"/>
        </w:rPr>
      </w:pPr>
    </w:p>
    <w:p w14:paraId="007F7AB7" w14:textId="77777777" w:rsidR="00D549EE" w:rsidRPr="00D549EE" w:rsidRDefault="00D549EE" w:rsidP="00D549EE">
      <w:pPr>
        <w:jc w:val="both"/>
        <w:rPr>
          <w:i/>
          <w:lang w:val="en-US"/>
        </w:rPr>
      </w:pPr>
      <w:r w:rsidRPr="00D549EE">
        <w:rPr>
          <w:lang w:val="en-US"/>
        </w:rPr>
        <w:tab/>
      </w:r>
      <w:r w:rsidRPr="00D549EE">
        <w:rPr>
          <w:i/>
          <w:lang w:val="en-US"/>
        </w:rPr>
        <w:t>Marketing strategy.</w:t>
      </w:r>
    </w:p>
    <w:p w14:paraId="35936213" w14:textId="77777777" w:rsidR="00D549EE" w:rsidRPr="00D549EE" w:rsidRDefault="00D549EE" w:rsidP="00D549EE">
      <w:pPr>
        <w:jc w:val="both"/>
        <w:rPr>
          <w:lang w:val="en-US"/>
        </w:rPr>
      </w:pPr>
      <w:r w:rsidRPr="00D549EE">
        <w:rPr>
          <w:lang w:val="en-US"/>
        </w:rPr>
        <w:tab/>
        <w:t xml:space="preserve">Promotion </w:t>
      </w:r>
    </w:p>
    <w:p w14:paraId="72263117" w14:textId="77777777" w:rsidR="00D549EE" w:rsidRPr="00D549EE" w:rsidRDefault="00D549EE" w:rsidP="00D549EE">
      <w:pPr>
        <w:jc w:val="both"/>
        <w:rPr>
          <w:lang w:val="en-US"/>
        </w:rPr>
      </w:pPr>
      <w:r w:rsidRPr="00D549EE">
        <w:rPr>
          <w:lang w:val="en-US"/>
        </w:rPr>
        <w:tab/>
        <w:t>The main task of marketing activities is to occupy a stable position in the market. In this regard, within the framework of the project, the following measures are assumed for sustainable positioning in the market and organizing the expansion of the customer base in the company:</w:t>
      </w:r>
    </w:p>
    <w:p w14:paraId="3E3641E2" w14:textId="77777777" w:rsidR="00D549EE" w:rsidRPr="00D549EE" w:rsidRDefault="00D549EE" w:rsidP="00D549EE">
      <w:pPr>
        <w:jc w:val="both"/>
        <w:rPr>
          <w:lang w:val="en-US"/>
        </w:rPr>
      </w:pPr>
      <w:r w:rsidRPr="00D549EE">
        <w:rPr>
          <w:lang w:val="en-US"/>
        </w:rPr>
        <w:tab/>
        <w:t>1. Creating an Internet site. Promotion of an online store in the network.</w:t>
      </w:r>
    </w:p>
    <w:p w14:paraId="428A3EC3" w14:textId="77777777" w:rsidR="00D549EE" w:rsidRPr="00D549EE" w:rsidRDefault="00D549EE" w:rsidP="00D549EE">
      <w:pPr>
        <w:jc w:val="both"/>
        <w:rPr>
          <w:lang w:val="en-US"/>
        </w:rPr>
      </w:pPr>
      <w:r w:rsidRPr="00D549EE">
        <w:rPr>
          <w:lang w:val="en-US"/>
        </w:rPr>
        <w:tab/>
        <w:t>2. Create an Instagram account. Launch targeted ads on Instagram; Advertising on Instagram allows you to include ads by geolocation, so that customer coverage will be based on the location of the store;</w:t>
      </w:r>
    </w:p>
    <w:p w14:paraId="4C969981" w14:textId="77777777" w:rsidR="00D549EE" w:rsidRPr="00D549EE" w:rsidRDefault="00D549EE" w:rsidP="00D549EE">
      <w:pPr>
        <w:jc w:val="both"/>
        <w:rPr>
          <w:lang w:val="en-US"/>
        </w:rPr>
      </w:pPr>
      <w:r w:rsidRPr="00D549EE">
        <w:rPr>
          <w:lang w:val="en-US"/>
        </w:rPr>
        <w:tab/>
        <w:t>3. Distribution of leaflets, booklets;</w:t>
      </w:r>
    </w:p>
    <w:p w14:paraId="488BBB76" w14:textId="77777777" w:rsidR="00D549EE" w:rsidRPr="00D549EE" w:rsidRDefault="00D549EE" w:rsidP="00D549EE">
      <w:pPr>
        <w:jc w:val="both"/>
        <w:rPr>
          <w:lang w:val="en-US"/>
        </w:rPr>
      </w:pPr>
      <w:r w:rsidRPr="00D549EE">
        <w:rPr>
          <w:lang w:val="en-US"/>
        </w:rPr>
        <w:tab/>
        <w:t xml:space="preserve">4. Using assistants of the famous bloggers, showmen and actors, </w:t>
      </w:r>
    </w:p>
    <w:p w14:paraId="33A3704A" w14:textId="77777777" w:rsidR="00D549EE" w:rsidRPr="00D549EE" w:rsidRDefault="00D549EE" w:rsidP="00D549EE">
      <w:pPr>
        <w:jc w:val="both"/>
        <w:rPr>
          <w:lang w:val="en-US"/>
        </w:rPr>
      </w:pPr>
      <w:r w:rsidRPr="00D549EE">
        <w:rPr>
          <w:color w:val="000000" w:themeColor="text1"/>
          <w:lang w:val="en-US"/>
        </w:rPr>
        <w:tab/>
        <w:t xml:space="preserve">5. Most of the promotions will be made by word of mouth. Because of good location which is in a crowded location it will attract a lot of clients. </w:t>
      </w:r>
    </w:p>
    <w:p w14:paraId="2017993B" w14:textId="77777777" w:rsidR="00D549EE" w:rsidRPr="00D549EE" w:rsidRDefault="00D549EE" w:rsidP="00D549EE">
      <w:pPr>
        <w:jc w:val="both"/>
        <w:rPr>
          <w:rFonts w:eastAsia="Arial"/>
          <w:color w:val="000000" w:themeColor="text1"/>
          <w:lang w:val="en-US"/>
        </w:rPr>
      </w:pPr>
      <w:r w:rsidRPr="00D549EE">
        <w:rPr>
          <w:rFonts w:eastAsia="Arial"/>
          <w:color w:val="000000" w:themeColor="text1"/>
          <w:lang w:val="en-US"/>
        </w:rPr>
        <w:tab/>
        <w:t xml:space="preserve">6. Also using social networks like the 2GIS, which will give more advantages for promoting the business. </w:t>
      </w:r>
    </w:p>
    <w:p w14:paraId="445E37D0" w14:textId="77777777" w:rsidR="00D549EE" w:rsidRPr="00D549EE" w:rsidRDefault="00D549EE" w:rsidP="00D549EE">
      <w:pPr>
        <w:jc w:val="both"/>
        <w:rPr>
          <w:lang w:val="en-US"/>
        </w:rPr>
      </w:pPr>
    </w:p>
    <w:p w14:paraId="6D8FF60F" w14:textId="77777777" w:rsidR="00D549EE" w:rsidRPr="00D549EE" w:rsidRDefault="00D549EE" w:rsidP="00D549EE">
      <w:pPr>
        <w:jc w:val="both"/>
        <w:rPr>
          <w:rFonts w:eastAsia="Arial"/>
          <w:i/>
          <w:color w:val="000000" w:themeColor="text1"/>
          <w:lang w:val="en-US"/>
        </w:rPr>
      </w:pPr>
      <w:r w:rsidRPr="00D549EE">
        <w:rPr>
          <w:rFonts w:eastAsia="Arial"/>
          <w:i/>
          <w:color w:val="000000" w:themeColor="text1"/>
          <w:lang w:val="en-US"/>
        </w:rPr>
        <w:tab/>
        <w:t>Price.</w:t>
      </w:r>
    </w:p>
    <w:p w14:paraId="46DF92F0" w14:textId="77777777" w:rsidR="00D549EE" w:rsidRPr="00D549EE" w:rsidRDefault="00D549EE" w:rsidP="00D549EE">
      <w:pPr>
        <w:jc w:val="both"/>
        <w:rPr>
          <w:rFonts w:eastAsia="Arial"/>
          <w:color w:val="000000" w:themeColor="text1"/>
          <w:lang w:val="en-US"/>
        </w:rPr>
      </w:pPr>
      <w:r w:rsidRPr="00D549EE">
        <w:rPr>
          <w:rFonts w:eastAsia="Arial"/>
          <w:color w:val="000000" w:themeColor="text1"/>
          <w:lang w:val="en-US"/>
        </w:rPr>
        <w:tab/>
        <w:t xml:space="preserve">The average price for product unit will be fixed, for new clothes and shoes till 10 US dollars or 4200 tenge, for used clothes or shoes fixed price till 5 US dollars tenge (200, 500, 1000, 1500, 2000). </w:t>
      </w:r>
    </w:p>
    <w:p w14:paraId="0A14D3D6" w14:textId="77777777" w:rsidR="00D549EE" w:rsidRPr="00D549EE" w:rsidRDefault="00D549EE" w:rsidP="00D549EE">
      <w:pPr>
        <w:jc w:val="both"/>
        <w:rPr>
          <w:lang w:val="en-US"/>
        </w:rPr>
      </w:pPr>
    </w:p>
    <w:p w14:paraId="5C0F79A1" w14:textId="77777777" w:rsidR="00D549EE" w:rsidRPr="00D549EE" w:rsidRDefault="00D549EE" w:rsidP="00D549EE">
      <w:pPr>
        <w:spacing w:after="240"/>
        <w:jc w:val="both"/>
        <w:rPr>
          <w:rFonts w:eastAsia="Calibri"/>
          <w:i/>
          <w:color w:val="000000" w:themeColor="text1"/>
          <w:lang w:val="en-US"/>
        </w:rPr>
      </w:pPr>
      <w:r w:rsidRPr="00D549EE">
        <w:rPr>
          <w:i/>
          <w:color w:val="000000" w:themeColor="text1"/>
          <w:lang w:val="en-US"/>
        </w:rPr>
        <w:tab/>
        <w:t>Customer service policy</w:t>
      </w:r>
    </w:p>
    <w:p w14:paraId="58B9FADD" w14:textId="77777777" w:rsidR="00D549EE" w:rsidRPr="00D549EE" w:rsidRDefault="00D549EE" w:rsidP="00D549EE">
      <w:pPr>
        <w:pStyle w:val="a5"/>
        <w:jc w:val="both"/>
        <w:rPr>
          <w:i/>
          <w:color w:val="000000" w:themeColor="text1"/>
          <w:lang w:val="en-US"/>
        </w:rPr>
      </w:pPr>
      <w:r w:rsidRPr="00D549EE">
        <w:rPr>
          <w:i/>
          <w:color w:val="000000" w:themeColor="text1"/>
          <w:lang w:val="en-US"/>
        </w:rPr>
        <w:tab/>
        <w:t xml:space="preserve">Policy Statement </w:t>
      </w:r>
    </w:p>
    <w:p w14:paraId="71D9E745" w14:textId="77777777" w:rsidR="00D549EE" w:rsidRPr="00D549EE" w:rsidRDefault="00D549EE" w:rsidP="00D549EE">
      <w:pPr>
        <w:pStyle w:val="a5"/>
        <w:jc w:val="both"/>
        <w:rPr>
          <w:color w:val="000000" w:themeColor="text1"/>
          <w:lang w:val="en-US"/>
        </w:rPr>
      </w:pPr>
      <w:r w:rsidRPr="00D549EE">
        <w:rPr>
          <w:color w:val="000000" w:themeColor="text1"/>
          <w:lang w:val="en-US"/>
        </w:rPr>
        <w:tab/>
        <w:t xml:space="preserve">Customer service is a top priority of the social market. All customers will be treated promptly and respectfully without regard to age, gender, sexual orientation, race, ethnicity, disability, language proficiency, social or economic status. </w:t>
      </w:r>
    </w:p>
    <w:p w14:paraId="4F8A2CFD" w14:textId="77777777" w:rsidR="00D549EE" w:rsidRPr="00D549EE" w:rsidRDefault="00D549EE" w:rsidP="00D549EE">
      <w:pPr>
        <w:pStyle w:val="a5"/>
        <w:jc w:val="both"/>
        <w:rPr>
          <w:i/>
          <w:color w:val="000000" w:themeColor="text1"/>
        </w:rPr>
      </w:pPr>
      <w:r w:rsidRPr="00D549EE">
        <w:rPr>
          <w:i/>
          <w:color w:val="000000" w:themeColor="text1"/>
          <w:lang w:val="en-US"/>
        </w:rPr>
        <w:tab/>
      </w:r>
      <w:r w:rsidRPr="00D549EE">
        <w:rPr>
          <w:i/>
          <w:color w:val="000000" w:themeColor="text1"/>
        </w:rPr>
        <w:t xml:space="preserve">Regulations </w:t>
      </w:r>
    </w:p>
    <w:p w14:paraId="02ECC78C"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Staff members are responsible for providing the best customer service possible and are empowered to make decisions that will ensure the best experience for each customer while balancing the needs of the individual with the overall needs of social market customers.</w:t>
      </w:r>
    </w:p>
    <w:p w14:paraId="50AFECF9"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 xml:space="preserve">When answering the phone, a social market employee will identify him or herself and the department in which (s)he works. All staff will wear name tags so that customers can recognize them as the social market employees. </w:t>
      </w:r>
    </w:p>
    <w:p w14:paraId="0822DF42"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 xml:space="preserve">Staff will assist customers on a first come, first served basis to the extent possible without infringing on the service needs of other customers. </w:t>
      </w:r>
    </w:p>
    <w:p w14:paraId="3CDBA671"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 xml:space="preserve">Staff members will enable successful social market use by assisting customers with the market resources and equipment. </w:t>
      </w:r>
    </w:p>
    <w:p w14:paraId="518D111F"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 xml:space="preserve">In cases where the social market resources are not sufficient to meet customer demand, staff will offer to leave a request, and try to find the necessary clothes, shoes or house equipment. Whenever possible staff will contact the agency to which a customer is being referred to ensure that the information, material or equipment needed is available. </w:t>
      </w:r>
    </w:p>
    <w:p w14:paraId="2BD6A476"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 xml:space="preserve">A customer with complaints about the service received or about social market policy shall be referred to the senior staff on duty at the time or to the market director. The business cards of senior staff and the market director are available at all service desks. </w:t>
      </w:r>
    </w:p>
    <w:p w14:paraId="6470004E"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The place of sale must be provided with a sufficient offer and a varied selection of products</w:t>
      </w:r>
    </w:p>
    <w:p w14:paraId="37C8AE71"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Employees must be well trained and know all information about the product.</w:t>
      </w:r>
    </w:p>
    <w:p w14:paraId="28D8F36D"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The buyer has the right to place an order for any product in stock.</w:t>
      </w:r>
    </w:p>
    <w:p w14:paraId="25FF764A" w14:textId="77777777"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 xml:space="preserve"> Each item can be presented in the order in any quantity.</w:t>
      </w:r>
    </w:p>
    <w:p w14:paraId="76DC6707" w14:textId="5D182CF2" w:rsidR="00D549EE" w:rsidRPr="00D549EE" w:rsidRDefault="00D549EE" w:rsidP="00D549EE">
      <w:pPr>
        <w:pStyle w:val="a5"/>
        <w:numPr>
          <w:ilvl w:val="0"/>
          <w:numId w:val="36"/>
        </w:numPr>
        <w:jc w:val="both"/>
        <w:rPr>
          <w:color w:val="000000" w:themeColor="text1"/>
          <w:lang w:val="en-US"/>
        </w:rPr>
      </w:pPr>
      <w:r w:rsidRPr="00D549EE">
        <w:rPr>
          <w:color w:val="000000" w:themeColor="text1"/>
          <w:lang w:val="en-US"/>
        </w:rPr>
        <w:t xml:space="preserve"> In the absence of goods in stock, the Manager of the company is obliged to inform the Buyer.</w:t>
      </w:r>
    </w:p>
    <w:p w14:paraId="00696B63" w14:textId="77777777" w:rsidR="00D549EE" w:rsidRPr="00D549EE" w:rsidRDefault="00D549EE" w:rsidP="00D549EE">
      <w:pPr>
        <w:pStyle w:val="1"/>
        <w:rPr>
          <w:rFonts w:ascii="Times New Roman" w:hAnsi="Times New Roman" w:cs="Times New Roman"/>
          <w:b/>
          <w:smallCaps/>
          <w:color w:val="000000" w:themeColor="text1"/>
          <w:sz w:val="24"/>
          <w:szCs w:val="24"/>
          <w:lang w:val="en-US"/>
        </w:rPr>
      </w:pPr>
      <w:bookmarkStart w:id="5" w:name="_Toc58237898"/>
      <w:r w:rsidRPr="00D549EE">
        <w:rPr>
          <w:rFonts w:ascii="Times New Roman" w:hAnsi="Times New Roman" w:cs="Times New Roman"/>
          <w:b/>
          <w:smallCaps/>
          <w:color w:val="000000" w:themeColor="text1"/>
          <w:sz w:val="24"/>
          <w:szCs w:val="24"/>
          <w:lang w:val="en-US"/>
        </w:rPr>
        <w:t>Section 4. Operating Plan</w:t>
      </w:r>
      <w:bookmarkEnd w:id="5"/>
    </w:p>
    <w:p w14:paraId="6749618C" w14:textId="77777777" w:rsidR="00D549EE" w:rsidRPr="00D549EE" w:rsidRDefault="00D549EE" w:rsidP="00D549EE">
      <w:pPr>
        <w:rPr>
          <w:lang w:val="en-US"/>
        </w:rPr>
      </w:pPr>
    </w:p>
    <w:p w14:paraId="053014A0" w14:textId="77777777" w:rsidR="00D549EE" w:rsidRPr="00D549EE" w:rsidRDefault="00D549EE" w:rsidP="00D549EE">
      <w:pPr>
        <w:spacing w:after="120"/>
        <w:contextualSpacing/>
        <w:rPr>
          <w:i/>
          <w:color w:val="000000" w:themeColor="text1"/>
          <w:lang w:val="en-US"/>
        </w:rPr>
      </w:pPr>
      <w:r w:rsidRPr="00D549EE">
        <w:rPr>
          <w:i/>
          <w:color w:val="000000" w:themeColor="text1"/>
          <w:lang w:val="en-US"/>
        </w:rPr>
        <w:tab/>
        <w:t>Legal form of the business</w:t>
      </w:r>
    </w:p>
    <w:p w14:paraId="2093FB0B" w14:textId="77777777" w:rsidR="00D549EE" w:rsidRPr="00D549EE" w:rsidRDefault="00D549EE" w:rsidP="00D549EE">
      <w:pPr>
        <w:spacing w:after="120"/>
        <w:contextualSpacing/>
        <w:rPr>
          <w:i/>
          <w:color w:val="000000" w:themeColor="text1"/>
          <w:lang w:val="en-US"/>
        </w:rPr>
      </w:pPr>
    </w:p>
    <w:p w14:paraId="6812A252" w14:textId="77777777" w:rsidR="00D549EE" w:rsidRPr="00D549EE" w:rsidRDefault="00D549EE" w:rsidP="00D549EE">
      <w:pPr>
        <w:contextualSpacing/>
        <w:jc w:val="both"/>
        <w:rPr>
          <w:color w:val="000000" w:themeColor="text1"/>
          <w:lang w:val="en-US"/>
        </w:rPr>
      </w:pPr>
      <w:r w:rsidRPr="00D549EE">
        <w:rPr>
          <w:color w:val="000000" w:themeColor="text1"/>
          <w:lang w:val="en-US"/>
        </w:rPr>
        <w:tab/>
        <w:t xml:space="preserve">It is planned that the business will be considered an individual enterprise on simplified declaration owned one of the founders of the Ume Social Services non-commercial public organization. The name of the enterprise is “Ume Social Market”, and there is assumption that business will benefit from special tax regime. </w:t>
      </w:r>
    </w:p>
    <w:p w14:paraId="2DEA0F03" w14:textId="77777777" w:rsidR="00D549EE" w:rsidRPr="00D549EE" w:rsidRDefault="00D549EE" w:rsidP="00D549EE">
      <w:pPr>
        <w:contextualSpacing/>
        <w:jc w:val="both"/>
        <w:rPr>
          <w:color w:val="000000" w:themeColor="text1"/>
          <w:lang w:val="en-US"/>
        </w:rPr>
      </w:pPr>
    </w:p>
    <w:p w14:paraId="074EBD29" w14:textId="77777777" w:rsidR="00D549EE" w:rsidRPr="00D549EE" w:rsidRDefault="00D549EE" w:rsidP="00D549EE">
      <w:pPr>
        <w:spacing w:after="120"/>
        <w:contextualSpacing/>
        <w:rPr>
          <w:i/>
          <w:color w:val="000000" w:themeColor="text1"/>
          <w:lang w:val="en-US"/>
        </w:rPr>
      </w:pPr>
      <w:r w:rsidRPr="00D549EE">
        <w:rPr>
          <w:i/>
          <w:color w:val="000000" w:themeColor="text1"/>
          <w:lang w:val="en-US"/>
        </w:rPr>
        <w:tab/>
        <w:t>Organizational structure</w:t>
      </w:r>
    </w:p>
    <w:p w14:paraId="72BB83EA" w14:textId="77777777" w:rsidR="00D549EE" w:rsidRPr="00D549EE" w:rsidRDefault="00D549EE" w:rsidP="00D549EE">
      <w:pPr>
        <w:spacing w:after="120"/>
        <w:contextualSpacing/>
        <w:rPr>
          <w:i/>
          <w:color w:val="000000" w:themeColor="text1"/>
          <w:lang w:val="en-US"/>
        </w:rPr>
      </w:pPr>
    </w:p>
    <w:p w14:paraId="1EC0A6CA" w14:textId="77777777" w:rsidR="00D549EE" w:rsidRPr="00D549EE" w:rsidRDefault="00D549EE" w:rsidP="00D549EE">
      <w:pPr>
        <w:contextualSpacing/>
        <w:jc w:val="both"/>
        <w:rPr>
          <w:color w:val="000000" w:themeColor="text1"/>
          <w:lang w:val="en-US"/>
        </w:rPr>
      </w:pPr>
      <w:r w:rsidRPr="00D549EE">
        <w:rPr>
          <w:color w:val="000000" w:themeColor="text1"/>
          <w:lang w:val="en-US"/>
        </w:rPr>
        <w:tab/>
        <w:t>Business is a start-up and will count as a small business, that is why in the beginning it will not have a big range of staff.</w:t>
      </w:r>
    </w:p>
    <w:p w14:paraId="5FCB53BF" w14:textId="77777777" w:rsidR="00D549EE" w:rsidRPr="00D549EE" w:rsidRDefault="00D549EE" w:rsidP="00D549EE">
      <w:pPr>
        <w:contextualSpacing/>
        <w:jc w:val="both"/>
        <w:rPr>
          <w:color w:val="000000" w:themeColor="text1"/>
          <w:lang w:val="en-US"/>
        </w:rPr>
      </w:pPr>
      <w:r w:rsidRPr="00D549EE">
        <w:rPr>
          <w:color w:val="000000" w:themeColor="text1"/>
          <w:lang w:val="en-US"/>
        </w:rPr>
        <w:tab/>
        <w:t xml:space="preserve">According to the chart, Social market in the head of it will be a Director-administrator, will manage all financial flows and the general situation in the enterprise. We suppose that it would be more efficient if our entrepreneur will work as both director and administrator in order to reduce unfavorable salary expenses. In order to reduce cost further it would be beneficial to outsource accounting process. It will be less costly than employing personal accountant to the firm. During the first year there will be hired only 2 salesperson for 2/2, starting from the second year. Other services of sorting, cleaning, preparing for the sale, and also transportation from applicants will be provided by volunteers and founders. </w:t>
      </w:r>
    </w:p>
    <w:p w14:paraId="1658A15A" w14:textId="77777777" w:rsidR="00D549EE" w:rsidRPr="00D549EE" w:rsidRDefault="00D549EE" w:rsidP="00D549EE">
      <w:pPr>
        <w:spacing w:after="120"/>
        <w:contextualSpacing/>
        <w:rPr>
          <w:color w:val="000000" w:themeColor="text1"/>
          <w:lang w:val="en-US"/>
        </w:rPr>
      </w:pPr>
    </w:p>
    <w:p w14:paraId="6132C0CD" w14:textId="77777777" w:rsidR="00D549EE" w:rsidRPr="00D549EE" w:rsidRDefault="00D549EE" w:rsidP="00D549EE">
      <w:pPr>
        <w:spacing w:after="120"/>
        <w:contextualSpacing/>
        <w:jc w:val="both"/>
        <w:rPr>
          <w:i/>
          <w:color w:val="000000" w:themeColor="text1"/>
          <w:lang w:val="en-US"/>
        </w:rPr>
      </w:pPr>
      <w:r w:rsidRPr="00D549EE">
        <w:rPr>
          <w:i/>
          <w:color w:val="000000" w:themeColor="text1"/>
          <w:lang w:val="en-US"/>
        </w:rPr>
        <w:tab/>
        <w:t>Business location and requirements / infrastructure / lease details</w:t>
      </w:r>
    </w:p>
    <w:p w14:paraId="731B60C5" w14:textId="77777777" w:rsidR="00D549EE" w:rsidRPr="00D549EE" w:rsidRDefault="00D549EE" w:rsidP="00D549EE">
      <w:pPr>
        <w:contextualSpacing/>
        <w:jc w:val="both"/>
        <w:rPr>
          <w:color w:val="000000" w:themeColor="text1"/>
          <w:lang w:val="en-US"/>
        </w:rPr>
      </w:pPr>
      <w:r w:rsidRPr="00D549EE">
        <w:rPr>
          <w:color w:val="000000" w:themeColor="text1"/>
          <w:lang w:val="en-US"/>
        </w:rPr>
        <w:tab/>
        <w:t>Direct costs and overheads</w:t>
      </w:r>
    </w:p>
    <w:p w14:paraId="7C5C5FC5" w14:textId="77777777" w:rsidR="00D549EE" w:rsidRPr="00D549EE" w:rsidRDefault="00D549EE" w:rsidP="00D549EE">
      <w:pPr>
        <w:contextualSpacing/>
        <w:jc w:val="both"/>
        <w:rPr>
          <w:color w:val="000000" w:themeColor="text1"/>
          <w:lang w:val="en-US"/>
        </w:rPr>
      </w:pPr>
      <w:r w:rsidRPr="00D549EE">
        <w:rPr>
          <w:color w:val="000000" w:themeColor="text1"/>
          <w:lang w:val="en-US"/>
        </w:rPr>
        <w:tab/>
        <w:t>Operating expenses include the cost of acquiring the premises, general costs and personnel costs. All general expenses in the business plan, indicating the timing and number of payments for them, are presented in the table below. The amount of costs is indicated in current prices, including VAT, calculated for one year. Starting from the second year of the project, an increase in overhead costs is expected in accordance with the change in the consumer price index.</w:t>
      </w:r>
    </w:p>
    <w:p w14:paraId="7ED312A8" w14:textId="77777777" w:rsidR="00D549EE" w:rsidRPr="00D549EE" w:rsidRDefault="00D549EE" w:rsidP="00D549EE">
      <w:pPr>
        <w:contextualSpacing/>
        <w:jc w:val="both"/>
        <w:rPr>
          <w:color w:val="000000" w:themeColor="text1"/>
          <w:lang w:val="en-US"/>
        </w:rPr>
      </w:pPr>
    </w:p>
    <w:p w14:paraId="027FAE3F" w14:textId="27562054" w:rsidR="00D549EE" w:rsidRPr="00D549EE" w:rsidRDefault="00D549EE" w:rsidP="00D549EE">
      <w:pPr>
        <w:contextualSpacing/>
        <w:jc w:val="both"/>
        <w:rPr>
          <w:color w:val="000000" w:themeColor="text1"/>
          <w:lang w:val="en-US"/>
        </w:rPr>
      </w:pPr>
      <w:r w:rsidRPr="00D549EE">
        <w:rPr>
          <w:color w:val="000000" w:themeColor="text1"/>
          <w:lang w:val="en-US"/>
        </w:rPr>
        <w:t>Table 2</w:t>
      </w:r>
      <w:r>
        <w:rPr>
          <w:color w:val="000000" w:themeColor="text1"/>
          <w:lang w:val="en-US"/>
        </w:rPr>
        <w:t xml:space="preserve"> -</w:t>
      </w:r>
      <w:r w:rsidRPr="00D549EE">
        <w:rPr>
          <w:color w:val="000000" w:themeColor="text1"/>
          <w:lang w:val="en-US"/>
        </w:rPr>
        <w:t xml:space="preserve"> Equipment cost for Social market.</w:t>
      </w:r>
    </w:p>
    <w:p w14:paraId="774C5A0F" w14:textId="77777777" w:rsidR="00D549EE" w:rsidRPr="00D549EE" w:rsidRDefault="00D549EE" w:rsidP="00D549EE">
      <w:pPr>
        <w:contextualSpacing/>
        <w:jc w:val="both"/>
        <w:rPr>
          <w:color w:val="000000" w:themeColor="text1"/>
          <w:lang w:val="en-US"/>
        </w:rPr>
      </w:pPr>
    </w:p>
    <w:tbl>
      <w:tblPr>
        <w:tblStyle w:val="a9"/>
        <w:tblW w:w="0" w:type="auto"/>
        <w:tblLook w:val="04A0" w:firstRow="1" w:lastRow="0" w:firstColumn="1" w:lastColumn="0" w:noHBand="0" w:noVBand="1"/>
      </w:tblPr>
      <w:tblGrid>
        <w:gridCol w:w="3973"/>
        <w:gridCol w:w="1276"/>
        <w:gridCol w:w="1418"/>
        <w:gridCol w:w="1456"/>
      </w:tblGrid>
      <w:tr w:rsidR="00D549EE" w:rsidRPr="00D549EE" w14:paraId="3FD55BEE" w14:textId="77777777" w:rsidTr="00D549EE">
        <w:tc>
          <w:tcPr>
            <w:tcW w:w="3973" w:type="dxa"/>
          </w:tcPr>
          <w:p w14:paraId="4727F3FA" w14:textId="77777777" w:rsidR="00D549EE" w:rsidRPr="00D549EE" w:rsidRDefault="00D549EE" w:rsidP="00D549EE">
            <w:pPr>
              <w:contextualSpacing/>
              <w:rPr>
                <w:b/>
                <w:color w:val="000000" w:themeColor="text1"/>
                <w:lang w:val="en-US"/>
              </w:rPr>
            </w:pPr>
            <w:r w:rsidRPr="00D549EE">
              <w:rPr>
                <w:b/>
                <w:color w:val="000000" w:themeColor="text1"/>
                <w:lang w:val="en-US"/>
              </w:rPr>
              <w:t>Furniture/Equipment</w:t>
            </w:r>
          </w:p>
        </w:tc>
        <w:tc>
          <w:tcPr>
            <w:tcW w:w="1276" w:type="dxa"/>
          </w:tcPr>
          <w:p w14:paraId="62C79868" w14:textId="77777777" w:rsidR="00D549EE" w:rsidRPr="00D549EE" w:rsidRDefault="00D549EE" w:rsidP="00D549EE">
            <w:pPr>
              <w:contextualSpacing/>
              <w:rPr>
                <w:b/>
                <w:color w:val="000000" w:themeColor="text1"/>
                <w:lang w:val="en-US"/>
              </w:rPr>
            </w:pPr>
            <w:r w:rsidRPr="00D549EE">
              <w:rPr>
                <w:b/>
                <w:color w:val="000000" w:themeColor="text1"/>
                <w:lang w:val="en-US"/>
              </w:rPr>
              <w:t>Tenge</w:t>
            </w:r>
          </w:p>
        </w:tc>
        <w:tc>
          <w:tcPr>
            <w:tcW w:w="1418" w:type="dxa"/>
          </w:tcPr>
          <w:p w14:paraId="1E2EBEC7" w14:textId="77777777" w:rsidR="00D549EE" w:rsidRPr="00D549EE" w:rsidRDefault="00D549EE" w:rsidP="00D549EE">
            <w:pPr>
              <w:contextualSpacing/>
              <w:rPr>
                <w:b/>
                <w:color w:val="000000" w:themeColor="text1"/>
                <w:lang w:val="en-US"/>
              </w:rPr>
            </w:pPr>
            <w:r w:rsidRPr="00D549EE">
              <w:rPr>
                <w:b/>
                <w:color w:val="000000" w:themeColor="text1"/>
                <w:lang w:val="en-US"/>
              </w:rPr>
              <w:t>Years</w:t>
            </w:r>
          </w:p>
        </w:tc>
        <w:tc>
          <w:tcPr>
            <w:tcW w:w="1380" w:type="dxa"/>
          </w:tcPr>
          <w:p w14:paraId="0259887A" w14:textId="77777777" w:rsidR="00D549EE" w:rsidRPr="00D549EE" w:rsidRDefault="00D549EE" w:rsidP="00D549EE">
            <w:pPr>
              <w:contextualSpacing/>
              <w:rPr>
                <w:b/>
                <w:color w:val="000000" w:themeColor="text1"/>
                <w:lang w:val="en-US"/>
              </w:rPr>
            </w:pPr>
            <w:r w:rsidRPr="00D549EE">
              <w:rPr>
                <w:color w:val="000000" w:themeColor="text1"/>
                <w:lang w:val="en-US"/>
              </w:rPr>
              <w:t>Depreciation</w:t>
            </w:r>
          </w:p>
        </w:tc>
      </w:tr>
      <w:tr w:rsidR="00D549EE" w:rsidRPr="00D549EE" w14:paraId="7CB44FD3" w14:textId="77777777" w:rsidTr="00D549EE">
        <w:tc>
          <w:tcPr>
            <w:tcW w:w="3973" w:type="dxa"/>
          </w:tcPr>
          <w:p w14:paraId="7734885C" w14:textId="77777777" w:rsidR="00D549EE" w:rsidRPr="00D549EE" w:rsidRDefault="00D549EE" w:rsidP="00D549EE">
            <w:pPr>
              <w:contextualSpacing/>
              <w:rPr>
                <w:color w:val="000000" w:themeColor="text1"/>
                <w:lang w:val="en-US"/>
              </w:rPr>
            </w:pPr>
            <w:r w:rsidRPr="00D549EE">
              <w:rPr>
                <w:color w:val="000000" w:themeColor="text1"/>
                <w:lang w:val="en-US"/>
              </w:rPr>
              <w:t>Retail racks</w:t>
            </w:r>
          </w:p>
        </w:tc>
        <w:tc>
          <w:tcPr>
            <w:tcW w:w="1276" w:type="dxa"/>
          </w:tcPr>
          <w:p w14:paraId="35602C88" w14:textId="77777777" w:rsidR="00D549EE" w:rsidRPr="00D549EE" w:rsidRDefault="00D549EE" w:rsidP="00D549EE">
            <w:pPr>
              <w:contextualSpacing/>
              <w:rPr>
                <w:color w:val="000000" w:themeColor="text1"/>
                <w:lang w:val="en-US"/>
              </w:rPr>
            </w:pPr>
            <w:r w:rsidRPr="00D549EE">
              <w:rPr>
                <w:color w:val="000000" w:themeColor="text1"/>
                <w:lang w:val="en-US"/>
              </w:rPr>
              <w:t>430000</w:t>
            </w:r>
          </w:p>
        </w:tc>
        <w:tc>
          <w:tcPr>
            <w:tcW w:w="1418" w:type="dxa"/>
          </w:tcPr>
          <w:p w14:paraId="459921AA" w14:textId="77777777" w:rsidR="00D549EE" w:rsidRPr="00D549EE" w:rsidRDefault="00D549EE" w:rsidP="00D549EE">
            <w:pPr>
              <w:contextualSpacing/>
              <w:rPr>
                <w:color w:val="000000" w:themeColor="text1"/>
                <w:lang w:val="en-US"/>
              </w:rPr>
            </w:pPr>
            <w:r w:rsidRPr="00D549EE">
              <w:rPr>
                <w:color w:val="000000" w:themeColor="text1"/>
                <w:lang w:val="en-US"/>
              </w:rPr>
              <w:t>7</w:t>
            </w:r>
          </w:p>
        </w:tc>
        <w:tc>
          <w:tcPr>
            <w:tcW w:w="1380" w:type="dxa"/>
          </w:tcPr>
          <w:p w14:paraId="1EAD62CF" w14:textId="77777777" w:rsidR="00D549EE" w:rsidRPr="00D549EE" w:rsidRDefault="00D549EE" w:rsidP="00D549EE">
            <w:pPr>
              <w:contextualSpacing/>
              <w:rPr>
                <w:color w:val="000000" w:themeColor="text1"/>
                <w:lang w:val="en-US"/>
              </w:rPr>
            </w:pPr>
            <w:r w:rsidRPr="00D549EE">
              <w:rPr>
                <w:color w:val="000000" w:themeColor="text1"/>
                <w:lang w:val="en-US"/>
              </w:rPr>
              <w:t>61428.60</w:t>
            </w:r>
          </w:p>
        </w:tc>
      </w:tr>
      <w:tr w:rsidR="00D549EE" w:rsidRPr="00D549EE" w14:paraId="1C6B9CB9" w14:textId="77777777" w:rsidTr="00D549EE">
        <w:tc>
          <w:tcPr>
            <w:tcW w:w="3973" w:type="dxa"/>
          </w:tcPr>
          <w:p w14:paraId="2C674D6F" w14:textId="77777777" w:rsidR="00D549EE" w:rsidRPr="00D549EE" w:rsidRDefault="00D549EE" w:rsidP="00D549EE">
            <w:pPr>
              <w:contextualSpacing/>
              <w:rPr>
                <w:color w:val="000000" w:themeColor="text1"/>
                <w:lang w:val="en-US"/>
              </w:rPr>
            </w:pPr>
            <w:r w:rsidRPr="00D549EE">
              <w:rPr>
                <w:color w:val="000000" w:themeColor="text1"/>
                <w:lang w:val="en-US"/>
              </w:rPr>
              <w:t>Storefronts</w:t>
            </w:r>
          </w:p>
        </w:tc>
        <w:tc>
          <w:tcPr>
            <w:tcW w:w="1276" w:type="dxa"/>
          </w:tcPr>
          <w:p w14:paraId="121277DD" w14:textId="77777777" w:rsidR="00D549EE" w:rsidRPr="00D549EE" w:rsidRDefault="00D549EE" w:rsidP="00D549EE">
            <w:pPr>
              <w:contextualSpacing/>
              <w:rPr>
                <w:color w:val="000000" w:themeColor="text1"/>
                <w:lang w:val="en-US"/>
              </w:rPr>
            </w:pPr>
            <w:r w:rsidRPr="00D549EE">
              <w:rPr>
                <w:color w:val="000000" w:themeColor="text1"/>
                <w:lang w:val="en-US"/>
              </w:rPr>
              <w:t>200000</w:t>
            </w:r>
          </w:p>
        </w:tc>
        <w:tc>
          <w:tcPr>
            <w:tcW w:w="1418" w:type="dxa"/>
          </w:tcPr>
          <w:p w14:paraId="698D1946" w14:textId="77777777" w:rsidR="00D549EE" w:rsidRPr="00D549EE" w:rsidRDefault="00D549EE" w:rsidP="00D549EE">
            <w:pPr>
              <w:contextualSpacing/>
              <w:rPr>
                <w:color w:val="000000" w:themeColor="text1"/>
                <w:lang w:val="en-US"/>
              </w:rPr>
            </w:pPr>
            <w:r w:rsidRPr="00D549EE">
              <w:rPr>
                <w:color w:val="000000" w:themeColor="text1"/>
                <w:lang w:val="en-US"/>
              </w:rPr>
              <w:t>7</w:t>
            </w:r>
          </w:p>
        </w:tc>
        <w:tc>
          <w:tcPr>
            <w:tcW w:w="1380" w:type="dxa"/>
          </w:tcPr>
          <w:p w14:paraId="650F70EA" w14:textId="77777777" w:rsidR="00D549EE" w:rsidRPr="00D549EE" w:rsidRDefault="00D549EE" w:rsidP="00D549EE">
            <w:pPr>
              <w:contextualSpacing/>
              <w:rPr>
                <w:color w:val="000000" w:themeColor="text1"/>
                <w:lang w:val="en-US"/>
              </w:rPr>
            </w:pPr>
            <w:r w:rsidRPr="00D549EE">
              <w:rPr>
                <w:color w:val="000000" w:themeColor="text1"/>
                <w:lang w:val="en-US"/>
              </w:rPr>
              <w:t>28571.40</w:t>
            </w:r>
          </w:p>
        </w:tc>
      </w:tr>
      <w:tr w:rsidR="00D549EE" w:rsidRPr="00D549EE" w14:paraId="1D2C3490" w14:textId="77777777" w:rsidTr="00D549EE">
        <w:tc>
          <w:tcPr>
            <w:tcW w:w="3973" w:type="dxa"/>
          </w:tcPr>
          <w:p w14:paraId="67682545" w14:textId="77777777" w:rsidR="00D549EE" w:rsidRPr="00D549EE" w:rsidRDefault="00D549EE" w:rsidP="00D549EE">
            <w:pPr>
              <w:contextualSpacing/>
              <w:rPr>
                <w:color w:val="000000" w:themeColor="text1"/>
                <w:lang w:val="en-US"/>
              </w:rPr>
            </w:pPr>
            <w:r w:rsidRPr="00D549EE">
              <w:rPr>
                <w:color w:val="000000" w:themeColor="text1"/>
                <w:lang w:val="en-US"/>
              </w:rPr>
              <w:t>Shelf racks</w:t>
            </w:r>
          </w:p>
        </w:tc>
        <w:tc>
          <w:tcPr>
            <w:tcW w:w="1276" w:type="dxa"/>
          </w:tcPr>
          <w:p w14:paraId="216AAD86" w14:textId="77777777" w:rsidR="00D549EE" w:rsidRPr="00D549EE" w:rsidRDefault="00D549EE" w:rsidP="00D549EE">
            <w:pPr>
              <w:contextualSpacing/>
              <w:rPr>
                <w:color w:val="000000" w:themeColor="text1"/>
                <w:lang w:val="en-US"/>
              </w:rPr>
            </w:pPr>
            <w:r w:rsidRPr="00D549EE">
              <w:rPr>
                <w:color w:val="000000" w:themeColor="text1"/>
                <w:lang w:val="en-US"/>
              </w:rPr>
              <w:t>144000</w:t>
            </w:r>
          </w:p>
        </w:tc>
        <w:tc>
          <w:tcPr>
            <w:tcW w:w="1418" w:type="dxa"/>
          </w:tcPr>
          <w:p w14:paraId="148F9EE9" w14:textId="77777777" w:rsidR="00D549EE" w:rsidRPr="00D549EE" w:rsidRDefault="00D549EE" w:rsidP="00D549EE">
            <w:pPr>
              <w:contextualSpacing/>
              <w:rPr>
                <w:color w:val="000000" w:themeColor="text1"/>
                <w:lang w:val="en-US"/>
              </w:rPr>
            </w:pPr>
            <w:r w:rsidRPr="00D549EE">
              <w:rPr>
                <w:color w:val="000000" w:themeColor="text1"/>
                <w:lang w:val="en-US"/>
              </w:rPr>
              <w:t>7</w:t>
            </w:r>
          </w:p>
        </w:tc>
        <w:tc>
          <w:tcPr>
            <w:tcW w:w="1380" w:type="dxa"/>
          </w:tcPr>
          <w:p w14:paraId="64D01115" w14:textId="77777777" w:rsidR="00D549EE" w:rsidRPr="00D549EE" w:rsidRDefault="00D549EE" w:rsidP="00D549EE">
            <w:pPr>
              <w:contextualSpacing/>
              <w:rPr>
                <w:color w:val="000000" w:themeColor="text1"/>
                <w:lang w:val="en-US"/>
              </w:rPr>
            </w:pPr>
            <w:r w:rsidRPr="00D549EE">
              <w:rPr>
                <w:color w:val="000000" w:themeColor="text1"/>
                <w:lang w:val="en-US"/>
              </w:rPr>
              <w:t>20571.40</w:t>
            </w:r>
          </w:p>
        </w:tc>
      </w:tr>
      <w:tr w:rsidR="00D549EE" w:rsidRPr="00D549EE" w14:paraId="0C9D79FF" w14:textId="77777777" w:rsidTr="00D549EE">
        <w:tc>
          <w:tcPr>
            <w:tcW w:w="3973" w:type="dxa"/>
          </w:tcPr>
          <w:p w14:paraId="43E93B4C" w14:textId="77777777" w:rsidR="00D549EE" w:rsidRPr="00D549EE" w:rsidRDefault="00D549EE" w:rsidP="00D549EE">
            <w:pPr>
              <w:contextualSpacing/>
              <w:rPr>
                <w:color w:val="000000" w:themeColor="text1"/>
                <w:lang w:val="en-US"/>
              </w:rPr>
            </w:pPr>
            <w:r w:rsidRPr="00D549EE">
              <w:rPr>
                <w:color w:val="000000" w:themeColor="text1"/>
                <w:lang w:val="en-US"/>
              </w:rPr>
              <w:t>Cash registers and bank machine</w:t>
            </w:r>
          </w:p>
        </w:tc>
        <w:tc>
          <w:tcPr>
            <w:tcW w:w="1276" w:type="dxa"/>
          </w:tcPr>
          <w:p w14:paraId="6594BB48" w14:textId="77777777" w:rsidR="00D549EE" w:rsidRPr="00D549EE" w:rsidRDefault="00D549EE" w:rsidP="00D549EE">
            <w:pPr>
              <w:contextualSpacing/>
              <w:rPr>
                <w:color w:val="000000" w:themeColor="text1"/>
                <w:lang w:val="en-US"/>
              </w:rPr>
            </w:pPr>
            <w:r w:rsidRPr="00D549EE">
              <w:rPr>
                <w:color w:val="000000" w:themeColor="text1"/>
                <w:lang w:val="en-US"/>
              </w:rPr>
              <w:t>80000</w:t>
            </w:r>
          </w:p>
        </w:tc>
        <w:tc>
          <w:tcPr>
            <w:tcW w:w="1418" w:type="dxa"/>
          </w:tcPr>
          <w:p w14:paraId="15E1AFD8" w14:textId="77777777" w:rsidR="00D549EE" w:rsidRPr="00D549EE" w:rsidRDefault="00D549EE" w:rsidP="00D549EE">
            <w:pPr>
              <w:contextualSpacing/>
              <w:rPr>
                <w:color w:val="000000" w:themeColor="text1"/>
                <w:lang w:val="en-US"/>
              </w:rPr>
            </w:pPr>
            <w:r w:rsidRPr="00D549EE">
              <w:rPr>
                <w:color w:val="000000" w:themeColor="text1"/>
                <w:lang w:val="en-US"/>
              </w:rPr>
              <w:t>7</w:t>
            </w:r>
          </w:p>
        </w:tc>
        <w:tc>
          <w:tcPr>
            <w:tcW w:w="1380" w:type="dxa"/>
          </w:tcPr>
          <w:p w14:paraId="0E23C085" w14:textId="77777777" w:rsidR="00D549EE" w:rsidRPr="00D549EE" w:rsidRDefault="00D549EE" w:rsidP="00D549EE">
            <w:pPr>
              <w:contextualSpacing/>
              <w:rPr>
                <w:color w:val="000000" w:themeColor="text1"/>
                <w:lang w:val="en-US"/>
              </w:rPr>
            </w:pPr>
            <w:r w:rsidRPr="00D549EE">
              <w:rPr>
                <w:color w:val="000000" w:themeColor="text1"/>
                <w:lang w:val="en-US"/>
              </w:rPr>
              <w:t>11428.60</w:t>
            </w:r>
          </w:p>
        </w:tc>
      </w:tr>
      <w:tr w:rsidR="00D549EE" w:rsidRPr="00D549EE" w14:paraId="7AE3DC96" w14:textId="77777777" w:rsidTr="00D549EE">
        <w:tc>
          <w:tcPr>
            <w:tcW w:w="3973" w:type="dxa"/>
          </w:tcPr>
          <w:p w14:paraId="105DF0A6" w14:textId="77777777" w:rsidR="00D549EE" w:rsidRPr="00D549EE" w:rsidRDefault="00D549EE" w:rsidP="00D549EE">
            <w:pPr>
              <w:contextualSpacing/>
              <w:rPr>
                <w:color w:val="000000" w:themeColor="text1"/>
                <w:lang w:val="en-US"/>
              </w:rPr>
            </w:pPr>
            <w:r w:rsidRPr="00D549EE">
              <w:rPr>
                <w:color w:val="000000" w:themeColor="text1"/>
                <w:lang w:val="en-US"/>
              </w:rPr>
              <w:t>Other furniture</w:t>
            </w:r>
          </w:p>
        </w:tc>
        <w:tc>
          <w:tcPr>
            <w:tcW w:w="1276" w:type="dxa"/>
          </w:tcPr>
          <w:p w14:paraId="7EE5CEF1" w14:textId="77777777" w:rsidR="00D549EE" w:rsidRPr="00D549EE" w:rsidRDefault="00D549EE" w:rsidP="00D549EE">
            <w:pPr>
              <w:contextualSpacing/>
              <w:rPr>
                <w:color w:val="000000" w:themeColor="text1"/>
                <w:lang w:val="en-US"/>
              </w:rPr>
            </w:pPr>
            <w:r w:rsidRPr="00D549EE">
              <w:rPr>
                <w:color w:val="000000" w:themeColor="text1"/>
                <w:lang w:val="en-US"/>
              </w:rPr>
              <w:t>146000</w:t>
            </w:r>
          </w:p>
        </w:tc>
        <w:tc>
          <w:tcPr>
            <w:tcW w:w="1418" w:type="dxa"/>
          </w:tcPr>
          <w:p w14:paraId="5140EE0F" w14:textId="77777777" w:rsidR="00D549EE" w:rsidRPr="00D549EE" w:rsidRDefault="00D549EE" w:rsidP="00D549EE">
            <w:pPr>
              <w:contextualSpacing/>
              <w:rPr>
                <w:color w:val="000000" w:themeColor="text1"/>
                <w:lang w:val="en-US"/>
              </w:rPr>
            </w:pPr>
            <w:r w:rsidRPr="00D549EE">
              <w:rPr>
                <w:color w:val="000000" w:themeColor="text1"/>
                <w:lang w:val="en-US"/>
              </w:rPr>
              <w:t>7</w:t>
            </w:r>
          </w:p>
        </w:tc>
        <w:tc>
          <w:tcPr>
            <w:tcW w:w="1380" w:type="dxa"/>
          </w:tcPr>
          <w:p w14:paraId="42F98EB0" w14:textId="77777777" w:rsidR="00D549EE" w:rsidRPr="00D549EE" w:rsidRDefault="00D549EE" w:rsidP="00D549EE">
            <w:pPr>
              <w:contextualSpacing/>
              <w:rPr>
                <w:color w:val="000000" w:themeColor="text1"/>
                <w:lang w:val="en-US"/>
              </w:rPr>
            </w:pPr>
            <w:r w:rsidRPr="00D549EE">
              <w:rPr>
                <w:color w:val="000000" w:themeColor="text1"/>
                <w:lang w:val="en-US"/>
              </w:rPr>
              <w:t>20857.10</w:t>
            </w:r>
          </w:p>
        </w:tc>
      </w:tr>
      <w:tr w:rsidR="00D549EE" w:rsidRPr="00D549EE" w14:paraId="0EB67584" w14:textId="77777777" w:rsidTr="00D549EE">
        <w:tc>
          <w:tcPr>
            <w:tcW w:w="3973" w:type="dxa"/>
          </w:tcPr>
          <w:p w14:paraId="129260DA" w14:textId="77777777" w:rsidR="00D549EE" w:rsidRPr="00D549EE" w:rsidRDefault="00D549EE" w:rsidP="00D549EE">
            <w:pPr>
              <w:contextualSpacing/>
              <w:rPr>
                <w:b/>
                <w:color w:val="000000" w:themeColor="text1"/>
                <w:lang w:val="en-US"/>
              </w:rPr>
            </w:pPr>
            <w:r w:rsidRPr="00D549EE">
              <w:rPr>
                <w:b/>
                <w:color w:val="000000" w:themeColor="text1"/>
                <w:lang w:val="en-US"/>
              </w:rPr>
              <w:t>Total</w:t>
            </w:r>
          </w:p>
        </w:tc>
        <w:tc>
          <w:tcPr>
            <w:tcW w:w="1276" w:type="dxa"/>
          </w:tcPr>
          <w:p w14:paraId="149A5680" w14:textId="77777777" w:rsidR="00D549EE" w:rsidRPr="00D549EE" w:rsidRDefault="00D549EE" w:rsidP="00D549EE">
            <w:pPr>
              <w:contextualSpacing/>
              <w:rPr>
                <w:b/>
                <w:color w:val="000000" w:themeColor="text1"/>
                <w:lang w:val="en-US"/>
              </w:rPr>
            </w:pPr>
            <w:r w:rsidRPr="00D549EE">
              <w:rPr>
                <w:b/>
                <w:color w:val="000000" w:themeColor="text1"/>
                <w:lang w:val="en-US"/>
              </w:rPr>
              <w:t>1000000</w:t>
            </w:r>
          </w:p>
        </w:tc>
        <w:tc>
          <w:tcPr>
            <w:tcW w:w="1418" w:type="dxa"/>
          </w:tcPr>
          <w:p w14:paraId="7FF53507" w14:textId="77777777" w:rsidR="00D549EE" w:rsidRPr="00D549EE" w:rsidRDefault="00D549EE" w:rsidP="00D549EE">
            <w:pPr>
              <w:contextualSpacing/>
              <w:rPr>
                <w:b/>
                <w:color w:val="000000" w:themeColor="text1"/>
                <w:lang w:val="en-US"/>
              </w:rPr>
            </w:pPr>
          </w:p>
        </w:tc>
        <w:tc>
          <w:tcPr>
            <w:tcW w:w="1380" w:type="dxa"/>
          </w:tcPr>
          <w:p w14:paraId="7D004726" w14:textId="77777777" w:rsidR="00D549EE" w:rsidRPr="00D549EE" w:rsidRDefault="00D549EE" w:rsidP="00D549EE">
            <w:pPr>
              <w:contextualSpacing/>
              <w:rPr>
                <w:b/>
                <w:color w:val="000000" w:themeColor="text1"/>
                <w:lang w:val="en-US"/>
              </w:rPr>
            </w:pPr>
            <w:r w:rsidRPr="00D549EE">
              <w:rPr>
                <w:b/>
                <w:color w:val="000000" w:themeColor="text1"/>
                <w:lang w:val="en-US"/>
              </w:rPr>
              <w:t>142857.10</w:t>
            </w:r>
          </w:p>
        </w:tc>
      </w:tr>
    </w:tbl>
    <w:p w14:paraId="08C71469" w14:textId="77777777" w:rsidR="00D549EE" w:rsidRPr="00D549EE" w:rsidRDefault="00D549EE" w:rsidP="00D549EE">
      <w:pPr>
        <w:contextualSpacing/>
        <w:jc w:val="both"/>
        <w:rPr>
          <w:color w:val="000000" w:themeColor="text1"/>
          <w:lang w:val="en-US"/>
        </w:rPr>
      </w:pPr>
    </w:p>
    <w:p w14:paraId="0CD662AE" w14:textId="77777777" w:rsidR="00D549EE" w:rsidRDefault="00D549EE" w:rsidP="00D549EE">
      <w:pPr>
        <w:rPr>
          <w:b/>
          <w:bCs/>
          <w:color w:val="000000" w:themeColor="text1"/>
        </w:rPr>
      </w:pPr>
      <w:r w:rsidRPr="00D549EE">
        <w:rPr>
          <w:b/>
          <w:bCs/>
          <w:color w:val="000000" w:themeColor="text1"/>
        </w:rPr>
        <w:tab/>
      </w:r>
    </w:p>
    <w:p w14:paraId="5866B03F" w14:textId="61FD0725" w:rsidR="00D549EE" w:rsidRPr="00D549EE" w:rsidRDefault="00D549EE" w:rsidP="00D549EE">
      <w:pPr>
        <w:rPr>
          <w:i/>
          <w:smallCaps/>
          <w:color w:val="000000" w:themeColor="text1"/>
        </w:rPr>
      </w:pPr>
      <w:r>
        <w:rPr>
          <w:bCs/>
          <w:i/>
          <w:color w:val="000000" w:themeColor="text1"/>
        </w:rPr>
        <w:tab/>
      </w:r>
      <w:r w:rsidRPr="00D549EE">
        <w:rPr>
          <w:bCs/>
          <w:i/>
          <w:color w:val="000000" w:themeColor="text1"/>
        </w:rPr>
        <w:t>Operating Plan</w:t>
      </w:r>
    </w:p>
    <w:p w14:paraId="76845240" w14:textId="77777777" w:rsidR="00D549EE" w:rsidRPr="00D549EE" w:rsidRDefault="00D549EE" w:rsidP="00D549EE">
      <w:pPr>
        <w:pStyle w:val="Body"/>
        <w:spacing w:line="360" w:lineRule="auto"/>
        <w:jc w:val="both"/>
        <w:rPr>
          <w:rFonts w:ascii="Times New Roman" w:hAnsi="Times New Roman" w:cs="Times New Roman"/>
          <w:bCs/>
          <w:i/>
          <w:color w:val="000000" w:themeColor="text1"/>
          <w:sz w:val="24"/>
          <w:szCs w:val="24"/>
        </w:rPr>
      </w:pPr>
      <w:r w:rsidRPr="00D549EE">
        <w:rPr>
          <w:rFonts w:ascii="Times New Roman" w:hAnsi="Times New Roman" w:cs="Times New Roman"/>
          <w:bCs/>
          <w:i/>
          <w:color w:val="000000" w:themeColor="text1"/>
          <w:sz w:val="24"/>
          <w:szCs w:val="24"/>
        </w:rPr>
        <w:tab/>
        <w:t>Equipment, technology, Research and Development, environmental aspects</w:t>
      </w:r>
    </w:p>
    <w:p w14:paraId="4D545AA2"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 xml:space="preserve">The Social market will provide not only used clothes, shoes and house equipment but also new goods from the partners and local producer for Ume social services branded goods. The main strategy of the project is make the market well designed, fresh renovated shop for comfortable consumer shopping. In this regard the equipment and the renovation, would take a sufficient part of required investments for opening the social shop. </w:t>
      </w:r>
    </w:p>
    <w:p w14:paraId="3825DC95"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 xml:space="preserve">First, it is a furniture, but it is possible to purchase not new furniture as it is not so significant for this type of business. </w:t>
      </w:r>
    </w:p>
    <w:p w14:paraId="1F8C10E7"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Second, a set of cash register equipment depends on the desired depth of automation of the social shop. It should be noted that modern technology and programs for accounting for goods can significantly facilitate the work of a retail outlet, so it is better to purchase it. From the cash register equipment, the social shop needs:</w:t>
      </w:r>
    </w:p>
    <w:p w14:paraId="5B71406A" w14:textId="77777777" w:rsidR="00D549EE" w:rsidRPr="00D549EE" w:rsidRDefault="00D549EE" w:rsidP="00D549EE">
      <w:pPr>
        <w:pStyle w:val="Body"/>
        <w:numPr>
          <w:ilvl w:val="0"/>
          <w:numId w:val="38"/>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Online cash desk with a program for warehouse accounting;</w:t>
      </w:r>
    </w:p>
    <w:p w14:paraId="22C0FBD3" w14:textId="77777777" w:rsidR="00D549EE" w:rsidRPr="00D549EE" w:rsidRDefault="00D549EE" w:rsidP="00D549EE">
      <w:pPr>
        <w:pStyle w:val="Body"/>
        <w:numPr>
          <w:ilvl w:val="0"/>
          <w:numId w:val="38"/>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Barcode scanner for the implementation of packed and marked goods;</w:t>
      </w:r>
    </w:p>
    <w:p w14:paraId="608994E8" w14:textId="77777777" w:rsidR="00D549EE" w:rsidRPr="00D549EE" w:rsidRDefault="00D549EE" w:rsidP="00D549EE">
      <w:pPr>
        <w:pStyle w:val="Body"/>
        <w:numPr>
          <w:ilvl w:val="0"/>
          <w:numId w:val="38"/>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Mobile acquiring terminal;</w:t>
      </w:r>
    </w:p>
    <w:p w14:paraId="19227E85" w14:textId="77777777" w:rsidR="00D549EE" w:rsidRPr="00D549EE" w:rsidRDefault="00D549EE" w:rsidP="00D549EE">
      <w:pPr>
        <w:pStyle w:val="Body"/>
        <w:numPr>
          <w:ilvl w:val="0"/>
          <w:numId w:val="38"/>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Money box.</w:t>
      </w:r>
    </w:p>
    <w:p w14:paraId="5B5C7FEB"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Equipment and programs for trade automation need to be purchased from reliable suppliers.</w:t>
      </w:r>
    </w:p>
    <w:p w14:paraId="06A43EC7"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 xml:space="preserve">This is a minimum of required equipment, which will be necessary for an opening social shop. However, if it expands in the future, it would be necessary to add more equipment to provide more qualified services for a large number of customers. </w:t>
      </w:r>
    </w:p>
    <w:p w14:paraId="66091B0D" w14:textId="77777777" w:rsidR="00D549EE" w:rsidRPr="00D549EE" w:rsidRDefault="00D549EE" w:rsidP="00D549EE">
      <w:pPr>
        <w:pStyle w:val="Body"/>
        <w:spacing w:line="360" w:lineRule="auto"/>
        <w:jc w:val="both"/>
        <w:rPr>
          <w:rFonts w:ascii="Times New Roman" w:eastAsia="Times New Roman" w:hAnsi="Times New Roman" w:cs="Times New Roman"/>
          <w:bCs/>
          <w:i/>
          <w:color w:val="000000" w:themeColor="text1"/>
          <w:sz w:val="24"/>
          <w:szCs w:val="24"/>
        </w:rPr>
      </w:pPr>
    </w:p>
    <w:p w14:paraId="065FBBDC" w14:textId="77777777" w:rsidR="00D549EE" w:rsidRPr="00D549EE" w:rsidRDefault="00D549EE" w:rsidP="00D549EE">
      <w:pPr>
        <w:pStyle w:val="Body"/>
        <w:jc w:val="both"/>
        <w:rPr>
          <w:rFonts w:ascii="Times New Roman" w:hAnsi="Times New Roman" w:cs="Times New Roman"/>
          <w:bCs/>
          <w:i/>
          <w:color w:val="000000" w:themeColor="text1"/>
          <w:sz w:val="24"/>
          <w:szCs w:val="24"/>
        </w:rPr>
      </w:pPr>
      <w:r w:rsidRPr="00D549EE">
        <w:rPr>
          <w:rFonts w:ascii="Times New Roman" w:hAnsi="Times New Roman" w:cs="Times New Roman"/>
          <w:b/>
          <w:bCs/>
          <w:color w:val="000000" w:themeColor="text1"/>
          <w:sz w:val="24"/>
          <w:szCs w:val="24"/>
        </w:rPr>
        <w:tab/>
      </w:r>
      <w:r w:rsidRPr="00D549EE">
        <w:rPr>
          <w:rFonts w:ascii="Times New Roman" w:hAnsi="Times New Roman" w:cs="Times New Roman"/>
          <w:bCs/>
          <w:i/>
          <w:color w:val="000000" w:themeColor="text1"/>
          <w:sz w:val="24"/>
          <w:szCs w:val="24"/>
        </w:rPr>
        <w:t>Opex/Capex: the business planning model</w:t>
      </w:r>
    </w:p>
    <w:p w14:paraId="21B69D3F" w14:textId="77777777" w:rsidR="00D549EE" w:rsidRPr="00D549EE" w:rsidRDefault="00D549EE" w:rsidP="00D549EE">
      <w:pPr>
        <w:pStyle w:val="Body"/>
        <w:ind w:firstLine="567"/>
        <w:jc w:val="both"/>
        <w:rPr>
          <w:rFonts w:ascii="Times New Roman" w:hAnsi="Times New Roman" w:cs="Times New Roman"/>
          <w:color w:val="000000" w:themeColor="text1"/>
          <w:sz w:val="24"/>
          <w:szCs w:val="24"/>
        </w:rPr>
      </w:pPr>
    </w:p>
    <w:p w14:paraId="75BB47CF"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 xml:space="preserve">Each new company should consider its operational and capital expenses in order to maintain a proper financial planning. </w:t>
      </w:r>
    </w:p>
    <w:p w14:paraId="2CBECCCE"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 xml:space="preserve">The operating expenses of social shop would include several moments. First, its costs for rental services. Taking into account that these costs are constantly changing, it should be pointed out in the operating costs accordingly. Second, it is costs for pre-sale preparing of the goods, required for maintaining a qualified services and satisfying all the demands of the potential customers. Third, it is marketing cost, which include all means of advertising, starting from social media and ending by other tools of modern marketing. Fourth, it is insurance, because when a business has a physical projection, such as a store, it should include possible risks, connecting with damaging this projection, so insurance should be enhanced. Finally, it could be all costs for research and development means, required for implementing a successful work of the business. </w:t>
      </w:r>
    </w:p>
    <w:p w14:paraId="2EC3D760"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OPEX of the social shop includes:</w:t>
      </w:r>
    </w:p>
    <w:p w14:paraId="2A2A3DDE" w14:textId="77777777" w:rsidR="00D549EE" w:rsidRPr="00D549EE" w:rsidRDefault="00D549EE" w:rsidP="00D549EE">
      <w:pPr>
        <w:pStyle w:val="Body"/>
        <w:numPr>
          <w:ilvl w:val="0"/>
          <w:numId w:val="39"/>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Rent;</w:t>
      </w:r>
    </w:p>
    <w:p w14:paraId="319425C5" w14:textId="77777777" w:rsidR="00D549EE" w:rsidRPr="00D549EE" w:rsidRDefault="00D549EE" w:rsidP="00D549EE">
      <w:pPr>
        <w:pStyle w:val="Body"/>
        <w:numPr>
          <w:ilvl w:val="0"/>
          <w:numId w:val="38"/>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Advertising;</w:t>
      </w:r>
    </w:p>
    <w:p w14:paraId="1B79D248" w14:textId="77777777" w:rsidR="00D549EE" w:rsidRPr="00D549EE" w:rsidRDefault="00D549EE" w:rsidP="00D549EE">
      <w:pPr>
        <w:pStyle w:val="Body"/>
        <w:numPr>
          <w:ilvl w:val="0"/>
          <w:numId w:val="38"/>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Pre-sale preparation;</w:t>
      </w:r>
    </w:p>
    <w:p w14:paraId="2B84D439" w14:textId="77777777" w:rsidR="00D549EE" w:rsidRPr="00D549EE" w:rsidRDefault="00D549EE" w:rsidP="00D549EE">
      <w:pPr>
        <w:pStyle w:val="Body"/>
        <w:numPr>
          <w:ilvl w:val="0"/>
          <w:numId w:val="38"/>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Insurance;</w:t>
      </w:r>
    </w:p>
    <w:p w14:paraId="21CE4DCC" w14:textId="77777777" w:rsidR="00D549EE" w:rsidRPr="00D549EE" w:rsidRDefault="00D549EE" w:rsidP="00D549EE">
      <w:pPr>
        <w:pStyle w:val="Body"/>
        <w:numPr>
          <w:ilvl w:val="0"/>
          <w:numId w:val="38"/>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Research and Development.</w:t>
      </w:r>
    </w:p>
    <w:p w14:paraId="028B62B4"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Actually, examples of operating costs are product costs, commercial, administrative, management costs and others. The main task of the company's managers is a control, and often a reduction in operating costs in parallel with an increase in company revenues. Thus, the share of operating expenses in relation to the company's revenue is always an indicator of the effectiveness of the company's management. Further, an analytical accounting of operating expenses of activity of the social shop, its opening and a good managed should be properly organized, taking into account a business field and major features of provided services and realized products [5].</w:t>
      </w:r>
    </w:p>
    <w:p w14:paraId="385653D4"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 xml:space="preserve">Capital expenditures represent the cost of acquiring non-current assets, as well as its modification and modernization. The main characteristic of capital expenditures is a duration of their use. If the company plans to use investments in assets for more than one year, then most likely they will be classified as CAPEX. What will be considered capital expenditures for the company depends in many ways on both the scope of its activities and the established rules of its industry (Majaski, 2020). </w:t>
      </w:r>
    </w:p>
    <w:p w14:paraId="62DACDF3"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CAPEX of the social shop includes:</w:t>
      </w:r>
    </w:p>
    <w:p w14:paraId="7F1BBD43" w14:textId="77777777" w:rsidR="00D549EE" w:rsidRPr="00D549EE" w:rsidRDefault="00D549EE" w:rsidP="00D549EE">
      <w:pPr>
        <w:pStyle w:val="Body"/>
        <w:numPr>
          <w:ilvl w:val="0"/>
          <w:numId w:val="39"/>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Equipment</w:t>
      </w:r>
    </w:p>
    <w:p w14:paraId="6638B94F" w14:textId="77777777" w:rsidR="00D549EE" w:rsidRPr="00D549EE" w:rsidRDefault="00D549EE" w:rsidP="00D549EE">
      <w:pPr>
        <w:pStyle w:val="Body"/>
        <w:numPr>
          <w:ilvl w:val="0"/>
          <w:numId w:val="38"/>
        </w:numPr>
        <w:jc w:val="both"/>
        <w:rPr>
          <w:rFonts w:ascii="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Furniture</w:t>
      </w:r>
    </w:p>
    <w:p w14:paraId="292A0336" w14:textId="77777777" w:rsidR="00D549EE" w:rsidRPr="00D549EE" w:rsidRDefault="00D549EE" w:rsidP="00D549EE">
      <w:pPr>
        <w:pStyle w:val="Body"/>
        <w:ind w:firstLine="567"/>
        <w:jc w:val="both"/>
        <w:rPr>
          <w:rFonts w:ascii="Times New Roman" w:eastAsia="Times New Roman" w:hAnsi="Times New Roman" w:cs="Times New Roman"/>
          <w:color w:val="000000" w:themeColor="text1"/>
          <w:sz w:val="24"/>
          <w:szCs w:val="24"/>
        </w:rPr>
      </w:pPr>
      <w:r w:rsidRPr="00D549EE">
        <w:rPr>
          <w:rFonts w:ascii="Times New Roman" w:hAnsi="Times New Roman" w:cs="Times New Roman"/>
          <w:color w:val="000000" w:themeColor="text1"/>
          <w:sz w:val="24"/>
          <w:szCs w:val="24"/>
        </w:rPr>
        <w:t>In practice, capital expenditures for the company are most often investments in fixed assets and intangible assets.</w:t>
      </w:r>
      <w:r w:rsidRPr="00D549EE">
        <w:rPr>
          <w:rFonts w:ascii="Times New Roman" w:eastAsia="Times New Roman" w:hAnsi="Times New Roman" w:cs="Times New Roman"/>
          <w:color w:val="000000" w:themeColor="text1"/>
          <w:sz w:val="24"/>
          <w:szCs w:val="24"/>
        </w:rPr>
        <w:t xml:space="preserve"> </w:t>
      </w:r>
      <w:r w:rsidRPr="00D549EE">
        <w:rPr>
          <w:rFonts w:ascii="Times New Roman" w:hAnsi="Times New Roman" w:cs="Times New Roman"/>
          <w:color w:val="000000" w:themeColor="text1"/>
          <w:sz w:val="24"/>
          <w:szCs w:val="24"/>
        </w:rPr>
        <w:t>In accounting, CAPEX leads to the capitalization of costs on the company's balance sheet, which in turn increases the asset value and net profit of the enterprise in the reporting period, since the costs incurred in the current period are capitalized and then amortized over several years. However, cost capitalization also has disadvantages. First, the company will pay a large amount of income tax. Second, the company is required to test its assets for impairment on a regular basis [5].</w:t>
      </w:r>
    </w:p>
    <w:p w14:paraId="4BC9FD97" w14:textId="77777777" w:rsidR="00D549EE" w:rsidRPr="00D549EE" w:rsidRDefault="00D549EE" w:rsidP="00D549EE">
      <w:pPr>
        <w:pStyle w:val="1"/>
        <w:rPr>
          <w:rFonts w:ascii="Times New Roman" w:hAnsi="Times New Roman" w:cs="Times New Roman"/>
          <w:b/>
          <w:smallCaps/>
          <w:color w:val="000000" w:themeColor="text1"/>
          <w:sz w:val="24"/>
          <w:szCs w:val="24"/>
          <w:lang w:val="en-US"/>
        </w:rPr>
      </w:pPr>
      <w:bookmarkStart w:id="6" w:name="_Toc58237899"/>
      <w:r w:rsidRPr="00D549EE">
        <w:rPr>
          <w:rFonts w:ascii="Times New Roman" w:hAnsi="Times New Roman" w:cs="Times New Roman"/>
          <w:b/>
          <w:smallCaps/>
          <w:color w:val="000000" w:themeColor="text1"/>
          <w:sz w:val="24"/>
          <w:szCs w:val="24"/>
          <w:lang w:val="en-US"/>
        </w:rPr>
        <w:t>Section 5. Human Resources Plan</w:t>
      </w:r>
      <w:bookmarkEnd w:id="6"/>
    </w:p>
    <w:p w14:paraId="1F1274EE" w14:textId="77777777" w:rsidR="00D549EE" w:rsidRPr="00D549EE" w:rsidRDefault="00D549EE" w:rsidP="00D549EE">
      <w:pPr>
        <w:rPr>
          <w:lang w:val="en-US"/>
        </w:rPr>
      </w:pPr>
    </w:p>
    <w:p w14:paraId="221C9798" w14:textId="77777777" w:rsidR="00D549EE" w:rsidRPr="00D549EE" w:rsidRDefault="00D549EE" w:rsidP="00D549EE">
      <w:pPr>
        <w:jc w:val="both"/>
        <w:rPr>
          <w:color w:val="000000" w:themeColor="text1"/>
          <w:lang w:val="en-US"/>
        </w:rPr>
      </w:pPr>
      <w:r w:rsidRPr="00D549EE">
        <w:rPr>
          <w:color w:val="000000" w:themeColor="text1"/>
          <w:lang w:val="en-US"/>
        </w:rPr>
        <w:tab/>
        <w:t>The list of employees needed for operation is short: the general director-administrator, 1-2 cashiers (salesperson). The general director or administrator is supposed to be job position of our entrepreneur, since his company is an Individual Entrepreneur, he must be employed in company to pay taxes as an individual Entrepreneur. And it will be more efficient if he will manage first year of operation by himself, since he will be able to compare forecasted and actual performance.</w:t>
      </w:r>
    </w:p>
    <w:p w14:paraId="3DF0607C" w14:textId="77777777" w:rsidR="00D549EE" w:rsidRPr="00D549EE" w:rsidRDefault="00D549EE" w:rsidP="00D549EE">
      <w:pPr>
        <w:jc w:val="both"/>
        <w:rPr>
          <w:color w:val="000000" w:themeColor="text1"/>
          <w:lang w:val="en-US"/>
        </w:rPr>
      </w:pPr>
      <w:r w:rsidRPr="00D549EE">
        <w:rPr>
          <w:color w:val="000000" w:themeColor="text1"/>
          <w:lang w:val="en-US"/>
        </w:rPr>
        <w:tab/>
        <w:t xml:space="preserve">Based on historical data of similar companies we suppose that 1-2 cashiers and salespersons would be enough during the first year, then we will have to evaluate if he/she is able to meet demand for services efficiently and on time. </w:t>
      </w:r>
    </w:p>
    <w:p w14:paraId="49B24CB6" w14:textId="77777777" w:rsidR="00D549EE" w:rsidRPr="00D549EE" w:rsidRDefault="00D549EE" w:rsidP="00D549EE">
      <w:pPr>
        <w:jc w:val="both"/>
        <w:rPr>
          <w:color w:val="000000" w:themeColor="text1"/>
          <w:lang w:val="en-US"/>
        </w:rPr>
      </w:pPr>
      <w:r w:rsidRPr="00D549EE">
        <w:rPr>
          <w:color w:val="000000" w:themeColor="text1"/>
          <w:lang w:val="en-US"/>
        </w:rPr>
        <w:tab/>
        <w:t xml:space="preserve">Accounting is planned to be performed by outsourcing since there are no big-scale operations, transactions are held by the cashier and work is needed only at the end of the periods. </w:t>
      </w:r>
      <w:r w:rsidRPr="00D549EE">
        <w:rPr>
          <w:color w:val="000000" w:themeColor="text1"/>
          <w:lang w:val="en-US"/>
        </w:rPr>
        <w:tab/>
      </w:r>
    </w:p>
    <w:p w14:paraId="5835CFE3" w14:textId="77777777" w:rsidR="00D549EE" w:rsidRPr="00D549EE" w:rsidRDefault="00D549EE" w:rsidP="00D549EE">
      <w:pPr>
        <w:jc w:val="both"/>
        <w:rPr>
          <w:color w:val="000000" w:themeColor="text1"/>
          <w:lang w:val="en-US"/>
        </w:rPr>
      </w:pPr>
      <w:r w:rsidRPr="00D549EE">
        <w:rPr>
          <w:iCs/>
          <w:color w:val="000000" w:themeColor="text1"/>
          <w:lang w:val="en-US"/>
        </w:rPr>
        <w:tab/>
        <w:t>Advantages to engage with accounting company</w:t>
      </w:r>
      <w:r w:rsidRPr="00D549EE">
        <w:rPr>
          <w:color w:val="000000" w:themeColor="text1"/>
          <w:lang w:val="en-US"/>
        </w:rPr>
        <w:t xml:space="preserve">: </w:t>
      </w:r>
    </w:p>
    <w:p w14:paraId="23751547" w14:textId="77777777" w:rsidR="00D549EE" w:rsidRPr="00D549EE" w:rsidRDefault="00D549EE" w:rsidP="00D549EE">
      <w:pPr>
        <w:pStyle w:val="a3"/>
        <w:numPr>
          <w:ilvl w:val="0"/>
          <w:numId w:val="41"/>
        </w:numPr>
        <w:spacing w:after="0" w:line="240" w:lineRule="auto"/>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Less costly than employing person accountant, in addition it is unnecessary buy software and computer for your accountant;</w:t>
      </w:r>
    </w:p>
    <w:p w14:paraId="5DBE0827" w14:textId="77777777" w:rsidR="00D549EE" w:rsidRPr="00D549EE" w:rsidRDefault="00D549EE" w:rsidP="00D549EE">
      <w:pPr>
        <w:pStyle w:val="a3"/>
        <w:numPr>
          <w:ilvl w:val="0"/>
          <w:numId w:val="41"/>
        </w:numPr>
        <w:spacing w:after="0" w:line="240" w:lineRule="auto"/>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Outsourcing will take responsibilities of conducting the accounting system;</w:t>
      </w:r>
    </w:p>
    <w:p w14:paraId="5E4BA552" w14:textId="77777777" w:rsidR="00D549EE" w:rsidRPr="00D549EE" w:rsidRDefault="00D549EE" w:rsidP="00D549EE">
      <w:pPr>
        <w:pStyle w:val="a3"/>
        <w:numPr>
          <w:ilvl w:val="0"/>
          <w:numId w:val="41"/>
        </w:numPr>
        <w:spacing w:after="0" w:line="240" w:lineRule="auto"/>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Quality of services, since accounting company is maintained by modern computer hardware;</w:t>
      </w:r>
    </w:p>
    <w:p w14:paraId="17121CDF" w14:textId="77777777" w:rsidR="00D549EE" w:rsidRPr="00D549EE" w:rsidRDefault="00D549EE" w:rsidP="00D549EE">
      <w:pPr>
        <w:pStyle w:val="a3"/>
        <w:numPr>
          <w:ilvl w:val="0"/>
          <w:numId w:val="41"/>
        </w:numPr>
        <w:spacing w:after="0" w:line="240" w:lineRule="auto"/>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Reduce the taxes, because there is no taxes for the accountant, money that is paid for outsourcing goes only to deduction of tax base.</w:t>
      </w:r>
    </w:p>
    <w:p w14:paraId="2CEA67F0" w14:textId="77777777" w:rsidR="00D549EE" w:rsidRPr="00D549EE" w:rsidRDefault="00D549EE" w:rsidP="00D549EE">
      <w:pPr>
        <w:rPr>
          <w:color w:val="000000" w:themeColor="text1"/>
          <w:lang w:val="en-US"/>
        </w:rPr>
      </w:pPr>
      <w:r w:rsidRPr="00D549EE">
        <w:rPr>
          <w:color w:val="000000" w:themeColor="text1"/>
          <w:lang w:val="en-US"/>
        </w:rPr>
        <w:tab/>
        <w:t xml:space="preserve">Recruiting and hiring is done and approved by the owners. </w:t>
      </w:r>
    </w:p>
    <w:p w14:paraId="37A21C42" w14:textId="77777777" w:rsidR="00D549EE" w:rsidRPr="00D549EE" w:rsidRDefault="00D549EE" w:rsidP="00D549EE">
      <w:pPr>
        <w:jc w:val="both"/>
        <w:rPr>
          <w:color w:val="000000" w:themeColor="text1"/>
          <w:lang w:val="en-US"/>
        </w:rPr>
      </w:pPr>
      <w:r w:rsidRPr="00D549EE">
        <w:rPr>
          <w:color w:val="000000" w:themeColor="text1"/>
          <w:lang w:val="en-US"/>
        </w:rPr>
        <w:tab/>
        <w:t xml:space="preserve">During the first year we assume that there will be only 1 or 2 cashiers and salespersons, that are consultants of the shop, their salary is paid based on working-days. Cashiers’ work schedule is about to be 2/2. Cashier 1 and salesperson 1  work for two consecutive days and then the Cashier 2 and salesperson for two consecutive days. In case of sick leave or any unplanned leave they can replace each other. Their obligations are to hold transactions, accept and allocate the money, consult the customers on the products. </w:t>
      </w:r>
    </w:p>
    <w:p w14:paraId="6122E10C" w14:textId="77777777" w:rsidR="00D549EE" w:rsidRPr="00D549EE" w:rsidRDefault="00D549EE" w:rsidP="00D549EE">
      <w:pPr>
        <w:jc w:val="both"/>
        <w:rPr>
          <w:color w:val="000000" w:themeColor="text1"/>
          <w:lang w:val="en-US"/>
        </w:rPr>
      </w:pPr>
      <w:r w:rsidRPr="00D549EE">
        <w:rPr>
          <w:color w:val="000000" w:themeColor="text1"/>
          <w:lang w:val="en-US"/>
        </w:rPr>
        <w:tab/>
        <w:t>Shifts, sick leaves, performance checking is all arranged by the administrator.</w:t>
      </w:r>
    </w:p>
    <w:p w14:paraId="122077BB" w14:textId="77777777" w:rsidR="00D549EE" w:rsidRPr="00D549EE" w:rsidRDefault="00D549EE" w:rsidP="00D549EE">
      <w:pPr>
        <w:jc w:val="both"/>
        <w:rPr>
          <w:color w:val="000000" w:themeColor="text1"/>
          <w:lang w:val="en-US"/>
        </w:rPr>
      </w:pPr>
      <w:r w:rsidRPr="00D549EE">
        <w:rPr>
          <w:color w:val="000000" w:themeColor="text1"/>
          <w:lang w:val="en-US"/>
        </w:rPr>
        <w:t xml:space="preserve">The administrator can resolve disputable questions during the work time of the store, accept complaints from the customers, note the proposals by customers. He has to manage the orders of the necessary inventory and supplements. Keep track of the inventory held in store and its expiration dates. Communicate with suppliers, probable advertisers, control authorities (e.g. tax department).  </w:t>
      </w:r>
    </w:p>
    <w:p w14:paraId="029E09C5" w14:textId="77777777" w:rsidR="00D549EE" w:rsidRPr="00D549EE" w:rsidRDefault="00D549EE" w:rsidP="00D549EE">
      <w:pPr>
        <w:rPr>
          <w:lang w:val="en-US"/>
        </w:rPr>
      </w:pPr>
    </w:p>
    <w:p w14:paraId="03E96CF6" w14:textId="12682F98" w:rsidR="00D549EE" w:rsidRDefault="00D549EE" w:rsidP="00D549EE">
      <w:pPr>
        <w:contextualSpacing/>
        <w:jc w:val="both"/>
        <w:rPr>
          <w:color w:val="000000" w:themeColor="text1"/>
          <w:lang w:val="en-US"/>
        </w:rPr>
      </w:pPr>
      <w:r w:rsidRPr="00D549EE">
        <w:rPr>
          <w:color w:val="000000" w:themeColor="text1"/>
          <w:lang w:val="en-US"/>
        </w:rPr>
        <w:t>Table 3</w:t>
      </w:r>
      <w:r>
        <w:rPr>
          <w:color w:val="000000" w:themeColor="text1"/>
          <w:lang w:val="en-US"/>
        </w:rPr>
        <w:t xml:space="preserve"> - </w:t>
      </w:r>
      <w:r w:rsidRPr="00D549EE">
        <w:rPr>
          <w:color w:val="000000" w:themeColor="text1"/>
          <w:lang w:val="en-US"/>
        </w:rPr>
        <w:t xml:space="preserve">Stuff of the Social Market </w:t>
      </w:r>
    </w:p>
    <w:p w14:paraId="4E575CDB" w14:textId="77777777" w:rsidR="00D549EE" w:rsidRPr="00D549EE" w:rsidRDefault="00D549EE" w:rsidP="00D549EE">
      <w:pPr>
        <w:contextualSpacing/>
        <w:jc w:val="both"/>
        <w:rPr>
          <w:color w:val="000000" w:themeColor="text1"/>
          <w:lang w:val="en-US"/>
        </w:rPr>
      </w:pPr>
    </w:p>
    <w:tbl>
      <w:tblPr>
        <w:tblStyle w:val="a9"/>
        <w:tblW w:w="0" w:type="auto"/>
        <w:tblLook w:val="01E0" w:firstRow="1" w:lastRow="1" w:firstColumn="1" w:lastColumn="1" w:noHBand="0" w:noVBand="0"/>
      </w:tblPr>
      <w:tblGrid>
        <w:gridCol w:w="648"/>
        <w:gridCol w:w="5728"/>
        <w:gridCol w:w="3189"/>
      </w:tblGrid>
      <w:tr w:rsidR="00D549EE" w:rsidRPr="00D549EE" w14:paraId="5BF35DB1" w14:textId="77777777" w:rsidTr="00D549EE">
        <w:tc>
          <w:tcPr>
            <w:tcW w:w="648" w:type="dxa"/>
          </w:tcPr>
          <w:p w14:paraId="2D05DB28" w14:textId="77777777" w:rsidR="00D549EE" w:rsidRPr="00D549EE" w:rsidRDefault="00D549EE" w:rsidP="00D549EE">
            <w:pPr>
              <w:spacing w:after="120"/>
              <w:rPr>
                <w:color w:val="000000" w:themeColor="text1"/>
              </w:rPr>
            </w:pPr>
            <w:r w:rsidRPr="00D549EE">
              <w:rPr>
                <w:color w:val="000000" w:themeColor="text1"/>
              </w:rPr>
              <w:t>№</w:t>
            </w:r>
          </w:p>
        </w:tc>
        <w:tc>
          <w:tcPr>
            <w:tcW w:w="5728" w:type="dxa"/>
          </w:tcPr>
          <w:p w14:paraId="54B56A6F" w14:textId="77777777" w:rsidR="00D549EE" w:rsidRPr="00D549EE" w:rsidRDefault="00D549EE" w:rsidP="00D549EE">
            <w:pPr>
              <w:spacing w:after="120"/>
              <w:rPr>
                <w:color w:val="000000" w:themeColor="text1"/>
                <w:lang w:val="en-US"/>
              </w:rPr>
            </w:pPr>
            <w:r w:rsidRPr="00D549EE">
              <w:rPr>
                <w:color w:val="000000" w:themeColor="text1"/>
                <w:lang w:val="en-US"/>
              </w:rPr>
              <w:t>Position</w:t>
            </w:r>
          </w:p>
        </w:tc>
        <w:tc>
          <w:tcPr>
            <w:tcW w:w="3189" w:type="dxa"/>
          </w:tcPr>
          <w:p w14:paraId="4EC0F7E8" w14:textId="77777777" w:rsidR="00D549EE" w:rsidRPr="00D549EE" w:rsidRDefault="00D549EE" w:rsidP="00D549EE">
            <w:pPr>
              <w:spacing w:after="120"/>
              <w:rPr>
                <w:color w:val="000000" w:themeColor="text1"/>
                <w:lang w:val="en-US"/>
              </w:rPr>
            </w:pPr>
            <w:r w:rsidRPr="00D549EE">
              <w:rPr>
                <w:color w:val="000000" w:themeColor="text1"/>
                <w:lang w:val="en-US"/>
              </w:rPr>
              <w:t>Tenge</w:t>
            </w:r>
          </w:p>
        </w:tc>
      </w:tr>
      <w:tr w:rsidR="00D549EE" w:rsidRPr="00D549EE" w14:paraId="4A8EDB84" w14:textId="77777777" w:rsidTr="00D549EE">
        <w:tc>
          <w:tcPr>
            <w:tcW w:w="648" w:type="dxa"/>
          </w:tcPr>
          <w:p w14:paraId="225E240C" w14:textId="77777777" w:rsidR="00D549EE" w:rsidRPr="00D549EE" w:rsidRDefault="00D549EE" w:rsidP="00D549EE">
            <w:pPr>
              <w:spacing w:after="120"/>
              <w:rPr>
                <w:color w:val="000000" w:themeColor="text1"/>
              </w:rPr>
            </w:pPr>
            <w:r w:rsidRPr="00D549EE">
              <w:rPr>
                <w:color w:val="000000" w:themeColor="text1"/>
              </w:rPr>
              <w:t>1</w:t>
            </w:r>
          </w:p>
        </w:tc>
        <w:tc>
          <w:tcPr>
            <w:tcW w:w="5728" w:type="dxa"/>
          </w:tcPr>
          <w:p w14:paraId="1099A48C" w14:textId="77777777" w:rsidR="00D549EE" w:rsidRPr="00D549EE" w:rsidRDefault="00D549EE" w:rsidP="00D549EE">
            <w:pPr>
              <w:spacing w:after="120"/>
              <w:rPr>
                <w:color w:val="000000" w:themeColor="text1"/>
                <w:lang w:val="en-US"/>
              </w:rPr>
            </w:pPr>
            <w:r w:rsidRPr="00D549EE">
              <w:rPr>
                <w:color w:val="000000" w:themeColor="text1"/>
                <w:lang w:val="en-US"/>
              </w:rPr>
              <w:t xml:space="preserve">Director-administrator </w:t>
            </w:r>
          </w:p>
        </w:tc>
        <w:tc>
          <w:tcPr>
            <w:tcW w:w="3189" w:type="dxa"/>
          </w:tcPr>
          <w:p w14:paraId="714A4D92" w14:textId="77777777" w:rsidR="00D549EE" w:rsidRPr="00D549EE" w:rsidRDefault="00D549EE" w:rsidP="00D549EE">
            <w:pPr>
              <w:spacing w:after="120"/>
              <w:rPr>
                <w:color w:val="000000" w:themeColor="text1"/>
              </w:rPr>
            </w:pPr>
            <w:r w:rsidRPr="00D549EE">
              <w:rPr>
                <w:color w:val="000000" w:themeColor="text1"/>
              </w:rPr>
              <w:t>150 000</w:t>
            </w:r>
          </w:p>
        </w:tc>
      </w:tr>
      <w:tr w:rsidR="00D549EE" w:rsidRPr="00D549EE" w14:paraId="2031BA97" w14:textId="77777777" w:rsidTr="00D549EE">
        <w:tc>
          <w:tcPr>
            <w:tcW w:w="648" w:type="dxa"/>
          </w:tcPr>
          <w:p w14:paraId="65882BFF" w14:textId="77777777" w:rsidR="00D549EE" w:rsidRPr="00D549EE" w:rsidRDefault="00D549EE" w:rsidP="00D549EE">
            <w:pPr>
              <w:spacing w:after="120"/>
              <w:rPr>
                <w:color w:val="000000" w:themeColor="text1"/>
              </w:rPr>
            </w:pPr>
            <w:r w:rsidRPr="00D549EE">
              <w:rPr>
                <w:color w:val="000000" w:themeColor="text1"/>
              </w:rPr>
              <w:t>2</w:t>
            </w:r>
          </w:p>
        </w:tc>
        <w:tc>
          <w:tcPr>
            <w:tcW w:w="5728" w:type="dxa"/>
          </w:tcPr>
          <w:p w14:paraId="340CB5B2" w14:textId="77777777" w:rsidR="00D549EE" w:rsidRPr="00D549EE" w:rsidRDefault="00D549EE" w:rsidP="00D549EE">
            <w:pPr>
              <w:spacing w:after="120"/>
              <w:rPr>
                <w:color w:val="000000" w:themeColor="text1"/>
                <w:lang w:val="en-US"/>
              </w:rPr>
            </w:pPr>
            <w:r w:rsidRPr="00D549EE">
              <w:rPr>
                <w:color w:val="000000" w:themeColor="text1"/>
                <w:lang w:val="en-US"/>
              </w:rPr>
              <w:t>Salesperson *2</w:t>
            </w:r>
          </w:p>
        </w:tc>
        <w:tc>
          <w:tcPr>
            <w:tcW w:w="3189" w:type="dxa"/>
          </w:tcPr>
          <w:p w14:paraId="66A34242" w14:textId="77777777" w:rsidR="00D549EE" w:rsidRPr="00D549EE" w:rsidRDefault="00D549EE" w:rsidP="00D549EE">
            <w:pPr>
              <w:spacing w:after="120"/>
              <w:rPr>
                <w:color w:val="000000" w:themeColor="text1"/>
                <w:lang w:val="en-US"/>
              </w:rPr>
            </w:pPr>
            <w:r w:rsidRPr="00D549EE">
              <w:rPr>
                <w:color w:val="000000" w:themeColor="text1"/>
                <w:lang w:val="en-US"/>
              </w:rPr>
              <w:t>2</w:t>
            </w:r>
            <w:r w:rsidRPr="00D549EE">
              <w:rPr>
                <w:color w:val="000000" w:themeColor="text1"/>
              </w:rPr>
              <w:t>00 000</w:t>
            </w:r>
          </w:p>
        </w:tc>
      </w:tr>
      <w:tr w:rsidR="00D549EE" w:rsidRPr="00D549EE" w14:paraId="59BF980E" w14:textId="77777777" w:rsidTr="00D549EE">
        <w:tc>
          <w:tcPr>
            <w:tcW w:w="648" w:type="dxa"/>
          </w:tcPr>
          <w:p w14:paraId="2ECFF9D0" w14:textId="77777777" w:rsidR="00D549EE" w:rsidRPr="00D549EE" w:rsidRDefault="00D549EE" w:rsidP="00D549EE">
            <w:pPr>
              <w:spacing w:after="120"/>
              <w:rPr>
                <w:color w:val="000000" w:themeColor="text1"/>
              </w:rPr>
            </w:pPr>
            <w:r w:rsidRPr="00D549EE">
              <w:rPr>
                <w:color w:val="000000" w:themeColor="text1"/>
              </w:rPr>
              <w:t>3</w:t>
            </w:r>
          </w:p>
        </w:tc>
        <w:tc>
          <w:tcPr>
            <w:tcW w:w="5728" w:type="dxa"/>
          </w:tcPr>
          <w:p w14:paraId="7BAF7AEC" w14:textId="77777777" w:rsidR="00D549EE" w:rsidRPr="00D549EE" w:rsidRDefault="00D549EE" w:rsidP="00D549EE">
            <w:pPr>
              <w:spacing w:after="120"/>
              <w:rPr>
                <w:color w:val="000000" w:themeColor="text1"/>
                <w:lang w:val="en-US"/>
              </w:rPr>
            </w:pPr>
            <w:r w:rsidRPr="00D549EE">
              <w:rPr>
                <w:color w:val="000000" w:themeColor="text1"/>
                <w:lang w:val="en-US"/>
              </w:rPr>
              <w:t xml:space="preserve">Salesperson *2 </w:t>
            </w:r>
          </w:p>
        </w:tc>
        <w:tc>
          <w:tcPr>
            <w:tcW w:w="3189" w:type="dxa"/>
          </w:tcPr>
          <w:p w14:paraId="160BB230" w14:textId="77777777" w:rsidR="00D549EE" w:rsidRPr="00D549EE" w:rsidRDefault="00D549EE" w:rsidP="00D549EE">
            <w:pPr>
              <w:spacing w:after="120"/>
              <w:rPr>
                <w:color w:val="000000" w:themeColor="text1"/>
                <w:lang w:val="en-US"/>
              </w:rPr>
            </w:pPr>
            <w:r w:rsidRPr="00D549EE">
              <w:rPr>
                <w:color w:val="000000" w:themeColor="text1"/>
                <w:lang w:val="en-US"/>
              </w:rPr>
              <w:t>2</w:t>
            </w:r>
            <w:r w:rsidRPr="00D549EE">
              <w:rPr>
                <w:color w:val="000000" w:themeColor="text1"/>
              </w:rPr>
              <w:t>00 000</w:t>
            </w:r>
          </w:p>
        </w:tc>
      </w:tr>
      <w:tr w:rsidR="00D549EE" w:rsidRPr="00D549EE" w14:paraId="631EC4E7" w14:textId="77777777" w:rsidTr="00D549EE">
        <w:tc>
          <w:tcPr>
            <w:tcW w:w="648" w:type="dxa"/>
          </w:tcPr>
          <w:p w14:paraId="263928E7" w14:textId="77777777" w:rsidR="00D549EE" w:rsidRPr="00D549EE" w:rsidRDefault="00D549EE" w:rsidP="00D549EE">
            <w:pPr>
              <w:spacing w:after="120"/>
              <w:rPr>
                <w:color w:val="000000" w:themeColor="text1"/>
              </w:rPr>
            </w:pPr>
          </w:p>
        </w:tc>
        <w:tc>
          <w:tcPr>
            <w:tcW w:w="5728" w:type="dxa"/>
          </w:tcPr>
          <w:p w14:paraId="79E2FB42" w14:textId="77777777" w:rsidR="00D549EE" w:rsidRPr="00D549EE" w:rsidRDefault="00D549EE" w:rsidP="00D549EE">
            <w:pPr>
              <w:spacing w:after="120"/>
              <w:rPr>
                <w:color w:val="000000" w:themeColor="text1"/>
              </w:rPr>
            </w:pPr>
          </w:p>
        </w:tc>
        <w:tc>
          <w:tcPr>
            <w:tcW w:w="3189" w:type="dxa"/>
          </w:tcPr>
          <w:p w14:paraId="13CE0EE9" w14:textId="77777777" w:rsidR="00D549EE" w:rsidRPr="00D549EE" w:rsidRDefault="00D549EE" w:rsidP="00D549EE">
            <w:pPr>
              <w:spacing w:after="120"/>
              <w:rPr>
                <w:b/>
                <w:color w:val="000000" w:themeColor="text1"/>
              </w:rPr>
            </w:pPr>
            <w:r w:rsidRPr="00D549EE">
              <w:rPr>
                <w:b/>
                <w:color w:val="000000" w:themeColor="text1"/>
                <w:lang w:val="en-US"/>
              </w:rPr>
              <w:t>5</w:t>
            </w:r>
            <w:r w:rsidRPr="00D549EE">
              <w:rPr>
                <w:b/>
                <w:color w:val="000000" w:themeColor="text1"/>
              </w:rPr>
              <w:t>50 000</w:t>
            </w:r>
          </w:p>
        </w:tc>
      </w:tr>
    </w:tbl>
    <w:p w14:paraId="2E74BDF7" w14:textId="77777777" w:rsidR="00D549EE" w:rsidRPr="00D549EE" w:rsidRDefault="00D549EE" w:rsidP="00D549EE">
      <w:pPr>
        <w:contextualSpacing/>
        <w:jc w:val="both"/>
        <w:rPr>
          <w:color w:val="000000" w:themeColor="text1"/>
          <w:lang w:val="en-US"/>
        </w:rPr>
      </w:pPr>
      <w:r w:rsidRPr="00D549EE">
        <w:rPr>
          <w:color w:val="000000" w:themeColor="text1"/>
          <w:lang w:val="en-US"/>
        </w:rPr>
        <w:t xml:space="preserve">  </w:t>
      </w:r>
    </w:p>
    <w:p w14:paraId="4FA883B9" w14:textId="77777777" w:rsidR="00D549EE" w:rsidRPr="00D549EE" w:rsidRDefault="00D549EE" w:rsidP="00D549EE">
      <w:pPr>
        <w:pStyle w:val="1"/>
        <w:rPr>
          <w:rFonts w:ascii="Times New Roman" w:hAnsi="Times New Roman" w:cs="Times New Roman"/>
          <w:b/>
          <w:smallCaps/>
          <w:color w:val="000000" w:themeColor="text1"/>
          <w:sz w:val="24"/>
          <w:szCs w:val="24"/>
        </w:rPr>
      </w:pPr>
      <w:bookmarkStart w:id="7" w:name="_Toc58237900"/>
      <w:r w:rsidRPr="00D549EE">
        <w:rPr>
          <w:rFonts w:ascii="Times New Roman" w:hAnsi="Times New Roman" w:cs="Times New Roman"/>
          <w:b/>
          <w:smallCaps/>
          <w:color w:val="000000" w:themeColor="text1"/>
          <w:sz w:val="24"/>
          <w:szCs w:val="24"/>
        </w:rPr>
        <w:t>Section 6</w:t>
      </w:r>
      <w:r w:rsidRPr="00D549EE">
        <w:rPr>
          <w:rFonts w:ascii="Times New Roman" w:hAnsi="Times New Roman" w:cs="Times New Roman"/>
          <w:b/>
          <w:smallCaps/>
          <w:color w:val="000000" w:themeColor="text1"/>
          <w:sz w:val="24"/>
          <w:szCs w:val="24"/>
          <w:lang w:val="en-US"/>
        </w:rPr>
        <w:t>.</w:t>
      </w:r>
      <w:r w:rsidRPr="00D549EE">
        <w:rPr>
          <w:rFonts w:ascii="Times New Roman" w:hAnsi="Times New Roman" w:cs="Times New Roman"/>
          <w:b/>
          <w:smallCaps/>
          <w:color w:val="000000" w:themeColor="text1"/>
          <w:sz w:val="24"/>
          <w:szCs w:val="24"/>
        </w:rPr>
        <w:t xml:space="preserve"> Action Plan</w:t>
      </w:r>
      <w:bookmarkEnd w:id="7"/>
    </w:p>
    <w:p w14:paraId="0ED225A1" w14:textId="77777777" w:rsidR="00D549EE" w:rsidRPr="00D549EE" w:rsidRDefault="00D549EE" w:rsidP="00D549EE"/>
    <w:p w14:paraId="2EFA47AA" w14:textId="1F54D368" w:rsidR="00D549EE" w:rsidRPr="00D549EE" w:rsidRDefault="00D549EE" w:rsidP="00D549EE">
      <w:pPr>
        <w:rPr>
          <w:lang w:val="en-US"/>
        </w:rPr>
      </w:pPr>
      <w:r w:rsidRPr="00D549EE">
        <w:rPr>
          <w:lang w:val="en-US"/>
        </w:rPr>
        <w:t>Table 4</w:t>
      </w:r>
      <w:r>
        <w:rPr>
          <w:lang w:val="en-US"/>
        </w:rPr>
        <w:t xml:space="preserve"> -</w:t>
      </w:r>
      <w:r w:rsidRPr="00D549EE">
        <w:rPr>
          <w:lang w:val="en-US"/>
        </w:rPr>
        <w:t xml:space="preserve"> Project implementation calendar plan</w:t>
      </w:r>
    </w:p>
    <w:p w14:paraId="529C04BF" w14:textId="77777777" w:rsidR="00D549EE" w:rsidRPr="00D549EE" w:rsidRDefault="00D549EE" w:rsidP="00D549EE">
      <w:pPr>
        <w:rPr>
          <w:lang w:val="en-US"/>
        </w:rPr>
      </w:pPr>
    </w:p>
    <w:tbl>
      <w:tblPr>
        <w:tblW w:w="5000" w:type="pct"/>
        <w:tblLook w:val="00A0" w:firstRow="1" w:lastRow="0" w:firstColumn="1" w:lastColumn="0" w:noHBand="0" w:noVBand="0"/>
      </w:tblPr>
      <w:tblGrid>
        <w:gridCol w:w="4986"/>
        <w:gridCol w:w="1158"/>
        <w:gridCol w:w="1159"/>
        <w:gridCol w:w="1159"/>
        <w:gridCol w:w="1161"/>
      </w:tblGrid>
      <w:tr w:rsidR="00D549EE" w:rsidRPr="00D549EE" w14:paraId="5D6446A2" w14:textId="77777777" w:rsidTr="00D549EE">
        <w:trPr>
          <w:trHeight w:val="255"/>
        </w:trPr>
        <w:tc>
          <w:tcPr>
            <w:tcW w:w="2591"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tcPr>
          <w:p w14:paraId="466EF1DF" w14:textId="77777777" w:rsidR="00D549EE" w:rsidRPr="00D549EE" w:rsidRDefault="00D549EE" w:rsidP="00D549EE">
            <w:pPr>
              <w:spacing w:after="120"/>
              <w:jc w:val="both"/>
              <w:rPr>
                <w:b/>
                <w:bCs/>
                <w:color w:val="000000" w:themeColor="text1"/>
                <w:lang w:val="en-US"/>
              </w:rPr>
            </w:pPr>
            <w:r w:rsidRPr="00D549EE">
              <w:rPr>
                <w:b/>
                <w:bCs/>
                <w:color w:val="000000" w:themeColor="text1"/>
                <w:lang w:val="en-US"/>
              </w:rPr>
              <w:t>Activity</w:t>
            </w:r>
            <w:r w:rsidRPr="00D549EE">
              <w:rPr>
                <w:b/>
                <w:bCs/>
                <w:color w:val="000000" w:themeColor="text1"/>
              </w:rPr>
              <w:t>\</w:t>
            </w:r>
            <w:r w:rsidRPr="00D549EE">
              <w:rPr>
                <w:b/>
                <w:bCs/>
                <w:color w:val="000000" w:themeColor="text1"/>
                <w:lang w:val="en-US"/>
              </w:rPr>
              <w:t>Month</w:t>
            </w:r>
          </w:p>
        </w:tc>
        <w:tc>
          <w:tcPr>
            <w:tcW w:w="2409" w:type="pct"/>
            <w:gridSpan w:val="4"/>
            <w:tcBorders>
              <w:top w:val="single" w:sz="4" w:space="0" w:color="auto"/>
              <w:left w:val="nil"/>
              <w:bottom w:val="single" w:sz="4" w:space="0" w:color="auto"/>
              <w:right w:val="single" w:sz="4" w:space="0" w:color="auto"/>
            </w:tcBorders>
            <w:shd w:val="clear" w:color="000000" w:fill="DCE6F1"/>
            <w:noWrap/>
            <w:vAlign w:val="center"/>
          </w:tcPr>
          <w:p w14:paraId="2941D3BA" w14:textId="77777777" w:rsidR="00D549EE" w:rsidRPr="00D549EE" w:rsidRDefault="00D549EE" w:rsidP="00D549EE">
            <w:pPr>
              <w:spacing w:after="120"/>
              <w:jc w:val="both"/>
              <w:rPr>
                <w:b/>
                <w:bCs/>
                <w:color w:val="000000" w:themeColor="text1"/>
              </w:rPr>
            </w:pPr>
            <w:r w:rsidRPr="00D549EE">
              <w:rPr>
                <w:b/>
                <w:bCs/>
                <w:color w:val="000000" w:themeColor="text1"/>
              </w:rPr>
              <w:t>2021</w:t>
            </w:r>
          </w:p>
        </w:tc>
      </w:tr>
      <w:tr w:rsidR="00D549EE" w:rsidRPr="00D549EE" w14:paraId="3AECDDA5" w14:textId="77777777" w:rsidTr="00D549EE">
        <w:trPr>
          <w:trHeight w:val="255"/>
        </w:trPr>
        <w:tc>
          <w:tcPr>
            <w:tcW w:w="2591" w:type="pct"/>
            <w:vMerge/>
            <w:tcBorders>
              <w:top w:val="single" w:sz="4" w:space="0" w:color="auto"/>
              <w:left w:val="single" w:sz="4" w:space="0" w:color="auto"/>
              <w:bottom w:val="single" w:sz="4" w:space="0" w:color="000000"/>
              <w:right w:val="single" w:sz="4" w:space="0" w:color="auto"/>
            </w:tcBorders>
            <w:vAlign w:val="center"/>
          </w:tcPr>
          <w:p w14:paraId="6AF69A4D" w14:textId="77777777" w:rsidR="00D549EE" w:rsidRPr="00D549EE" w:rsidRDefault="00D549EE" w:rsidP="00D549EE">
            <w:pPr>
              <w:spacing w:after="120"/>
              <w:jc w:val="both"/>
              <w:rPr>
                <w:b/>
                <w:bCs/>
                <w:color w:val="000000" w:themeColor="text1"/>
              </w:rPr>
            </w:pPr>
          </w:p>
        </w:tc>
        <w:tc>
          <w:tcPr>
            <w:tcW w:w="602" w:type="pct"/>
            <w:tcBorders>
              <w:top w:val="nil"/>
              <w:left w:val="nil"/>
              <w:bottom w:val="single" w:sz="4" w:space="0" w:color="auto"/>
              <w:right w:val="single" w:sz="4" w:space="0" w:color="auto"/>
            </w:tcBorders>
            <w:shd w:val="clear" w:color="000000" w:fill="DCE6F1"/>
            <w:noWrap/>
            <w:vAlign w:val="center"/>
          </w:tcPr>
          <w:p w14:paraId="118A79EE" w14:textId="77777777" w:rsidR="00D549EE" w:rsidRPr="00D549EE" w:rsidRDefault="00D549EE" w:rsidP="00D549EE">
            <w:pPr>
              <w:spacing w:after="120"/>
              <w:jc w:val="both"/>
              <w:rPr>
                <w:b/>
                <w:bCs/>
                <w:color w:val="000000" w:themeColor="text1"/>
                <w:lang w:val="en-US"/>
              </w:rPr>
            </w:pPr>
            <w:r w:rsidRPr="00D549EE">
              <w:rPr>
                <w:b/>
                <w:bCs/>
                <w:color w:val="000000" w:themeColor="text1"/>
                <w:lang w:val="en-US"/>
              </w:rPr>
              <w:t>6</w:t>
            </w:r>
          </w:p>
        </w:tc>
        <w:tc>
          <w:tcPr>
            <w:tcW w:w="602" w:type="pct"/>
            <w:tcBorders>
              <w:top w:val="nil"/>
              <w:left w:val="nil"/>
              <w:bottom w:val="single" w:sz="4" w:space="0" w:color="auto"/>
              <w:right w:val="single" w:sz="4" w:space="0" w:color="auto"/>
            </w:tcBorders>
            <w:shd w:val="clear" w:color="000000" w:fill="DCE6F1"/>
            <w:noWrap/>
            <w:vAlign w:val="center"/>
          </w:tcPr>
          <w:p w14:paraId="08745FFA" w14:textId="77777777" w:rsidR="00D549EE" w:rsidRPr="00D549EE" w:rsidRDefault="00D549EE" w:rsidP="00D549EE">
            <w:pPr>
              <w:spacing w:after="120"/>
              <w:jc w:val="both"/>
              <w:rPr>
                <w:b/>
                <w:bCs/>
                <w:color w:val="000000" w:themeColor="text1"/>
                <w:lang w:val="en-US"/>
              </w:rPr>
            </w:pPr>
            <w:r w:rsidRPr="00D549EE">
              <w:rPr>
                <w:b/>
                <w:bCs/>
                <w:color w:val="000000" w:themeColor="text1"/>
                <w:lang w:val="en-US"/>
              </w:rPr>
              <w:t>7</w:t>
            </w:r>
          </w:p>
        </w:tc>
        <w:tc>
          <w:tcPr>
            <w:tcW w:w="602" w:type="pct"/>
            <w:tcBorders>
              <w:top w:val="nil"/>
              <w:left w:val="nil"/>
              <w:bottom w:val="single" w:sz="4" w:space="0" w:color="auto"/>
              <w:right w:val="single" w:sz="4" w:space="0" w:color="auto"/>
            </w:tcBorders>
            <w:shd w:val="clear" w:color="000000" w:fill="DCE6F1"/>
            <w:noWrap/>
            <w:vAlign w:val="center"/>
          </w:tcPr>
          <w:p w14:paraId="7392BC5B" w14:textId="77777777" w:rsidR="00D549EE" w:rsidRPr="00D549EE" w:rsidRDefault="00D549EE" w:rsidP="00D549EE">
            <w:pPr>
              <w:spacing w:after="120"/>
              <w:jc w:val="both"/>
              <w:rPr>
                <w:b/>
                <w:bCs/>
                <w:color w:val="000000" w:themeColor="text1"/>
                <w:lang w:val="en-US"/>
              </w:rPr>
            </w:pPr>
            <w:r w:rsidRPr="00D549EE">
              <w:rPr>
                <w:b/>
                <w:bCs/>
                <w:color w:val="000000" w:themeColor="text1"/>
                <w:lang w:val="en-US"/>
              </w:rPr>
              <w:t>8</w:t>
            </w:r>
          </w:p>
        </w:tc>
        <w:tc>
          <w:tcPr>
            <w:tcW w:w="602" w:type="pct"/>
            <w:tcBorders>
              <w:top w:val="nil"/>
              <w:left w:val="nil"/>
              <w:bottom w:val="single" w:sz="4" w:space="0" w:color="auto"/>
              <w:right w:val="single" w:sz="4" w:space="0" w:color="auto"/>
            </w:tcBorders>
            <w:shd w:val="clear" w:color="000000" w:fill="DCE6F1"/>
            <w:noWrap/>
            <w:vAlign w:val="center"/>
          </w:tcPr>
          <w:p w14:paraId="5F50D449" w14:textId="77777777" w:rsidR="00D549EE" w:rsidRPr="00D549EE" w:rsidRDefault="00D549EE" w:rsidP="00D549EE">
            <w:pPr>
              <w:spacing w:after="120"/>
              <w:jc w:val="both"/>
              <w:rPr>
                <w:b/>
                <w:bCs/>
                <w:color w:val="000000" w:themeColor="text1"/>
                <w:lang w:val="en-US"/>
              </w:rPr>
            </w:pPr>
            <w:r w:rsidRPr="00D549EE">
              <w:rPr>
                <w:b/>
                <w:bCs/>
                <w:color w:val="000000" w:themeColor="text1"/>
                <w:lang w:val="en-US"/>
              </w:rPr>
              <w:t>9</w:t>
            </w:r>
          </w:p>
        </w:tc>
      </w:tr>
      <w:tr w:rsidR="00D549EE" w:rsidRPr="00FC685D" w14:paraId="6EF30EBD" w14:textId="77777777" w:rsidTr="00D549EE">
        <w:trPr>
          <w:trHeight w:val="510"/>
        </w:trPr>
        <w:tc>
          <w:tcPr>
            <w:tcW w:w="2591" w:type="pct"/>
            <w:tcBorders>
              <w:top w:val="nil"/>
              <w:left w:val="single" w:sz="4" w:space="0" w:color="auto"/>
              <w:bottom w:val="single" w:sz="4" w:space="0" w:color="auto"/>
              <w:right w:val="single" w:sz="4" w:space="0" w:color="auto"/>
            </w:tcBorders>
            <w:vAlign w:val="center"/>
          </w:tcPr>
          <w:p w14:paraId="2BFFD6B6" w14:textId="77777777" w:rsidR="00D549EE" w:rsidRPr="00D549EE" w:rsidRDefault="00D549EE" w:rsidP="00D549EE">
            <w:pPr>
              <w:spacing w:after="120"/>
              <w:jc w:val="both"/>
              <w:rPr>
                <w:color w:val="000000" w:themeColor="text1"/>
                <w:lang w:val="en-US"/>
              </w:rPr>
            </w:pPr>
            <w:r w:rsidRPr="00D549EE">
              <w:rPr>
                <w:color w:val="000000" w:themeColor="text1"/>
                <w:lang w:val="en-US"/>
              </w:rPr>
              <w:t>Conducting market research and developing a feasibility study</w:t>
            </w:r>
          </w:p>
        </w:tc>
        <w:tc>
          <w:tcPr>
            <w:tcW w:w="602" w:type="pct"/>
            <w:tcBorders>
              <w:top w:val="nil"/>
              <w:left w:val="nil"/>
              <w:bottom w:val="single" w:sz="4" w:space="0" w:color="auto"/>
              <w:right w:val="single" w:sz="4" w:space="0" w:color="auto"/>
            </w:tcBorders>
            <w:shd w:val="clear" w:color="000000" w:fill="DCE6F1"/>
            <w:noWrap/>
            <w:vAlign w:val="center"/>
          </w:tcPr>
          <w:p w14:paraId="10DCE0CF" w14:textId="77777777" w:rsidR="00D549EE" w:rsidRPr="00D549EE" w:rsidRDefault="00D549EE" w:rsidP="00D549EE">
            <w:pPr>
              <w:spacing w:after="120"/>
              <w:jc w:val="both"/>
              <w:rPr>
                <w:color w:val="000000" w:themeColor="text1"/>
                <w:lang w:val="en-US"/>
              </w:rPr>
            </w:pPr>
            <w:r w:rsidRPr="00D549EE">
              <w:rPr>
                <w:color w:val="000000" w:themeColor="text1"/>
                <w:lang w:val="en-US"/>
              </w:rPr>
              <w:t> </w:t>
            </w:r>
          </w:p>
        </w:tc>
        <w:tc>
          <w:tcPr>
            <w:tcW w:w="602" w:type="pct"/>
            <w:tcBorders>
              <w:top w:val="nil"/>
              <w:left w:val="nil"/>
              <w:bottom w:val="single" w:sz="4" w:space="0" w:color="auto"/>
              <w:right w:val="single" w:sz="4" w:space="0" w:color="auto"/>
            </w:tcBorders>
            <w:noWrap/>
            <w:vAlign w:val="center"/>
          </w:tcPr>
          <w:p w14:paraId="04A90CC4" w14:textId="77777777" w:rsidR="00D549EE" w:rsidRPr="00D549EE" w:rsidRDefault="00D549EE" w:rsidP="00D549EE">
            <w:pPr>
              <w:spacing w:after="120"/>
              <w:jc w:val="both"/>
              <w:rPr>
                <w:color w:val="000000" w:themeColor="text1"/>
                <w:lang w:val="en-US"/>
              </w:rPr>
            </w:pPr>
            <w:r w:rsidRPr="00D549EE">
              <w:rPr>
                <w:color w:val="000000" w:themeColor="text1"/>
                <w:lang w:val="en-US"/>
              </w:rPr>
              <w:t> </w:t>
            </w:r>
          </w:p>
        </w:tc>
        <w:tc>
          <w:tcPr>
            <w:tcW w:w="602" w:type="pct"/>
            <w:tcBorders>
              <w:top w:val="nil"/>
              <w:left w:val="nil"/>
              <w:bottom w:val="single" w:sz="4" w:space="0" w:color="auto"/>
              <w:right w:val="single" w:sz="4" w:space="0" w:color="auto"/>
            </w:tcBorders>
            <w:noWrap/>
            <w:vAlign w:val="center"/>
          </w:tcPr>
          <w:p w14:paraId="645B6B15" w14:textId="77777777" w:rsidR="00D549EE" w:rsidRPr="00D549EE" w:rsidRDefault="00D549EE" w:rsidP="00D549EE">
            <w:pPr>
              <w:spacing w:after="120"/>
              <w:jc w:val="both"/>
              <w:rPr>
                <w:color w:val="000000" w:themeColor="text1"/>
                <w:lang w:val="en-US"/>
              </w:rPr>
            </w:pPr>
            <w:r w:rsidRPr="00D549EE">
              <w:rPr>
                <w:color w:val="000000" w:themeColor="text1"/>
                <w:lang w:val="en-US"/>
              </w:rPr>
              <w:t> </w:t>
            </w:r>
          </w:p>
        </w:tc>
        <w:tc>
          <w:tcPr>
            <w:tcW w:w="602" w:type="pct"/>
            <w:tcBorders>
              <w:top w:val="nil"/>
              <w:left w:val="nil"/>
              <w:bottom w:val="single" w:sz="4" w:space="0" w:color="auto"/>
              <w:right w:val="single" w:sz="4" w:space="0" w:color="auto"/>
            </w:tcBorders>
            <w:noWrap/>
            <w:vAlign w:val="center"/>
          </w:tcPr>
          <w:p w14:paraId="2227E118" w14:textId="77777777" w:rsidR="00D549EE" w:rsidRPr="00D549EE" w:rsidRDefault="00D549EE" w:rsidP="00D549EE">
            <w:pPr>
              <w:spacing w:after="120"/>
              <w:jc w:val="both"/>
              <w:rPr>
                <w:color w:val="000000" w:themeColor="text1"/>
                <w:lang w:val="en-US"/>
              </w:rPr>
            </w:pPr>
            <w:r w:rsidRPr="00D549EE">
              <w:rPr>
                <w:color w:val="000000" w:themeColor="text1"/>
                <w:lang w:val="en-US"/>
              </w:rPr>
              <w:t> </w:t>
            </w:r>
          </w:p>
        </w:tc>
      </w:tr>
      <w:tr w:rsidR="00D549EE" w:rsidRPr="00FC685D" w14:paraId="2F4D69C3" w14:textId="77777777" w:rsidTr="00D549EE">
        <w:trPr>
          <w:trHeight w:val="255"/>
        </w:trPr>
        <w:tc>
          <w:tcPr>
            <w:tcW w:w="2591" w:type="pct"/>
            <w:tcBorders>
              <w:top w:val="nil"/>
              <w:left w:val="single" w:sz="4" w:space="0" w:color="auto"/>
              <w:bottom w:val="single" w:sz="4" w:space="0" w:color="auto"/>
              <w:right w:val="single" w:sz="4" w:space="0" w:color="auto"/>
            </w:tcBorders>
            <w:noWrap/>
            <w:vAlign w:val="center"/>
          </w:tcPr>
          <w:p w14:paraId="7D894B43" w14:textId="77777777" w:rsidR="00D549EE" w:rsidRPr="00D549EE" w:rsidRDefault="00D549EE" w:rsidP="00D549EE">
            <w:pPr>
              <w:spacing w:after="120"/>
              <w:jc w:val="both"/>
              <w:rPr>
                <w:color w:val="000000" w:themeColor="text1"/>
                <w:lang w:val="en-US"/>
              </w:rPr>
            </w:pPr>
            <w:r w:rsidRPr="00D549EE">
              <w:rPr>
                <w:color w:val="000000" w:themeColor="text1"/>
                <w:lang w:val="en-US"/>
              </w:rPr>
              <w:t>Resolving the issue of financing</w:t>
            </w:r>
          </w:p>
        </w:tc>
        <w:tc>
          <w:tcPr>
            <w:tcW w:w="602" w:type="pct"/>
            <w:tcBorders>
              <w:top w:val="nil"/>
              <w:left w:val="nil"/>
              <w:bottom w:val="single" w:sz="4" w:space="0" w:color="auto"/>
              <w:right w:val="single" w:sz="4" w:space="0" w:color="auto"/>
            </w:tcBorders>
            <w:shd w:val="clear" w:color="000000" w:fill="DCE6F1"/>
            <w:noWrap/>
            <w:vAlign w:val="center"/>
          </w:tcPr>
          <w:p w14:paraId="17194B0B" w14:textId="77777777" w:rsidR="00D549EE" w:rsidRPr="00D549EE" w:rsidRDefault="00D549EE" w:rsidP="00D549EE">
            <w:pPr>
              <w:spacing w:after="120"/>
              <w:jc w:val="both"/>
              <w:rPr>
                <w:color w:val="000000" w:themeColor="text1"/>
                <w:lang w:val="en-US"/>
              </w:rPr>
            </w:pPr>
            <w:r w:rsidRPr="00D549EE">
              <w:rPr>
                <w:color w:val="000000" w:themeColor="text1"/>
                <w:lang w:val="en-US"/>
              </w:rPr>
              <w:t> </w:t>
            </w:r>
          </w:p>
        </w:tc>
        <w:tc>
          <w:tcPr>
            <w:tcW w:w="602" w:type="pct"/>
            <w:tcBorders>
              <w:top w:val="nil"/>
              <w:left w:val="nil"/>
              <w:bottom w:val="single" w:sz="4" w:space="0" w:color="auto"/>
              <w:right w:val="single" w:sz="4" w:space="0" w:color="auto"/>
            </w:tcBorders>
            <w:shd w:val="clear" w:color="000000" w:fill="DCE6F1"/>
            <w:noWrap/>
            <w:vAlign w:val="center"/>
          </w:tcPr>
          <w:p w14:paraId="4060A8A8" w14:textId="77777777" w:rsidR="00D549EE" w:rsidRPr="00D549EE" w:rsidRDefault="00D549EE" w:rsidP="00D549EE">
            <w:pPr>
              <w:spacing w:after="120"/>
              <w:jc w:val="both"/>
              <w:rPr>
                <w:color w:val="000000" w:themeColor="text1"/>
                <w:lang w:val="en-US"/>
              </w:rPr>
            </w:pPr>
            <w:r w:rsidRPr="00D549EE">
              <w:rPr>
                <w:color w:val="000000" w:themeColor="text1"/>
                <w:lang w:val="en-US"/>
              </w:rPr>
              <w:t> </w:t>
            </w:r>
          </w:p>
        </w:tc>
        <w:tc>
          <w:tcPr>
            <w:tcW w:w="602" w:type="pct"/>
            <w:tcBorders>
              <w:top w:val="nil"/>
              <w:left w:val="nil"/>
              <w:bottom w:val="single" w:sz="4" w:space="0" w:color="auto"/>
              <w:right w:val="single" w:sz="4" w:space="0" w:color="auto"/>
            </w:tcBorders>
            <w:noWrap/>
            <w:vAlign w:val="center"/>
          </w:tcPr>
          <w:p w14:paraId="57330FB2" w14:textId="77777777" w:rsidR="00D549EE" w:rsidRPr="00D549EE" w:rsidRDefault="00D549EE" w:rsidP="00D549EE">
            <w:pPr>
              <w:spacing w:after="120"/>
              <w:jc w:val="both"/>
              <w:rPr>
                <w:color w:val="000000" w:themeColor="text1"/>
                <w:lang w:val="en-US"/>
              </w:rPr>
            </w:pPr>
            <w:r w:rsidRPr="00D549EE">
              <w:rPr>
                <w:color w:val="000000" w:themeColor="text1"/>
                <w:lang w:val="en-US"/>
              </w:rPr>
              <w:t> </w:t>
            </w:r>
          </w:p>
        </w:tc>
        <w:tc>
          <w:tcPr>
            <w:tcW w:w="602" w:type="pct"/>
            <w:tcBorders>
              <w:top w:val="nil"/>
              <w:left w:val="nil"/>
              <w:bottom w:val="single" w:sz="4" w:space="0" w:color="auto"/>
              <w:right w:val="single" w:sz="4" w:space="0" w:color="auto"/>
            </w:tcBorders>
            <w:noWrap/>
            <w:vAlign w:val="center"/>
          </w:tcPr>
          <w:p w14:paraId="5CEDF142" w14:textId="77777777" w:rsidR="00D549EE" w:rsidRPr="00D549EE" w:rsidRDefault="00D549EE" w:rsidP="00D549EE">
            <w:pPr>
              <w:spacing w:after="120"/>
              <w:jc w:val="both"/>
              <w:rPr>
                <w:color w:val="000000" w:themeColor="text1"/>
                <w:lang w:val="en-US"/>
              </w:rPr>
            </w:pPr>
            <w:r w:rsidRPr="00D549EE">
              <w:rPr>
                <w:color w:val="000000" w:themeColor="text1"/>
                <w:lang w:val="en-US"/>
              </w:rPr>
              <w:t> </w:t>
            </w:r>
          </w:p>
        </w:tc>
      </w:tr>
      <w:tr w:rsidR="00D549EE" w:rsidRPr="00D549EE" w14:paraId="12382673" w14:textId="77777777" w:rsidTr="00D549EE">
        <w:trPr>
          <w:trHeight w:val="255"/>
        </w:trPr>
        <w:tc>
          <w:tcPr>
            <w:tcW w:w="2591" w:type="pct"/>
            <w:tcBorders>
              <w:top w:val="nil"/>
              <w:left w:val="single" w:sz="4" w:space="0" w:color="auto"/>
              <w:bottom w:val="single" w:sz="4" w:space="0" w:color="auto"/>
              <w:right w:val="single" w:sz="4" w:space="0" w:color="auto"/>
            </w:tcBorders>
            <w:noWrap/>
            <w:vAlign w:val="center"/>
          </w:tcPr>
          <w:p w14:paraId="47DF3030" w14:textId="77777777" w:rsidR="00D549EE" w:rsidRPr="00D549EE" w:rsidRDefault="00D549EE" w:rsidP="00D549EE">
            <w:pPr>
              <w:spacing w:after="120"/>
              <w:jc w:val="both"/>
              <w:rPr>
                <w:color w:val="000000" w:themeColor="text1"/>
              </w:rPr>
            </w:pPr>
            <w:r w:rsidRPr="00D549EE">
              <w:rPr>
                <w:color w:val="000000" w:themeColor="text1"/>
              </w:rPr>
              <w:t>Search for staff</w:t>
            </w:r>
          </w:p>
        </w:tc>
        <w:tc>
          <w:tcPr>
            <w:tcW w:w="602" w:type="pct"/>
            <w:tcBorders>
              <w:top w:val="nil"/>
              <w:left w:val="nil"/>
              <w:bottom w:val="single" w:sz="4" w:space="0" w:color="auto"/>
              <w:right w:val="single" w:sz="4" w:space="0" w:color="auto"/>
            </w:tcBorders>
            <w:noWrap/>
            <w:vAlign w:val="center"/>
          </w:tcPr>
          <w:p w14:paraId="58486CD0" w14:textId="77777777" w:rsidR="00D549EE" w:rsidRPr="00D549EE" w:rsidRDefault="00D549EE" w:rsidP="00D549EE">
            <w:pPr>
              <w:spacing w:after="120"/>
              <w:jc w:val="both"/>
              <w:rPr>
                <w:color w:val="000000" w:themeColor="text1"/>
              </w:rPr>
            </w:pPr>
            <w:r w:rsidRPr="00D549EE">
              <w:rPr>
                <w:color w:val="000000" w:themeColor="text1"/>
              </w:rPr>
              <w:t> </w:t>
            </w:r>
          </w:p>
        </w:tc>
        <w:tc>
          <w:tcPr>
            <w:tcW w:w="602" w:type="pct"/>
            <w:tcBorders>
              <w:top w:val="nil"/>
              <w:left w:val="nil"/>
              <w:bottom w:val="single" w:sz="4" w:space="0" w:color="auto"/>
              <w:right w:val="single" w:sz="4" w:space="0" w:color="auto"/>
            </w:tcBorders>
            <w:noWrap/>
            <w:vAlign w:val="center"/>
          </w:tcPr>
          <w:p w14:paraId="6D835D6C" w14:textId="77777777" w:rsidR="00D549EE" w:rsidRPr="00D549EE" w:rsidRDefault="00D549EE" w:rsidP="00D549EE">
            <w:pPr>
              <w:spacing w:after="120"/>
              <w:jc w:val="both"/>
              <w:rPr>
                <w:color w:val="000000" w:themeColor="text1"/>
              </w:rPr>
            </w:pPr>
            <w:r w:rsidRPr="00D549EE">
              <w:rPr>
                <w:color w:val="000000" w:themeColor="text1"/>
              </w:rPr>
              <w:t> </w:t>
            </w:r>
          </w:p>
        </w:tc>
        <w:tc>
          <w:tcPr>
            <w:tcW w:w="602" w:type="pct"/>
            <w:tcBorders>
              <w:top w:val="nil"/>
              <w:left w:val="nil"/>
              <w:bottom w:val="single" w:sz="4" w:space="0" w:color="auto"/>
              <w:right w:val="single" w:sz="4" w:space="0" w:color="auto"/>
            </w:tcBorders>
            <w:shd w:val="clear" w:color="000000" w:fill="DCE6F1"/>
            <w:noWrap/>
            <w:vAlign w:val="center"/>
          </w:tcPr>
          <w:p w14:paraId="63A3EDB8" w14:textId="77777777" w:rsidR="00D549EE" w:rsidRPr="00D549EE" w:rsidRDefault="00D549EE" w:rsidP="00D549EE">
            <w:pPr>
              <w:spacing w:after="120"/>
              <w:jc w:val="both"/>
              <w:rPr>
                <w:color w:val="000000" w:themeColor="text1"/>
              </w:rPr>
            </w:pPr>
            <w:r w:rsidRPr="00D549EE">
              <w:rPr>
                <w:color w:val="000000" w:themeColor="text1"/>
              </w:rPr>
              <w:t> </w:t>
            </w:r>
          </w:p>
        </w:tc>
        <w:tc>
          <w:tcPr>
            <w:tcW w:w="602" w:type="pct"/>
            <w:tcBorders>
              <w:top w:val="nil"/>
              <w:left w:val="nil"/>
              <w:bottom w:val="single" w:sz="4" w:space="0" w:color="auto"/>
              <w:right w:val="single" w:sz="4" w:space="0" w:color="auto"/>
            </w:tcBorders>
            <w:noWrap/>
            <w:vAlign w:val="center"/>
          </w:tcPr>
          <w:p w14:paraId="22E3A4DB" w14:textId="77777777" w:rsidR="00D549EE" w:rsidRPr="00D549EE" w:rsidRDefault="00D549EE" w:rsidP="00D549EE">
            <w:pPr>
              <w:spacing w:after="120"/>
              <w:jc w:val="both"/>
              <w:rPr>
                <w:color w:val="000000" w:themeColor="text1"/>
              </w:rPr>
            </w:pPr>
            <w:r w:rsidRPr="00D549EE">
              <w:rPr>
                <w:color w:val="000000" w:themeColor="text1"/>
              </w:rPr>
              <w:t> </w:t>
            </w:r>
          </w:p>
        </w:tc>
      </w:tr>
      <w:tr w:rsidR="00D549EE" w:rsidRPr="00D549EE" w14:paraId="44D425C6" w14:textId="77777777" w:rsidTr="00D549EE">
        <w:trPr>
          <w:trHeight w:val="255"/>
        </w:trPr>
        <w:tc>
          <w:tcPr>
            <w:tcW w:w="2591" w:type="pct"/>
            <w:tcBorders>
              <w:top w:val="nil"/>
              <w:left w:val="single" w:sz="4" w:space="0" w:color="auto"/>
              <w:bottom w:val="single" w:sz="4" w:space="0" w:color="auto"/>
              <w:right w:val="single" w:sz="4" w:space="0" w:color="auto"/>
            </w:tcBorders>
            <w:noWrap/>
            <w:vAlign w:val="center"/>
          </w:tcPr>
          <w:p w14:paraId="0F27C8CC" w14:textId="77777777" w:rsidR="00D549EE" w:rsidRPr="00D549EE" w:rsidRDefault="00D549EE" w:rsidP="00D549EE">
            <w:pPr>
              <w:spacing w:after="120"/>
              <w:jc w:val="both"/>
              <w:rPr>
                <w:color w:val="000000" w:themeColor="text1"/>
                <w:lang w:val="en-US"/>
              </w:rPr>
            </w:pPr>
            <w:r w:rsidRPr="00D549EE">
              <w:rPr>
                <w:color w:val="000000" w:themeColor="text1"/>
                <w:lang w:val="en-US"/>
              </w:rPr>
              <w:t>S</w:t>
            </w:r>
            <w:r w:rsidRPr="00D549EE">
              <w:rPr>
                <w:color w:val="000000" w:themeColor="text1"/>
              </w:rPr>
              <w:t>igning contract</w:t>
            </w:r>
            <w:r w:rsidRPr="00D549EE">
              <w:rPr>
                <w:color w:val="000000" w:themeColor="text1"/>
                <w:lang w:val="en-US"/>
              </w:rPr>
              <w:t>s</w:t>
            </w:r>
          </w:p>
        </w:tc>
        <w:tc>
          <w:tcPr>
            <w:tcW w:w="602" w:type="pct"/>
            <w:tcBorders>
              <w:top w:val="nil"/>
              <w:left w:val="nil"/>
              <w:bottom w:val="single" w:sz="4" w:space="0" w:color="auto"/>
              <w:right w:val="single" w:sz="4" w:space="0" w:color="auto"/>
            </w:tcBorders>
            <w:noWrap/>
            <w:vAlign w:val="center"/>
          </w:tcPr>
          <w:p w14:paraId="044EE45F" w14:textId="77777777" w:rsidR="00D549EE" w:rsidRPr="00D549EE" w:rsidRDefault="00D549EE" w:rsidP="00D549EE">
            <w:pPr>
              <w:spacing w:after="120"/>
              <w:jc w:val="both"/>
              <w:rPr>
                <w:color w:val="000000" w:themeColor="text1"/>
              </w:rPr>
            </w:pPr>
            <w:r w:rsidRPr="00D549EE">
              <w:rPr>
                <w:color w:val="000000" w:themeColor="text1"/>
              </w:rPr>
              <w:t> </w:t>
            </w:r>
          </w:p>
        </w:tc>
        <w:tc>
          <w:tcPr>
            <w:tcW w:w="602" w:type="pct"/>
            <w:tcBorders>
              <w:top w:val="nil"/>
              <w:left w:val="nil"/>
              <w:bottom w:val="single" w:sz="4" w:space="0" w:color="auto"/>
              <w:right w:val="single" w:sz="4" w:space="0" w:color="auto"/>
            </w:tcBorders>
            <w:noWrap/>
            <w:vAlign w:val="center"/>
          </w:tcPr>
          <w:p w14:paraId="619BD512" w14:textId="77777777" w:rsidR="00D549EE" w:rsidRPr="00D549EE" w:rsidRDefault="00D549EE" w:rsidP="00D549EE">
            <w:pPr>
              <w:spacing w:after="120"/>
              <w:jc w:val="both"/>
              <w:rPr>
                <w:color w:val="000000" w:themeColor="text1"/>
              </w:rPr>
            </w:pPr>
            <w:r w:rsidRPr="00D549EE">
              <w:rPr>
                <w:color w:val="000000" w:themeColor="text1"/>
              </w:rPr>
              <w:t> </w:t>
            </w:r>
          </w:p>
        </w:tc>
        <w:tc>
          <w:tcPr>
            <w:tcW w:w="602" w:type="pct"/>
            <w:tcBorders>
              <w:top w:val="nil"/>
              <w:left w:val="nil"/>
              <w:bottom w:val="single" w:sz="4" w:space="0" w:color="auto"/>
              <w:right w:val="single" w:sz="4" w:space="0" w:color="auto"/>
            </w:tcBorders>
            <w:shd w:val="clear" w:color="000000" w:fill="DCE6F1"/>
            <w:noWrap/>
            <w:vAlign w:val="center"/>
          </w:tcPr>
          <w:p w14:paraId="3249F519" w14:textId="77777777" w:rsidR="00D549EE" w:rsidRPr="00D549EE" w:rsidRDefault="00D549EE" w:rsidP="00D549EE">
            <w:pPr>
              <w:spacing w:after="120"/>
              <w:jc w:val="both"/>
              <w:rPr>
                <w:color w:val="000000" w:themeColor="text1"/>
              </w:rPr>
            </w:pPr>
            <w:r w:rsidRPr="00D549EE">
              <w:rPr>
                <w:color w:val="000000" w:themeColor="text1"/>
              </w:rPr>
              <w:t> </w:t>
            </w:r>
          </w:p>
        </w:tc>
        <w:tc>
          <w:tcPr>
            <w:tcW w:w="602" w:type="pct"/>
            <w:tcBorders>
              <w:top w:val="nil"/>
              <w:left w:val="nil"/>
              <w:bottom w:val="single" w:sz="4" w:space="0" w:color="auto"/>
              <w:right w:val="single" w:sz="4" w:space="0" w:color="auto"/>
            </w:tcBorders>
            <w:shd w:val="clear" w:color="000000" w:fill="DCE6F1"/>
            <w:noWrap/>
            <w:vAlign w:val="center"/>
          </w:tcPr>
          <w:p w14:paraId="5A4C8697" w14:textId="77777777" w:rsidR="00D549EE" w:rsidRPr="00D549EE" w:rsidRDefault="00D549EE" w:rsidP="00D549EE">
            <w:pPr>
              <w:spacing w:after="120"/>
              <w:jc w:val="both"/>
              <w:rPr>
                <w:color w:val="000000" w:themeColor="text1"/>
              </w:rPr>
            </w:pPr>
            <w:r w:rsidRPr="00D549EE">
              <w:rPr>
                <w:color w:val="000000" w:themeColor="text1"/>
              </w:rPr>
              <w:t> </w:t>
            </w:r>
          </w:p>
        </w:tc>
      </w:tr>
      <w:tr w:rsidR="00D549EE" w:rsidRPr="00D549EE" w14:paraId="01EC5B9C" w14:textId="77777777" w:rsidTr="00D549EE">
        <w:trPr>
          <w:trHeight w:val="255"/>
        </w:trPr>
        <w:tc>
          <w:tcPr>
            <w:tcW w:w="2591" w:type="pct"/>
            <w:tcBorders>
              <w:top w:val="nil"/>
              <w:left w:val="single" w:sz="4" w:space="0" w:color="auto"/>
              <w:bottom w:val="single" w:sz="4" w:space="0" w:color="auto"/>
              <w:right w:val="single" w:sz="4" w:space="0" w:color="auto"/>
            </w:tcBorders>
            <w:noWrap/>
            <w:vAlign w:val="center"/>
          </w:tcPr>
          <w:p w14:paraId="19B9EB62" w14:textId="77777777" w:rsidR="00D549EE" w:rsidRPr="00D549EE" w:rsidRDefault="00D549EE" w:rsidP="00D549EE">
            <w:pPr>
              <w:spacing w:after="120"/>
              <w:jc w:val="both"/>
              <w:rPr>
                <w:color w:val="000000" w:themeColor="text1"/>
              </w:rPr>
            </w:pPr>
            <w:r w:rsidRPr="00D549EE">
              <w:rPr>
                <w:color w:val="000000" w:themeColor="text1"/>
              </w:rPr>
              <w:t>Getting started</w:t>
            </w:r>
          </w:p>
        </w:tc>
        <w:tc>
          <w:tcPr>
            <w:tcW w:w="602" w:type="pct"/>
            <w:tcBorders>
              <w:top w:val="nil"/>
              <w:left w:val="nil"/>
              <w:bottom w:val="single" w:sz="4" w:space="0" w:color="auto"/>
              <w:right w:val="single" w:sz="4" w:space="0" w:color="auto"/>
            </w:tcBorders>
            <w:noWrap/>
            <w:vAlign w:val="center"/>
          </w:tcPr>
          <w:p w14:paraId="0C87C8E6" w14:textId="77777777" w:rsidR="00D549EE" w:rsidRPr="00D549EE" w:rsidRDefault="00D549EE" w:rsidP="00D549EE">
            <w:pPr>
              <w:spacing w:after="120"/>
              <w:jc w:val="both"/>
              <w:rPr>
                <w:color w:val="000000" w:themeColor="text1"/>
              </w:rPr>
            </w:pPr>
            <w:r w:rsidRPr="00D549EE">
              <w:rPr>
                <w:color w:val="000000" w:themeColor="text1"/>
              </w:rPr>
              <w:t> </w:t>
            </w:r>
          </w:p>
        </w:tc>
        <w:tc>
          <w:tcPr>
            <w:tcW w:w="602" w:type="pct"/>
            <w:tcBorders>
              <w:top w:val="nil"/>
              <w:left w:val="nil"/>
              <w:bottom w:val="single" w:sz="4" w:space="0" w:color="auto"/>
              <w:right w:val="single" w:sz="4" w:space="0" w:color="auto"/>
            </w:tcBorders>
            <w:noWrap/>
            <w:vAlign w:val="center"/>
          </w:tcPr>
          <w:p w14:paraId="5032DF2B" w14:textId="77777777" w:rsidR="00D549EE" w:rsidRPr="00D549EE" w:rsidRDefault="00D549EE" w:rsidP="00D549EE">
            <w:pPr>
              <w:spacing w:after="120"/>
              <w:jc w:val="both"/>
              <w:rPr>
                <w:color w:val="000000" w:themeColor="text1"/>
              </w:rPr>
            </w:pPr>
            <w:r w:rsidRPr="00D549EE">
              <w:rPr>
                <w:color w:val="000000" w:themeColor="text1"/>
              </w:rPr>
              <w:t> </w:t>
            </w:r>
          </w:p>
        </w:tc>
        <w:tc>
          <w:tcPr>
            <w:tcW w:w="602" w:type="pct"/>
            <w:tcBorders>
              <w:top w:val="nil"/>
              <w:left w:val="nil"/>
              <w:bottom w:val="single" w:sz="4" w:space="0" w:color="auto"/>
              <w:right w:val="single" w:sz="4" w:space="0" w:color="auto"/>
            </w:tcBorders>
            <w:noWrap/>
            <w:vAlign w:val="center"/>
          </w:tcPr>
          <w:p w14:paraId="4AA856A1" w14:textId="77777777" w:rsidR="00D549EE" w:rsidRPr="00D549EE" w:rsidRDefault="00D549EE" w:rsidP="00D549EE">
            <w:pPr>
              <w:spacing w:after="120"/>
              <w:jc w:val="both"/>
              <w:rPr>
                <w:color w:val="000000" w:themeColor="text1"/>
              </w:rPr>
            </w:pPr>
            <w:r w:rsidRPr="00D549EE">
              <w:rPr>
                <w:color w:val="000000" w:themeColor="text1"/>
              </w:rPr>
              <w:t> </w:t>
            </w:r>
          </w:p>
        </w:tc>
        <w:tc>
          <w:tcPr>
            <w:tcW w:w="602" w:type="pct"/>
            <w:tcBorders>
              <w:top w:val="nil"/>
              <w:left w:val="nil"/>
              <w:bottom w:val="single" w:sz="4" w:space="0" w:color="auto"/>
              <w:right w:val="single" w:sz="4" w:space="0" w:color="auto"/>
            </w:tcBorders>
            <w:shd w:val="clear" w:color="000000" w:fill="DCE6F1"/>
            <w:noWrap/>
            <w:vAlign w:val="center"/>
          </w:tcPr>
          <w:p w14:paraId="37102872" w14:textId="77777777" w:rsidR="00D549EE" w:rsidRPr="00D549EE" w:rsidRDefault="00D549EE" w:rsidP="00D549EE">
            <w:pPr>
              <w:spacing w:after="120"/>
              <w:jc w:val="both"/>
              <w:rPr>
                <w:color w:val="000000" w:themeColor="text1"/>
              </w:rPr>
            </w:pPr>
            <w:r w:rsidRPr="00D549EE">
              <w:rPr>
                <w:color w:val="000000" w:themeColor="text1"/>
              </w:rPr>
              <w:t> </w:t>
            </w:r>
          </w:p>
        </w:tc>
      </w:tr>
    </w:tbl>
    <w:p w14:paraId="37898A42" w14:textId="77777777" w:rsidR="00D549EE" w:rsidRPr="00D549EE" w:rsidRDefault="00D549EE" w:rsidP="00D549EE">
      <w:pPr>
        <w:pStyle w:val="1"/>
        <w:rPr>
          <w:rFonts w:ascii="Times New Roman" w:hAnsi="Times New Roman" w:cs="Times New Roman"/>
          <w:b/>
          <w:smallCaps/>
          <w:color w:val="000000" w:themeColor="text1"/>
          <w:sz w:val="24"/>
          <w:szCs w:val="24"/>
        </w:rPr>
      </w:pPr>
      <w:bookmarkStart w:id="8" w:name="_Toc58237901"/>
      <w:r w:rsidRPr="00D549EE">
        <w:rPr>
          <w:rFonts w:ascii="Times New Roman" w:hAnsi="Times New Roman" w:cs="Times New Roman"/>
          <w:b/>
          <w:smallCaps/>
          <w:color w:val="000000" w:themeColor="text1"/>
          <w:sz w:val="24"/>
          <w:szCs w:val="24"/>
        </w:rPr>
        <w:t>Section 7</w:t>
      </w:r>
      <w:r w:rsidRPr="00D549EE">
        <w:rPr>
          <w:rFonts w:ascii="Times New Roman" w:hAnsi="Times New Roman" w:cs="Times New Roman"/>
          <w:b/>
          <w:smallCaps/>
          <w:color w:val="000000" w:themeColor="text1"/>
          <w:sz w:val="24"/>
          <w:szCs w:val="24"/>
          <w:lang w:val="en-US"/>
        </w:rPr>
        <w:t>.</w:t>
      </w:r>
      <w:r w:rsidRPr="00D549EE">
        <w:rPr>
          <w:rFonts w:ascii="Times New Roman" w:hAnsi="Times New Roman" w:cs="Times New Roman"/>
          <w:b/>
          <w:smallCaps/>
          <w:color w:val="000000" w:themeColor="text1"/>
          <w:sz w:val="24"/>
          <w:szCs w:val="24"/>
        </w:rPr>
        <w:t xml:space="preserve"> Sources of Funding</w:t>
      </w:r>
      <w:bookmarkEnd w:id="8"/>
    </w:p>
    <w:p w14:paraId="3289D40E" w14:textId="77777777" w:rsidR="00D549EE" w:rsidRPr="00D549EE" w:rsidRDefault="00D549EE" w:rsidP="00D549EE">
      <w:pPr>
        <w:contextualSpacing/>
        <w:jc w:val="both"/>
        <w:rPr>
          <w:color w:val="000000" w:themeColor="text1"/>
          <w:lang w:val="en-US"/>
        </w:rPr>
      </w:pPr>
    </w:p>
    <w:p w14:paraId="6C98DAE6" w14:textId="77777777" w:rsidR="00D549EE" w:rsidRPr="00D549EE" w:rsidRDefault="00D549EE" w:rsidP="00D549EE">
      <w:pPr>
        <w:jc w:val="both"/>
        <w:rPr>
          <w:color w:val="000000" w:themeColor="text1"/>
          <w:lang w:val="en-US"/>
        </w:rPr>
      </w:pPr>
      <w:r w:rsidRPr="00D549EE">
        <w:rPr>
          <w:color w:val="000000" w:themeColor="text1"/>
          <w:lang w:val="en-US"/>
        </w:rPr>
        <w:tab/>
        <w:t>For opening and starting the business, it is needed to use different sources of financing, this is one of the most crucial criteria of the business, regardless of whether it is a social business or a commercial one. And the very first source that is used as a resource that was given to us from birth, this is time. Before starting a business, every company should spend time studying the market, searching for a worthy location of the establishment, finding the necessary financing that it will need in the future, etc. These are the very first steps that company takes, and they are very important.</w:t>
      </w:r>
    </w:p>
    <w:p w14:paraId="3F12A423" w14:textId="77777777" w:rsidR="00D549EE" w:rsidRPr="00D549EE" w:rsidRDefault="00D549EE" w:rsidP="00D549EE">
      <w:pPr>
        <w:contextualSpacing/>
        <w:jc w:val="both"/>
        <w:rPr>
          <w:color w:val="000000" w:themeColor="text1"/>
          <w:lang w:val="en-US"/>
        </w:rPr>
      </w:pPr>
      <w:r w:rsidRPr="00D549EE">
        <w:rPr>
          <w:color w:val="000000" w:themeColor="text1"/>
          <w:lang w:val="en-US"/>
        </w:rPr>
        <w:tab/>
        <w:t xml:space="preserve">The financing of the social project in the form of Social market comes from the three founders of the Ume social services non-commercial public organization, who use for  the starting the social market own funding of 20 892 865 tenge. This capital expenditure to the project is not expected to be received by the founders back, because this amount is given in the form of sadaqah-charity by founders. Furthermore, the premises of the store in 500 square meters in a passable area of the city are given for use free of charge, that is reduced the monthly expenses and is increased profit, which will spent on charity. </w:t>
      </w:r>
    </w:p>
    <w:p w14:paraId="492FB2D9" w14:textId="77777777" w:rsidR="00D549EE" w:rsidRPr="00D549EE" w:rsidRDefault="00D549EE" w:rsidP="00D549EE">
      <w:pPr>
        <w:contextualSpacing/>
        <w:jc w:val="both"/>
        <w:rPr>
          <w:color w:val="000000" w:themeColor="text1"/>
          <w:lang w:val="en-US"/>
        </w:rPr>
      </w:pPr>
      <w:r w:rsidRPr="00D549EE">
        <w:rPr>
          <w:color w:val="000000" w:themeColor="text1"/>
          <w:lang w:val="en-US"/>
        </w:rPr>
        <w:tab/>
        <w:t xml:space="preserve">It is supposed to not use the loan from the conventional Banks, because of ethical and religious preferences of the founders. But in the case of necessity of additional funding for the social market development, it is expected to do additional financing by founders or getting loan from Islamic financial institutions. </w:t>
      </w:r>
    </w:p>
    <w:p w14:paraId="45ED0A65" w14:textId="77777777" w:rsidR="00D549EE" w:rsidRPr="00D549EE" w:rsidRDefault="00D549EE" w:rsidP="00D549EE">
      <w:pPr>
        <w:jc w:val="both"/>
        <w:rPr>
          <w:color w:val="000000" w:themeColor="text1"/>
          <w:lang w:val="en-US"/>
        </w:rPr>
      </w:pPr>
      <w:r w:rsidRPr="00D549EE">
        <w:rPr>
          <w:color w:val="000000" w:themeColor="text1"/>
          <w:lang w:val="en-US"/>
        </w:rPr>
        <w:tab/>
        <w:t xml:space="preserve">As an example, there is a conditions of loan in the form of financing small business under the program of  </w:t>
      </w:r>
      <w:r w:rsidRPr="00D549EE">
        <w:rPr>
          <w:color w:val="000000"/>
          <w:lang w:val="en-US"/>
        </w:rPr>
        <w:t>“Entrepreneurship Development Fund Damu”</w:t>
      </w:r>
      <w:r w:rsidRPr="00D549EE">
        <w:rPr>
          <w:lang w:val="en-US"/>
        </w:rPr>
        <w:t xml:space="preserve"> </w:t>
      </w:r>
      <w:r w:rsidRPr="00D549EE">
        <w:rPr>
          <w:color w:val="000000" w:themeColor="text1"/>
          <w:lang w:val="en-US"/>
        </w:rPr>
        <w:t xml:space="preserve">of the  Islamic Bank Al-Hilal JSC. </w:t>
      </w:r>
    </w:p>
    <w:p w14:paraId="31B49D2F" w14:textId="77777777" w:rsidR="00D549EE" w:rsidRPr="00D549EE" w:rsidRDefault="00D549EE" w:rsidP="00D549EE">
      <w:pPr>
        <w:pStyle w:val="a5"/>
        <w:spacing w:before="0" w:beforeAutospacing="0" w:after="150" w:afterAutospacing="0" w:line="360" w:lineRule="atLeast"/>
        <w:rPr>
          <w:color w:val="000000"/>
        </w:rPr>
      </w:pPr>
      <w:r w:rsidRPr="00D549EE">
        <w:rPr>
          <w:lang w:val="en-US"/>
        </w:rPr>
        <w:tab/>
      </w:r>
      <w:r w:rsidRPr="00D549EE">
        <w:rPr>
          <w:b/>
          <w:bCs/>
          <w:color w:val="000000"/>
        </w:rPr>
        <w:t>Financing criteria:</w:t>
      </w:r>
    </w:p>
    <w:p w14:paraId="78FEDB67" w14:textId="77777777" w:rsidR="00D549EE" w:rsidRPr="00D549EE" w:rsidRDefault="00D549EE" w:rsidP="00D549EE">
      <w:pPr>
        <w:numPr>
          <w:ilvl w:val="0"/>
          <w:numId w:val="42"/>
        </w:numPr>
        <w:ind w:left="240"/>
        <w:rPr>
          <w:color w:val="000000"/>
          <w:lang w:val="en-US"/>
        </w:rPr>
      </w:pPr>
      <w:r w:rsidRPr="00D549EE">
        <w:rPr>
          <w:color w:val="000000"/>
          <w:lang w:val="en-US"/>
        </w:rPr>
        <w:t>The business must comply with the definition of small enterprises according to the laws of the Republic of Kazakhstan (average annual number of employees no more than 100 people, average annual income not exceeding 300 thousand of minimum calculation index).  The program covers the individual entrepreneurs and limited liability companies.</w:t>
      </w:r>
    </w:p>
    <w:p w14:paraId="6433FB9F" w14:textId="77777777" w:rsidR="00D549EE" w:rsidRPr="00D549EE" w:rsidRDefault="00D549EE" w:rsidP="00D549EE">
      <w:pPr>
        <w:numPr>
          <w:ilvl w:val="0"/>
          <w:numId w:val="42"/>
        </w:numPr>
        <w:ind w:left="240"/>
        <w:rPr>
          <w:color w:val="000000"/>
          <w:lang w:val="en-US"/>
        </w:rPr>
      </w:pPr>
      <w:r w:rsidRPr="00D549EE">
        <w:rPr>
          <w:color w:val="000000"/>
          <w:lang w:val="en-US"/>
        </w:rPr>
        <w:t>There are no requirements to turnover. The bank will analyze the financial statements of the business and project to decide on financing. </w:t>
      </w:r>
    </w:p>
    <w:p w14:paraId="3948F0AF" w14:textId="77777777" w:rsidR="00D549EE" w:rsidRPr="00D549EE" w:rsidRDefault="00D549EE" w:rsidP="00D549EE">
      <w:pPr>
        <w:numPr>
          <w:ilvl w:val="0"/>
          <w:numId w:val="42"/>
        </w:numPr>
        <w:ind w:left="240"/>
        <w:rPr>
          <w:color w:val="000000"/>
          <w:lang w:val="en-US"/>
        </w:rPr>
      </w:pPr>
      <w:r w:rsidRPr="00D549EE">
        <w:rPr>
          <w:color w:val="000000"/>
          <w:lang w:val="en-US"/>
        </w:rPr>
        <w:t>Any sector of the economy complying with the Sharia rules and principles is subject to financing.</w:t>
      </w:r>
    </w:p>
    <w:p w14:paraId="3E462EF5" w14:textId="77777777" w:rsidR="00D549EE" w:rsidRPr="00D549EE" w:rsidRDefault="00D549EE" w:rsidP="00D549EE">
      <w:pPr>
        <w:spacing w:after="150" w:line="360" w:lineRule="atLeast"/>
        <w:rPr>
          <w:color w:val="000000"/>
        </w:rPr>
      </w:pPr>
      <w:r w:rsidRPr="00D549EE">
        <w:rPr>
          <w:b/>
          <w:bCs/>
          <w:color w:val="000000"/>
        </w:rPr>
        <w:t>Main conditions:</w:t>
      </w:r>
    </w:p>
    <w:p w14:paraId="25844E7D" w14:textId="77777777" w:rsidR="00D549EE" w:rsidRPr="00D549EE" w:rsidRDefault="00D549EE" w:rsidP="00D549EE">
      <w:pPr>
        <w:numPr>
          <w:ilvl w:val="0"/>
          <w:numId w:val="43"/>
        </w:numPr>
        <w:ind w:left="240"/>
        <w:rPr>
          <w:color w:val="000000"/>
        </w:rPr>
      </w:pPr>
      <w:r w:rsidRPr="00D549EE">
        <w:rPr>
          <w:b/>
          <w:bCs/>
          <w:color w:val="000000"/>
        </w:rPr>
        <w:t>Financing currency: </w:t>
      </w:r>
      <w:r w:rsidRPr="00D549EE">
        <w:rPr>
          <w:color w:val="000000"/>
        </w:rPr>
        <w:t>Kazakhstan tenge</w:t>
      </w:r>
    </w:p>
    <w:p w14:paraId="5FC3D0F3" w14:textId="77777777" w:rsidR="00D549EE" w:rsidRPr="00D549EE" w:rsidRDefault="00D549EE" w:rsidP="00D549EE">
      <w:pPr>
        <w:numPr>
          <w:ilvl w:val="0"/>
          <w:numId w:val="43"/>
        </w:numPr>
        <w:ind w:left="240"/>
        <w:rPr>
          <w:color w:val="000000"/>
          <w:lang w:val="en-US"/>
        </w:rPr>
      </w:pPr>
      <w:r w:rsidRPr="00D549EE">
        <w:rPr>
          <w:b/>
          <w:bCs/>
          <w:color w:val="000000"/>
          <w:lang w:val="en-US"/>
        </w:rPr>
        <w:t>Financing amount:</w:t>
      </w:r>
      <w:r w:rsidRPr="00D549EE">
        <w:rPr>
          <w:color w:val="000000"/>
          <w:lang w:val="en-US"/>
        </w:rPr>
        <w:t> up to 20 million tenge</w:t>
      </w:r>
    </w:p>
    <w:p w14:paraId="7633D550" w14:textId="77777777" w:rsidR="00D549EE" w:rsidRPr="00D549EE" w:rsidRDefault="00D549EE" w:rsidP="00D549EE">
      <w:pPr>
        <w:numPr>
          <w:ilvl w:val="0"/>
          <w:numId w:val="43"/>
        </w:numPr>
        <w:ind w:left="240"/>
        <w:rPr>
          <w:color w:val="000000"/>
          <w:lang w:val="en-US"/>
        </w:rPr>
      </w:pPr>
      <w:r w:rsidRPr="00D549EE">
        <w:rPr>
          <w:b/>
          <w:bCs/>
          <w:color w:val="000000"/>
          <w:lang w:val="en-US"/>
        </w:rPr>
        <w:t>Purpose of financing: </w:t>
      </w:r>
      <w:r w:rsidRPr="00D549EE">
        <w:rPr>
          <w:color w:val="000000"/>
          <w:lang w:val="en-US"/>
        </w:rPr>
        <w:t>investment (real estate, equipment, special machines and vehicles)</w:t>
      </w:r>
    </w:p>
    <w:p w14:paraId="3D8B5280" w14:textId="77777777" w:rsidR="00D549EE" w:rsidRPr="00D549EE" w:rsidRDefault="00D549EE" w:rsidP="00D549EE">
      <w:pPr>
        <w:numPr>
          <w:ilvl w:val="0"/>
          <w:numId w:val="43"/>
        </w:numPr>
        <w:ind w:left="240"/>
        <w:rPr>
          <w:color w:val="000000"/>
          <w:lang w:val="en-US"/>
        </w:rPr>
      </w:pPr>
      <w:r w:rsidRPr="00D549EE">
        <w:rPr>
          <w:b/>
          <w:bCs/>
          <w:color w:val="000000"/>
          <w:lang w:val="en-US"/>
        </w:rPr>
        <w:t>Term of financing: </w:t>
      </w:r>
      <w:r w:rsidRPr="00D549EE">
        <w:rPr>
          <w:color w:val="000000"/>
          <w:lang w:val="en-US"/>
        </w:rPr>
        <w:t>up to 36 months</w:t>
      </w:r>
    </w:p>
    <w:p w14:paraId="24E8DCD5" w14:textId="77777777" w:rsidR="00D549EE" w:rsidRPr="00D549EE" w:rsidRDefault="00D549EE" w:rsidP="00D549EE">
      <w:pPr>
        <w:numPr>
          <w:ilvl w:val="0"/>
          <w:numId w:val="43"/>
        </w:numPr>
        <w:ind w:left="240"/>
        <w:rPr>
          <w:color w:val="000000"/>
          <w:lang w:val="en-US"/>
        </w:rPr>
      </w:pPr>
      <w:r w:rsidRPr="00D549EE">
        <w:rPr>
          <w:b/>
          <w:bCs/>
          <w:color w:val="000000"/>
          <w:lang w:val="en-US"/>
        </w:rPr>
        <w:t>Financing rate:</w:t>
      </w:r>
      <w:r w:rsidRPr="00D549EE">
        <w:rPr>
          <w:color w:val="000000"/>
          <w:lang w:val="en-US"/>
        </w:rPr>
        <w:t> 17.5% p.a., of which 11.5% is subsidized by Damu Entrepreneurship Development Fund JSC</w:t>
      </w:r>
    </w:p>
    <w:p w14:paraId="146C932D" w14:textId="77777777" w:rsidR="00D549EE" w:rsidRPr="00D549EE" w:rsidRDefault="00D549EE" w:rsidP="00D549EE">
      <w:pPr>
        <w:numPr>
          <w:ilvl w:val="0"/>
          <w:numId w:val="43"/>
        </w:numPr>
        <w:ind w:left="240"/>
        <w:rPr>
          <w:color w:val="000000"/>
        </w:rPr>
      </w:pPr>
      <w:r w:rsidRPr="00D549EE">
        <w:rPr>
          <w:b/>
          <w:bCs/>
          <w:color w:val="000000"/>
        </w:rPr>
        <w:t>Mark-up payment:</w:t>
      </w:r>
      <w:r w:rsidRPr="00D549EE">
        <w:rPr>
          <w:color w:val="000000"/>
        </w:rPr>
        <w:t> quarterly instalments</w:t>
      </w:r>
    </w:p>
    <w:p w14:paraId="2456D6E1" w14:textId="77777777" w:rsidR="00D549EE" w:rsidRPr="00D549EE" w:rsidRDefault="00D549EE" w:rsidP="00D549EE">
      <w:pPr>
        <w:numPr>
          <w:ilvl w:val="0"/>
          <w:numId w:val="43"/>
        </w:numPr>
        <w:ind w:left="240"/>
        <w:rPr>
          <w:color w:val="000000"/>
          <w:lang w:val="en-US"/>
        </w:rPr>
      </w:pPr>
      <w:r w:rsidRPr="00D549EE">
        <w:rPr>
          <w:b/>
          <w:bCs/>
          <w:color w:val="000000"/>
          <w:lang w:val="en-US"/>
        </w:rPr>
        <w:t>Payment of cost price:</w:t>
      </w:r>
      <w:r w:rsidRPr="00D549EE">
        <w:rPr>
          <w:color w:val="000000"/>
          <w:lang w:val="en-US"/>
        </w:rPr>
        <w:t> quarterly instalments or one-time payment at the end of the term [6]</w:t>
      </w:r>
    </w:p>
    <w:p w14:paraId="327E2BB0" w14:textId="77777777" w:rsidR="00D549EE" w:rsidRPr="00D549EE" w:rsidRDefault="00D549EE" w:rsidP="00D549EE">
      <w:pPr>
        <w:jc w:val="both"/>
        <w:rPr>
          <w:lang w:val="en-US"/>
        </w:rPr>
      </w:pPr>
      <w:r w:rsidRPr="00D549EE">
        <w:rPr>
          <w:lang w:val="en-US"/>
        </w:rPr>
        <w:tab/>
      </w:r>
    </w:p>
    <w:p w14:paraId="2D5ED063" w14:textId="77777777" w:rsidR="00D549EE" w:rsidRPr="00D549EE" w:rsidRDefault="00D549EE" w:rsidP="00D549EE">
      <w:pPr>
        <w:jc w:val="both"/>
        <w:rPr>
          <w:lang w:val="en-US"/>
        </w:rPr>
      </w:pPr>
      <w:r w:rsidRPr="00D549EE">
        <w:rPr>
          <w:lang w:val="en-US"/>
        </w:rPr>
        <w:tab/>
        <w:t xml:space="preserve">As can be seen from the conditions and requirements bellow, it is possible get funding from the Islamic Bank in the case of financing real asset. Taking into account the state program Damu, the price of the financing is 6% per year, and maximum term of financing  is 36 months. If during the implementation of the project the additional funds will be needed with the involvement of the bank mounthly payments details in Table 6 for the first year for 2 000 000 tenge, the loan term is 24 months. </w:t>
      </w:r>
    </w:p>
    <w:p w14:paraId="296D2A73" w14:textId="77777777" w:rsidR="00D549EE" w:rsidRPr="00D549EE" w:rsidRDefault="00D549EE" w:rsidP="00D549EE">
      <w:pPr>
        <w:jc w:val="both"/>
        <w:rPr>
          <w:lang w:val="en-US"/>
        </w:rPr>
      </w:pPr>
    </w:p>
    <w:p w14:paraId="5C02585D" w14:textId="562A1CF1" w:rsidR="00D549EE" w:rsidRPr="00D549EE" w:rsidRDefault="00D549EE" w:rsidP="00D549EE">
      <w:pPr>
        <w:jc w:val="both"/>
        <w:rPr>
          <w:lang w:val="en-US"/>
        </w:rPr>
      </w:pPr>
      <w:r w:rsidRPr="00D549EE">
        <w:rPr>
          <w:lang w:val="en-US"/>
        </w:rPr>
        <w:t>Table 6</w:t>
      </w:r>
      <w:r>
        <w:rPr>
          <w:lang w:val="en-US"/>
        </w:rPr>
        <w:t xml:space="preserve"> - </w:t>
      </w:r>
      <w:r w:rsidRPr="00D549EE">
        <w:rPr>
          <w:lang w:val="en-US"/>
        </w:rPr>
        <w:t xml:space="preserve"> Monthly payment for the loan in Islamic Bank al-Hilal for SME under Damu program for the first year </w:t>
      </w:r>
    </w:p>
    <w:p w14:paraId="6104D8C6" w14:textId="77777777" w:rsidR="00D549EE" w:rsidRPr="00D549EE" w:rsidRDefault="00D549EE" w:rsidP="00D549EE">
      <w:pPr>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416"/>
        <w:gridCol w:w="1356"/>
        <w:gridCol w:w="1176"/>
        <w:gridCol w:w="1176"/>
        <w:gridCol w:w="1416"/>
      </w:tblGrid>
      <w:tr w:rsidR="00D549EE" w:rsidRPr="00D549EE" w14:paraId="510028C5" w14:textId="77777777" w:rsidTr="00D549EE">
        <w:trPr>
          <w:trHeight w:val="300"/>
        </w:trPr>
        <w:tc>
          <w:tcPr>
            <w:tcW w:w="0" w:type="auto"/>
            <w:shd w:val="clear" w:color="auto" w:fill="auto"/>
            <w:noWrap/>
            <w:vAlign w:val="center"/>
            <w:hideMark/>
          </w:tcPr>
          <w:p w14:paraId="11FD20D7" w14:textId="77777777" w:rsidR="00D549EE" w:rsidRPr="00D549EE" w:rsidRDefault="00D549EE" w:rsidP="00D549EE">
            <w:pPr>
              <w:jc w:val="right"/>
              <w:rPr>
                <w:color w:val="000000"/>
              </w:rPr>
            </w:pPr>
            <w:r w:rsidRPr="00D549EE">
              <w:rPr>
                <w:color w:val="000000"/>
              </w:rPr>
              <w:t>#</w:t>
            </w:r>
          </w:p>
        </w:tc>
        <w:tc>
          <w:tcPr>
            <w:tcW w:w="0" w:type="auto"/>
            <w:shd w:val="clear" w:color="auto" w:fill="auto"/>
            <w:noWrap/>
            <w:vAlign w:val="bottom"/>
            <w:hideMark/>
          </w:tcPr>
          <w:p w14:paraId="36E183B7" w14:textId="77777777" w:rsidR="00D549EE" w:rsidRPr="00D549EE" w:rsidRDefault="00D549EE" w:rsidP="00D549EE">
            <w:pPr>
              <w:rPr>
                <w:color w:val="000000"/>
              </w:rPr>
            </w:pPr>
            <w:r w:rsidRPr="00D549EE">
              <w:rPr>
                <w:color w:val="000000"/>
              </w:rPr>
              <w:t>Amount</w:t>
            </w:r>
          </w:p>
        </w:tc>
        <w:tc>
          <w:tcPr>
            <w:tcW w:w="0" w:type="auto"/>
            <w:shd w:val="clear" w:color="auto" w:fill="auto"/>
            <w:noWrap/>
            <w:vAlign w:val="bottom"/>
            <w:hideMark/>
          </w:tcPr>
          <w:p w14:paraId="0486D262" w14:textId="77777777" w:rsidR="00D549EE" w:rsidRPr="00D549EE" w:rsidRDefault="00D549EE" w:rsidP="00D549EE">
            <w:pPr>
              <w:rPr>
                <w:color w:val="000000"/>
              </w:rPr>
            </w:pPr>
            <w:r w:rsidRPr="00D549EE">
              <w:rPr>
                <w:color w:val="000000"/>
              </w:rPr>
              <w:t>Payment</w:t>
            </w:r>
          </w:p>
        </w:tc>
        <w:tc>
          <w:tcPr>
            <w:tcW w:w="0" w:type="auto"/>
            <w:shd w:val="clear" w:color="auto" w:fill="auto"/>
            <w:noWrap/>
            <w:vAlign w:val="bottom"/>
            <w:hideMark/>
          </w:tcPr>
          <w:p w14:paraId="4341B758" w14:textId="77777777" w:rsidR="00D549EE" w:rsidRPr="00D549EE" w:rsidRDefault="00D549EE" w:rsidP="00D549EE">
            <w:pPr>
              <w:rPr>
                <w:color w:val="0066CC"/>
              </w:rPr>
            </w:pPr>
            <w:r w:rsidRPr="00D549EE">
              <w:rPr>
                <w:color w:val="0066CC"/>
              </w:rPr>
              <w:t>Principle</w:t>
            </w:r>
          </w:p>
        </w:tc>
        <w:tc>
          <w:tcPr>
            <w:tcW w:w="0" w:type="auto"/>
            <w:shd w:val="clear" w:color="auto" w:fill="auto"/>
            <w:noWrap/>
            <w:vAlign w:val="bottom"/>
            <w:hideMark/>
          </w:tcPr>
          <w:p w14:paraId="4B237838" w14:textId="77777777" w:rsidR="00D549EE" w:rsidRPr="00D549EE" w:rsidRDefault="00D549EE" w:rsidP="00D549EE">
            <w:pPr>
              <w:rPr>
                <w:color w:val="FF0000"/>
              </w:rPr>
            </w:pPr>
            <w:r w:rsidRPr="00D549EE">
              <w:rPr>
                <w:color w:val="FF0000"/>
              </w:rPr>
              <w:t>Interest</w:t>
            </w:r>
          </w:p>
        </w:tc>
        <w:tc>
          <w:tcPr>
            <w:tcW w:w="0" w:type="auto"/>
            <w:shd w:val="clear" w:color="auto" w:fill="auto"/>
            <w:noWrap/>
            <w:vAlign w:val="bottom"/>
            <w:hideMark/>
          </w:tcPr>
          <w:p w14:paraId="2AC7E099" w14:textId="77777777" w:rsidR="00D549EE" w:rsidRPr="00D549EE" w:rsidRDefault="00D549EE" w:rsidP="00D549EE">
            <w:pPr>
              <w:rPr>
                <w:color w:val="000000"/>
              </w:rPr>
            </w:pPr>
            <w:r w:rsidRPr="00D549EE">
              <w:rPr>
                <w:color w:val="000000"/>
              </w:rPr>
              <w:t>Ending</w:t>
            </w:r>
          </w:p>
        </w:tc>
      </w:tr>
      <w:tr w:rsidR="00D549EE" w:rsidRPr="00D549EE" w14:paraId="5437E5E1" w14:textId="77777777" w:rsidTr="00D549EE">
        <w:trPr>
          <w:trHeight w:val="300"/>
        </w:trPr>
        <w:tc>
          <w:tcPr>
            <w:tcW w:w="0" w:type="auto"/>
            <w:shd w:val="clear" w:color="auto" w:fill="auto"/>
            <w:noWrap/>
            <w:vAlign w:val="bottom"/>
            <w:hideMark/>
          </w:tcPr>
          <w:p w14:paraId="0E28E995" w14:textId="77777777" w:rsidR="00D549EE" w:rsidRPr="00D549EE" w:rsidRDefault="00D549EE" w:rsidP="00D549EE">
            <w:pPr>
              <w:jc w:val="right"/>
              <w:rPr>
                <w:color w:val="000000"/>
              </w:rPr>
            </w:pPr>
            <w:r w:rsidRPr="00D549EE">
              <w:rPr>
                <w:color w:val="000000"/>
              </w:rPr>
              <w:t>1</w:t>
            </w:r>
          </w:p>
        </w:tc>
        <w:tc>
          <w:tcPr>
            <w:tcW w:w="0" w:type="auto"/>
            <w:shd w:val="clear" w:color="auto" w:fill="auto"/>
            <w:noWrap/>
            <w:vAlign w:val="bottom"/>
            <w:hideMark/>
          </w:tcPr>
          <w:p w14:paraId="5295AEB4" w14:textId="77777777" w:rsidR="00D549EE" w:rsidRPr="00D549EE" w:rsidRDefault="00D549EE" w:rsidP="00D549EE">
            <w:pPr>
              <w:rPr>
                <w:color w:val="000000"/>
              </w:rPr>
            </w:pPr>
            <w:r w:rsidRPr="00D549EE">
              <w:rPr>
                <w:color w:val="000000"/>
              </w:rPr>
              <w:t xml:space="preserve">2 000 000,0 </w:t>
            </w:r>
          </w:p>
        </w:tc>
        <w:tc>
          <w:tcPr>
            <w:tcW w:w="0" w:type="auto"/>
            <w:shd w:val="clear" w:color="auto" w:fill="auto"/>
            <w:noWrap/>
            <w:vAlign w:val="center"/>
            <w:hideMark/>
          </w:tcPr>
          <w:p w14:paraId="535C045C"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0C201684" w14:textId="77777777" w:rsidR="00D549EE" w:rsidRPr="00D549EE" w:rsidRDefault="00D549EE" w:rsidP="00D549EE">
            <w:pPr>
              <w:rPr>
                <w:color w:val="0066CC"/>
              </w:rPr>
            </w:pPr>
            <w:r w:rsidRPr="00D549EE">
              <w:rPr>
                <w:color w:val="0066CC"/>
              </w:rPr>
              <w:t xml:space="preserve">78 641,2   </w:t>
            </w:r>
          </w:p>
        </w:tc>
        <w:tc>
          <w:tcPr>
            <w:tcW w:w="0" w:type="auto"/>
            <w:shd w:val="clear" w:color="auto" w:fill="auto"/>
            <w:noWrap/>
            <w:vAlign w:val="bottom"/>
            <w:hideMark/>
          </w:tcPr>
          <w:p w14:paraId="460C784E" w14:textId="77777777" w:rsidR="00D549EE" w:rsidRPr="00D549EE" w:rsidRDefault="00D549EE" w:rsidP="00D549EE">
            <w:pPr>
              <w:rPr>
                <w:color w:val="FF0000"/>
              </w:rPr>
            </w:pPr>
            <w:r w:rsidRPr="00D549EE">
              <w:rPr>
                <w:color w:val="FF0000"/>
              </w:rPr>
              <w:t xml:space="preserve">10 000,0 </w:t>
            </w:r>
          </w:p>
        </w:tc>
        <w:tc>
          <w:tcPr>
            <w:tcW w:w="0" w:type="auto"/>
            <w:shd w:val="clear" w:color="auto" w:fill="auto"/>
            <w:noWrap/>
            <w:vAlign w:val="bottom"/>
            <w:hideMark/>
          </w:tcPr>
          <w:p w14:paraId="67702492" w14:textId="77777777" w:rsidR="00D549EE" w:rsidRPr="00D549EE" w:rsidRDefault="00D549EE" w:rsidP="00D549EE">
            <w:pPr>
              <w:rPr>
                <w:color w:val="000000"/>
              </w:rPr>
            </w:pPr>
            <w:r w:rsidRPr="00D549EE">
              <w:rPr>
                <w:color w:val="000000"/>
              </w:rPr>
              <w:t xml:space="preserve">1 911 358,8 </w:t>
            </w:r>
          </w:p>
        </w:tc>
      </w:tr>
      <w:tr w:rsidR="00D549EE" w:rsidRPr="00D549EE" w14:paraId="78A7F441" w14:textId="77777777" w:rsidTr="00D549EE">
        <w:trPr>
          <w:trHeight w:val="300"/>
        </w:trPr>
        <w:tc>
          <w:tcPr>
            <w:tcW w:w="0" w:type="auto"/>
            <w:shd w:val="clear" w:color="auto" w:fill="auto"/>
            <w:noWrap/>
            <w:vAlign w:val="bottom"/>
            <w:hideMark/>
          </w:tcPr>
          <w:p w14:paraId="7F7AD7B4" w14:textId="77777777" w:rsidR="00D549EE" w:rsidRPr="00D549EE" w:rsidRDefault="00D549EE" w:rsidP="00D549EE">
            <w:pPr>
              <w:jc w:val="right"/>
              <w:rPr>
                <w:color w:val="000000"/>
              </w:rPr>
            </w:pPr>
            <w:r w:rsidRPr="00D549EE">
              <w:rPr>
                <w:color w:val="000000"/>
              </w:rPr>
              <w:t>2</w:t>
            </w:r>
          </w:p>
        </w:tc>
        <w:tc>
          <w:tcPr>
            <w:tcW w:w="0" w:type="auto"/>
            <w:shd w:val="clear" w:color="auto" w:fill="auto"/>
            <w:noWrap/>
            <w:vAlign w:val="bottom"/>
            <w:hideMark/>
          </w:tcPr>
          <w:p w14:paraId="26B214F8" w14:textId="77777777" w:rsidR="00D549EE" w:rsidRPr="00D549EE" w:rsidRDefault="00D549EE" w:rsidP="00D549EE">
            <w:pPr>
              <w:rPr>
                <w:color w:val="000000"/>
              </w:rPr>
            </w:pPr>
            <w:r w:rsidRPr="00D549EE">
              <w:rPr>
                <w:color w:val="000000"/>
              </w:rPr>
              <w:t xml:space="preserve">1 911 358,8 </w:t>
            </w:r>
          </w:p>
        </w:tc>
        <w:tc>
          <w:tcPr>
            <w:tcW w:w="0" w:type="auto"/>
            <w:shd w:val="clear" w:color="auto" w:fill="auto"/>
            <w:noWrap/>
            <w:vAlign w:val="center"/>
            <w:hideMark/>
          </w:tcPr>
          <w:p w14:paraId="18DB3C3F"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2DA301AC" w14:textId="77777777" w:rsidR="00D549EE" w:rsidRPr="00D549EE" w:rsidRDefault="00D549EE" w:rsidP="00D549EE">
            <w:pPr>
              <w:rPr>
                <w:color w:val="0066CC"/>
              </w:rPr>
            </w:pPr>
            <w:r w:rsidRPr="00D549EE">
              <w:rPr>
                <w:color w:val="0066CC"/>
              </w:rPr>
              <w:t xml:space="preserve">75 531,6   </w:t>
            </w:r>
          </w:p>
        </w:tc>
        <w:tc>
          <w:tcPr>
            <w:tcW w:w="0" w:type="auto"/>
            <w:shd w:val="clear" w:color="auto" w:fill="auto"/>
            <w:noWrap/>
            <w:vAlign w:val="bottom"/>
            <w:hideMark/>
          </w:tcPr>
          <w:p w14:paraId="6183F395" w14:textId="77777777" w:rsidR="00D549EE" w:rsidRPr="00D549EE" w:rsidRDefault="00D549EE" w:rsidP="00D549EE">
            <w:pPr>
              <w:rPr>
                <w:color w:val="FF0000"/>
              </w:rPr>
            </w:pPr>
            <w:r w:rsidRPr="00D549EE">
              <w:rPr>
                <w:color w:val="FF0000"/>
              </w:rPr>
              <w:t xml:space="preserve">13 109,6 </w:t>
            </w:r>
          </w:p>
        </w:tc>
        <w:tc>
          <w:tcPr>
            <w:tcW w:w="0" w:type="auto"/>
            <w:shd w:val="clear" w:color="auto" w:fill="auto"/>
            <w:noWrap/>
            <w:vAlign w:val="bottom"/>
            <w:hideMark/>
          </w:tcPr>
          <w:p w14:paraId="1E247BA4" w14:textId="77777777" w:rsidR="00D549EE" w:rsidRPr="00D549EE" w:rsidRDefault="00D549EE" w:rsidP="00D549EE">
            <w:pPr>
              <w:rPr>
                <w:color w:val="000000"/>
              </w:rPr>
            </w:pPr>
            <w:r w:rsidRPr="00D549EE">
              <w:rPr>
                <w:color w:val="000000"/>
              </w:rPr>
              <w:t xml:space="preserve">1 835 827,2 </w:t>
            </w:r>
          </w:p>
        </w:tc>
      </w:tr>
      <w:tr w:rsidR="00D549EE" w:rsidRPr="00D549EE" w14:paraId="60F9FE49" w14:textId="77777777" w:rsidTr="00D549EE">
        <w:trPr>
          <w:trHeight w:val="300"/>
        </w:trPr>
        <w:tc>
          <w:tcPr>
            <w:tcW w:w="0" w:type="auto"/>
            <w:shd w:val="clear" w:color="auto" w:fill="auto"/>
            <w:noWrap/>
            <w:vAlign w:val="bottom"/>
            <w:hideMark/>
          </w:tcPr>
          <w:p w14:paraId="5E524BDC" w14:textId="77777777" w:rsidR="00D549EE" w:rsidRPr="00D549EE" w:rsidRDefault="00D549EE" w:rsidP="00D549EE">
            <w:pPr>
              <w:jc w:val="right"/>
              <w:rPr>
                <w:color w:val="000000"/>
              </w:rPr>
            </w:pPr>
            <w:r w:rsidRPr="00D549EE">
              <w:rPr>
                <w:color w:val="000000"/>
              </w:rPr>
              <w:t>3</w:t>
            </w:r>
          </w:p>
        </w:tc>
        <w:tc>
          <w:tcPr>
            <w:tcW w:w="0" w:type="auto"/>
            <w:shd w:val="clear" w:color="auto" w:fill="auto"/>
            <w:noWrap/>
            <w:vAlign w:val="bottom"/>
            <w:hideMark/>
          </w:tcPr>
          <w:p w14:paraId="163526A5" w14:textId="77777777" w:rsidR="00D549EE" w:rsidRPr="00D549EE" w:rsidRDefault="00D549EE" w:rsidP="00D549EE">
            <w:pPr>
              <w:rPr>
                <w:color w:val="000000"/>
              </w:rPr>
            </w:pPr>
            <w:r w:rsidRPr="00D549EE">
              <w:rPr>
                <w:color w:val="000000"/>
              </w:rPr>
              <w:t xml:space="preserve">1 835 827,2 </w:t>
            </w:r>
          </w:p>
        </w:tc>
        <w:tc>
          <w:tcPr>
            <w:tcW w:w="0" w:type="auto"/>
            <w:shd w:val="clear" w:color="auto" w:fill="auto"/>
            <w:noWrap/>
            <w:vAlign w:val="center"/>
            <w:hideMark/>
          </w:tcPr>
          <w:p w14:paraId="101834C0"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0BAC750E" w14:textId="77777777" w:rsidR="00D549EE" w:rsidRPr="00D549EE" w:rsidRDefault="00D549EE" w:rsidP="00D549EE">
            <w:pPr>
              <w:rPr>
                <w:color w:val="0066CC"/>
              </w:rPr>
            </w:pPr>
            <w:r w:rsidRPr="00D549EE">
              <w:rPr>
                <w:color w:val="0066CC"/>
              </w:rPr>
              <w:t xml:space="preserve">72 909,5   </w:t>
            </w:r>
          </w:p>
        </w:tc>
        <w:tc>
          <w:tcPr>
            <w:tcW w:w="0" w:type="auto"/>
            <w:shd w:val="clear" w:color="auto" w:fill="auto"/>
            <w:noWrap/>
            <w:vAlign w:val="bottom"/>
            <w:hideMark/>
          </w:tcPr>
          <w:p w14:paraId="7213629D" w14:textId="77777777" w:rsidR="00D549EE" w:rsidRPr="00D549EE" w:rsidRDefault="00D549EE" w:rsidP="00D549EE">
            <w:pPr>
              <w:rPr>
                <w:color w:val="FF0000"/>
              </w:rPr>
            </w:pPr>
            <w:r w:rsidRPr="00D549EE">
              <w:rPr>
                <w:color w:val="FF0000"/>
              </w:rPr>
              <w:t xml:space="preserve">15 731,7 </w:t>
            </w:r>
          </w:p>
        </w:tc>
        <w:tc>
          <w:tcPr>
            <w:tcW w:w="0" w:type="auto"/>
            <w:shd w:val="clear" w:color="auto" w:fill="auto"/>
            <w:noWrap/>
            <w:vAlign w:val="bottom"/>
            <w:hideMark/>
          </w:tcPr>
          <w:p w14:paraId="6CBB1AA4" w14:textId="77777777" w:rsidR="00D549EE" w:rsidRPr="00D549EE" w:rsidRDefault="00D549EE" w:rsidP="00D549EE">
            <w:pPr>
              <w:rPr>
                <w:color w:val="000000"/>
              </w:rPr>
            </w:pPr>
            <w:r w:rsidRPr="00D549EE">
              <w:rPr>
                <w:color w:val="000000"/>
              </w:rPr>
              <w:t xml:space="preserve">1 762 917,7 </w:t>
            </w:r>
          </w:p>
        </w:tc>
      </w:tr>
      <w:tr w:rsidR="00D549EE" w:rsidRPr="00D549EE" w14:paraId="18724166" w14:textId="77777777" w:rsidTr="00D549EE">
        <w:trPr>
          <w:trHeight w:val="300"/>
        </w:trPr>
        <w:tc>
          <w:tcPr>
            <w:tcW w:w="0" w:type="auto"/>
            <w:shd w:val="clear" w:color="auto" w:fill="auto"/>
            <w:noWrap/>
            <w:vAlign w:val="bottom"/>
            <w:hideMark/>
          </w:tcPr>
          <w:p w14:paraId="719D2855" w14:textId="77777777" w:rsidR="00D549EE" w:rsidRPr="00D549EE" w:rsidRDefault="00D549EE" w:rsidP="00D549EE">
            <w:pPr>
              <w:jc w:val="right"/>
              <w:rPr>
                <w:color w:val="000000"/>
              </w:rPr>
            </w:pPr>
            <w:r w:rsidRPr="00D549EE">
              <w:rPr>
                <w:color w:val="000000"/>
              </w:rPr>
              <w:t>4</w:t>
            </w:r>
          </w:p>
        </w:tc>
        <w:tc>
          <w:tcPr>
            <w:tcW w:w="0" w:type="auto"/>
            <w:shd w:val="clear" w:color="auto" w:fill="auto"/>
            <w:noWrap/>
            <w:vAlign w:val="bottom"/>
            <w:hideMark/>
          </w:tcPr>
          <w:p w14:paraId="352141B6" w14:textId="77777777" w:rsidR="00D549EE" w:rsidRPr="00D549EE" w:rsidRDefault="00D549EE" w:rsidP="00D549EE">
            <w:pPr>
              <w:rPr>
                <w:color w:val="000000"/>
              </w:rPr>
            </w:pPr>
            <w:r w:rsidRPr="00D549EE">
              <w:rPr>
                <w:color w:val="000000"/>
              </w:rPr>
              <w:t xml:space="preserve">1 762 917,7 </w:t>
            </w:r>
          </w:p>
        </w:tc>
        <w:tc>
          <w:tcPr>
            <w:tcW w:w="0" w:type="auto"/>
            <w:shd w:val="clear" w:color="auto" w:fill="auto"/>
            <w:noWrap/>
            <w:vAlign w:val="center"/>
            <w:hideMark/>
          </w:tcPr>
          <w:p w14:paraId="57E2AE45"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2E446E06" w14:textId="77777777" w:rsidR="00D549EE" w:rsidRPr="00D549EE" w:rsidRDefault="00D549EE" w:rsidP="00D549EE">
            <w:pPr>
              <w:rPr>
                <w:color w:val="0066CC"/>
              </w:rPr>
            </w:pPr>
            <w:r w:rsidRPr="00D549EE">
              <w:rPr>
                <w:color w:val="0066CC"/>
              </w:rPr>
              <w:t xml:space="preserve">70 364,0   </w:t>
            </w:r>
          </w:p>
        </w:tc>
        <w:tc>
          <w:tcPr>
            <w:tcW w:w="0" w:type="auto"/>
            <w:shd w:val="clear" w:color="auto" w:fill="auto"/>
            <w:noWrap/>
            <w:vAlign w:val="bottom"/>
            <w:hideMark/>
          </w:tcPr>
          <w:p w14:paraId="123DB7AC" w14:textId="77777777" w:rsidR="00D549EE" w:rsidRPr="00D549EE" w:rsidRDefault="00D549EE" w:rsidP="00D549EE">
            <w:pPr>
              <w:rPr>
                <w:color w:val="FF0000"/>
              </w:rPr>
            </w:pPr>
            <w:r w:rsidRPr="00D549EE">
              <w:rPr>
                <w:color w:val="FF0000"/>
              </w:rPr>
              <w:t xml:space="preserve">18 277,2 </w:t>
            </w:r>
          </w:p>
        </w:tc>
        <w:tc>
          <w:tcPr>
            <w:tcW w:w="0" w:type="auto"/>
            <w:shd w:val="clear" w:color="auto" w:fill="auto"/>
            <w:noWrap/>
            <w:vAlign w:val="bottom"/>
            <w:hideMark/>
          </w:tcPr>
          <w:p w14:paraId="64BBECA4" w14:textId="77777777" w:rsidR="00D549EE" w:rsidRPr="00D549EE" w:rsidRDefault="00D549EE" w:rsidP="00D549EE">
            <w:pPr>
              <w:rPr>
                <w:color w:val="000000"/>
              </w:rPr>
            </w:pPr>
            <w:r w:rsidRPr="00D549EE">
              <w:rPr>
                <w:color w:val="000000"/>
              </w:rPr>
              <w:t xml:space="preserve">1 692 553,7 </w:t>
            </w:r>
          </w:p>
        </w:tc>
      </w:tr>
      <w:tr w:rsidR="00D549EE" w:rsidRPr="00D549EE" w14:paraId="48CE96F2" w14:textId="77777777" w:rsidTr="00D549EE">
        <w:trPr>
          <w:trHeight w:val="300"/>
        </w:trPr>
        <w:tc>
          <w:tcPr>
            <w:tcW w:w="0" w:type="auto"/>
            <w:shd w:val="clear" w:color="auto" w:fill="auto"/>
            <w:noWrap/>
            <w:vAlign w:val="bottom"/>
            <w:hideMark/>
          </w:tcPr>
          <w:p w14:paraId="72439628" w14:textId="77777777" w:rsidR="00D549EE" w:rsidRPr="00D549EE" w:rsidRDefault="00D549EE" w:rsidP="00D549EE">
            <w:pPr>
              <w:jc w:val="right"/>
              <w:rPr>
                <w:color w:val="000000"/>
              </w:rPr>
            </w:pPr>
            <w:r w:rsidRPr="00D549EE">
              <w:rPr>
                <w:color w:val="000000"/>
              </w:rPr>
              <w:t>5</w:t>
            </w:r>
          </w:p>
        </w:tc>
        <w:tc>
          <w:tcPr>
            <w:tcW w:w="0" w:type="auto"/>
            <w:shd w:val="clear" w:color="auto" w:fill="auto"/>
            <w:noWrap/>
            <w:vAlign w:val="bottom"/>
            <w:hideMark/>
          </w:tcPr>
          <w:p w14:paraId="25E46DE6" w14:textId="77777777" w:rsidR="00D549EE" w:rsidRPr="00D549EE" w:rsidRDefault="00D549EE" w:rsidP="00D549EE">
            <w:pPr>
              <w:rPr>
                <w:color w:val="000000"/>
              </w:rPr>
            </w:pPr>
            <w:r w:rsidRPr="00D549EE">
              <w:rPr>
                <w:color w:val="000000"/>
              </w:rPr>
              <w:t xml:space="preserve"> 1 692 553,7 </w:t>
            </w:r>
          </w:p>
        </w:tc>
        <w:tc>
          <w:tcPr>
            <w:tcW w:w="0" w:type="auto"/>
            <w:shd w:val="clear" w:color="auto" w:fill="auto"/>
            <w:noWrap/>
            <w:vAlign w:val="center"/>
            <w:hideMark/>
          </w:tcPr>
          <w:p w14:paraId="4758E3A6"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38224201" w14:textId="77777777" w:rsidR="00D549EE" w:rsidRPr="00D549EE" w:rsidRDefault="00D549EE" w:rsidP="00D549EE">
            <w:pPr>
              <w:rPr>
                <w:color w:val="0066CC"/>
              </w:rPr>
            </w:pPr>
            <w:r w:rsidRPr="00D549EE">
              <w:rPr>
                <w:color w:val="0066CC"/>
              </w:rPr>
              <w:t xml:space="preserve">67 893,3   </w:t>
            </w:r>
          </w:p>
        </w:tc>
        <w:tc>
          <w:tcPr>
            <w:tcW w:w="0" w:type="auto"/>
            <w:shd w:val="clear" w:color="auto" w:fill="auto"/>
            <w:noWrap/>
            <w:vAlign w:val="bottom"/>
            <w:hideMark/>
          </w:tcPr>
          <w:p w14:paraId="154AED05" w14:textId="77777777" w:rsidR="00D549EE" w:rsidRPr="00D549EE" w:rsidRDefault="00D549EE" w:rsidP="00D549EE">
            <w:pPr>
              <w:rPr>
                <w:color w:val="FF0000"/>
              </w:rPr>
            </w:pPr>
            <w:r w:rsidRPr="00D549EE">
              <w:rPr>
                <w:color w:val="FF0000"/>
              </w:rPr>
              <w:t xml:space="preserve">20 747,9 </w:t>
            </w:r>
          </w:p>
        </w:tc>
        <w:tc>
          <w:tcPr>
            <w:tcW w:w="0" w:type="auto"/>
            <w:shd w:val="clear" w:color="auto" w:fill="auto"/>
            <w:noWrap/>
            <w:vAlign w:val="bottom"/>
            <w:hideMark/>
          </w:tcPr>
          <w:p w14:paraId="76738552" w14:textId="77777777" w:rsidR="00D549EE" w:rsidRPr="00D549EE" w:rsidRDefault="00D549EE" w:rsidP="00D549EE">
            <w:pPr>
              <w:rPr>
                <w:color w:val="000000"/>
              </w:rPr>
            </w:pPr>
            <w:r w:rsidRPr="00D549EE">
              <w:rPr>
                <w:color w:val="000000"/>
              </w:rPr>
              <w:t xml:space="preserve"> 1 624 660,4 </w:t>
            </w:r>
          </w:p>
        </w:tc>
      </w:tr>
      <w:tr w:rsidR="00D549EE" w:rsidRPr="00D549EE" w14:paraId="67806C6B" w14:textId="77777777" w:rsidTr="00D549EE">
        <w:trPr>
          <w:trHeight w:val="300"/>
        </w:trPr>
        <w:tc>
          <w:tcPr>
            <w:tcW w:w="0" w:type="auto"/>
            <w:shd w:val="clear" w:color="auto" w:fill="auto"/>
            <w:noWrap/>
            <w:vAlign w:val="bottom"/>
            <w:hideMark/>
          </w:tcPr>
          <w:p w14:paraId="38819B01" w14:textId="77777777" w:rsidR="00D549EE" w:rsidRPr="00D549EE" w:rsidRDefault="00D549EE" w:rsidP="00D549EE">
            <w:pPr>
              <w:jc w:val="right"/>
              <w:rPr>
                <w:color w:val="000000"/>
              </w:rPr>
            </w:pPr>
            <w:r w:rsidRPr="00D549EE">
              <w:rPr>
                <w:color w:val="000000"/>
              </w:rPr>
              <w:t>6</w:t>
            </w:r>
          </w:p>
        </w:tc>
        <w:tc>
          <w:tcPr>
            <w:tcW w:w="0" w:type="auto"/>
            <w:shd w:val="clear" w:color="auto" w:fill="auto"/>
            <w:noWrap/>
            <w:vAlign w:val="bottom"/>
            <w:hideMark/>
          </w:tcPr>
          <w:p w14:paraId="5F244E14" w14:textId="77777777" w:rsidR="00D549EE" w:rsidRPr="00D549EE" w:rsidRDefault="00D549EE" w:rsidP="00D549EE">
            <w:pPr>
              <w:rPr>
                <w:color w:val="000000"/>
              </w:rPr>
            </w:pPr>
            <w:r w:rsidRPr="00D549EE">
              <w:rPr>
                <w:color w:val="000000"/>
              </w:rPr>
              <w:t xml:space="preserve">1 624 660,4 </w:t>
            </w:r>
          </w:p>
        </w:tc>
        <w:tc>
          <w:tcPr>
            <w:tcW w:w="0" w:type="auto"/>
            <w:shd w:val="clear" w:color="auto" w:fill="auto"/>
            <w:noWrap/>
            <w:vAlign w:val="center"/>
            <w:hideMark/>
          </w:tcPr>
          <w:p w14:paraId="0ED43181"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7D7BEC57" w14:textId="77777777" w:rsidR="00D549EE" w:rsidRPr="00D549EE" w:rsidRDefault="00D549EE" w:rsidP="00D549EE">
            <w:pPr>
              <w:rPr>
                <w:color w:val="0066CC"/>
              </w:rPr>
            </w:pPr>
            <w:r w:rsidRPr="00D549EE">
              <w:rPr>
                <w:color w:val="0066CC"/>
              </w:rPr>
              <w:t xml:space="preserve">65 495,8   </w:t>
            </w:r>
          </w:p>
        </w:tc>
        <w:tc>
          <w:tcPr>
            <w:tcW w:w="0" w:type="auto"/>
            <w:shd w:val="clear" w:color="auto" w:fill="auto"/>
            <w:noWrap/>
            <w:vAlign w:val="bottom"/>
            <w:hideMark/>
          </w:tcPr>
          <w:p w14:paraId="1626B494" w14:textId="77777777" w:rsidR="00D549EE" w:rsidRPr="00D549EE" w:rsidRDefault="00D549EE" w:rsidP="00D549EE">
            <w:pPr>
              <w:rPr>
                <w:color w:val="FF0000"/>
              </w:rPr>
            </w:pPr>
            <w:r w:rsidRPr="00D549EE">
              <w:rPr>
                <w:color w:val="FF0000"/>
              </w:rPr>
              <w:t xml:space="preserve">23 145,5 </w:t>
            </w:r>
          </w:p>
        </w:tc>
        <w:tc>
          <w:tcPr>
            <w:tcW w:w="0" w:type="auto"/>
            <w:shd w:val="clear" w:color="auto" w:fill="auto"/>
            <w:noWrap/>
            <w:vAlign w:val="bottom"/>
            <w:hideMark/>
          </w:tcPr>
          <w:p w14:paraId="65EA45B0" w14:textId="77777777" w:rsidR="00D549EE" w:rsidRPr="00D549EE" w:rsidRDefault="00D549EE" w:rsidP="00D549EE">
            <w:pPr>
              <w:rPr>
                <w:color w:val="000000"/>
              </w:rPr>
            </w:pPr>
            <w:r w:rsidRPr="00D549EE">
              <w:rPr>
                <w:color w:val="000000"/>
              </w:rPr>
              <w:t xml:space="preserve">1 559 164,6 </w:t>
            </w:r>
          </w:p>
        </w:tc>
      </w:tr>
      <w:tr w:rsidR="00D549EE" w:rsidRPr="00D549EE" w14:paraId="57880334" w14:textId="77777777" w:rsidTr="00D549EE">
        <w:trPr>
          <w:trHeight w:val="300"/>
        </w:trPr>
        <w:tc>
          <w:tcPr>
            <w:tcW w:w="0" w:type="auto"/>
            <w:shd w:val="clear" w:color="auto" w:fill="auto"/>
            <w:noWrap/>
            <w:vAlign w:val="bottom"/>
            <w:hideMark/>
          </w:tcPr>
          <w:p w14:paraId="44CC2BE6" w14:textId="77777777" w:rsidR="00D549EE" w:rsidRPr="00D549EE" w:rsidRDefault="00D549EE" w:rsidP="00D549EE">
            <w:pPr>
              <w:jc w:val="right"/>
              <w:rPr>
                <w:color w:val="000000"/>
              </w:rPr>
            </w:pPr>
            <w:r w:rsidRPr="00D549EE">
              <w:rPr>
                <w:color w:val="000000"/>
              </w:rPr>
              <w:t>7</w:t>
            </w:r>
          </w:p>
        </w:tc>
        <w:tc>
          <w:tcPr>
            <w:tcW w:w="0" w:type="auto"/>
            <w:shd w:val="clear" w:color="auto" w:fill="auto"/>
            <w:noWrap/>
            <w:vAlign w:val="bottom"/>
            <w:hideMark/>
          </w:tcPr>
          <w:p w14:paraId="67BCE707" w14:textId="77777777" w:rsidR="00D549EE" w:rsidRPr="00D549EE" w:rsidRDefault="00D549EE" w:rsidP="00D549EE">
            <w:pPr>
              <w:rPr>
                <w:color w:val="000000"/>
              </w:rPr>
            </w:pPr>
            <w:r w:rsidRPr="00D549EE">
              <w:rPr>
                <w:color w:val="000000"/>
              </w:rPr>
              <w:t xml:space="preserve">1 559 164,6 </w:t>
            </w:r>
          </w:p>
        </w:tc>
        <w:tc>
          <w:tcPr>
            <w:tcW w:w="0" w:type="auto"/>
            <w:shd w:val="clear" w:color="auto" w:fill="auto"/>
            <w:noWrap/>
            <w:vAlign w:val="center"/>
            <w:hideMark/>
          </w:tcPr>
          <w:p w14:paraId="54F7D487" w14:textId="77777777" w:rsidR="00D549EE" w:rsidRPr="00D549EE" w:rsidRDefault="00D549EE" w:rsidP="00D549EE">
            <w:pPr>
              <w:rPr>
                <w:color w:val="000000"/>
              </w:rPr>
            </w:pPr>
            <w:r w:rsidRPr="00D549EE">
              <w:rPr>
                <w:color w:val="000000"/>
              </w:rPr>
              <w:t xml:space="preserve"> 88 641,2 </w:t>
            </w:r>
          </w:p>
        </w:tc>
        <w:tc>
          <w:tcPr>
            <w:tcW w:w="0" w:type="auto"/>
            <w:shd w:val="clear" w:color="auto" w:fill="auto"/>
            <w:noWrap/>
            <w:vAlign w:val="bottom"/>
            <w:hideMark/>
          </w:tcPr>
          <w:p w14:paraId="42A128D8" w14:textId="77777777" w:rsidR="00D549EE" w:rsidRPr="00D549EE" w:rsidRDefault="00D549EE" w:rsidP="00D549EE">
            <w:pPr>
              <w:rPr>
                <w:color w:val="0066CC"/>
              </w:rPr>
            </w:pPr>
            <w:r w:rsidRPr="00D549EE">
              <w:rPr>
                <w:color w:val="0066CC"/>
              </w:rPr>
              <w:t xml:space="preserve"> 63 169,7   </w:t>
            </w:r>
          </w:p>
        </w:tc>
        <w:tc>
          <w:tcPr>
            <w:tcW w:w="0" w:type="auto"/>
            <w:shd w:val="clear" w:color="auto" w:fill="auto"/>
            <w:noWrap/>
            <w:vAlign w:val="bottom"/>
            <w:hideMark/>
          </w:tcPr>
          <w:p w14:paraId="3BA8AC3A" w14:textId="77777777" w:rsidR="00D549EE" w:rsidRPr="00D549EE" w:rsidRDefault="00D549EE" w:rsidP="00D549EE">
            <w:pPr>
              <w:rPr>
                <w:color w:val="FF0000"/>
              </w:rPr>
            </w:pPr>
            <w:r w:rsidRPr="00D549EE">
              <w:rPr>
                <w:color w:val="FF0000"/>
              </w:rPr>
              <w:t xml:space="preserve">25 471,6 </w:t>
            </w:r>
          </w:p>
        </w:tc>
        <w:tc>
          <w:tcPr>
            <w:tcW w:w="0" w:type="auto"/>
            <w:shd w:val="clear" w:color="auto" w:fill="auto"/>
            <w:noWrap/>
            <w:vAlign w:val="bottom"/>
            <w:hideMark/>
          </w:tcPr>
          <w:p w14:paraId="50E40B08" w14:textId="77777777" w:rsidR="00D549EE" w:rsidRPr="00D549EE" w:rsidRDefault="00D549EE" w:rsidP="00D549EE">
            <w:pPr>
              <w:rPr>
                <w:color w:val="000000"/>
              </w:rPr>
            </w:pPr>
            <w:r w:rsidRPr="00D549EE">
              <w:rPr>
                <w:color w:val="000000"/>
              </w:rPr>
              <w:t xml:space="preserve">1 495 995,0 </w:t>
            </w:r>
          </w:p>
        </w:tc>
      </w:tr>
      <w:tr w:rsidR="00D549EE" w:rsidRPr="00D549EE" w14:paraId="7B847DBA" w14:textId="77777777" w:rsidTr="00D549EE">
        <w:trPr>
          <w:trHeight w:val="300"/>
        </w:trPr>
        <w:tc>
          <w:tcPr>
            <w:tcW w:w="0" w:type="auto"/>
            <w:shd w:val="clear" w:color="auto" w:fill="auto"/>
            <w:noWrap/>
            <w:vAlign w:val="bottom"/>
            <w:hideMark/>
          </w:tcPr>
          <w:p w14:paraId="17EFBECE" w14:textId="77777777" w:rsidR="00D549EE" w:rsidRPr="00D549EE" w:rsidRDefault="00D549EE" w:rsidP="00D549EE">
            <w:pPr>
              <w:jc w:val="right"/>
              <w:rPr>
                <w:color w:val="000000"/>
              </w:rPr>
            </w:pPr>
            <w:r w:rsidRPr="00D549EE">
              <w:rPr>
                <w:color w:val="000000"/>
              </w:rPr>
              <w:t>8</w:t>
            </w:r>
          </w:p>
        </w:tc>
        <w:tc>
          <w:tcPr>
            <w:tcW w:w="0" w:type="auto"/>
            <w:shd w:val="clear" w:color="auto" w:fill="auto"/>
            <w:noWrap/>
            <w:vAlign w:val="bottom"/>
            <w:hideMark/>
          </w:tcPr>
          <w:p w14:paraId="6377A14D" w14:textId="77777777" w:rsidR="00D549EE" w:rsidRPr="00D549EE" w:rsidRDefault="00D549EE" w:rsidP="00D549EE">
            <w:pPr>
              <w:rPr>
                <w:color w:val="000000"/>
              </w:rPr>
            </w:pPr>
            <w:r w:rsidRPr="00D549EE">
              <w:rPr>
                <w:color w:val="000000"/>
              </w:rPr>
              <w:t xml:space="preserve"> 1 495 995,0 </w:t>
            </w:r>
          </w:p>
        </w:tc>
        <w:tc>
          <w:tcPr>
            <w:tcW w:w="0" w:type="auto"/>
            <w:shd w:val="clear" w:color="auto" w:fill="auto"/>
            <w:noWrap/>
            <w:vAlign w:val="center"/>
            <w:hideMark/>
          </w:tcPr>
          <w:p w14:paraId="7F73F736"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1EDFD691" w14:textId="77777777" w:rsidR="00D549EE" w:rsidRPr="00D549EE" w:rsidRDefault="00D549EE" w:rsidP="00D549EE">
            <w:pPr>
              <w:rPr>
                <w:color w:val="0066CC"/>
              </w:rPr>
            </w:pPr>
            <w:r w:rsidRPr="00D549EE">
              <w:rPr>
                <w:color w:val="0066CC"/>
              </w:rPr>
              <w:t xml:space="preserve">60 913,4   </w:t>
            </w:r>
          </w:p>
        </w:tc>
        <w:tc>
          <w:tcPr>
            <w:tcW w:w="0" w:type="auto"/>
            <w:shd w:val="clear" w:color="auto" w:fill="auto"/>
            <w:noWrap/>
            <w:vAlign w:val="bottom"/>
            <w:hideMark/>
          </w:tcPr>
          <w:p w14:paraId="0C374D93" w14:textId="77777777" w:rsidR="00D549EE" w:rsidRPr="00D549EE" w:rsidRDefault="00D549EE" w:rsidP="00D549EE">
            <w:pPr>
              <w:rPr>
                <w:color w:val="FF0000"/>
              </w:rPr>
            </w:pPr>
            <w:r w:rsidRPr="00D549EE">
              <w:rPr>
                <w:color w:val="FF0000"/>
              </w:rPr>
              <w:t xml:space="preserve">27 727,8 </w:t>
            </w:r>
          </w:p>
        </w:tc>
        <w:tc>
          <w:tcPr>
            <w:tcW w:w="0" w:type="auto"/>
            <w:shd w:val="clear" w:color="auto" w:fill="auto"/>
            <w:noWrap/>
            <w:vAlign w:val="bottom"/>
            <w:hideMark/>
          </w:tcPr>
          <w:p w14:paraId="40A7AC29" w14:textId="77777777" w:rsidR="00D549EE" w:rsidRPr="00D549EE" w:rsidRDefault="00D549EE" w:rsidP="00D549EE">
            <w:pPr>
              <w:rPr>
                <w:color w:val="000000"/>
              </w:rPr>
            </w:pPr>
            <w:r w:rsidRPr="00D549EE">
              <w:rPr>
                <w:color w:val="000000"/>
              </w:rPr>
              <w:t xml:space="preserve">1 435 081,6 </w:t>
            </w:r>
          </w:p>
        </w:tc>
      </w:tr>
      <w:tr w:rsidR="00D549EE" w:rsidRPr="00D549EE" w14:paraId="22EDDB47" w14:textId="77777777" w:rsidTr="00D549EE">
        <w:trPr>
          <w:trHeight w:val="300"/>
        </w:trPr>
        <w:tc>
          <w:tcPr>
            <w:tcW w:w="0" w:type="auto"/>
            <w:shd w:val="clear" w:color="auto" w:fill="auto"/>
            <w:noWrap/>
            <w:vAlign w:val="bottom"/>
            <w:hideMark/>
          </w:tcPr>
          <w:p w14:paraId="24D84ACC" w14:textId="77777777" w:rsidR="00D549EE" w:rsidRPr="00D549EE" w:rsidRDefault="00D549EE" w:rsidP="00D549EE">
            <w:pPr>
              <w:jc w:val="right"/>
              <w:rPr>
                <w:color w:val="000000"/>
              </w:rPr>
            </w:pPr>
            <w:r w:rsidRPr="00D549EE">
              <w:rPr>
                <w:color w:val="000000"/>
              </w:rPr>
              <w:t>9</w:t>
            </w:r>
          </w:p>
        </w:tc>
        <w:tc>
          <w:tcPr>
            <w:tcW w:w="0" w:type="auto"/>
            <w:shd w:val="clear" w:color="auto" w:fill="auto"/>
            <w:noWrap/>
            <w:vAlign w:val="bottom"/>
            <w:hideMark/>
          </w:tcPr>
          <w:p w14:paraId="18BA4243" w14:textId="77777777" w:rsidR="00D549EE" w:rsidRPr="00D549EE" w:rsidRDefault="00D549EE" w:rsidP="00D549EE">
            <w:pPr>
              <w:rPr>
                <w:color w:val="000000"/>
              </w:rPr>
            </w:pPr>
            <w:r w:rsidRPr="00D549EE">
              <w:rPr>
                <w:color w:val="000000"/>
              </w:rPr>
              <w:t xml:space="preserve">1 435 081,6 </w:t>
            </w:r>
          </w:p>
        </w:tc>
        <w:tc>
          <w:tcPr>
            <w:tcW w:w="0" w:type="auto"/>
            <w:shd w:val="clear" w:color="auto" w:fill="auto"/>
            <w:noWrap/>
            <w:vAlign w:val="center"/>
            <w:hideMark/>
          </w:tcPr>
          <w:p w14:paraId="3C8CC920"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000CA0BA" w14:textId="77777777" w:rsidR="00D549EE" w:rsidRPr="00D549EE" w:rsidRDefault="00D549EE" w:rsidP="00D549EE">
            <w:pPr>
              <w:rPr>
                <w:color w:val="0066CC"/>
              </w:rPr>
            </w:pPr>
            <w:r w:rsidRPr="00D549EE">
              <w:rPr>
                <w:color w:val="0066CC"/>
              </w:rPr>
              <w:t xml:space="preserve">58 725,3   </w:t>
            </w:r>
          </w:p>
        </w:tc>
        <w:tc>
          <w:tcPr>
            <w:tcW w:w="0" w:type="auto"/>
            <w:shd w:val="clear" w:color="auto" w:fill="auto"/>
            <w:noWrap/>
            <w:vAlign w:val="bottom"/>
            <w:hideMark/>
          </w:tcPr>
          <w:p w14:paraId="7F7EB9B6" w14:textId="77777777" w:rsidR="00D549EE" w:rsidRPr="00D549EE" w:rsidRDefault="00D549EE" w:rsidP="00D549EE">
            <w:pPr>
              <w:rPr>
                <w:color w:val="FF0000"/>
              </w:rPr>
            </w:pPr>
            <w:r w:rsidRPr="00D549EE">
              <w:rPr>
                <w:color w:val="FF0000"/>
              </w:rPr>
              <w:t xml:space="preserve">29 915,9 </w:t>
            </w:r>
          </w:p>
        </w:tc>
        <w:tc>
          <w:tcPr>
            <w:tcW w:w="0" w:type="auto"/>
            <w:shd w:val="clear" w:color="auto" w:fill="auto"/>
            <w:noWrap/>
            <w:vAlign w:val="bottom"/>
            <w:hideMark/>
          </w:tcPr>
          <w:p w14:paraId="3BA77986" w14:textId="77777777" w:rsidR="00D549EE" w:rsidRPr="00D549EE" w:rsidRDefault="00D549EE" w:rsidP="00D549EE">
            <w:pPr>
              <w:rPr>
                <w:color w:val="000000"/>
              </w:rPr>
            </w:pPr>
            <w:r w:rsidRPr="00D549EE">
              <w:rPr>
                <w:color w:val="000000"/>
              </w:rPr>
              <w:t xml:space="preserve">1 376 356,3 </w:t>
            </w:r>
          </w:p>
        </w:tc>
      </w:tr>
      <w:tr w:rsidR="00D549EE" w:rsidRPr="00D549EE" w14:paraId="6F6D94C6" w14:textId="77777777" w:rsidTr="00D549EE">
        <w:trPr>
          <w:trHeight w:val="300"/>
        </w:trPr>
        <w:tc>
          <w:tcPr>
            <w:tcW w:w="0" w:type="auto"/>
            <w:shd w:val="clear" w:color="auto" w:fill="auto"/>
            <w:noWrap/>
            <w:vAlign w:val="bottom"/>
            <w:hideMark/>
          </w:tcPr>
          <w:p w14:paraId="1A020537" w14:textId="77777777" w:rsidR="00D549EE" w:rsidRPr="00D549EE" w:rsidRDefault="00D549EE" w:rsidP="00D549EE">
            <w:pPr>
              <w:jc w:val="right"/>
              <w:rPr>
                <w:color w:val="000000"/>
              </w:rPr>
            </w:pPr>
            <w:r w:rsidRPr="00D549EE">
              <w:rPr>
                <w:color w:val="000000"/>
              </w:rPr>
              <w:t>10</w:t>
            </w:r>
          </w:p>
        </w:tc>
        <w:tc>
          <w:tcPr>
            <w:tcW w:w="0" w:type="auto"/>
            <w:shd w:val="clear" w:color="auto" w:fill="auto"/>
            <w:noWrap/>
            <w:vAlign w:val="bottom"/>
            <w:hideMark/>
          </w:tcPr>
          <w:p w14:paraId="5A8EE153" w14:textId="77777777" w:rsidR="00D549EE" w:rsidRPr="00D549EE" w:rsidRDefault="00D549EE" w:rsidP="00D549EE">
            <w:pPr>
              <w:rPr>
                <w:color w:val="000000"/>
              </w:rPr>
            </w:pPr>
            <w:r w:rsidRPr="00D549EE">
              <w:rPr>
                <w:color w:val="000000"/>
              </w:rPr>
              <w:t xml:space="preserve">1 376 356,3 </w:t>
            </w:r>
          </w:p>
        </w:tc>
        <w:tc>
          <w:tcPr>
            <w:tcW w:w="0" w:type="auto"/>
            <w:shd w:val="clear" w:color="auto" w:fill="auto"/>
            <w:noWrap/>
            <w:vAlign w:val="center"/>
            <w:hideMark/>
          </w:tcPr>
          <w:p w14:paraId="36671EE5"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2D1906B1" w14:textId="77777777" w:rsidR="00D549EE" w:rsidRPr="00D549EE" w:rsidRDefault="00D549EE" w:rsidP="00D549EE">
            <w:pPr>
              <w:rPr>
                <w:color w:val="0066CC"/>
              </w:rPr>
            </w:pPr>
            <w:r w:rsidRPr="00D549EE">
              <w:rPr>
                <w:color w:val="0066CC"/>
              </w:rPr>
              <w:t xml:space="preserve">56 603,8   </w:t>
            </w:r>
          </w:p>
        </w:tc>
        <w:tc>
          <w:tcPr>
            <w:tcW w:w="0" w:type="auto"/>
            <w:shd w:val="clear" w:color="auto" w:fill="auto"/>
            <w:noWrap/>
            <w:vAlign w:val="bottom"/>
            <w:hideMark/>
          </w:tcPr>
          <w:p w14:paraId="3422836D" w14:textId="77777777" w:rsidR="00D549EE" w:rsidRPr="00D549EE" w:rsidRDefault="00D549EE" w:rsidP="00D549EE">
            <w:pPr>
              <w:rPr>
                <w:color w:val="FF0000"/>
              </w:rPr>
            </w:pPr>
            <w:r w:rsidRPr="00D549EE">
              <w:rPr>
                <w:color w:val="FF0000"/>
              </w:rPr>
              <w:t xml:space="preserve"> 32 037,4 </w:t>
            </w:r>
          </w:p>
        </w:tc>
        <w:tc>
          <w:tcPr>
            <w:tcW w:w="0" w:type="auto"/>
            <w:shd w:val="clear" w:color="auto" w:fill="auto"/>
            <w:noWrap/>
            <w:vAlign w:val="bottom"/>
            <w:hideMark/>
          </w:tcPr>
          <w:p w14:paraId="2B18BF3F" w14:textId="77777777" w:rsidR="00D549EE" w:rsidRPr="00D549EE" w:rsidRDefault="00D549EE" w:rsidP="00D549EE">
            <w:pPr>
              <w:rPr>
                <w:color w:val="000000"/>
              </w:rPr>
            </w:pPr>
            <w:r w:rsidRPr="00D549EE">
              <w:rPr>
                <w:color w:val="000000"/>
              </w:rPr>
              <w:t xml:space="preserve">1 319 752,5 </w:t>
            </w:r>
          </w:p>
        </w:tc>
      </w:tr>
      <w:tr w:rsidR="00D549EE" w:rsidRPr="00D549EE" w14:paraId="228E272E" w14:textId="77777777" w:rsidTr="00D549EE">
        <w:trPr>
          <w:trHeight w:val="300"/>
        </w:trPr>
        <w:tc>
          <w:tcPr>
            <w:tcW w:w="0" w:type="auto"/>
            <w:shd w:val="clear" w:color="auto" w:fill="auto"/>
            <w:noWrap/>
            <w:vAlign w:val="bottom"/>
            <w:hideMark/>
          </w:tcPr>
          <w:p w14:paraId="59F1554E" w14:textId="77777777" w:rsidR="00D549EE" w:rsidRPr="00D549EE" w:rsidRDefault="00D549EE" w:rsidP="00D549EE">
            <w:pPr>
              <w:jc w:val="right"/>
              <w:rPr>
                <w:color w:val="000000"/>
              </w:rPr>
            </w:pPr>
            <w:r w:rsidRPr="00D549EE">
              <w:rPr>
                <w:color w:val="000000"/>
              </w:rPr>
              <w:t>11</w:t>
            </w:r>
          </w:p>
        </w:tc>
        <w:tc>
          <w:tcPr>
            <w:tcW w:w="0" w:type="auto"/>
            <w:shd w:val="clear" w:color="auto" w:fill="auto"/>
            <w:noWrap/>
            <w:vAlign w:val="bottom"/>
            <w:hideMark/>
          </w:tcPr>
          <w:p w14:paraId="1A628866" w14:textId="77777777" w:rsidR="00D549EE" w:rsidRPr="00D549EE" w:rsidRDefault="00D549EE" w:rsidP="00D549EE">
            <w:pPr>
              <w:rPr>
                <w:color w:val="000000"/>
              </w:rPr>
            </w:pPr>
            <w:r w:rsidRPr="00D549EE">
              <w:rPr>
                <w:color w:val="000000"/>
              </w:rPr>
              <w:t xml:space="preserve">1 319 752,5 </w:t>
            </w:r>
          </w:p>
        </w:tc>
        <w:tc>
          <w:tcPr>
            <w:tcW w:w="0" w:type="auto"/>
            <w:shd w:val="clear" w:color="auto" w:fill="auto"/>
            <w:noWrap/>
            <w:vAlign w:val="center"/>
            <w:hideMark/>
          </w:tcPr>
          <w:p w14:paraId="51177C95"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0D133D91" w14:textId="77777777" w:rsidR="00D549EE" w:rsidRPr="00D549EE" w:rsidRDefault="00D549EE" w:rsidP="00D549EE">
            <w:pPr>
              <w:rPr>
                <w:color w:val="0066CC"/>
              </w:rPr>
            </w:pPr>
            <w:r w:rsidRPr="00D549EE">
              <w:rPr>
                <w:color w:val="0066CC"/>
              </w:rPr>
              <w:t xml:space="preserve">54 547,3   </w:t>
            </w:r>
          </w:p>
        </w:tc>
        <w:tc>
          <w:tcPr>
            <w:tcW w:w="0" w:type="auto"/>
            <w:shd w:val="clear" w:color="auto" w:fill="auto"/>
            <w:noWrap/>
            <w:vAlign w:val="bottom"/>
            <w:hideMark/>
          </w:tcPr>
          <w:p w14:paraId="362DAA8F" w14:textId="77777777" w:rsidR="00D549EE" w:rsidRPr="00D549EE" w:rsidRDefault="00D549EE" w:rsidP="00D549EE">
            <w:pPr>
              <w:rPr>
                <w:color w:val="FF0000"/>
              </w:rPr>
            </w:pPr>
            <w:r w:rsidRPr="00D549EE">
              <w:rPr>
                <w:color w:val="FF0000"/>
              </w:rPr>
              <w:t xml:space="preserve">34 093,9 </w:t>
            </w:r>
          </w:p>
        </w:tc>
        <w:tc>
          <w:tcPr>
            <w:tcW w:w="0" w:type="auto"/>
            <w:shd w:val="clear" w:color="auto" w:fill="auto"/>
            <w:noWrap/>
            <w:vAlign w:val="bottom"/>
            <w:hideMark/>
          </w:tcPr>
          <w:p w14:paraId="10F50359" w14:textId="77777777" w:rsidR="00D549EE" w:rsidRPr="00D549EE" w:rsidRDefault="00D549EE" w:rsidP="00D549EE">
            <w:pPr>
              <w:rPr>
                <w:color w:val="000000"/>
              </w:rPr>
            </w:pPr>
            <w:r w:rsidRPr="00D549EE">
              <w:rPr>
                <w:color w:val="000000"/>
              </w:rPr>
              <w:t xml:space="preserve">1 265 205,1 </w:t>
            </w:r>
          </w:p>
        </w:tc>
      </w:tr>
      <w:tr w:rsidR="00D549EE" w:rsidRPr="00D549EE" w14:paraId="066D29DB" w14:textId="77777777" w:rsidTr="00D549EE">
        <w:trPr>
          <w:trHeight w:val="300"/>
        </w:trPr>
        <w:tc>
          <w:tcPr>
            <w:tcW w:w="0" w:type="auto"/>
            <w:shd w:val="clear" w:color="auto" w:fill="auto"/>
            <w:noWrap/>
            <w:vAlign w:val="bottom"/>
            <w:hideMark/>
          </w:tcPr>
          <w:p w14:paraId="4281CBE1" w14:textId="77777777" w:rsidR="00D549EE" w:rsidRPr="00D549EE" w:rsidRDefault="00D549EE" w:rsidP="00D549EE">
            <w:pPr>
              <w:jc w:val="right"/>
              <w:rPr>
                <w:color w:val="000000"/>
              </w:rPr>
            </w:pPr>
            <w:r w:rsidRPr="00D549EE">
              <w:rPr>
                <w:color w:val="000000"/>
              </w:rPr>
              <w:t>12</w:t>
            </w:r>
          </w:p>
        </w:tc>
        <w:tc>
          <w:tcPr>
            <w:tcW w:w="0" w:type="auto"/>
            <w:shd w:val="clear" w:color="auto" w:fill="auto"/>
            <w:noWrap/>
            <w:vAlign w:val="bottom"/>
            <w:hideMark/>
          </w:tcPr>
          <w:p w14:paraId="08774B1C" w14:textId="77777777" w:rsidR="00D549EE" w:rsidRPr="00D549EE" w:rsidRDefault="00D549EE" w:rsidP="00D549EE">
            <w:pPr>
              <w:rPr>
                <w:color w:val="000000"/>
              </w:rPr>
            </w:pPr>
            <w:r w:rsidRPr="00D549EE">
              <w:rPr>
                <w:color w:val="000000"/>
              </w:rPr>
              <w:t xml:space="preserve">1 265 205,1 </w:t>
            </w:r>
          </w:p>
        </w:tc>
        <w:tc>
          <w:tcPr>
            <w:tcW w:w="0" w:type="auto"/>
            <w:shd w:val="clear" w:color="auto" w:fill="auto"/>
            <w:noWrap/>
            <w:vAlign w:val="center"/>
            <w:hideMark/>
          </w:tcPr>
          <w:p w14:paraId="638938E0" w14:textId="77777777" w:rsidR="00D549EE" w:rsidRPr="00D549EE" w:rsidRDefault="00D549EE" w:rsidP="00D549EE">
            <w:pPr>
              <w:rPr>
                <w:color w:val="000000"/>
              </w:rPr>
            </w:pPr>
            <w:r w:rsidRPr="00D549EE">
              <w:rPr>
                <w:color w:val="000000"/>
              </w:rPr>
              <w:t xml:space="preserve">88 641,2 </w:t>
            </w:r>
          </w:p>
        </w:tc>
        <w:tc>
          <w:tcPr>
            <w:tcW w:w="0" w:type="auto"/>
            <w:shd w:val="clear" w:color="auto" w:fill="auto"/>
            <w:noWrap/>
            <w:vAlign w:val="bottom"/>
            <w:hideMark/>
          </w:tcPr>
          <w:p w14:paraId="2257E310" w14:textId="77777777" w:rsidR="00D549EE" w:rsidRPr="00D549EE" w:rsidRDefault="00D549EE" w:rsidP="00D549EE">
            <w:pPr>
              <w:rPr>
                <w:color w:val="0066CC"/>
              </w:rPr>
            </w:pPr>
            <w:r w:rsidRPr="00D549EE">
              <w:rPr>
                <w:color w:val="0066CC"/>
              </w:rPr>
              <w:t xml:space="preserve">52 554,3   </w:t>
            </w:r>
          </w:p>
        </w:tc>
        <w:tc>
          <w:tcPr>
            <w:tcW w:w="0" w:type="auto"/>
            <w:shd w:val="clear" w:color="auto" w:fill="auto"/>
            <w:noWrap/>
            <w:vAlign w:val="bottom"/>
            <w:hideMark/>
          </w:tcPr>
          <w:p w14:paraId="20AE8FB1" w14:textId="77777777" w:rsidR="00D549EE" w:rsidRPr="00D549EE" w:rsidRDefault="00D549EE" w:rsidP="00D549EE">
            <w:pPr>
              <w:rPr>
                <w:color w:val="FF0000"/>
              </w:rPr>
            </w:pPr>
            <w:r w:rsidRPr="00D549EE">
              <w:rPr>
                <w:color w:val="FF0000"/>
              </w:rPr>
              <w:t xml:space="preserve">36 087,0 </w:t>
            </w:r>
          </w:p>
        </w:tc>
        <w:tc>
          <w:tcPr>
            <w:tcW w:w="0" w:type="auto"/>
            <w:shd w:val="clear" w:color="auto" w:fill="auto"/>
            <w:noWrap/>
            <w:vAlign w:val="bottom"/>
            <w:hideMark/>
          </w:tcPr>
          <w:p w14:paraId="63CB3996" w14:textId="77777777" w:rsidR="00D549EE" w:rsidRPr="00D549EE" w:rsidRDefault="00D549EE" w:rsidP="00D549EE">
            <w:pPr>
              <w:rPr>
                <w:color w:val="000000"/>
              </w:rPr>
            </w:pPr>
            <w:r w:rsidRPr="00D549EE">
              <w:rPr>
                <w:color w:val="000000"/>
              </w:rPr>
              <w:t xml:space="preserve">1 212 650,9 </w:t>
            </w:r>
          </w:p>
        </w:tc>
      </w:tr>
      <w:tr w:rsidR="00D549EE" w:rsidRPr="00D549EE" w14:paraId="156EF56A" w14:textId="77777777" w:rsidTr="00D549EE">
        <w:trPr>
          <w:trHeight w:val="320"/>
        </w:trPr>
        <w:tc>
          <w:tcPr>
            <w:tcW w:w="0" w:type="auto"/>
            <w:shd w:val="clear" w:color="auto" w:fill="auto"/>
            <w:noWrap/>
            <w:vAlign w:val="bottom"/>
            <w:hideMark/>
          </w:tcPr>
          <w:p w14:paraId="24EB5B6D" w14:textId="77777777" w:rsidR="00D549EE" w:rsidRPr="00D549EE" w:rsidRDefault="00D549EE" w:rsidP="00D549EE">
            <w:pPr>
              <w:rPr>
                <w:b/>
                <w:bCs/>
                <w:color w:val="000000"/>
              </w:rPr>
            </w:pPr>
            <w:r w:rsidRPr="00D549EE">
              <w:rPr>
                <w:b/>
                <w:bCs/>
                <w:color w:val="000000"/>
              </w:rPr>
              <w:t>Total</w:t>
            </w:r>
          </w:p>
        </w:tc>
        <w:tc>
          <w:tcPr>
            <w:tcW w:w="0" w:type="auto"/>
            <w:shd w:val="clear" w:color="auto" w:fill="auto"/>
            <w:noWrap/>
            <w:vAlign w:val="bottom"/>
            <w:hideMark/>
          </w:tcPr>
          <w:p w14:paraId="741F2628" w14:textId="77777777" w:rsidR="00D549EE" w:rsidRPr="00D549EE" w:rsidRDefault="00D549EE" w:rsidP="00D549EE">
            <w:pPr>
              <w:rPr>
                <w:b/>
                <w:bCs/>
                <w:color w:val="000000"/>
              </w:rPr>
            </w:pPr>
          </w:p>
        </w:tc>
        <w:tc>
          <w:tcPr>
            <w:tcW w:w="0" w:type="auto"/>
            <w:shd w:val="clear" w:color="auto" w:fill="auto"/>
            <w:noWrap/>
            <w:vAlign w:val="bottom"/>
            <w:hideMark/>
          </w:tcPr>
          <w:p w14:paraId="6A07CA42" w14:textId="77777777" w:rsidR="00D549EE" w:rsidRPr="00D549EE" w:rsidRDefault="00D549EE" w:rsidP="00D549EE">
            <w:pPr>
              <w:jc w:val="right"/>
              <w:rPr>
                <w:b/>
                <w:bCs/>
                <w:color w:val="000000"/>
              </w:rPr>
            </w:pPr>
            <w:r w:rsidRPr="00D549EE">
              <w:rPr>
                <w:b/>
                <w:bCs/>
                <w:color w:val="000000"/>
              </w:rPr>
              <w:t>1063694,65</w:t>
            </w:r>
          </w:p>
        </w:tc>
        <w:tc>
          <w:tcPr>
            <w:tcW w:w="0" w:type="auto"/>
            <w:shd w:val="clear" w:color="auto" w:fill="auto"/>
            <w:noWrap/>
            <w:vAlign w:val="bottom"/>
            <w:hideMark/>
          </w:tcPr>
          <w:p w14:paraId="47E73E63" w14:textId="77777777" w:rsidR="00D549EE" w:rsidRPr="00D549EE" w:rsidRDefault="00D549EE" w:rsidP="00D549EE">
            <w:pPr>
              <w:rPr>
                <w:b/>
                <w:bCs/>
                <w:color w:val="000000"/>
              </w:rPr>
            </w:pPr>
            <w:r w:rsidRPr="00D549EE">
              <w:rPr>
                <w:b/>
                <w:bCs/>
                <w:color w:val="000000"/>
              </w:rPr>
              <w:t xml:space="preserve">777 349,1 </w:t>
            </w:r>
          </w:p>
        </w:tc>
        <w:tc>
          <w:tcPr>
            <w:tcW w:w="0" w:type="auto"/>
            <w:shd w:val="clear" w:color="auto" w:fill="auto"/>
            <w:noWrap/>
            <w:vAlign w:val="bottom"/>
            <w:hideMark/>
          </w:tcPr>
          <w:p w14:paraId="0D5131D6" w14:textId="77777777" w:rsidR="00D549EE" w:rsidRPr="00D549EE" w:rsidRDefault="00D549EE" w:rsidP="00D549EE">
            <w:pPr>
              <w:rPr>
                <w:b/>
                <w:bCs/>
                <w:color w:val="000000"/>
              </w:rPr>
            </w:pPr>
            <w:r w:rsidRPr="00D549EE">
              <w:rPr>
                <w:b/>
                <w:bCs/>
                <w:color w:val="000000"/>
              </w:rPr>
              <w:t xml:space="preserve">286 345,5 </w:t>
            </w:r>
          </w:p>
        </w:tc>
        <w:tc>
          <w:tcPr>
            <w:tcW w:w="0" w:type="auto"/>
            <w:shd w:val="clear" w:color="auto" w:fill="auto"/>
            <w:noWrap/>
            <w:vAlign w:val="bottom"/>
            <w:hideMark/>
          </w:tcPr>
          <w:p w14:paraId="7EF1985C" w14:textId="77777777" w:rsidR="00D549EE" w:rsidRPr="00D549EE" w:rsidRDefault="00D549EE" w:rsidP="00D549EE">
            <w:pPr>
              <w:rPr>
                <w:b/>
                <w:bCs/>
                <w:color w:val="000000"/>
              </w:rPr>
            </w:pPr>
          </w:p>
        </w:tc>
      </w:tr>
    </w:tbl>
    <w:p w14:paraId="5CC99DE0" w14:textId="77777777" w:rsidR="00D549EE" w:rsidRPr="00D549EE" w:rsidRDefault="00D549EE" w:rsidP="00D549EE">
      <w:pPr>
        <w:jc w:val="both"/>
      </w:pPr>
    </w:p>
    <w:p w14:paraId="3DBA8752" w14:textId="77777777" w:rsidR="00D549EE" w:rsidRPr="00D549EE" w:rsidRDefault="00D549EE" w:rsidP="00D549EE">
      <w:pPr>
        <w:pStyle w:val="1"/>
        <w:rPr>
          <w:rFonts w:ascii="Times New Roman" w:hAnsi="Times New Roman" w:cs="Times New Roman"/>
          <w:b/>
          <w:smallCaps/>
          <w:color w:val="000000" w:themeColor="text1"/>
          <w:sz w:val="24"/>
          <w:szCs w:val="24"/>
        </w:rPr>
      </w:pPr>
      <w:bookmarkStart w:id="9" w:name="_Toc58237902"/>
      <w:r w:rsidRPr="00D549EE">
        <w:rPr>
          <w:rFonts w:ascii="Times New Roman" w:hAnsi="Times New Roman" w:cs="Times New Roman"/>
          <w:b/>
          <w:smallCaps/>
          <w:color w:val="000000" w:themeColor="text1"/>
          <w:sz w:val="24"/>
          <w:szCs w:val="24"/>
        </w:rPr>
        <w:tab/>
        <w:t>Section 8</w:t>
      </w:r>
      <w:r w:rsidRPr="00D549EE">
        <w:rPr>
          <w:rFonts w:ascii="Times New Roman" w:hAnsi="Times New Roman" w:cs="Times New Roman"/>
          <w:b/>
          <w:smallCaps/>
          <w:color w:val="000000" w:themeColor="text1"/>
          <w:sz w:val="24"/>
          <w:szCs w:val="24"/>
          <w:lang w:val="en-US"/>
        </w:rPr>
        <w:t>.</w:t>
      </w:r>
      <w:r w:rsidRPr="00D549EE">
        <w:rPr>
          <w:rFonts w:ascii="Times New Roman" w:hAnsi="Times New Roman" w:cs="Times New Roman"/>
          <w:b/>
          <w:smallCaps/>
          <w:color w:val="000000" w:themeColor="text1"/>
          <w:sz w:val="24"/>
          <w:szCs w:val="24"/>
        </w:rPr>
        <w:t xml:space="preserve"> Risk Analysis</w:t>
      </w:r>
      <w:bookmarkEnd w:id="9"/>
    </w:p>
    <w:p w14:paraId="37E632AD" w14:textId="77777777" w:rsidR="00D549EE" w:rsidRPr="00D549EE" w:rsidRDefault="00D549EE" w:rsidP="00D549EE"/>
    <w:p w14:paraId="1532E12E" w14:textId="77777777" w:rsidR="00D549EE" w:rsidRPr="00D549EE" w:rsidRDefault="00D549EE" w:rsidP="00D549EE">
      <w:pPr>
        <w:jc w:val="both"/>
        <w:rPr>
          <w:i/>
          <w:color w:val="000000" w:themeColor="text1"/>
          <w:lang w:val="en-US"/>
        </w:rPr>
      </w:pPr>
      <w:r w:rsidRPr="00D549EE">
        <w:rPr>
          <w:i/>
          <w:color w:val="000000" w:themeColor="text1"/>
          <w:lang w:val="en-US"/>
        </w:rPr>
        <w:tab/>
        <w:t>Risks evaluation and strategies for risk management</w:t>
      </w:r>
    </w:p>
    <w:p w14:paraId="5BF55C61" w14:textId="77777777" w:rsidR="00D549EE" w:rsidRPr="00D549EE" w:rsidRDefault="00D549EE" w:rsidP="00D549EE">
      <w:pPr>
        <w:jc w:val="both"/>
        <w:rPr>
          <w:i/>
          <w:color w:val="000000" w:themeColor="text1"/>
          <w:lang w:val="en-US"/>
        </w:rPr>
      </w:pPr>
    </w:p>
    <w:p w14:paraId="6EE5D7B1" w14:textId="77777777" w:rsidR="00D549EE" w:rsidRPr="00D549EE" w:rsidRDefault="00D549EE" w:rsidP="00D549EE">
      <w:pPr>
        <w:jc w:val="both"/>
        <w:rPr>
          <w:color w:val="000000" w:themeColor="text1"/>
          <w:lang w:val="en-US"/>
        </w:rPr>
      </w:pPr>
      <w:r w:rsidRPr="00D549EE">
        <w:rPr>
          <w:color w:val="000000" w:themeColor="text1"/>
          <w:lang w:val="en-US"/>
        </w:rPr>
        <w:tab/>
        <w:t>When we talk about a business, we understand that there is always probability of unexpected outcomes and challenges that firm may face during its operation and implementing its plans. We have to clearly recognize that risk in all its forms, is directly tied to business performance. Furthermore, probability and extent of the risk widely differ from each other, depending on type and nature of the business. Also, it seems that nowadays risks in social business are higher than comparable risks in innovative and modern types of the traditional business. Since our company is supposed to be a social type of business, we understand that it is highly difficult and challenging to evaluate risks accurately and properly, so that our predictions will be more likely to take place. Despite that, risk evaluation is still very important for our projection, therefore it should be definitely one of the impacts on our decisions in terms of refusing unfavorable or accepting favorable hypothesis and ideas.</w:t>
      </w:r>
      <w:r w:rsidRPr="00D549EE">
        <w:rPr>
          <w:color w:val="000000" w:themeColor="text1"/>
          <w:lang w:val="en-US"/>
        </w:rPr>
        <w:br/>
        <w:t xml:space="preserve">We can divide sources of the risks into several common categories in a business field: </w:t>
      </w:r>
    </w:p>
    <w:p w14:paraId="02909512" w14:textId="77777777" w:rsidR="00D549EE" w:rsidRPr="00D549EE" w:rsidRDefault="00D549EE" w:rsidP="00D549EE">
      <w:pPr>
        <w:pStyle w:val="a3"/>
        <w:numPr>
          <w:ilvl w:val="0"/>
          <w:numId w:val="44"/>
        </w:numPr>
        <w:spacing w:after="160" w:line="240" w:lineRule="auto"/>
        <w:jc w:val="both"/>
        <w:rPr>
          <w:rFonts w:ascii="Times New Roman" w:hAnsi="Times New Roman"/>
          <w:color w:val="000000" w:themeColor="text1"/>
          <w:sz w:val="24"/>
          <w:szCs w:val="24"/>
          <w:lang w:val="en-US"/>
        </w:rPr>
      </w:pPr>
      <w:r w:rsidRPr="00D549EE">
        <w:rPr>
          <w:rFonts w:ascii="Times New Roman" w:hAnsi="Times New Roman"/>
          <w:i/>
          <w:iCs/>
          <w:color w:val="000000" w:themeColor="text1"/>
          <w:sz w:val="24"/>
          <w:szCs w:val="24"/>
          <w:lang w:val="en-US"/>
        </w:rPr>
        <w:t>Technical and technology risks</w:t>
      </w:r>
      <w:r w:rsidRPr="00D549EE">
        <w:rPr>
          <w:rFonts w:ascii="Times New Roman" w:hAnsi="Times New Roman"/>
          <w:color w:val="000000" w:themeColor="text1"/>
          <w:sz w:val="24"/>
          <w:szCs w:val="24"/>
          <w:lang w:val="en-US"/>
        </w:rPr>
        <w:t xml:space="preserve">. Are the risks associated with technical requirements, quality of equipment? </w:t>
      </w:r>
    </w:p>
    <w:p w14:paraId="7FB37913" w14:textId="77777777" w:rsidR="00D549EE" w:rsidRPr="00D549EE" w:rsidRDefault="00D549EE" w:rsidP="00D549EE">
      <w:pPr>
        <w:pStyle w:val="a3"/>
        <w:numPr>
          <w:ilvl w:val="0"/>
          <w:numId w:val="44"/>
        </w:numPr>
        <w:spacing w:after="160" w:line="240" w:lineRule="auto"/>
        <w:jc w:val="both"/>
        <w:rPr>
          <w:rFonts w:ascii="Times New Roman" w:hAnsi="Times New Roman"/>
          <w:color w:val="000000" w:themeColor="text1"/>
          <w:sz w:val="24"/>
          <w:szCs w:val="24"/>
          <w:lang w:val="en-US"/>
        </w:rPr>
      </w:pPr>
      <w:r w:rsidRPr="00D549EE">
        <w:rPr>
          <w:rFonts w:ascii="Times New Roman" w:hAnsi="Times New Roman"/>
          <w:i/>
          <w:iCs/>
          <w:color w:val="000000" w:themeColor="text1"/>
          <w:sz w:val="24"/>
          <w:szCs w:val="24"/>
          <w:lang w:val="en-US"/>
        </w:rPr>
        <w:t>Economic and financial risks</w:t>
      </w:r>
      <w:r w:rsidRPr="00D549EE">
        <w:rPr>
          <w:rFonts w:ascii="Times New Roman" w:hAnsi="Times New Roman"/>
          <w:color w:val="000000" w:themeColor="text1"/>
          <w:sz w:val="24"/>
          <w:szCs w:val="24"/>
          <w:lang w:val="en-US"/>
        </w:rPr>
        <w:t>. Are more extensive and significant types of risks. Economic risks could be occurred due to fluctuations of both world and local markets, which facilitate changes in macroeconomics indicators. Financial risks are more narrow and specific risks, which are restricted to company’s opportunities or customers and suppliers’ affordability. Subcategories are: 1. Changes in inflation rate, duty rates and minimum wage. 2. Interest rate’s fluctuation and credit risks. 3. Changes in market prices. 4. Liquidity risks. 5. Currency risks.</w:t>
      </w:r>
    </w:p>
    <w:p w14:paraId="2338CE2F" w14:textId="77777777" w:rsidR="00D549EE" w:rsidRPr="00D549EE" w:rsidRDefault="00D549EE" w:rsidP="00D549EE">
      <w:pPr>
        <w:pStyle w:val="a3"/>
        <w:numPr>
          <w:ilvl w:val="0"/>
          <w:numId w:val="44"/>
        </w:numPr>
        <w:spacing w:after="160" w:line="240" w:lineRule="auto"/>
        <w:jc w:val="both"/>
        <w:rPr>
          <w:rFonts w:ascii="Times New Roman" w:hAnsi="Times New Roman"/>
          <w:color w:val="000000" w:themeColor="text1"/>
          <w:sz w:val="24"/>
          <w:szCs w:val="24"/>
          <w:lang w:val="en-US"/>
        </w:rPr>
      </w:pPr>
      <w:r w:rsidRPr="00D549EE">
        <w:rPr>
          <w:rFonts w:ascii="Times New Roman" w:hAnsi="Times New Roman"/>
          <w:i/>
          <w:iCs/>
          <w:color w:val="000000" w:themeColor="text1"/>
          <w:sz w:val="24"/>
          <w:szCs w:val="24"/>
          <w:lang w:val="en-US"/>
        </w:rPr>
        <w:t>Operational and human capital risks</w:t>
      </w:r>
      <w:r w:rsidRPr="00D549EE">
        <w:rPr>
          <w:rFonts w:ascii="Times New Roman" w:hAnsi="Times New Roman"/>
          <w:color w:val="000000" w:themeColor="text1"/>
          <w:sz w:val="24"/>
          <w:szCs w:val="24"/>
          <w:lang w:val="en-US"/>
        </w:rPr>
        <w:t>. Are the risks which could be occurred during normal operation cycle. Subcategories: 1. Staff turnover. 2. Damage and spoilage of products. 3. Fraud risk. 4. Unexpected disasters.</w:t>
      </w:r>
    </w:p>
    <w:p w14:paraId="554AAA6E" w14:textId="77777777" w:rsidR="00D549EE" w:rsidRPr="00D549EE" w:rsidRDefault="00D549EE" w:rsidP="00D549EE">
      <w:pPr>
        <w:pStyle w:val="a3"/>
        <w:numPr>
          <w:ilvl w:val="0"/>
          <w:numId w:val="44"/>
        </w:numPr>
        <w:spacing w:after="160" w:line="240" w:lineRule="auto"/>
        <w:jc w:val="both"/>
        <w:rPr>
          <w:rFonts w:ascii="Times New Roman" w:hAnsi="Times New Roman"/>
          <w:i/>
          <w:iCs/>
          <w:color w:val="000000" w:themeColor="text1"/>
          <w:sz w:val="24"/>
          <w:szCs w:val="24"/>
          <w:lang w:val="en-US"/>
        </w:rPr>
      </w:pPr>
      <w:r w:rsidRPr="00D549EE">
        <w:rPr>
          <w:rFonts w:ascii="Times New Roman" w:hAnsi="Times New Roman"/>
          <w:i/>
          <w:iCs/>
          <w:color w:val="000000" w:themeColor="text1"/>
          <w:sz w:val="24"/>
          <w:szCs w:val="24"/>
          <w:lang w:val="en-US"/>
        </w:rPr>
        <w:t xml:space="preserve">Competitive risks. </w:t>
      </w:r>
      <w:r w:rsidRPr="00D549EE">
        <w:rPr>
          <w:rFonts w:ascii="Times New Roman" w:hAnsi="Times New Roman"/>
          <w:color w:val="000000" w:themeColor="text1"/>
          <w:sz w:val="24"/>
          <w:szCs w:val="24"/>
          <w:lang w:val="en-US"/>
        </w:rPr>
        <w:t>This type of risk is very common and highly probable to be occurred in a perfect competition market and will never exist in monopoly. Reputation is very important for the social business, it depends on company’s performance and accumulated over the time. Subcategories: 1. New entrants. 2. Appropriateness of location. 3. Aggressive marketing and promotion. 4. Quality of services and products. 5. Losing a market share.</w:t>
      </w:r>
    </w:p>
    <w:p w14:paraId="2C791122" w14:textId="77777777" w:rsidR="00D549EE" w:rsidRPr="00D549EE" w:rsidRDefault="00D549EE" w:rsidP="00D549EE">
      <w:pPr>
        <w:pStyle w:val="a3"/>
        <w:numPr>
          <w:ilvl w:val="0"/>
          <w:numId w:val="44"/>
        </w:numPr>
        <w:spacing w:after="160" w:line="240" w:lineRule="auto"/>
        <w:jc w:val="both"/>
        <w:rPr>
          <w:rFonts w:ascii="Times New Roman" w:hAnsi="Times New Roman"/>
          <w:i/>
          <w:iCs/>
          <w:color w:val="000000" w:themeColor="text1"/>
          <w:sz w:val="24"/>
          <w:szCs w:val="24"/>
          <w:lang w:val="en-US"/>
        </w:rPr>
      </w:pPr>
      <w:r w:rsidRPr="00D549EE">
        <w:rPr>
          <w:rFonts w:ascii="Times New Roman" w:hAnsi="Times New Roman"/>
          <w:i/>
          <w:iCs/>
          <w:color w:val="000000" w:themeColor="text1"/>
          <w:sz w:val="24"/>
          <w:szCs w:val="24"/>
          <w:lang w:val="en-US"/>
        </w:rPr>
        <w:t xml:space="preserve">Legal / Regulatory risks. </w:t>
      </w:r>
      <w:r w:rsidRPr="00D549EE">
        <w:rPr>
          <w:rFonts w:ascii="Times New Roman" w:hAnsi="Times New Roman"/>
          <w:color w:val="000000" w:themeColor="text1"/>
          <w:sz w:val="24"/>
          <w:szCs w:val="24"/>
          <w:lang w:val="en-US"/>
        </w:rPr>
        <w:t>Risk of occurrence laws and regulation that could challenge business’s normal operation. 1.Toughen the laws and establishment of related regulations and rules.</w:t>
      </w:r>
    </w:p>
    <w:p w14:paraId="13F2C591" w14:textId="7D8AE350" w:rsidR="00D549EE" w:rsidRPr="00D549EE" w:rsidRDefault="00D549EE" w:rsidP="00D549EE">
      <w:pPr>
        <w:pStyle w:val="a3"/>
        <w:numPr>
          <w:ilvl w:val="0"/>
          <w:numId w:val="44"/>
        </w:numPr>
        <w:spacing w:after="160" w:line="240" w:lineRule="auto"/>
        <w:jc w:val="both"/>
        <w:rPr>
          <w:rFonts w:ascii="Times New Roman" w:hAnsi="Times New Roman"/>
          <w:i/>
          <w:iCs/>
          <w:color w:val="000000" w:themeColor="text1"/>
          <w:sz w:val="24"/>
          <w:szCs w:val="24"/>
          <w:lang w:val="en-US"/>
        </w:rPr>
      </w:pPr>
      <w:r w:rsidRPr="00D549EE">
        <w:rPr>
          <w:rFonts w:ascii="Times New Roman" w:hAnsi="Times New Roman"/>
          <w:i/>
          <w:iCs/>
          <w:color w:val="000000" w:themeColor="text1"/>
          <w:sz w:val="24"/>
          <w:szCs w:val="24"/>
          <w:lang w:val="en-US"/>
        </w:rPr>
        <w:t xml:space="preserve">Hazard based risks. </w:t>
      </w:r>
      <w:r w:rsidRPr="00D549EE">
        <w:rPr>
          <w:rFonts w:ascii="Times New Roman" w:hAnsi="Times New Roman"/>
          <w:color w:val="000000" w:themeColor="text1"/>
          <w:sz w:val="24"/>
          <w:szCs w:val="24"/>
          <w:lang w:val="en-US"/>
        </w:rPr>
        <w:t xml:space="preserve">Risks for health and safety of the staff at a workplace. </w:t>
      </w:r>
    </w:p>
    <w:p w14:paraId="6391F88E" w14:textId="77777777" w:rsidR="00D549EE" w:rsidRPr="00D549EE" w:rsidRDefault="00D549EE" w:rsidP="00D549EE">
      <w:pPr>
        <w:jc w:val="both"/>
        <w:rPr>
          <w:color w:val="000000" w:themeColor="text1"/>
          <w:lang w:val="en-US"/>
        </w:rPr>
      </w:pPr>
      <w:r w:rsidRPr="00D549EE">
        <w:rPr>
          <w:color w:val="000000" w:themeColor="text1"/>
          <w:lang w:val="en-US"/>
        </w:rPr>
        <w:tab/>
        <w:t xml:space="preserve">We assume that there are 8 qualitative characteristics and respective quantitative measurement (scale 1-24, the higher the number – the higher the effect): </w:t>
      </w:r>
    </w:p>
    <w:p w14:paraId="71F95838" w14:textId="77777777" w:rsidR="00D549EE" w:rsidRPr="00D549EE" w:rsidRDefault="00D549EE" w:rsidP="00D549EE">
      <w:pPr>
        <w:pStyle w:val="a3"/>
        <w:numPr>
          <w:ilvl w:val="0"/>
          <w:numId w:val="45"/>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Low risks / impact: lowest (1-3), low (4-6), medium-low (7-9);</w:t>
      </w:r>
    </w:p>
    <w:p w14:paraId="05BA471F" w14:textId="77777777" w:rsidR="00D549EE" w:rsidRPr="00D549EE" w:rsidRDefault="00D549EE" w:rsidP="00D549EE">
      <w:pPr>
        <w:pStyle w:val="a3"/>
        <w:numPr>
          <w:ilvl w:val="0"/>
          <w:numId w:val="45"/>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Medium risks / impact: medium (10-12), medium high (13-15);</w:t>
      </w:r>
    </w:p>
    <w:p w14:paraId="56471D98" w14:textId="77777777" w:rsidR="00D549EE" w:rsidRPr="00D549EE" w:rsidRDefault="00D549EE" w:rsidP="00D549EE">
      <w:pPr>
        <w:pStyle w:val="a3"/>
        <w:numPr>
          <w:ilvl w:val="0"/>
          <w:numId w:val="45"/>
        </w:numPr>
        <w:spacing w:after="0" w:line="240" w:lineRule="auto"/>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High risks / impact: high (16-18), higher (19-21), highest (22-24).</w:t>
      </w:r>
    </w:p>
    <w:p w14:paraId="014725F1" w14:textId="77777777" w:rsidR="00D549EE" w:rsidRPr="00D549EE" w:rsidRDefault="00D549EE" w:rsidP="00D549EE">
      <w:pPr>
        <w:rPr>
          <w:color w:val="000000" w:themeColor="text1"/>
          <w:lang w:val="en-US"/>
        </w:rPr>
      </w:pPr>
    </w:p>
    <w:p w14:paraId="21873A3C" w14:textId="1B1A615E" w:rsidR="00D549EE" w:rsidRPr="00D549EE" w:rsidRDefault="00D549EE" w:rsidP="00D549EE">
      <w:pPr>
        <w:rPr>
          <w:i/>
          <w:iCs/>
          <w:color w:val="000000" w:themeColor="text1"/>
          <w:lang w:val="en-US"/>
        </w:rPr>
      </w:pPr>
      <w:r w:rsidRPr="00D549EE">
        <w:rPr>
          <w:color w:val="000000" w:themeColor="text1"/>
          <w:lang w:val="en-US"/>
        </w:rPr>
        <w:t>Table 7</w:t>
      </w:r>
      <w:r>
        <w:rPr>
          <w:color w:val="000000" w:themeColor="text1"/>
          <w:lang w:val="en-US"/>
        </w:rPr>
        <w:t xml:space="preserve"> - </w:t>
      </w:r>
      <w:r w:rsidRPr="00D549EE">
        <w:rPr>
          <w:iCs/>
          <w:color w:val="000000" w:themeColor="text1"/>
          <w:lang w:val="en-US"/>
        </w:rPr>
        <w:t>Technical and technology risks.</w:t>
      </w:r>
    </w:p>
    <w:p w14:paraId="5BD1E5AA" w14:textId="77777777" w:rsidR="00D549EE" w:rsidRPr="00D549EE" w:rsidRDefault="00D549EE" w:rsidP="00D549EE">
      <w:pPr>
        <w:rPr>
          <w:i/>
          <w:iCs/>
          <w:color w:val="000000" w:themeColor="text1"/>
          <w:lang w:val="en-US"/>
        </w:rPr>
      </w:pPr>
    </w:p>
    <w:tbl>
      <w:tblPr>
        <w:tblStyle w:val="a9"/>
        <w:tblW w:w="0" w:type="auto"/>
        <w:tblLook w:val="04A0" w:firstRow="1" w:lastRow="0" w:firstColumn="1" w:lastColumn="0" w:noHBand="0" w:noVBand="1"/>
      </w:tblPr>
      <w:tblGrid>
        <w:gridCol w:w="1696"/>
        <w:gridCol w:w="4678"/>
        <w:gridCol w:w="1559"/>
        <w:gridCol w:w="1412"/>
      </w:tblGrid>
      <w:tr w:rsidR="00D549EE" w:rsidRPr="00D549EE" w14:paraId="73FA661B" w14:textId="77777777" w:rsidTr="00D549EE">
        <w:tc>
          <w:tcPr>
            <w:tcW w:w="1696" w:type="dxa"/>
          </w:tcPr>
          <w:p w14:paraId="1E64963F" w14:textId="77777777" w:rsidR="00D549EE" w:rsidRPr="00D549EE" w:rsidRDefault="00D549EE" w:rsidP="00D549EE">
            <w:pPr>
              <w:rPr>
                <w:color w:val="000000" w:themeColor="text1"/>
                <w:lang w:val="en-US"/>
              </w:rPr>
            </w:pPr>
            <w:r w:rsidRPr="00D549EE">
              <w:rPr>
                <w:color w:val="000000" w:themeColor="text1"/>
                <w:lang w:val="en-US"/>
              </w:rPr>
              <w:t>Category</w:t>
            </w:r>
          </w:p>
        </w:tc>
        <w:tc>
          <w:tcPr>
            <w:tcW w:w="4678" w:type="dxa"/>
          </w:tcPr>
          <w:p w14:paraId="13E4A4D7" w14:textId="77777777" w:rsidR="00D549EE" w:rsidRPr="00D549EE" w:rsidRDefault="00D549EE" w:rsidP="00D549EE">
            <w:pPr>
              <w:rPr>
                <w:color w:val="000000" w:themeColor="text1"/>
                <w:lang w:val="en-US"/>
              </w:rPr>
            </w:pPr>
            <w:r w:rsidRPr="00D549EE">
              <w:rPr>
                <w:color w:val="000000" w:themeColor="text1"/>
                <w:lang w:val="en-US"/>
              </w:rPr>
              <w:t>Nature and reasons</w:t>
            </w:r>
          </w:p>
        </w:tc>
        <w:tc>
          <w:tcPr>
            <w:tcW w:w="1559" w:type="dxa"/>
          </w:tcPr>
          <w:p w14:paraId="45947730" w14:textId="77777777" w:rsidR="00D549EE" w:rsidRPr="00D549EE" w:rsidRDefault="00D549EE" w:rsidP="00D549EE">
            <w:pPr>
              <w:rPr>
                <w:color w:val="000000" w:themeColor="text1"/>
                <w:lang w:val="en-US"/>
              </w:rPr>
            </w:pPr>
            <w:r w:rsidRPr="00D549EE">
              <w:rPr>
                <w:color w:val="000000" w:themeColor="text1"/>
                <w:lang w:val="en-US"/>
              </w:rPr>
              <w:t>Likelihood</w:t>
            </w:r>
          </w:p>
        </w:tc>
        <w:tc>
          <w:tcPr>
            <w:tcW w:w="1412" w:type="dxa"/>
          </w:tcPr>
          <w:p w14:paraId="6BAD5748" w14:textId="77777777" w:rsidR="00D549EE" w:rsidRPr="00D549EE" w:rsidRDefault="00D549EE" w:rsidP="00D549EE">
            <w:pPr>
              <w:rPr>
                <w:color w:val="000000" w:themeColor="text1"/>
                <w:lang w:val="en-US"/>
              </w:rPr>
            </w:pPr>
            <w:r w:rsidRPr="00D549EE">
              <w:rPr>
                <w:color w:val="000000" w:themeColor="text1"/>
                <w:lang w:val="en-US"/>
              </w:rPr>
              <w:t>Impact</w:t>
            </w:r>
          </w:p>
        </w:tc>
      </w:tr>
      <w:tr w:rsidR="00D549EE" w:rsidRPr="00D549EE" w14:paraId="3ED9A63F" w14:textId="77777777" w:rsidTr="00D549EE">
        <w:tc>
          <w:tcPr>
            <w:tcW w:w="1696" w:type="dxa"/>
          </w:tcPr>
          <w:p w14:paraId="682C0AE0" w14:textId="77777777" w:rsidR="00D549EE" w:rsidRPr="00D549EE" w:rsidRDefault="00D549EE" w:rsidP="00D549EE">
            <w:pPr>
              <w:jc w:val="center"/>
              <w:rPr>
                <w:color w:val="000000" w:themeColor="text1"/>
                <w:lang w:val="en-US"/>
              </w:rPr>
            </w:pPr>
            <w:r w:rsidRPr="00D549EE">
              <w:rPr>
                <w:color w:val="000000" w:themeColor="text1"/>
                <w:lang w:val="en-US"/>
              </w:rPr>
              <w:t>(1)</w:t>
            </w:r>
          </w:p>
          <w:p w14:paraId="7CAA10F5" w14:textId="77777777" w:rsidR="00D549EE" w:rsidRPr="00D549EE" w:rsidRDefault="00D549EE" w:rsidP="00D549EE">
            <w:pPr>
              <w:rPr>
                <w:color w:val="000000" w:themeColor="text1"/>
                <w:lang w:val="en-US"/>
              </w:rPr>
            </w:pPr>
            <w:r w:rsidRPr="00D549EE">
              <w:rPr>
                <w:color w:val="000000" w:themeColor="text1"/>
                <w:lang w:val="en-US"/>
              </w:rPr>
              <w:t>Modernity and relevance of equipment</w:t>
            </w:r>
          </w:p>
          <w:p w14:paraId="23598230" w14:textId="77777777" w:rsidR="00D549EE" w:rsidRPr="00D549EE" w:rsidRDefault="00D549EE" w:rsidP="00D549EE">
            <w:pPr>
              <w:rPr>
                <w:color w:val="000000" w:themeColor="text1"/>
                <w:lang w:val="en-US"/>
              </w:rPr>
            </w:pPr>
          </w:p>
        </w:tc>
        <w:tc>
          <w:tcPr>
            <w:tcW w:w="4678" w:type="dxa"/>
          </w:tcPr>
          <w:p w14:paraId="3BE43697" w14:textId="77777777" w:rsidR="00D549EE" w:rsidRPr="00D549EE" w:rsidRDefault="00D549EE" w:rsidP="00D549EE">
            <w:pPr>
              <w:rPr>
                <w:color w:val="000000" w:themeColor="text1"/>
                <w:lang w:val="en-US"/>
              </w:rPr>
            </w:pPr>
            <w:r w:rsidRPr="00D549EE">
              <w:rPr>
                <w:color w:val="000000" w:themeColor="text1"/>
                <w:lang w:val="en-US"/>
              </w:rPr>
              <w:t xml:space="preserve">Modernization of equipment is a one of unavoidable processes in most retail businesses. There is no need for modernization equipment for long time, as the using good qualified racks and hangers for clothes at the beginning allows to use them for long time. </w:t>
            </w:r>
          </w:p>
        </w:tc>
        <w:tc>
          <w:tcPr>
            <w:tcW w:w="1559" w:type="dxa"/>
          </w:tcPr>
          <w:p w14:paraId="3D0F1FD0" w14:textId="77777777" w:rsidR="00D549EE" w:rsidRPr="00D549EE" w:rsidRDefault="00D549EE" w:rsidP="00D549EE">
            <w:pPr>
              <w:jc w:val="center"/>
              <w:rPr>
                <w:color w:val="000000" w:themeColor="text1"/>
                <w:lang w:val="en-US"/>
              </w:rPr>
            </w:pPr>
            <w:r w:rsidRPr="00D549EE">
              <w:rPr>
                <w:color w:val="000000" w:themeColor="text1"/>
                <w:lang w:val="en-US"/>
              </w:rPr>
              <w:t>Low (4-6): 5</w:t>
            </w:r>
          </w:p>
        </w:tc>
        <w:tc>
          <w:tcPr>
            <w:tcW w:w="1412" w:type="dxa"/>
          </w:tcPr>
          <w:p w14:paraId="08444A0E" w14:textId="77777777" w:rsidR="00D549EE" w:rsidRPr="00D549EE" w:rsidRDefault="00D549EE" w:rsidP="00D549EE">
            <w:pPr>
              <w:jc w:val="center"/>
              <w:rPr>
                <w:color w:val="000000" w:themeColor="text1"/>
                <w:lang w:val="en-US"/>
              </w:rPr>
            </w:pPr>
            <w:r w:rsidRPr="00D549EE">
              <w:rPr>
                <w:color w:val="000000" w:themeColor="text1"/>
                <w:lang w:val="en-US"/>
              </w:rPr>
              <w:t>Medium-low (7-9):                7</w:t>
            </w:r>
          </w:p>
        </w:tc>
      </w:tr>
      <w:tr w:rsidR="00D549EE" w:rsidRPr="00D549EE" w14:paraId="3FBAC32A" w14:textId="77777777" w:rsidTr="00D549EE">
        <w:tc>
          <w:tcPr>
            <w:tcW w:w="1696" w:type="dxa"/>
          </w:tcPr>
          <w:p w14:paraId="3ECB8A57" w14:textId="77777777" w:rsidR="00D549EE" w:rsidRPr="00D549EE" w:rsidRDefault="00D549EE" w:rsidP="00D549EE">
            <w:pPr>
              <w:jc w:val="center"/>
              <w:rPr>
                <w:color w:val="000000" w:themeColor="text1"/>
                <w:lang w:val="en-US"/>
              </w:rPr>
            </w:pPr>
            <w:r w:rsidRPr="00D549EE">
              <w:rPr>
                <w:color w:val="000000" w:themeColor="text1"/>
                <w:lang w:val="en-US"/>
              </w:rPr>
              <w:t>(2)</w:t>
            </w:r>
          </w:p>
          <w:p w14:paraId="21870213" w14:textId="77777777" w:rsidR="00D549EE" w:rsidRPr="00D549EE" w:rsidRDefault="00D549EE" w:rsidP="00D549EE">
            <w:pPr>
              <w:rPr>
                <w:color w:val="000000" w:themeColor="text1"/>
                <w:lang w:val="en-US"/>
              </w:rPr>
            </w:pPr>
            <w:r w:rsidRPr="00D549EE">
              <w:rPr>
                <w:color w:val="000000" w:themeColor="text1"/>
                <w:lang w:val="en-US"/>
              </w:rPr>
              <w:t>Change in technology of production</w:t>
            </w:r>
          </w:p>
        </w:tc>
        <w:tc>
          <w:tcPr>
            <w:tcW w:w="4678" w:type="dxa"/>
          </w:tcPr>
          <w:p w14:paraId="53675DE8" w14:textId="77777777" w:rsidR="00D549EE" w:rsidRPr="00D549EE" w:rsidRDefault="00D549EE" w:rsidP="00D549EE">
            <w:pPr>
              <w:rPr>
                <w:color w:val="000000" w:themeColor="text1"/>
                <w:lang w:val="en-US"/>
              </w:rPr>
            </w:pPr>
            <w:r w:rsidRPr="00D549EE">
              <w:rPr>
                <w:color w:val="000000" w:themeColor="text1"/>
                <w:lang w:val="en-US"/>
              </w:rPr>
              <w:t xml:space="preserve">Our main products are used goods or new goods from the stocks of the large retails (pervious collections), mostly mass-market. Again, this risk is mainly related to the involved sponsors and partners. Obviously, it could have a medium-low impact, but sustainable change in technology is less likely to be occurred. </w:t>
            </w:r>
          </w:p>
        </w:tc>
        <w:tc>
          <w:tcPr>
            <w:tcW w:w="1559" w:type="dxa"/>
          </w:tcPr>
          <w:p w14:paraId="3F8A604D" w14:textId="77777777" w:rsidR="00D549EE" w:rsidRPr="00D549EE" w:rsidRDefault="00D549EE" w:rsidP="00D549EE">
            <w:pPr>
              <w:jc w:val="center"/>
              <w:rPr>
                <w:color w:val="000000" w:themeColor="text1"/>
                <w:lang w:val="en-US"/>
              </w:rPr>
            </w:pPr>
            <w:r w:rsidRPr="00D549EE">
              <w:rPr>
                <w:color w:val="000000" w:themeColor="text1"/>
                <w:lang w:val="en-US"/>
              </w:rPr>
              <w:t>Low (4-6): 5</w:t>
            </w:r>
          </w:p>
        </w:tc>
        <w:tc>
          <w:tcPr>
            <w:tcW w:w="1412" w:type="dxa"/>
          </w:tcPr>
          <w:p w14:paraId="3A9D4DB4" w14:textId="77777777" w:rsidR="00D549EE" w:rsidRPr="00D549EE" w:rsidRDefault="00D549EE" w:rsidP="00D549EE">
            <w:pPr>
              <w:jc w:val="center"/>
              <w:rPr>
                <w:color w:val="000000" w:themeColor="text1"/>
                <w:lang w:val="en-US"/>
              </w:rPr>
            </w:pPr>
            <w:r w:rsidRPr="00D549EE">
              <w:rPr>
                <w:color w:val="000000" w:themeColor="text1"/>
                <w:lang w:val="en-US"/>
              </w:rPr>
              <w:t>Medium-low (7-9):                8</w:t>
            </w:r>
          </w:p>
        </w:tc>
      </w:tr>
    </w:tbl>
    <w:p w14:paraId="7ADDF4C0" w14:textId="77777777" w:rsidR="00D549EE" w:rsidRPr="00D549EE" w:rsidRDefault="00D549EE" w:rsidP="00D549EE">
      <w:pPr>
        <w:rPr>
          <w:color w:val="000000" w:themeColor="text1"/>
        </w:rPr>
      </w:pPr>
    </w:p>
    <w:p w14:paraId="58B7A8B5" w14:textId="77777777" w:rsidR="00D549EE" w:rsidRDefault="00D549EE" w:rsidP="00D549EE">
      <w:pPr>
        <w:rPr>
          <w:iCs/>
          <w:color w:val="000000" w:themeColor="text1"/>
          <w:lang w:val="en-US"/>
        </w:rPr>
      </w:pPr>
    </w:p>
    <w:p w14:paraId="3003696E" w14:textId="73CE9F06" w:rsidR="00D549EE" w:rsidRPr="00D549EE" w:rsidRDefault="00D549EE" w:rsidP="00D549EE">
      <w:pPr>
        <w:rPr>
          <w:iCs/>
          <w:color w:val="000000" w:themeColor="text1"/>
          <w:lang w:val="en-US"/>
        </w:rPr>
      </w:pPr>
      <w:r w:rsidRPr="00D549EE">
        <w:rPr>
          <w:iCs/>
          <w:color w:val="000000" w:themeColor="text1"/>
          <w:lang w:val="en-US"/>
        </w:rPr>
        <w:t>Table 8</w:t>
      </w:r>
      <w:r>
        <w:rPr>
          <w:iCs/>
          <w:color w:val="000000" w:themeColor="text1"/>
          <w:lang w:val="en-US"/>
        </w:rPr>
        <w:t xml:space="preserve"> - </w:t>
      </w:r>
      <w:r w:rsidRPr="00D549EE">
        <w:rPr>
          <w:iCs/>
          <w:color w:val="000000" w:themeColor="text1"/>
          <w:lang w:val="en-US"/>
        </w:rPr>
        <w:t>Economic and financial risks</w:t>
      </w:r>
    </w:p>
    <w:p w14:paraId="0DF06839" w14:textId="77777777" w:rsidR="00D549EE" w:rsidRPr="00D549EE" w:rsidRDefault="00D549EE" w:rsidP="00D549EE">
      <w:pPr>
        <w:rPr>
          <w:i/>
          <w:iCs/>
          <w:color w:val="000000" w:themeColor="text1"/>
          <w:lang w:val="en-US"/>
        </w:rPr>
      </w:pPr>
    </w:p>
    <w:tbl>
      <w:tblPr>
        <w:tblStyle w:val="a9"/>
        <w:tblpPr w:leftFromText="180" w:rightFromText="180" w:vertAnchor="text" w:horzAnchor="margin" w:tblpY="11"/>
        <w:tblOverlap w:val="never"/>
        <w:tblW w:w="9634" w:type="dxa"/>
        <w:tblLook w:val="04A0" w:firstRow="1" w:lastRow="0" w:firstColumn="1" w:lastColumn="0" w:noHBand="0" w:noVBand="1"/>
      </w:tblPr>
      <w:tblGrid>
        <w:gridCol w:w="1842"/>
        <w:gridCol w:w="4552"/>
        <w:gridCol w:w="1549"/>
        <w:gridCol w:w="1691"/>
      </w:tblGrid>
      <w:tr w:rsidR="00D549EE" w:rsidRPr="00D549EE" w14:paraId="40715FFE" w14:textId="77777777" w:rsidTr="00D549EE">
        <w:tc>
          <w:tcPr>
            <w:tcW w:w="1842" w:type="dxa"/>
          </w:tcPr>
          <w:p w14:paraId="5ADAFC37" w14:textId="77777777" w:rsidR="00D549EE" w:rsidRPr="00D549EE" w:rsidRDefault="00D549EE" w:rsidP="00D549EE">
            <w:pPr>
              <w:rPr>
                <w:color w:val="000000" w:themeColor="text1"/>
                <w:lang w:val="en-US"/>
              </w:rPr>
            </w:pPr>
            <w:r w:rsidRPr="00D549EE">
              <w:rPr>
                <w:color w:val="000000" w:themeColor="text1"/>
                <w:lang w:val="en-US"/>
              </w:rPr>
              <w:t>Category</w:t>
            </w:r>
          </w:p>
        </w:tc>
        <w:tc>
          <w:tcPr>
            <w:tcW w:w="4552" w:type="dxa"/>
          </w:tcPr>
          <w:p w14:paraId="1E0ABBF3" w14:textId="77777777" w:rsidR="00D549EE" w:rsidRPr="00D549EE" w:rsidRDefault="00D549EE" w:rsidP="00D549EE">
            <w:pPr>
              <w:rPr>
                <w:color w:val="000000" w:themeColor="text1"/>
                <w:lang w:val="en-US"/>
              </w:rPr>
            </w:pPr>
            <w:r w:rsidRPr="00D549EE">
              <w:rPr>
                <w:color w:val="000000" w:themeColor="text1"/>
                <w:lang w:val="en-US"/>
              </w:rPr>
              <w:t>Nature and reasons</w:t>
            </w:r>
          </w:p>
        </w:tc>
        <w:tc>
          <w:tcPr>
            <w:tcW w:w="1549" w:type="dxa"/>
          </w:tcPr>
          <w:p w14:paraId="1CD91752" w14:textId="77777777" w:rsidR="00D549EE" w:rsidRPr="00D549EE" w:rsidRDefault="00D549EE" w:rsidP="00D549EE">
            <w:pPr>
              <w:rPr>
                <w:color w:val="000000" w:themeColor="text1"/>
                <w:lang w:val="en-US"/>
              </w:rPr>
            </w:pPr>
            <w:r w:rsidRPr="00D549EE">
              <w:rPr>
                <w:color w:val="000000" w:themeColor="text1"/>
                <w:lang w:val="en-US"/>
              </w:rPr>
              <w:t>Likelihood</w:t>
            </w:r>
          </w:p>
        </w:tc>
        <w:tc>
          <w:tcPr>
            <w:tcW w:w="1691" w:type="dxa"/>
          </w:tcPr>
          <w:p w14:paraId="4F60678D" w14:textId="77777777" w:rsidR="00D549EE" w:rsidRPr="00D549EE" w:rsidRDefault="00D549EE" w:rsidP="00D549EE">
            <w:pPr>
              <w:rPr>
                <w:color w:val="000000" w:themeColor="text1"/>
                <w:lang w:val="en-US"/>
              </w:rPr>
            </w:pPr>
            <w:r w:rsidRPr="00D549EE">
              <w:rPr>
                <w:color w:val="000000" w:themeColor="text1"/>
                <w:lang w:val="en-US"/>
              </w:rPr>
              <w:t>Impact</w:t>
            </w:r>
          </w:p>
        </w:tc>
      </w:tr>
      <w:tr w:rsidR="00D549EE" w:rsidRPr="00D549EE" w14:paraId="7F9177A9" w14:textId="77777777" w:rsidTr="00D549EE">
        <w:trPr>
          <w:trHeight w:val="1692"/>
        </w:trPr>
        <w:tc>
          <w:tcPr>
            <w:tcW w:w="1842" w:type="dxa"/>
          </w:tcPr>
          <w:p w14:paraId="587C6FF5" w14:textId="77777777" w:rsidR="00D549EE" w:rsidRPr="00D549EE" w:rsidRDefault="00D549EE" w:rsidP="00D549EE">
            <w:pPr>
              <w:jc w:val="center"/>
              <w:rPr>
                <w:color w:val="000000" w:themeColor="text1"/>
                <w:lang w:val="en-US"/>
              </w:rPr>
            </w:pPr>
            <w:r w:rsidRPr="00D549EE">
              <w:rPr>
                <w:color w:val="000000" w:themeColor="text1"/>
                <w:lang w:val="en-US"/>
              </w:rPr>
              <w:t>(3)</w:t>
            </w:r>
          </w:p>
          <w:p w14:paraId="38DFFE4B" w14:textId="77777777" w:rsidR="00D549EE" w:rsidRPr="00D549EE" w:rsidRDefault="00D549EE" w:rsidP="00D549EE">
            <w:pPr>
              <w:rPr>
                <w:color w:val="000000" w:themeColor="text1"/>
                <w:lang w:val="en-US"/>
              </w:rPr>
            </w:pPr>
            <w:r w:rsidRPr="00D549EE">
              <w:rPr>
                <w:color w:val="000000" w:themeColor="text1"/>
                <w:lang w:val="en-US"/>
              </w:rPr>
              <w:t>Change in macroeconomics indicators</w:t>
            </w:r>
          </w:p>
        </w:tc>
        <w:tc>
          <w:tcPr>
            <w:tcW w:w="4552" w:type="dxa"/>
          </w:tcPr>
          <w:p w14:paraId="042B597E" w14:textId="77777777" w:rsidR="00D549EE" w:rsidRPr="00D549EE" w:rsidRDefault="00D549EE" w:rsidP="00D549EE">
            <w:pPr>
              <w:rPr>
                <w:color w:val="000000" w:themeColor="text1"/>
                <w:lang w:val="en-US"/>
              </w:rPr>
            </w:pPr>
            <w:r w:rsidRPr="00D549EE">
              <w:rPr>
                <w:color w:val="000000" w:themeColor="text1"/>
                <w:lang w:val="en-US"/>
              </w:rPr>
              <w:t xml:space="preserve">It is a normal, that macroeconomics indicators are always changed. But it should be mentioned, that by risk of changes in macro-indicators we suppose any significant and unexpected changes. These changes could affect: </w:t>
            </w:r>
          </w:p>
          <w:p w14:paraId="0E14ECE0" w14:textId="77777777" w:rsidR="00D549EE" w:rsidRPr="00D549EE" w:rsidRDefault="00D549EE" w:rsidP="00D549EE">
            <w:pPr>
              <w:pStyle w:val="a3"/>
              <w:numPr>
                <w:ilvl w:val="0"/>
                <w:numId w:val="46"/>
              </w:numPr>
              <w:spacing w:after="0" w:line="240" w:lineRule="auto"/>
              <w:jc w:val="left"/>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Purchasing power. Significant increase in inflation negatively affects customers’ affordability. Minimum wage and duty rates (e.g. taxes) can also influence on society welfare.</w:t>
            </w:r>
          </w:p>
          <w:p w14:paraId="53D00665" w14:textId="77777777" w:rsidR="00D549EE" w:rsidRPr="00D549EE" w:rsidRDefault="00D549EE" w:rsidP="00D549EE">
            <w:pPr>
              <w:pStyle w:val="a3"/>
              <w:numPr>
                <w:ilvl w:val="0"/>
                <w:numId w:val="46"/>
              </w:numPr>
              <w:spacing w:after="0" w:line="240" w:lineRule="auto"/>
              <w:jc w:val="left"/>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 xml:space="preserve">Unexpected fluctuation in macro indicators also could cause increase in price pre-sale preparation and amount of the </w:t>
            </w:r>
            <w:r w:rsidRPr="00D549EE">
              <w:rPr>
                <w:rFonts w:ascii="Times New Roman" w:hAnsi="Times New Roman"/>
                <w:sz w:val="24"/>
                <w:szCs w:val="24"/>
                <w:lang w:val="en-US"/>
              </w:rPr>
              <w:t xml:space="preserve"> </w:t>
            </w:r>
            <w:r w:rsidRPr="00D549EE">
              <w:rPr>
                <w:rFonts w:ascii="Times New Roman" w:hAnsi="Times New Roman"/>
                <w:color w:val="000000" w:themeColor="text1"/>
                <w:sz w:val="24"/>
                <w:szCs w:val="24"/>
                <w:lang w:val="en-US"/>
              </w:rPr>
              <w:t xml:space="preserve">supplied products by sponsors and partners. </w:t>
            </w:r>
          </w:p>
          <w:p w14:paraId="6E92334B" w14:textId="77777777" w:rsidR="00D549EE" w:rsidRPr="00D549EE" w:rsidRDefault="00D549EE" w:rsidP="00D549EE">
            <w:pPr>
              <w:pStyle w:val="a3"/>
              <w:ind w:left="360"/>
              <w:jc w:val="left"/>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 xml:space="preserve">Since we are small business, it less likely to have a big impact on our operation. </w:t>
            </w:r>
          </w:p>
        </w:tc>
        <w:tc>
          <w:tcPr>
            <w:tcW w:w="1549" w:type="dxa"/>
          </w:tcPr>
          <w:p w14:paraId="79C6C5F2" w14:textId="77777777" w:rsidR="00D549EE" w:rsidRPr="00D549EE" w:rsidRDefault="00D549EE" w:rsidP="00D549EE">
            <w:pPr>
              <w:jc w:val="center"/>
              <w:rPr>
                <w:color w:val="000000" w:themeColor="text1"/>
                <w:lang w:val="en-US"/>
              </w:rPr>
            </w:pPr>
            <w:r w:rsidRPr="00D549EE">
              <w:rPr>
                <w:color w:val="000000" w:themeColor="text1"/>
                <w:lang w:val="en-US"/>
              </w:rPr>
              <w:t>Medium</w:t>
            </w:r>
          </w:p>
          <w:p w14:paraId="59A4BEF0" w14:textId="77777777" w:rsidR="00D549EE" w:rsidRPr="00D549EE" w:rsidRDefault="00D549EE" w:rsidP="00D549EE">
            <w:pPr>
              <w:jc w:val="center"/>
              <w:rPr>
                <w:color w:val="000000" w:themeColor="text1"/>
                <w:lang w:val="en-US"/>
              </w:rPr>
            </w:pPr>
            <w:r w:rsidRPr="00D549EE">
              <w:rPr>
                <w:color w:val="000000" w:themeColor="text1"/>
                <w:lang w:val="en-US"/>
              </w:rPr>
              <w:t xml:space="preserve"> (10-12): 12</w:t>
            </w:r>
          </w:p>
        </w:tc>
        <w:tc>
          <w:tcPr>
            <w:tcW w:w="1691" w:type="dxa"/>
          </w:tcPr>
          <w:p w14:paraId="203DD7EE" w14:textId="77777777" w:rsidR="00D549EE" w:rsidRPr="00D549EE" w:rsidRDefault="00D549EE" w:rsidP="00D549EE">
            <w:pPr>
              <w:jc w:val="center"/>
              <w:rPr>
                <w:color w:val="000000" w:themeColor="text1"/>
                <w:lang w:val="en-US"/>
              </w:rPr>
            </w:pPr>
            <w:r w:rsidRPr="00D549EE">
              <w:rPr>
                <w:color w:val="000000" w:themeColor="text1"/>
                <w:lang w:val="en-US"/>
              </w:rPr>
              <w:t>Medium-high    (13-15): 13</w:t>
            </w:r>
          </w:p>
        </w:tc>
      </w:tr>
      <w:tr w:rsidR="00D549EE" w:rsidRPr="00D549EE" w14:paraId="698CF04E" w14:textId="77777777" w:rsidTr="00D549EE">
        <w:trPr>
          <w:trHeight w:val="1692"/>
        </w:trPr>
        <w:tc>
          <w:tcPr>
            <w:tcW w:w="1842" w:type="dxa"/>
          </w:tcPr>
          <w:p w14:paraId="0AA88310" w14:textId="77777777" w:rsidR="00D549EE" w:rsidRPr="00D549EE" w:rsidRDefault="00D549EE" w:rsidP="00D549EE">
            <w:pPr>
              <w:jc w:val="center"/>
              <w:rPr>
                <w:color w:val="000000" w:themeColor="text1"/>
                <w:lang w:val="en-US"/>
              </w:rPr>
            </w:pPr>
            <w:r w:rsidRPr="00D549EE">
              <w:rPr>
                <w:color w:val="000000" w:themeColor="text1"/>
                <w:lang w:val="en-US"/>
              </w:rPr>
              <w:t>(4)</w:t>
            </w:r>
          </w:p>
          <w:p w14:paraId="7DB8A93E" w14:textId="77777777" w:rsidR="00D549EE" w:rsidRPr="00D549EE" w:rsidRDefault="00D549EE" w:rsidP="00D549EE">
            <w:pPr>
              <w:rPr>
                <w:color w:val="000000" w:themeColor="text1"/>
                <w:lang w:val="en-US"/>
              </w:rPr>
            </w:pPr>
            <w:r w:rsidRPr="00D549EE">
              <w:rPr>
                <w:color w:val="000000" w:themeColor="text1"/>
                <w:lang w:val="en-US"/>
              </w:rPr>
              <w:t>Interest rates fluctuations and credit risks</w:t>
            </w:r>
          </w:p>
        </w:tc>
        <w:tc>
          <w:tcPr>
            <w:tcW w:w="4552" w:type="dxa"/>
          </w:tcPr>
          <w:p w14:paraId="3041A4B6" w14:textId="77777777" w:rsidR="00D549EE" w:rsidRPr="00D549EE" w:rsidRDefault="00D549EE" w:rsidP="00D549EE">
            <w:pPr>
              <w:rPr>
                <w:color w:val="000000" w:themeColor="text1"/>
                <w:lang w:val="en-US"/>
              </w:rPr>
            </w:pPr>
            <w:r w:rsidRPr="00D549EE">
              <w:rPr>
                <w:color w:val="000000" w:themeColor="text1"/>
                <w:lang w:val="en-US"/>
              </w:rPr>
              <w:t xml:space="preserve">Possible changes in bank interest rate, caused by market conditions or indirect influence of Central Bank through refinancing rate. The direct influence is affordability of debt repayments. In our case, using the loan of the Islamic bank is </w:t>
            </w:r>
            <w:r w:rsidRPr="00D549EE">
              <w:rPr>
                <w:lang w:val="en-US"/>
              </w:rPr>
              <w:t xml:space="preserve"> </w:t>
            </w:r>
            <w:r w:rsidRPr="00D549EE">
              <w:rPr>
                <w:color w:val="000000" w:themeColor="text1"/>
                <w:lang w:val="en-US"/>
              </w:rPr>
              <w:t>emergency and final solution of the liquidity issue, we can assume, that impact is medium-low</w:t>
            </w:r>
          </w:p>
        </w:tc>
        <w:tc>
          <w:tcPr>
            <w:tcW w:w="1549" w:type="dxa"/>
          </w:tcPr>
          <w:p w14:paraId="6158B740" w14:textId="77777777" w:rsidR="00D549EE" w:rsidRPr="00D549EE" w:rsidRDefault="00D549EE" w:rsidP="00D549EE">
            <w:pPr>
              <w:jc w:val="center"/>
              <w:rPr>
                <w:color w:val="000000" w:themeColor="text1"/>
                <w:lang w:val="en-US"/>
              </w:rPr>
            </w:pPr>
            <w:r w:rsidRPr="00D549EE">
              <w:rPr>
                <w:color w:val="000000" w:themeColor="text1"/>
                <w:lang w:val="en-US"/>
              </w:rPr>
              <w:t xml:space="preserve">Medium </w:t>
            </w:r>
          </w:p>
          <w:p w14:paraId="237B09FD" w14:textId="77777777" w:rsidR="00D549EE" w:rsidRPr="00D549EE" w:rsidRDefault="00D549EE" w:rsidP="00D549EE">
            <w:pPr>
              <w:jc w:val="center"/>
              <w:rPr>
                <w:color w:val="000000" w:themeColor="text1"/>
                <w:lang w:val="en-US"/>
              </w:rPr>
            </w:pPr>
            <w:r w:rsidRPr="00D549EE">
              <w:rPr>
                <w:color w:val="000000" w:themeColor="text1"/>
                <w:lang w:val="en-US"/>
              </w:rPr>
              <w:t>(10-12): 12</w:t>
            </w:r>
          </w:p>
        </w:tc>
        <w:tc>
          <w:tcPr>
            <w:tcW w:w="1691" w:type="dxa"/>
          </w:tcPr>
          <w:p w14:paraId="423AEC6D" w14:textId="77777777" w:rsidR="00D549EE" w:rsidRPr="00D549EE" w:rsidRDefault="00D549EE" w:rsidP="00D549EE">
            <w:pPr>
              <w:jc w:val="center"/>
              <w:rPr>
                <w:color w:val="000000" w:themeColor="text1"/>
                <w:lang w:val="en-US"/>
              </w:rPr>
            </w:pPr>
            <w:r w:rsidRPr="00D549EE">
              <w:rPr>
                <w:color w:val="000000" w:themeColor="text1"/>
                <w:lang w:val="en-US"/>
              </w:rPr>
              <w:t>Medium-low    (7-9): 8</w:t>
            </w:r>
          </w:p>
        </w:tc>
      </w:tr>
      <w:tr w:rsidR="00D549EE" w:rsidRPr="00D549EE" w14:paraId="4FD7AEB8" w14:textId="77777777" w:rsidTr="00D549EE">
        <w:trPr>
          <w:trHeight w:val="1692"/>
        </w:trPr>
        <w:tc>
          <w:tcPr>
            <w:tcW w:w="1842" w:type="dxa"/>
          </w:tcPr>
          <w:p w14:paraId="5EEBD0F4" w14:textId="77777777" w:rsidR="00D549EE" w:rsidRPr="00D549EE" w:rsidRDefault="00D549EE" w:rsidP="00D549EE">
            <w:pPr>
              <w:jc w:val="center"/>
              <w:rPr>
                <w:color w:val="000000" w:themeColor="text1"/>
                <w:lang w:val="en-US"/>
              </w:rPr>
            </w:pPr>
            <w:r w:rsidRPr="00D549EE">
              <w:rPr>
                <w:color w:val="000000" w:themeColor="text1"/>
                <w:lang w:val="en-US"/>
              </w:rPr>
              <w:t>(5)</w:t>
            </w:r>
          </w:p>
          <w:p w14:paraId="17BBFAB5" w14:textId="77777777" w:rsidR="00D549EE" w:rsidRPr="00D549EE" w:rsidRDefault="00D549EE" w:rsidP="00D549EE">
            <w:pPr>
              <w:rPr>
                <w:color w:val="000000" w:themeColor="text1"/>
                <w:lang w:val="en-US"/>
              </w:rPr>
            </w:pPr>
            <w:r w:rsidRPr="00D549EE">
              <w:rPr>
                <w:color w:val="000000" w:themeColor="text1"/>
                <w:lang w:val="en-US"/>
              </w:rPr>
              <w:t xml:space="preserve">Market prices </w:t>
            </w:r>
          </w:p>
        </w:tc>
        <w:tc>
          <w:tcPr>
            <w:tcW w:w="4552" w:type="dxa"/>
          </w:tcPr>
          <w:p w14:paraId="218DB1F8" w14:textId="77777777" w:rsidR="00D549EE" w:rsidRPr="00D549EE" w:rsidRDefault="00D549EE" w:rsidP="00D549EE">
            <w:pPr>
              <w:rPr>
                <w:color w:val="000000" w:themeColor="text1"/>
                <w:lang w:val="en-US"/>
              </w:rPr>
            </w:pPr>
            <w:r w:rsidRPr="00D549EE">
              <w:rPr>
                <w:color w:val="000000" w:themeColor="text1"/>
                <w:lang w:val="en-US"/>
              </w:rPr>
              <w:t>Since market terms are close to competition, we should accept and set price which is determined by intersection of supply and demand. So the prices is not to be changed frequently and significant, because both customer and suppliers in some extent influence on prices. And it is obvious, that if prices are changed, it will have a big impact on our revenue.</w:t>
            </w:r>
          </w:p>
        </w:tc>
        <w:tc>
          <w:tcPr>
            <w:tcW w:w="1549" w:type="dxa"/>
          </w:tcPr>
          <w:p w14:paraId="53F1441F" w14:textId="77777777" w:rsidR="00D549EE" w:rsidRPr="00D549EE" w:rsidRDefault="00D549EE" w:rsidP="00D549EE">
            <w:pPr>
              <w:jc w:val="center"/>
              <w:rPr>
                <w:color w:val="000000" w:themeColor="text1"/>
                <w:lang w:val="en-US"/>
              </w:rPr>
            </w:pPr>
            <w:r w:rsidRPr="00D549EE">
              <w:rPr>
                <w:color w:val="000000" w:themeColor="text1"/>
                <w:lang w:val="en-US"/>
              </w:rPr>
              <w:t>Medium-low</w:t>
            </w:r>
          </w:p>
          <w:p w14:paraId="69CF289C" w14:textId="77777777" w:rsidR="00D549EE" w:rsidRPr="00D549EE" w:rsidRDefault="00D549EE" w:rsidP="00D549EE">
            <w:pPr>
              <w:jc w:val="center"/>
              <w:rPr>
                <w:color w:val="000000" w:themeColor="text1"/>
                <w:lang w:val="en-US"/>
              </w:rPr>
            </w:pPr>
            <w:r w:rsidRPr="00D549EE">
              <w:rPr>
                <w:color w:val="000000" w:themeColor="text1"/>
                <w:lang w:val="en-US"/>
              </w:rPr>
              <w:t>(7-9): 8</w:t>
            </w:r>
          </w:p>
        </w:tc>
        <w:tc>
          <w:tcPr>
            <w:tcW w:w="1691" w:type="dxa"/>
          </w:tcPr>
          <w:p w14:paraId="4B55D039" w14:textId="77777777" w:rsidR="00D549EE" w:rsidRPr="00D549EE" w:rsidRDefault="00D549EE" w:rsidP="00D549EE">
            <w:pPr>
              <w:jc w:val="center"/>
              <w:rPr>
                <w:color w:val="000000" w:themeColor="text1"/>
                <w:lang w:val="en-US"/>
              </w:rPr>
            </w:pPr>
            <w:r w:rsidRPr="00D549EE">
              <w:rPr>
                <w:color w:val="000000" w:themeColor="text1"/>
                <w:lang w:val="en-US"/>
              </w:rPr>
              <w:t>High</w:t>
            </w:r>
          </w:p>
          <w:p w14:paraId="3621F599" w14:textId="77777777" w:rsidR="00D549EE" w:rsidRPr="00D549EE" w:rsidRDefault="00D549EE" w:rsidP="00D549EE">
            <w:pPr>
              <w:jc w:val="center"/>
              <w:rPr>
                <w:color w:val="000000" w:themeColor="text1"/>
                <w:lang w:val="en-US"/>
              </w:rPr>
            </w:pPr>
            <w:r w:rsidRPr="00D549EE">
              <w:rPr>
                <w:color w:val="000000" w:themeColor="text1"/>
                <w:lang w:val="en-US"/>
              </w:rPr>
              <w:t>(16-18): 18</w:t>
            </w:r>
          </w:p>
        </w:tc>
      </w:tr>
      <w:tr w:rsidR="00D549EE" w:rsidRPr="00D549EE" w14:paraId="52EF0BB1" w14:textId="77777777" w:rsidTr="00D549EE">
        <w:trPr>
          <w:trHeight w:val="1692"/>
        </w:trPr>
        <w:tc>
          <w:tcPr>
            <w:tcW w:w="1842" w:type="dxa"/>
          </w:tcPr>
          <w:p w14:paraId="2056B544" w14:textId="77777777" w:rsidR="00D549EE" w:rsidRPr="00D549EE" w:rsidRDefault="00D549EE" w:rsidP="00D549EE">
            <w:pPr>
              <w:jc w:val="center"/>
              <w:rPr>
                <w:color w:val="000000" w:themeColor="text1"/>
                <w:lang w:val="en-US"/>
              </w:rPr>
            </w:pPr>
            <w:r w:rsidRPr="00D549EE">
              <w:rPr>
                <w:color w:val="000000" w:themeColor="text1"/>
                <w:lang w:val="en-US"/>
              </w:rPr>
              <w:t>(6)</w:t>
            </w:r>
          </w:p>
          <w:p w14:paraId="3974C52D" w14:textId="77777777" w:rsidR="00D549EE" w:rsidRPr="00D549EE" w:rsidRDefault="00D549EE" w:rsidP="00D549EE">
            <w:pPr>
              <w:rPr>
                <w:color w:val="000000" w:themeColor="text1"/>
                <w:lang w:val="en-US"/>
              </w:rPr>
            </w:pPr>
            <w:r w:rsidRPr="00D549EE">
              <w:rPr>
                <w:color w:val="000000" w:themeColor="text1"/>
                <w:lang w:val="en-US"/>
              </w:rPr>
              <w:t>Liquidity risks</w:t>
            </w:r>
          </w:p>
        </w:tc>
        <w:tc>
          <w:tcPr>
            <w:tcW w:w="4552" w:type="dxa"/>
          </w:tcPr>
          <w:p w14:paraId="4FBD1029" w14:textId="77777777" w:rsidR="00D549EE" w:rsidRPr="00D549EE" w:rsidRDefault="00D549EE" w:rsidP="00D549EE">
            <w:pPr>
              <w:rPr>
                <w:color w:val="000000" w:themeColor="text1"/>
                <w:lang w:val="en-US"/>
              </w:rPr>
            </w:pPr>
            <w:r w:rsidRPr="00D549EE">
              <w:rPr>
                <w:color w:val="000000" w:themeColor="text1"/>
                <w:lang w:val="en-US"/>
              </w:rPr>
              <w:t xml:space="preserve">In the project the capital expenditure and store place are provided by founders as the charity, and it is supposed to sell the goods which are also provided by sponsors and partners, there is expected that Liquidity risks have medium impact to the business process. </w:t>
            </w:r>
          </w:p>
        </w:tc>
        <w:tc>
          <w:tcPr>
            <w:tcW w:w="1549" w:type="dxa"/>
          </w:tcPr>
          <w:p w14:paraId="2321D34E" w14:textId="77777777" w:rsidR="00D549EE" w:rsidRPr="00D549EE" w:rsidRDefault="00D549EE" w:rsidP="00D549EE">
            <w:pPr>
              <w:jc w:val="center"/>
              <w:rPr>
                <w:color w:val="000000" w:themeColor="text1"/>
                <w:lang w:val="en-US"/>
              </w:rPr>
            </w:pPr>
            <w:r w:rsidRPr="00D549EE">
              <w:rPr>
                <w:color w:val="000000" w:themeColor="text1"/>
                <w:lang w:val="en-US"/>
              </w:rPr>
              <w:t>Medium</w:t>
            </w:r>
          </w:p>
          <w:p w14:paraId="63B42C14" w14:textId="77777777" w:rsidR="00D549EE" w:rsidRPr="00D549EE" w:rsidRDefault="00D549EE" w:rsidP="00D549EE">
            <w:pPr>
              <w:jc w:val="center"/>
              <w:rPr>
                <w:color w:val="000000" w:themeColor="text1"/>
                <w:lang w:val="en-US"/>
              </w:rPr>
            </w:pPr>
            <w:r w:rsidRPr="00D549EE">
              <w:rPr>
                <w:color w:val="000000" w:themeColor="text1"/>
                <w:lang w:val="en-US"/>
              </w:rPr>
              <w:t xml:space="preserve"> (10-12): 12</w:t>
            </w:r>
          </w:p>
        </w:tc>
        <w:tc>
          <w:tcPr>
            <w:tcW w:w="1691" w:type="dxa"/>
          </w:tcPr>
          <w:p w14:paraId="120BE5D1" w14:textId="77777777" w:rsidR="00D549EE" w:rsidRPr="00D549EE" w:rsidRDefault="00D549EE" w:rsidP="00D549EE">
            <w:pPr>
              <w:jc w:val="center"/>
              <w:rPr>
                <w:color w:val="000000" w:themeColor="text1"/>
                <w:lang w:val="en-US"/>
              </w:rPr>
            </w:pPr>
            <w:r w:rsidRPr="00D549EE">
              <w:rPr>
                <w:color w:val="000000" w:themeColor="text1"/>
                <w:lang w:val="en-US"/>
              </w:rPr>
              <w:t>Medium</w:t>
            </w:r>
          </w:p>
          <w:p w14:paraId="6D7C41A3" w14:textId="77777777" w:rsidR="00D549EE" w:rsidRPr="00D549EE" w:rsidRDefault="00D549EE" w:rsidP="00D549EE">
            <w:pPr>
              <w:jc w:val="center"/>
              <w:rPr>
                <w:color w:val="000000" w:themeColor="text1"/>
              </w:rPr>
            </w:pPr>
            <w:r w:rsidRPr="00D549EE">
              <w:rPr>
                <w:color w:val="000000" w:themeColor="text1"/>
                <w:lang w:val="en-US"/>
              </w:rPr>
              <w:t xml:space="preserve"> (10-12): 12</w:t>
            </w:r>
          </w:p>
        </w:tc>
      </w:tr>
      <w:tr w:rsidR="00D549EE" w:rsidRPr="00D549EE" w14:paraId="67CF462B" w14:textId="77777777" w:rsidTr="00D549EE">
        <w:trPr>
          <w:trHeight w:val="1692"/>
        </w:trPr>
        <w:tc>
          <w:tcPr>
            <w:tcW w:w="1842" w:type="dxa"/>
          </w:tcPr>
          <w:p w14:paraId="37A05A58" w14:textId="77777777" w:rsidR="00D549EE" w:rsidRPr="00D549EE" w:rsidRDefault="00D549EE" w:rsidP="00D549EE">
            <w:pPr>
              <w:jc w:val="center"/>
              <w:rPr>
                <w:color w:val="000000" w:themeColor="text1"/>
                <w:lang w:val="en-US"/>
              </w:rPr>
            </w:pPr>
            <w:r w:rsidRPr="00D549EE">
              <w:rPr>
                <w:color w:val="000000" w:themeColor="text1"/>
                <w:lang w:val="en-US"/>
              </w:rPr>
              <w:t>(7)</w:t>
            </w:r>
          </w:p>
          <w:p w14:paraId="1DB6C207" w14:textId="77777777" w:rsidR="00D549EE" w:rsidRPr="00D549EE" w:rsidRDefault="00D549EE" w:rsidP="00D549EE">
            <w:pPr>
              <w:rPr>
                <w:color w:val="000000" w:themeColor="text1"/>
                <w:lang w:val="en-US"/>
              </w:rPr>
            </w:pPr>
            <w:r w:rsidRPr="00D549EE">
              <w:rPr>
                <w:color w:val="000000" w:themeColor="text1"/>
                <w:lang w:val="en-US"/>
              </w:rPr>
              <w:t>Currency risks</w:t>
            </w:r>
          </w:p>
        </w:tc>
        <w:tc>
          <w:tcPr>
            <w:tcW w:w="4552" w:type="dxa"/>
          </w:tcPr>
          <w:p w14:paraId="073E5B24" w14:textId="77777777" w:rsidR="00D549EE" w:rsidRPr="00D549EE" w:rsidRDefault="00D549EE" w:rsidP="00D549EE">
            <w:pPr>
              <w:rPr>
                <w:color w:val="000000" w:themeColor="text1"/>
                <w:lang w:val="en-US"/>
              </w:rPr>
            </w:pPr>
            <w:r w:rsidRPr="00D549EE">
              <w:rPr>
                <w:color w:val="000000" w:themeColor="text1"/>
                <w:lang w:val="en-US"/>
              </w:rPr>
              <w:t xml:space="preserve">Since, currency in our country is not enough sustainable, and it could be significantly changed against hard currencies (USD, EUR, GBP etc.). Risk of currency devaluation seems to be existed. We suppose that it could not affect us more than rest of retail markets. Furthermore, it could significantly influence on manufacturers if they imported raw materials. </w:t>
            </w:r>
          </w:p>
        </w:tc>
        <w:tc>
          <w:tcPr>
            <w:tcW w:w="1549" w:type="dxa"/>
          </w:tcPr>
          <w:p w14:paraId="7E3B2A53" w14:textId="77777777" w:rsidR="00D549EE" w:rsidRPr="00D549EE" w:rsidRDefault="00D549EE" w:rsidP="00D549EE">
            <w:pPr>
              <w:jc w:val="center"/>
              <w:rPr>
                <w:color w:val="000000" w:themeColor="text1"/>
                <w:lang w:val="en-US"/>
              </w:rPr>
            </w:pPr>
            <w:r w:rsidRPr="00D549EE">
              <w:rPr>
                <w:color w:val="000000" w:themeColor="text1"/>
                <w:lang w:val="en-US"/>
              </w:rPr>
              <w:t>Medium-low</w:t>
            </w:r>
          </w:p>
          <w:p w14:paraId="3ED39F79" w14:textId="77777777" w:rsidR="00D549EE" w:rsidRPr="00D549EE" w:rsidRDefault="00D549EE" w:rsidP="00D549EE">
            <w:pPr>
              <w:jc w:val="center"/>
              <w:rPr>
                <w:color w:val="000000" w:themeColor="text1"/>
                <w:lang w:val="en-US"/>
              </w:rPr>
            </w:pPr>
            <w:r w:rsidRPr="00D549EE">
              <w:rPr>
                <w:color w:val="000000" w:themeColor="text1"/>
                <w:lang w:val="en-US"/>
              </w:rPr>
              <w:t>(7-9): 7</w:t>
            </w:r>
          </w:p>
        </w:tc>
        <w:tc>
          <w:tcPr>
            <w:tcW w:w="1691" w:type="dxa"/>
          </w:tcPr>
          <w:p w14:paraId="5799BF65" w14:textId="77777777" w:rsidR="00D549EE" w:rsidRPr="00D549EE" w:rsidRDefault="00D549EE" w:rsidP="00D549EE">
            <w:pPr>
              <w:jc w:val="center"/>
              <w:rPr>
                <w:color w:val="000000" w:themeColor="text1"/>
                <w:lang w:val="en-US"/>
              </w:rPr>
            </w:pPr>
            <w:r w:rsidRPr="00D549EE">
              <w:rPr>
                <w:color w:val="000000" w:themeColor="text1"/>
                <w:lang w:val="en-US"/>
              </w:rPr>
              <w:t>Medium-low</w:t>
            </w:r>
          </w:p>
          <w:p w14:paraId="405068BF" w14:textId="77777777" w:rsidR="00D549EE" w:rsidRPr="00D549EE" w:rsidRDefault="00D549EE" w:rsidP="00D549EE">
            <w:pPr>
              <w:jc w:val="center"/>
              <w:rPr>
                <w:color w:val="000000" w:themeColor="text1"/>
                <w:lang w:val="en-US"/>
              </w:rPr>
            </w:pPr>
            <w:r w:rsidRPr="00D549EE">
              <w:rPr>
                <w:color w:val="000000" w:themeColor="text1"/>
                <w:lang w:val="en-US"/>
              </w:rPr>
              <w:t>(7-9): 8</w:t>
            </w:r>
          </w:p>
        </w:tc>
      </w:tr>
    </w:tbl>
    <w:p w14:paraId="15C3D736" w14:textId="0FAD11B4" w:rsidR="00D549EE" w:rsidRPr="00D549EE" w:rsidRDefault="00D549EE" w:rsidP="00D549EE">
      <w:pPr>
        <w:rPr>
          <w:color w:val="000000" w:themeColor="text1"/>
          <w:lang w:val="en-US"/>
        </w:rPr>
      </w:pPr>
      <w:r w:rsidRPr="00D549EE">
        <w:rPr>
          <w:color w:val="000000" w:themeColor="text1"/>
          <w:lang w:val="kk-KZ"/>
        </w:rPr>
        <w:br w:type="textWrapping" w:clear="all"/>
      </w:r>
      <w:r w:rsidRPr="00D549EE">
        <w:rPr>
          <w:color w:val="000000" w:themeColor="text1"/>
          <w:lang w:val="en-US"/>
        </w:rPr>
        <w:t>Table 9</w:t>
      </w:r>
      <w:r>
        <w:rPr>
          <w:color w:val="000000" w:themeColor="text1"/>
          <w:lang w:val="en-US"/>
        </w:rPr>
        <w:t xml:space="preserve"> - </w:t>
      </w:r>
      <w:r w:rsidRPr="00D549EE">
        <w:rPr>
          <w:color w:val="000000" w:themeColor="text1"/>
          <w:lang w:val="en-US"/>
        </w:rPr>
        <w:t>Operational and human capital risks</w:t>
      </w:r>
    </w:p>
    <w:p w14:paraId="1523E233" w14:textId="77777777" w:rsidR="00D549EE" w:rsidRPr="00D549EE" w:rsidRDefault="00D549EE" w:rsidP="00D549EE">
      <w:pPr>
        <w:rPr>
          <w:color w:val="000000" w:themeColor="text1"/>
          <w:lang w:val="en-US"/>
        </w:rPr>
      </w:pPr>
    </w:p>
    <w:tbl>
      <w:tblPr>
        <w:tblStyle w:val="a9"/>
        <w:tblW w:w="9493" w:type="dxa"/>
        <w:tblLook w:val="04A0" w:firstRow="1" w:lastRow="0" w:firstColumn="1" w:lastColumn="0" w:noHBand="0" w:noVBand="1"/>
      </w:tblPr>
      <w:tblGrid>
        <w:gridCol w:w="1696"/>
        <w:gridCol w:w="4678"/>
        <w:gridCol w:w="1559"/>
        <w:gridCol w:w="1560"/>
      </w:tblGrid>
      <w:tr w:rsidR="00D549EE" w:rsidRPr="00D549EE" w14:paraId="141C0217" w14:textId="77777777" w:rsidTr="00D549EE">
        <w:tc>
          <w:tcPr>
            <w:tcW w:w="1696" w:type="dxa"/>
          </w:tcPr>
          <w:p w14:paraId="1CA97F1E" w14:textId="77777777" w:rsidR="00D549EE" w:rsidRPr="00D549EE" w:rsidRDefault="00D549EE" w:rsidP="00D549EE">
            <w:pPr>
              <w:rPr>
                <w:color w:val="000000" w:themeColor="text1"/>
                <w:lang w:val="en-US"/>
              </w:rPr>
            </w:pPr>
            <w:r w:rsidRPr="00D549EE">
              <w:rPr>
                <w:color w:val="000000" w:themeColor="text1"/>
                <w:lang w:val="en-US"/>
              </w:rPr>
              <w:t>Category</w:t>
            </w:r>
          </w:p>
        </w:tc>
        <w:tc>
          <w:tcPr>
            <w:tcW w:w="4678" w:type="dxa"/>
          </w:tcPr>
          <w:p w14:paraId="2D7E6B68" w14:textId="77777777" w:rsidR="00D549EE" w:rsidRPr="00D549EE" w:rsidRDefault="00D549EE" w:rsidP="00D549EE">
            <w:pPr>
              <w:rPr>
                <w:color w:val="000000" w:themeColor="text1"/>
                <w:lang w:val="en-US"/>
              </w:rPr>
            </w:pPr>
            <w:r w:rsidRPr="00D549EE">
              <w:rPr>
                <w:color w:val="000000" w:themeColor="text1"/>
                <w:lang w:val="en-US"/>
              </w:rPr>
              <w:t>Nature and reasons</w:t>
            </w:r>
          </w:p>
        </w:tc>
        <w:tc>
          <w:tcPr>
            <w:tcW w:w="1559" w:type="dxa"/>
          </w:tcPr>
          <w:p w14:paraId="65EB2F86" w14:textId="77777777" w:rsidR="00D549EE" w:rsidRPr="00D549EE" w:rsidRDefault="00D549EE" w:rsidP="00D549EE">
            <w:pPr>
              <w:rPr>
                <w:color w:val="000000" w:themeColor="text1"/>
                <w:lang w:val="en-US"/>
              </w:rPr>
            </w:pPr>
            <w:r w:rsidRPr="00D549EE">
              <w:rPr>
                <w:color w:val="000000" w:themeColor="text1"/>
                <w:lang w:val="en-US"/>
              </w:rPr>
              <w:t>Likelihood</w:t>
            </w:r>
          </w:p>
        </w:tc>
        <w:tc>
          <w:tcPr>
            <w:tcW w:w="1560" w:type="dxa"/>
          </w:tcPr>
          <w:p w14:paraId="0A8B111B" w14:textId="77777777" w:rsidR="00D549EE" w:rsidRPr="00D549EE" w:rsidRDefault="00D549EE" w:rsidP="00D549EE">
            <w:pPr>
              <w:rPr>
                <w:color w:val="000000" w:themeColor="text1"/>
                <w:lang w:val="en-US"/>
              </w:rPr>
            </w:pPr>
            <w:r w:rsidRPr="00D549EE">
              <w:rPr>
                <w:color w:val="000000" w:themeColor="text1"/>
                <w:lang w:val="en-US"/>
              </w:rPr>
              <w:t>Impact</w:t>
            </w:r>
          </w:p>
        </w:tc>
      </w:tr>
      <w:tr w:rsidR="00D549EE" w:rsidRPr="00D549EE" w14:paraId="57908DA6" w14:textId="77777777" w:rsidTr="00D549EE">
        <w:tc>
          <w:tcPr>
            <w:tcW w:w="1696" w:type="dxa"/>
          </w:tcPr>
          <w:p w14:paraId="1188F890" w14:textId="77777777" w:rsidR="00D549EE" w:rsidRPr="00D549EE" w:rsidRDefault="00D549EE" w:rsidP="00D549EE">
            <w:pPr>
              <w:jc w:val="center"/>
              <w:rPr>
                <w:color w:val="000000" w:themeColor="text1"/>
                <w:lang w:val="en-US"/>
              </w:rPr>
            </w:pPr>
            <w:r w:rsidRPr="00D549EE">
              <w:rPr>
                <w:color w:val="000000" w:themeColor="text1"/>
                <w:lang w:val="en-US"/>
              </w:rPr>
              <w:t>(8)</w:t>
            </w:r>
          </w:p>
          <w:p w14:paraId="4EB4555F" w14:textId="77777777" w:rsidR="00D549EE" w:rsidRPr="00D549EE" w:rsidRDefault="00D549EE" w:rsidP="00D549EE">
            <w:pPr>
              <w:rPr>
                <w:color w:val="000000" w:themeColor="text1"/>
                <w:lang w:val="en-US"/>
              </w:rPr>
            </w:pPr>
            <w:r w:rsidRPr="00D549EE">
              <w:rPr>
                <w:color w:val="000000" w:themeColor="text1"/>
                <w:lang w:val="en-US"/>
              </w:rPr>
              <w:t>Staff turnover</w:t>
            </w:r>
          </w:p>
        </w:tc>
        <w:tc>
          <w:tcPr>
            <w:tcW w:w="4678" w:type="dxa"/>
          </w:tcPr>
          <w:p w14:paraId="773C0C07" w14:textId="77777777" w:rsidR="00D549EE" w:rsidRPr="00D549EE" w:rsidRDefault="00D549EE" w:rsidP="00D549EE">
            <w:pPr>
              <w:rPr>
                <w:color w:val="000000" w:themeColor="text1"/>
                <w:lang w:val="en-US"/>
              </w:rPr>
            </w:pPr>
            <w:r w:rsidRPr="00D549EE">
              <w:rPr>
                <w:color w:val="000000" w:themeColor="text1"/>
                <w:lang w:val="en-US"/>
              </w:rPr>
              <w:t>Frequent changes of employees could also affect company’s performance. Since we suppose that there will be no more than two salespersons during the first years. We believe that in retail business, especially in small companies, salesperson job position is less likely to be frequently changed. Staff turnover risk could arise if there is an implementing of inappropriate management or personal antipathy to management. Salesperson position in our case is one of the crucial roles in organization, since he/she deals with customers. Customer could dislike new salespersons.</w:t>
            </w:r>
          </w:p>
        </w:tc>
        <w:tc>
          <w:tcPr>
            <w:tcW w:w="1559" w:type="dxa"/>
          </w:tcPr>
          <w:p w14:paraId="55A665AC" w14:textId="77777777" w:rsidR="00D549EE" w:rsidRPr="00D549EE" w:rsidRDefault="00D549EE" w:rsidP="00D549EE">
            <w:pPr>
              <w:jc w:val="center"/>
              <w:rPr>
                <w:color w:val="000000" w:themeColor="text1"/>
                <w:lang w:val="en-US"/>
              </w:rPr>
            </w:pPr>
            <w:r w:rsidRPr="00D549EE">
              <w:rPr>
                <w:color w:val="000000" w:themeColor="text1"/>
                <w:lang w:val="en-US"/>
              </w:rPr>
              <w:t>Medium-low</w:t>
            </w:r>
          </w:p>
          <w:p w14:paraId="6B975E82" w14:textId="77777777" w:rsidR="00D549EE" w:rsidRPr="00D549EE" w:rsidRDefault="00D549EE" w:rsidP="00D549EE">
            <w:pPr>
              <w:jc w:val="center"/>
              <w:rPr>
                <w:color w:val="000000" w:themeColor="text1"/>
                <w:lang w:val="en-US"/>
              </w:rPr>
            </w:pPr>
            <w:r w:rsidRPr="00D549EE">
              <w:rPr>
                <w:color w:val="000000" w:themeColor="text1"/>
                <w:lang w:val="en-US"/>
              </w:rPr>
              <w:t>(7-9):  7</w:t>
            </w:r>
          </w:p>
        </w:tc>
        <w:tc>
          <w:tcPr>
            <w:tcW w:w="1560" w:type="dxa"/>
          </w:tcPr>
          <w:p w14:paraId="29119811" w14:textId="77777777" w:rsidR="00D549EE" w:rsidRPr="00D549EE" w:rsidRDefault="00D549EE" w:rsidP="00D549EE">
            <w:pPr>
              <w:jc w:val="center"/>
              <w:rPr>
                <w:color w:val="000000" w:themeColor="text1"/>
                <w:lang w:val="en-US"/>
              </w:rPr>
            </w:pPr>
            <w:r w:rsidRPr="00D549EE">
              <w:rPr>
                <w:color w:val="000000" w:themeColor="text1"/>
                <w:lang w:val="en-US"/>
              </w:rPr>
              <w:t>High</w:t>
            </w:r>
          </w:p>
          <w:p w14:paraId="23037AF3" w14:textId="77777777" w:rsidR="00D549EE" w:rsidRPr="00D549EE" w:rsidRDefault="00D549EE" w:rsidP="00D549EE">
            <w:pPr>
              <w:jc w:val="center"/>
              <w:rPr>
                <w:color w:val="000000" w:themeColor="text1"/>
                <w:lang w:val="en-US"/>
              </w:rPr>
            </w:pPr>
            <w:r w:rsidRPr="00D549EE">
              <w:rPr>
                <w:color w:val="000000" w:themeColor="text1"/>
                <w:lang w:val="en-US"/>
              </w:rPr>
              <w:t>(16-18):18</w:t>
            </w:r>
          </w:p>
        </w:tc>
      </w:tr>
      <w:tr w:rsidR="00D549EE" w:rsidRPr="00D549EE" w14:paraId="62374B6D" w14:textId="77777777" w:rsidTr="00D549EE">
        <w:tc>
          <w:tcPr>
            <w:tcW w:w="1696" w:type="dxa"/>
          </w:tcPr>
          <w:p w14:paraId="5F96FD2F" w14:textId="77777777" w:rsidR="00D549EE" w:rsidRPr="00D549EE" w:rsidRDefault="00D549EE" w:rsidP="00D549EE">
            <w:pPr>
              <w:jc w:val="center"/>
              <w:rPr>
                <w:color w:val="000000" w:themeColor="text1"/>
                <w:lang w:val="en-US"/>
              </w:rPr>
            </w:pPr>
            <w:r w:rsidRPr="00D549EE">
              <w:rPr>
                <w:color w:val="000000" w:themeColor="text1"/>
                <w:lang w:val="en-US"/>
              </w:rPr>
              <w:t>(9)</w:t>
            </w:r>
          </w:p>
          <w:p w14:paraId="3E7BD2C9" w14:textId="77777777" w:rsidR="00D549EE" w:rsidRPr="00D549EE" w:rsidRDefault="00D549EE" w:rsidP="00D549EE">
            <w:pPr>
              <w:rPr>
                <w:color w:val="000000" w:themeColor="text1"/>
                <w:lang w:val="en-US"/>
              </w:rPr>
            </w:pPr>
            <w:r w:rsidRPr="00D549EE">
              <w:rPr>
                <w:color w:val="000000" w:themeColor="text1"/>
                <w:lang w:val="en-US"/>
              </w:rPr>
              <w:t>Damage and spoilage of products</w:t>
            </w:r>
          </w:p>
        </w:tc>
        <w:tc>
          <w:tcPr>
            <w:tcW w:w="4678" w:type="dxa"/>
          </w:tcPr>
          <w:p w14:paraId="2F523346" w14:textId="77777777" w:rsidR="00D549EE" w:rsidRPr="00D549EE" w:rsidRDefault="00D549EE" w:rsidP="00D549EE">
            <w:pPr>
              <w:rPr>
                <w:color w:val="000000" w:themeColor="text1"/>
                <w:lang w:val="en-US"/>
              </w:rPr>
            </w:pPr>
            <w:r w:rsidRPr="00D549EE">
              <w:rPr>
                <w:color w:val="000000" w:themeColor="text1"/>
                <w:lang w:val="en-US"/>
              </w:rPr>
              <w:t xml:space="preserve">The social market goods for sale are long-term storage products that are not subject to spoilage after a certain period of time, we suppose, that the damage risks are low and impact is lowest.   </w:t>
            </w:r>
          </w:p>
        </w:tc>
        <w:tc>
          <w:tcPr>
            <w:tcW w:w="1559" w:type="dxa"/>
          </w:tcPr>
          <w:p w14:paraId="7F85DE7D" w14:textId="77777777" w:rsidR="00D549EE" w:rsidRPr="00D549EE" w:rsidRDefault="00D549EE" w:rsidP="00D549EE">
            <w:pPr>
              <w:jc w:val="center"/>
              <w:rPr>
                <w:color w:val="000000" w:themeColor="text1"/>
                <w:lang w:val="en-US"/>
              </w:rPr>
            </w:pPr>
            <w:r w:rsidRPr="00D549EE">
              <w:rPr>
                <w:color w:val="000000" w:themeColor="text1"/>
                <w:lang w:val="en-US"/>
              </w:rPr>
              <w:t>Low (4-6): 5</w:t>
            </w:r>
          </w:p>
        </w:tc>
        <w:tc>
          <w:tcPr>
            <w:tcW w:w="1560" w:type="dxa"/>
          </w:tcPr>
          <w:p w14:paraId="4DB56E5A" w14:textId="77777777" w:rsidR="00D549EE" w:rsidRPr="00D549EE" w:rsidRDefault="00D549EE" w:rsidP="00D549EE">
            <w:pPr>
              <w:jc w:val="center"/>
              <w:rPr>
                <w:color w:val="000000" w:themeColor="text1"/>
                <w:lang w:val="en-US"/>
              </w:rPr>
            </w:pPr>
            <w:r w:rsidRPr="00D549EE">
              <w:rPr>
                <w:color w:val="000000" w:themeColor="text1"/>
                <w:lang w:val="en-US"/>
              </w:rPr>
              <w:t>Lowest</w:t>
            </w:r>
          </w:p>
          <w:p w14:paraId="44573FCC" w14:textId="77777777" w:rsidR="00D549EE" w:rsidRPr="00D549EE" w:rsidRDefault="00D549EE" w:rsidP="00D549EE">
            <w:pPr>
              <w:jc w:val="center"/>
              <w:rPr>
                <w:color w:val="000000" w:themeColor="text1"/>
                <w:lang w:val="en-US"/>
              </w:rPr>
            </w:pPr>
            <w:r w:rsidRPr="00D549EE">
              <w:rPr>
                <w:color w:val="000000" w:themeColor="text1"/>
                <w:lang w:val="en-US"/>
              </w:rPr>
              <w:t xml:space="preserve">(1:3): 2 </w:t>
            </w:r>
          </w:p>
        </w:tc>
      </w:tr>
      <w:tr w:rsidR="00D549EE" w:rsidRPr="00D549EE" w14:paraId="42F03274" w14:textId="77777777" w:rsidTr="00D549EE">
        <w:tc>
          <w:tcPr>
            <w:tcW w:w="1696" w:type="dxa"/>
          </w:tcPr>
          <w:p w14:paraId="7E557806" w14:textId="77777777" w:rsidR="00D549EE" w:rsidRPr="00D549EE" w:rsidRDefault="00D549EE" w:rsidP="00D549EE">
            <w:pPr>
              <w:jc w:val="center"/>
              <w:rPr>
                <w:color w:val="000000" w:themeColor="text1"/>
                <w:lang w:val="en-US"/>
              </w:rPr>
            </w:pPr>
            <w:r w:rsidRPr="00D549EE">
              <w:rPr>
                <w:color w:val="000000" w:themeColor="text1"/>
                <w:lang w:val="en-US"/>
              </w:rPr>
              <w:t>(10)</w:t>
            </w:r>
          </w:p>
          <w:p w14:paraId="2FEA7FCF" w14:textId="77777777" w:rsidR="00D549EE" w:rsidRPr="00D549EE" w:rsidRDefault="00D549EE" w:rsidP="00D549EE">
            <w:pPr>
              <w:rPr>
                <w:color w:val="000000" w:themeColor="text1"/>
                <w:lang w:val="en-US"/>
              </w:rPr>
            </w:pPr>
            <w:r w:rsidRPr="00D549EE">
              <w:rPr>
                <w:color w:val="000000" w:themeColor="text1"/>
                <w:lang w:val="en-US"/>
              </w:rPr>
              <w:t>Fraud risks</w:t>
            </w:r>
          </w:p>
        </w:tc>
        <w:tc>
          <w:tcPr>
            <w:tcW w:w="4678" w:type="dxa"/>
          </w:tcPr>
          <w:p w14:paraId="5235E4F7" w14:textId="77777777" w:rsidR="00D549EE" w:rsidRPr="00D549EE" w:rsidRDefault="00D549EE" w:rsidP="00D549EE">
            <w:pPr>
              <w:rPr>
                <w:color w:val="000000" w:themeColor="text1"/>
                <w:lang w:val="en-US"/>
              </w:rPr>
            </w:pPr>
            <w:r w:rsidRPr="00D549EE">
              <w:rPr>
                <w:color w:val="000000" w:themeColor="text1"/>
                <w:lang w:val="en-US"/>
              </w:rPr>
              <w:t xml:space="preserve">Internal fraud risk could arise in every company, especially in a large corporation. We think that there is a low risk of internal fraud actions in our company. Moreover, we suppose that if fraud were occurred, it would be related to financial activities. We have already discussed that outsourcing accounting is more appropriate and beneficial for us, and it should also reduce risk of frauds since they will take responsibilities of accounting. </w:t>
            </w:r>
          </w:p>
        </w:tc>
        <w:tc>
          <w:tcPr>
            <w:tcW w:w="1559" w:type="dxa"/>
          </w:tcPr>
          <w:p w14:paraId="789DBD7B" w14:textId="77777777" w:rsidR="00D549EE" w:rsidRPr="00D549EE" w:rsidRDefault="00D549EE" w:rsidP="00D549EE">
            <w:pPr>
              <w:jc w:val="center"/>
              <w:rPr>
                <w:color w:val="000000" w:themeColor="text1"/>
                <w:lang w:val="en-US"/>
              </w:rPr>
            </w:pPr>
            <w:r w:rsidRPr="00D549EE">
              <w:rPr>
                <w:color w:val="000000" w:themeColor="text1"/>
                <w:lang w:val="en-US"/>
              </w:rPr>
              <w:t>Low</w:t>
            </w:r>
          </w:p>
          <w:p w14:paraId="567B0B26" w14:textId="77777777" w:rsidR="00D549EE" w:rsidRPr="00D549EE" w:rsidRDefault="00D549EE" w:rsidP="00D549EE">
            <w:pPr>
              <w:jc w:val="center"/>
              <w:rPr>
                <w:color w:val="000000" w:themeColor="text1"/>
                <w:lang w:val="en-US"/>
              </w:rPr>
            </w:pPr>
            <w:r w:rsidRPr="00D549EE">
              <w:rPr>
                <w:color w:val="000000" w:themeColor="text1"/>
                <w:lang w:val="en-US"/>
              </w:rPr>
              <w:t>(4-6): 4</w:t>
            </w:r>
          </w:p>
        </w:tc>
        <w:tc>
          <w:tcPr>
            <w:tcW w:w="1560" w:type="dxa"/>
          </w:tcPr>
          <w:p w14:paraId="49678732" w14:textId="77777777" w:rsidR="00D549EE" w:rsidRPr="00D549EE" w:rsidRDefault="00D549EE" w:rsidP="00D549EE">
            <w:pPr>
              <w:jc w:val="center"/>
              <w:rPr>
                <w:color w:val="000000" w:themeColor="text1"/>
                <w:lang w:val="en-US"/>
              </w:rPr>
            </w:pPr>
            <w:r w:rsidRPr="00D549EE">
              <w:rPr>
                <w:color w:val="000000" w:themeColor="text1"/>
                <w:lang w:val="en-US"/>
              </w:rPr>
              <w:t>Medium-high</w:t>
            </w:r>
          </w:p>
          <w:p w14:paraId="23BA7390" w14:textId="77777777" w:rsidR="00D549EE" w:rsidRPr="00D549EE" w:rsidRDefault="00D549EE" w:rsidP="00D549EE">
            <w:pPr>
              <w:jc w:val="center"/>
              <w:rPr>
                <w:color w:val="000000" w:themeColor="text1"/>
                <w:lang w:val="en-US"/>
              </w:rPr>
            </w:pPr>
            <w:r w:rsidRPr="00D549EE">
              <w:rPr>
                <w:color w:val="000000" w:themeColor="text1"/>
                <w:lang w:val="en-US"/>
              </w:rPr>
              <w:t>(13-15): 13</w:t>
            </w:r>
          </w:p>
        </w:tc>
      </w:tr>
      <w:tr w:rsidR="00D549EE" w:rsidRPr="00D549EE" w14:paraId="7DC0196E" w14:textId="77777777" w:rsidTr="00D549EE">
        <w:tc>
          <w:tcPr>
            <w:tcW w:w="1696" w:type="dxa"/>
          </w:tcPr>
          <w:p w14:paraId="13CC6F80" w14:textId="77777777" w:rsidR="00D549EE" w:rsidRPr="00D549EE" w:rsidRDefault="00D549EE" w:rsidP="00D549EE">
            <w:pPr>
              <w:jc w:val="center"/>
              <w:rPr>
                <w:color w:val="000000" w:themeColor="text1"/>
                <w:lang w:val="en-US"/>
              </w:rPr>
            </w:pPr>
            <w:r w:rsidRPr="00D549EE">
              <w:rPr>
                <w:color w:val="000000" w:themeColor="text1"/>
                <w:lang w:val="en-US"/>
              </w:rPr>
              <w:t>(11)</w:t>
            </w:r>
          </w:p>
          <w:p w14:paraId="24DE2F6F" w14:textId="77777777" w:rsidR="00D549EE" w:rsidRPr="00D549EE" w:rsidRDefault="00D549EE" w:rsidP="00D549EE">
            <w:pPr>
              <w:rPr>
                <w:color w:val="000000" w:themeColor="text1"/>
                <w:lang w:val="en-US"/>
              </w:rPr>
            </w:pPr>
            <w:r w:rsidRPr="00D549EE">
              <w:rPr>
                <w:color w:val="000000" w:themeColor="text1"/>
                <w:lang w:val="en-US"/>
              </w:rPr>
              <w:t>Unexpected disasters</w:t>
            </w:r>
          </w:p>
        </w:tc>
        <w:tc>
          <w:tcPr>
            <w:tcW w:w="4678" w:type="dxa"/>
          </w:tcPr>
          <w:p w14:paraId="7ACE760F" w14:textId="77777777" w:rsidR="00D549EE" w:rsidRPr="00D549EE" w:rsidRDefault="00D549EE" w:rsidP="00D549EE">
            <w:pPr>
              <w:rPr>
                <w:color w:val="000000" w:themeColor="text1"/>
                <w:lang w:val="en-US"/>
              </w:rPr>
            </w:pPr>
            <w:r w:rsidRPr="00D549EE">
              <w:rPr>
                <w:color w:val="000000" w:themeColor="text1"/>
                <w:lang w:val="en-US"/>
              </w:rPr>
              <w:t>It could arise in every company, it is not under our control, but we can reduce it to lowest probability of occurrence. Fire-fighting equipment and all necessary stuff for safety providing was included in initial purchases.</w:t>
            </w:r>
          </w:p>
        </w:tc>
        <w:tc>
          <w:tcPr>
            <w:tcW w:w="1559" w:type="dxa"/>
          </w:tcPr>
          <w:p w14:paraId="5D941B41" w14:textId="77777777" w:rsidR="00D549EE" w:rsidRPr="00D549EE" w:rsidRDefault="00D549EE" w:rsidP="00D549EE">
            <w:pPr>
              <w:jc w:val="center"/>
              <w:rPr>
                <w:color w:val="000000" w:themeColor="text1"/>
                <w:lang w:val="en-US"/>
              </w:rPr>
            </w:pPr>
            <w:r w:rsidRPr="00D549EE">
              <w:rPr>
                <w:color w:val="000000" w:themeColor="text1"/>
                <w:lang w:val="en-US"/>
              </w:rPr>
              <w:t>Lowest</w:t>
            </w:r>
          </w:p>
          <w:p w14:paraId="15E6658E" w14:textId="77777777" w:rsidR="00D549EE" w:rsidRPr="00D549EE" w:rsidRDefault="00D549EE" w:rsidP="00D549EE">
            <w:pPr>
              <w:jc w:val="center"/>
              <w:rPr>
                <w:color w:val="000000" w:themeColor="text1"/>
                <w:lang w:val="en-US"/>
              </w:rPr>
            </w:pPr>
            <w:r w:rsidRPr="00D549EE">
              <w:rPr>
                <w:color w:val="000000" w:themeColor="text1"/>
                <w:lang w:val="en-US"/>
              </w:rPr>
              <w:t>(1-3): 2</w:t>
            </w:r>
          </w:p>
        </w:tc>
        <w:tc>
          <w:tcPr>
            <w:tcW w:w="1560" w:type="dxa"/>
          </w:tcPr>
          <w:p w14:paraId="42D2C35D" w14:textId="77777777" w:rsidR="00D549EE" w:rsidRPr="00D549EE" w:rsidRDefault="00D549EE" w:rsidP="00D549EE">
            <w:pPr>
              <w:jc w:val="center"/>
              <w:rPr>
                <w:color w:val="000000" w:themeColor="text1"/>
                <w:lang w:val="en-US"/>
              </w:rPr>
            </w:pPr>
            <w:r w:rsidRPr="00D549EE">
              <w:rPr>
                <w:color w:val="000000" w:themeColor="text1"/>
                <w:lang w:val="en-US"/>
              </w:rPr>
              <w:t>High</w:t>
            </w:r>
          </w:p>
          <w:p w14:paraId="2A9DAB44" w14:textId="77777777" w:rsidR="00D549EE" w:rsidRPr="00D549EE" w:rsidRDefault="00D549EE" w:rsidP="00D549EE">
            <w:pPr>
              <w:jc w:val="center"/>
              <w:rPr>
                <w:color w:val="000000" w:themeColor="text1"/>
                <w:lang w:val="en-US"/>
              </w:rPr>
            </w:pPr>
            <w:r w:rsidRPr="00D549EE">
              <w:rPr>
                <w:color w:val="000000" w:themeColor="text1"/>
                <w:lang w:val="en-US"/>
              </w:rPr>
              <w:t>(16-18): 17</w:t>
            </w:r>
          </w:p>
        </w:tc>
      </w:tr>
    </w:tbl>
    <w:p w14:paraId="4D9C86F9" w14:textId="77777777" w:rsidR="00D549EE" w:rsidRPr="00D549EE" w:rsidRDefault="00D549EE" w:rsidP="00D549EE">
      <w:pPr>
        <w:rPr>
          <w:color w:val="000000" w:themeColor="text1"/>
        </w:rPr>
      </w:pPr>
    </w:p>
    <w:p w14:paraId="08F2DB99" w14:textId="1B6146BC" w:rsidR="00D549EE" w:rsidRPr="00D549EE" w:rsidRDefault="00D549EE" w:rsidP="00D549EE">
      <w:pPr>
        <w:rPr>
          <w:color w:val="000000" w:themeColor="text1"/>
          <w:lang w:val="en-US"/>
        </w:rPr>
      </w:pPr>
      <w:r w:rsidRPr="00D549EE">
        <w:rPr>
          <w:color w:val="000000" w:themeColor="text1"/>
          <w:lang w:val="en-US"/>
        </w:rPr>
        <w:t>Table 10</w:t>
      </w:r>
      <w:r>
        <w:rPr>
          <w:color w:val="000000" w:themeColor="text1"/>
          <w:lang w:val="en-US"/>
        </w:rPr>
        <w:t xml:space="preserve"> -</w:t>
      </w:r>
      <w:r w:rsidRPr="00D549EE">
        <w:rPr>
          <w:color w:val="000000" w:themeColor="text1"/>
          <w:lang w:val="en-US"/>
        </w:rPr>
        <w:t xml:space="preserve"> </w:t>
      </w:r>
      <w:r w:rsidRPr="00D549EE">
        <w:rPr>
          <w:color w:val="000000" w:themeColor="text1"/>
        </w:rPr>
        <w:t>Competitive risks</w:t>
      </w:r>
    </w:p>
    <w:p w14:paraId="67DF2797" w14:textId="77777777" w:rsidR="00D549EE" w:rsidRPr="00D549EE" w:rsidRDefault="00D549EE" w:rsidP="00D549EE">
      <w:pPr>
        <w:rPr>
          <w:color w:val="000000" w:themeColor="text1"/>
        </w:rPr>
      </w:pPr>
      <w:r w:rsidRPr="00D549EE">
        <w:rPr>
          <w:color w:val="000000" w:themeColor="text1"/>
        </w:rPr>
        <w:t xml:space="preserve"> </w:t>
      </w:r>
    </w:p>
    <w:tbl>
      <w:tblPr>
        <w:tblStyle w:val="a9"/>
        <w:tblW w:w="9634" w:type="dxa"/>
        <w:tblLook w:val="04A0" w:firstRow="1" w:lastRow="0" w:firstColumn="1" w:lastColumn="0" w:noHBand="0" w:noVBand="1"/>
      </w:tblPr>
      <w:tblGrid>
        <w:gridCol w:w="1790"/>
        <w:gridCol w:w="4605"/>
        <w:gridCol w:w="1552"/>
        <w:gridCol w:w="1687"/>
      </w:tblGrid>
      <w:tr w:rsidR="00D549EE" w:rsidRPr="00D549EE" w14:paraId="7254EE76" w14:textId="77777777" w:rsidTr="00D549EE">
        <w:tc>
          <w:tcPr>
            <w:tcW w:w="1696" w:type="dxa"/>
          </w:tcPr>
          <w:p w14:paraId="76FEAFBB" w14:textId="77777777" w:rsidR="00D549EE" w:rsidRPr="00D549EE" w:rsidRDefault="00D549EE" w:rsidP="00D549EE">
            <w:pPr>
              <w:rPr>
                <w:color w:val="000000" w:themeColor="text1"/>
                <w:lang w:val="en-US"/>
              </w:rPr>
            </w:pPr>
            <w:r w:rsidRPr="00D549EE">
              <w:rPr>
                <w:color w:val="000000" w:themeColor="text1"/>
                <w:lang w:val="en-US"/>
              </w:rPr>
              <w:t>Category</w:t>
            </w:r>
          </w:p>
        </w:tc>
        <w:tc>
          <w:tcPr>
            <w:tcW w:w="4678" w:type="dxa"/>
          </w:tcPr>
          <w:p w14:paraId="23A89E02" w14:textId="77777777" w:rsidR="00D549EE" w:rsidRPr="00D549EE" w:rsidRDefault="00D549EE" w:rsidP="00D549EE">
            <w:pPr>
              <w:rPr>
                <w:color w:val="000000" w:themeColor="text1"/>
                <w:lang w:val="en-US"/>
              </w:rPr>
            </w:pPr>
            <w:r w:rsidRPr="00D549EE">
              <w:rPr>
                <w:color w:val="000000" w:themeColor="text1"/>
                <w:lang w:val="en-US"/>
              </w:rPr>
              <w:t>Nature and reasons</w:t>
            </w:r>
          </w:p>
        </w:tc>
        <w:tc>
          <w:tcPr>
            <w:tcW w:w="1559" w:type="dxa"/>
          </w:tcPr>
          <w:p w14:paraId="16C27CFC" w14:textId="77777777" w:rsidR="00D549EE" w:rsidRPr="00D549EE" w:rsidRDefault="00D549EE" w:rsidP="00D549EE">
            <w:pPr>
              <w:rPr>
                <w:color w:val="000000" w:themeColor="text1"/>
                <w:lang w:val="en-US"/>
              </w:rPr>
            </w:pPr>
            <w:r w:rsidRPr="00D549EE">
              <w:rPr>
                <w:color w:val="000000" w:themeColor="text1"/>
                <w:lang w:val="en-US"/>
              </w:rPr>
              <w:t>Likelihood</w:t>
            </w:r>
          </w:p>
        </w:tc>
        <w:tc>
          <w:tcPr>
            <w:tcW w:w="1701" w:type="dxa"/>
          </w:tcPr>
          <w:p w14:paraId="3E41833F" w14:textId="77777777" w:rsidR="00D549EE" w:rsidRPr="00D549EE" w:rsidRDefault="00D549EE" w:rsidP="00D549EE">
            <w:pPr>
              <w:rPr>
                <w:color w:val="000000" w:themeColor="text1"/>
                <w:lang w:val="en-US"/>
              </w:rPr>
            </w:pPr>
            <w:r w:rsidRPr="00D549EE">
              <w:rPr>
                <w:color w:val="000000" w:themeColor="text1"/>
                <w:lang w:val="en-US"/>
              </w:rPr>
              <w:t>Impact</w:t>
            </w:r>
          </w:p>
        </w:tc>
      </w:tr>
      <w:tr w:rsidR="00D549EE" w:rsidRPr="00D549EE" w14:paraId="213C4409" w14:textId="77777777" w:rsidTr="00D549EE">
        <w:tc>
          <w:tcPr>
            <w:tcW w:w="1696" w:type="dxa"/>
          </w:tcPr>
          <w:p w14:paraId="3F4D1842" w14:textId="77777777" w:rsidR="00D549EE" w:rsidRPr="00D549EE" w:rsidRDefault="00D549EE" w:rsidP="00D549EE">
            <w:pPr>
              <w:jc w:val="center"/>
              <w:rPr>
                <w:color w:val="000000" w:themeColor="text1"/>
                <w:lang w:val="en-US"/>
              </w:rPr>
            </w:pPr>
            <w:r w:rsidRPr="00D549EE">
              <w:rPr>
                <w:color w:val="000000" w:themeColor="text1"/>
                <w:lang w:val="en-US"/>
              </w:rPr>
              <w:t>(12)</w:t>
            </w:r>
          </w:p>
          <w:p w14:paraId="0BA86B54" w14:textId="77777777" w:rsidR="00D549EE" w:rsidRPr="00D549EE" w:rsidRDefault="00D549EE" w:rsidP="00D549EE">
            <w:pPr>
              <w:rPr>
                <w:color w:val="000000" w:themeColor="text1"/>
                <w:lang w:val="en-US"/>
              </w:rPr>
            </w:pPr>
            <w:r w:rsidRPr="00D549EE">
              <w:rPr>
                <w:color w:val="000000" w:themeColor="text1"/>
                <w:lang w:val="en-US"/>
              </w:rPr>
              <w:t>New entrants</w:t>
            </w:r>
          </w:p>
        </w:tc>
        <w:tc>
          <w:tcPr>
            <w:tcW w:w="4678" w:type="dxa"/>
          </w:tcPr>
          <w:p w14:paraId="572A36B4" w14:textId="77777777" w:rsidR="00D549EE" w:rsidRPr="00D549EE" w:rsidRDefault="00D549EE" w:rsidP="00D549EE">
            <w:pPr>
              <w:rPr>
                <w:color w:val="000000" w:themeColor="text1"/>
                <w:lang w:val="en-US"/>
              </w:rPr>
            </w:pPr>
            <w:r w:rsidRPr="00D549EE">
              <w:rPr>
                <w:color w:val="000000" w:themeColor="text1"/>
                <w:lang w:val="en-US"/>
              </w:rPr>
              <w:t>Increasing in number of new entrants could slowly lead to decrease in market price, since newbies would suggest lowest price in their initial period, and this initial period may become permanent.</w:t>
            </w:r>
          </w:p>
        </w:tc>
        <w:tc>
          <w:tcPr>
            <w:tcW w:w="1559" w:type="dxa"/>
          </w:tcPr>
          <w:p w14:paraId="09817248" w14:textId="77777777" w:rsidR="00D549EE" w:rsidRPr="00D549EE" w:rsidRDefault="00D549EE" w:rsidP="00D549EE">
            <w:pPr>
              <w:jc w:val="center"/>
              <w:rPr>
                <w:color w:val="000000" w:themeColor="text1"/>
                <w:lang w:val="en-US"/>
              </w:rPr>
            </w:pPr>
            <w:r w:rsidRPr="00D549EE">
              <w:rPr>
                <w:color w:val="000000" w:themeColor="text1"/>
                <w:lang w:val="en-US"/>
              </w:rPr>
              <w:t>High</w:t>
            </w:r>
          </w:p>
          <w:p w14:paraId="4609F44B" w14:textId="77777777" w:rsidR="00D549EE" w:rsidRPr="00D549EE" w:rsidRDefault="00D549EE" w:rsidP="00D549EE">
            <w:pPr>
              <w:jc w:val="center"/>
              <w:rPr>
                <w:color w:val="000000" w:themeColor="text1"/>
                <w:lang w:val="en-US"/>
              </w:rPr>
            </w:pPr>
            <w:r w:rsidRPr="00D549EE">
              <w:rPr>
                <w:color w:val="000000" w:themeColor="text1"/>
                <w:lang w:val="en-US"/>
              </w:rPr>
              <w:t>(16-18): 16</w:t>
            </w:r>
          </w:p>
        </w:tc>
        <w:tc>
          <w:tcPr>
            <w:tcW w:w="1701" w:type="dxa"/>
          </w:tcPr>
          <w:p w14:paraId="06EDCDAC" w14:textId="77777777" w:rsidR="00D549EE" w:rsidRPr="00D549EE" w:rsidRDefault="00D549EE" w:rsidP="00D549EE">
            <w:pPr>
              <w:jc w:val="center"/>
              <w:rPr>
                <w:color w:val="000000" w:themeColor="text1"/>
                <w:lang w:val="en-US"/>
              </w:rPr>
            </w:pPr>
            <w:r w:rsidRPr="00D549EE">
              <w:rPr>
                <w:color w:val="000000" w:themeColor="text1"/>
                <w:lang w:val="en-US"/>
              </w:rPr>
              <w:t>Medium-high</w:t>
            </w:r>
          </w:p>
          <w:p w14:paraId="6BF7EC97" w14:textId="77777777" w:rsidR="00D549EE" w:rsidRPr="00D549EE" w:rsidRDefault="00D549EE" w:rsidP="00D549EE">
            <w:pPr>
              <w:jc w:val="center"/>
              <w:rPr>
                <w:color w:val="000000" w:themeColor="text1"/>
                <w:lang w:val="en-US"/>
              </w:rPr>
            </w:pPr>
            <w:r w:rsidRPr="00D549EE">
              <w:rPr>
                <w:color w:val="000000" w:themeColor="text1"/>
                <w:lang w:val="en-US"/>
              </w:rPr>
              <w:t>(13-15): 14</w:t>
            </w:r>
          </w:p>
        </w:tc>
      </w:tr>
      <w:tr w:rsidR="00D549EE" w:rsidRPr="00D549EE" w14:paraId="5EDF3932" w14:textId="77777777" w:rsidTr="00D549EE">
        <w:tc>
          <w:tcPr>
            <w:tcW w:w="1696" w:type="dxa"/>
          </w:tcPr>
          <w:p w14:paraId="200AC565" w14:textId="77777777" w:rsidR="00D549EE" w:rsidRPr="00D549EE" w:rsidRDefault="00D549EE" w:rsidP="00D549EE">
            <w:pPr>
              <w:jc w:val="center"/>
              <w:rPr>
                <w:color w:val="000000" w:themeColor="text1"/>
                <w:lang w:val="en-US"/>
              </w:rPr>
            </w:pPr>
            <w:r w:rsidRPr="00D549EE">
              <w:rPr>
                <w:color w:val="000000" w:themeColor="text1"/>
                <w:lang w:val="en-US"/>
              </w:rPr>
              <w:t>(13)</w:t>
            </w:r>
          </w:p>
          <w:p w14:paraId="5843690A" w14:textId="77777777" w:rsidR="00D549EE" w:rsidRPr="00D549EE" w:rsidRDefault="00D549EE" w:rsidP="00D549EE">
            <w:pPr>
              <w:jc w:val="center"/>
              <w:rPr>
                <w:color w:val="000000" w:themeColor="text1"/>
                <w:lang w:val="en-US"/>
              </w:rPr>
            </w:pPr>
            <w:r w:rsidRPr="00D549EE">
              <w:rPr>
                <w:color w:val="000000" w:themeColor="text1"/>
                <w:lang w:val="en-US"/>
              </w:rPr>
              <w:t>Appropriateness of location</w:t>
            </w:r>
          </w:p>
        </w:tc>
        <w:tc>
          <w:tcPr>
            <w:tcW w:w="4678" w:type="dxa"/>
          </w:tcPr>
          <w:p w14:paraId="2D218B10" w14:textId="77777777" w:rsidR="00D549EE" w:rsidRPr="00D549EE" w:rsidRDefault="00D549EE" w:rsidP="00D549EE">
            <w:pPr>
              <w:rPr>
                <w:color w:val="000000" w:themeColor="text1"/>
                <w:lang w:val="en-US"/>
              </w:rPr>
            </w:pPr>
            <w:r w:rsidRPr="00D549EE">
              <w:rPr>
                <w:color w:val="000000" w:themeColor="text1"/>
                <w:lang w:val="en-US"/>
              </w:rPr>
              <w:t xml:space="preserve">Location for retail companies is one of the most important criteria, and there is always a chance that location would be not satisfactory for customers. The location of the social market is very good and in lively area of the city </w:t>
            </w:r>
          </w:p>
        </w:tc>
        <w:tc>
          <w:tcPr>
            <w:tcW w:w="1559" w:type="dxa"/>
          </w:tcPr>
          <w:p w14:paraId="7AE0A3E6" w14:textId="77777777" w:rsidR="00D549EE" w:rsidRPr="00D549EE" w:rsidRDefault="00D549EE" w:rsidP="00D549EE">
            <w:pPr>
              <w:jc w:val="center"/>
              <w:rPr>
                <w:color w:val="000000" w:themeColor="text1"/>
                <w:lang w:val="en-US"/>
              </w:rPr>
            </w:pPr>
            <w:r w:rsidRPr="00D549EE">
              <w:rPr>
                <w:color w:val="000000" w:themeColor="text1"/>
                <w:lang w:val="en-US"/>
              </w:rPr>
              <w:t>Medium-low</w:t>
            </w:r>
          </w:p>
          <w:p w14:paraId="16FCAC83" w14:textId="77777777" w:rsidR="00D549EE" w:rsidRPr="00D549EE" w:rsidRDefault="00D549EE" w:rsidP="00D549EE">
            <w:pPr>
              <w:jc w:val="center"/>
              <w:rPr>
                <w:color w:val="000000" w:themeColor="text1"/>
                <w:lang w:val="en-US"/>
              </w:rPr>
            </w:pPr>
            <w:r w:rsidRPr="00D549EE">
              <w:rPr>
                <w:color w:val="000000" w:themeColor="text1"/>
                <w:lang w:val="en-US"/>
              </w:rPr>
              <w:t>(7-9): 7</w:t>
            </w:r>
          </w:p>
        </w:tc>
        <w:tc>
          <w:tcPr>
            <w:tcW w:w="1701" w:type="dxa"/>
          </w:tcPr>
          <w:p w14:paraId="7672DE1A" w14:textId="77777777" w:rsidR="00D549EE" w:rsidRPr="00D549EE" w:rsidRDefault="00D549EE" w:rsidP="00D549EE">
            <w:pPr>
              <w:jc w:val="center"/>
              <w:rPr>
                <w:color w:val="000000" w:themeColor="text1"/>
                <w:lang w:val="en-US"/>
              </w:rPr>
            </w:pPr>
            <w:r w:rsidRPr="00D549EE">
              <w:rPr>
                <w:color w:val="000000" w:themeColor="text1"/>
                <w:lang w:val="en-US"/>
              </w:rPr>
              <w:t xml:space="preserve">Low </w:t>
            </w:r>
          </w:p>
          <w:p w14:paraId="2FBF7459" w14:textId="77777777" w:rsidR="00D549EE" w:rsidRPr="00D549EE" w:rsidRDefault="00D549EE" w:rsidP="00D549EE">
            <w:pPr>
              <w:jc w:val="center"/>
              <w:rPr>
                <w:color w:val="000000" w:themeColor="text1"/>
                <w:lang w:val="en-US"/>
              </w:rPr>
            </w:pPr>
            <w:r w:rsidRPr="00D549EE">
              <w:rPr>
                <w:color w:val="000000" w:themeColor="text1"/>
                <w:lang w:val="en-US"/>
              </w:rPr>
              <w:t>(4-6): 4</w:t>
            </w:r>
          </w:p>
        </w:tc>
      </w:tr>
      <w:tr w:rsidR="00D549EE" w:rsidRPr="00D549EE" w14:paraId="3F91DA62" w14:textId="77777777" w:rsidTr="00D549EE">
        <w:tc>
          <w:tcPr>
            <w:tcW w:w="1696" w:type="dxa"/>
          </w:tcPr>
          <w:p w14:paraId="34A21C37" w14:textId="77777777" w:rsidR="00D549EE" w:rsidRPr="00D549EE" w:rsidRDefault="00D549EE" w:rsidP="00D549EE">
            <w:pPr>
              <w:jc w:val="center"/>
              <w:rPr>
                <w:color w:val="000000" w:themeColor="text1"/>
                <w:lang w:val="en-US"/>
              </w:rPr>
            </w:pPr>
            <w:r w:rsidRPr="00D549EE">
              <w:rPr>
                <w:color w:val="000000" w:themeColor="text1"/>
                <w:lang w:val="en-US"/>
              </w:rPr>
              <w:t>(14)</w:t>
            </w:r>
          </w:p>
          <w:p w14:paraId="4A2136C8" w14:textId="77777777" w:rsidR="00D549EE" w:rsidRPr="00D549EE" w:rsidRDefault="00D549EE" w:rsidP="00D549EE">
            <w:pPr>
              <w:jc w:val="center"/>
              <w:rPr>
                <w:color w:val="000000" w:themeColor="text1"/>
                <w:lang w:val="en-US"/>
              </w:rPr>
            </w:pPr>
            <w:r w:rsidRPr="00D549EE">
              <w:rPr>
                <w:color w:val="000000" w:themeColor="text1"/>
                <w:lang w:val="en-US"/>
              </w:rPr>
              <w:t>Aggressive marketing and promotion</w:t>
            </w:r>
          </w:p>
        </w:tc>
        <w:tc>
          <w:tcPr>
            <w:tcW w:w="4678" w:type="dxa"/>
          </w:tcPr>
          <w:p w14:paraId="773F7776" w14:textId="77777777" w:rsidR="00D549EE" w:rsidRPr="00D549EE" w:rsidRDefault="00D549EE" w:rsidP="00D549EE">
            <w:pPr>
              <w:rPr>
                <w:color w:val="000000" w:themeColor="text1"/>
                <w:lang w:val="en-US"/>
              </w:rPr>
            </w:pPr>
            <w:r w:rsidRPr="00D549EE">
              <w:rPr>
                <w:color w:val="000000" w:themeColor="text1"/>
                <w:lang w:val="en-US"/>
              </w:rPr>
              <w:t>Marketing under a perfect competition is supposed to be the most effective</w:t>
            </w:r>
            <w:r w:rsidRPr="00D549EE">
              <w:rPr>
                <w:color w:val="000000" w:themeColor="text1"/>
                <w:lang w:val="kk-KZ"/>
              </w:rPr>
              <w:t xml:space="preserve"> </w:t>
            </w:r>
            <w:r w:rsidRPr="00D549EE">
              <w:rPr>
                <w:color w:val="000000" w:themeColor="text1"/>
                <w:lang w:val="en-US"/>
              </w:rPr>
              <w:t>tool to reach the goals. If competitors would apply aggressive marketing, it will definitely affect our company’s performance.</w:t>
            </w:r>
          </w:p>
        </w:tc>
        <w:tc>
          <w:tcPr>
            <w:tcW w:w="1559" w:type="dxa"/>
          </w:tcPr>
          <w:p w14:paraId="58D6DDC8" w14:textId="77777777" w:rsidR="00D549EE" w:rsidRPr="00D549EE" w:rsidRDefault="00D549EE" w:rsidP="00D549EE">
            <w:pPr>
              <w:jc w:val="center"/>
              <w:rPr>
                <w:color w:val="000000" w:themeColor="text1"/>
                <w:lang w:val="en-US"/>
              </w:rPr>
            </w:pPr>
            <w:r w:rsidRPr="00D549EE">
              <w:rPr>
                <w:color w:val="000000" w:themeColor="text1"/>
                <w:lang w:val="en-US"/>
              </w:rPr>
              <w:t>Medium-high</w:t>
            </w:r>
          </w:p>
          <w:p w14:paraId="46071B7F" w14:textId="77777777" w:rsidR="00D549EE" w:rsidRPr="00D549EE" w:rsidRDefault="00D549EE" w:rsidP="00D549EE">
            <w:pPr>
              <w:jc w:val="center"/>
              <w:rPr>
                <w:color w:val="000000" w:themeColor="text1"/>
                <w:lang w:val="en-US"/>
              </w:rPr>
            </w:pPr>
            <w:r w:rsidRPr="00D549EE">
              <w:rPr>
                <w:color w:val="000000" w:themeColor="text1"/>
                <w:lang w:val="en-US"/>
              </w:rPr>
              <w:t>(13-15): 13</w:t>
            </w:r>
          </w:p>
          <w:p w14:paraId="19B6A8D0" w14:textId="77777777" w:rsidR="00D549EE" w:rsidRPr="00D549EE" w:rsidRDefault="00D549EE" w:rsidP="00D549EE">
            <w:pPr>
              <w:jc w:val="center"/>
              <w:rPr>
                <w:color w:val="000000" w:themeColor="text1"/>
                <w:lang w:val="en-US"/>
              </w:rPr>
            </w:pPr>
          </w:p>
        </w:tc>
        <w:tc>
          <w:tcPr>
            <w:tcW w:w="1701" w:type="dxa"/>
          </w:tcPr>
          <w:p w14:paraId="0F76E698" w14:textId="77777777" w:rsidR="00D549EE" w:rsidRPr="00D549EE" w:rsidRDefault="00D549EE" w:rsidP="00D549EE">
            <w:pPr>
              <w:jc w:val="center"/>
              <w:rPr>
                <w:color w:val="000000" w:themeColor="text1"/>
                <w:lang w:val="en-US"/>
              </w:rPr>
            </w:pPr>
            <w:r w:rsidRPr="00D549EE">
              <w:rPr>
                <w:color w:val="000000" w:themeColor="text1"/>
                <w:lang w:val="en-US"/>
              </w:rPr>
              <w:t>Medium-high</w:t>
            </w:r>
          </w:p>
          <w:p w14:paraId="5F78FD14" w14:textId="77777777" w:rsidR="00D549EE" w:rsidRPr="00D549EE" w:rsidRDefault="00D549EE" w:rsidP="00D549EE">
            <w:pPr>
              <w:jc w:val="center"/>
              <w:rPr>
                <w:color w:val="000000" w:themeColor="text1"/>
                <w:lang w:val="en-US"/>
              </w:rPr>
            </w:pPr>
            <w:r w:rsidRPr="00D549EE">
              <w:rPr>
                <w:color w:val="000000" w:themeColor="text1"/>
                <w:lang w:val="en-US"/>
              </w:rPr>
              <w:t>(13-15): 15</w:t>
            </w:r>
          </w:p>
        </w:tc>
      </w:tr>
      <w:tr w:rsidR="00D549EE" w:rsidRPr="00D549EE" w14:paraId="6C2249B4" w14:textId="77777777" w:rsidTr="00D549EE">
        <w:tc>
          <w:tcPr>
            <w:tcW w:w="1696" w:type="dxa"/>
          </w:tcPr>
          <w:p w14:paraId="5973AD94" w14:textId="77777777" w:rsidR="00D549EE" w:rsidRPr="00D549EE" w:rsidRDefault="00D549EE" w:rsidP="00D549EE">
            <w:pPr>
              <w:jc w:val="center"/>
              <w:rPr>
                <w:color w:val="000000" w:themeColor="text1"/>
                <w:lang w:val="en-US"/>
              </w:rPr>
            </w:pPr>
            <w:r w:rsidRPr="00D549EE">
              <w:rPr>
                <w:color w:val="000000" w:themeColor="text1"/>
                <w:lang w:val="en-US"/>
              </w:rPr>
              <w:t>(15) Quality of services and products</w:t>
            </w:r>
          </w:p>
        </w:tc>
        <w:tc>
          <w:tcPr>
            <w:tcW w:w="4678" w:type="dxa"/>
          </w:tcPr>
          <w:p w14:paraId="45D6E7A6" w14:textId="77777777" w:rsidR="00D549EE" w:rsidRPr="00D549EE" w:rsidRDefault="00D549EE" w:rsidP="00D549EE">
            <w:pPr>
              <w:rPr>
                <w:color w:val="000000" w:themeColor="text1"/>
                <w:lang w:val="en-US"/>
              </w:rPr>
            </w:pPr>
            <w:r w:rsidRPr="00D549EE">
              <w:rPr>
                <w:color w:val="000000" w:themeColor="text1"/>
                <w:lang w:val="en-US"/>
              </w:rPr>
              <w:t xml:space="preserve">Quality of the product can be evaluated based on brand that you sell or technology and equipment that you use. Increasing of competitors’ quality of products could affect our business. </w:t>
            </w:r>
          </w:p>
        </w:tc>
        <w:tc>
          <w:tcPr>
            <w:tcW w:w="1559" w:type="dxa"/>
          </w:tcPr>
          <w:p w14:paraId="60819FD2" w14:textId="77777777" w:rsidR="00D549EE" w:rsidRPr="00D549EE" w:rsidRDefault="00D549EE" w:rsidP="00D549EE">
            <w:pPr>
              <w:jc w:val="center"/>
              <w:rPr>
                <w:color w:val="000000" w:themeColor="text1"/>
                <w:lang w:val="en-US"/>
              </w:rPr>
            </w:pPr>
            <w:r w:rsidRPr="00D549EE">
              <w:rPr>
                <w:color w:val="000000" w:themeColor="text1"/>
                <w:lang w:val="en-US"/>
              </w:rPr>
              <w:t>Medium</w:t>
            </w:r>
          </w:p>
          <w:p w14:paraId="67DD374B" w14:textId="77777777" w:rsidR="00D549EE" w:rsidRPr="00D549EE" w:rsidRDefault="00D549EE" w:rsidP="00D549EE">
            <w:pPr>
              <w:jc w:val="center"/>
              <w:rPr>
                <w:color w:val="000000" w:themeColor="text1"/>
                <w:lang w:val="en-US"/>
              </w:rPr>
            </w:pPr>
            <w:r w:rsidRPr="00D549EE">
              <w:rPr>
                <w:color w:val="000000" w:themeColor="text1"/>
                <w:lang w:val="en-US"/>
              </w:rPr>
              <w:t>(10-12): 10</w:t>
            </w:r>
          </w:p>
        </w:tc>
        <w:tc>
          <w:tcPr>
            <w:tcW w:w="1701" w:type="dxa"/>
          </w:tcPr>
          <w:p w14:paraId="2C9F29B0" w14:textId="77777777" w:rsidR="00D549EE" w:rsidRPr="00D549EE" w:rsidRDefault="00D549EE" w:rsidP="00D549EE">
            <w:pPr>
              <w:jc w:val="center"/>
              <w:rPr>
                <w:color w:val="000000" w:themeColor="text1"/>
                <w:lang w:val="en-US"/>
              </w:rPr>
            </w:pPr>
            <w:r w:rsidRPr="00D549EE">
              <w:rPr>
                <w:color w:val="000000" w:themeColor="text1"/>
                <w:lang w:val="en-US"/>
              </w:rPr>
              <w:t>Medium-high</w:t>
            </w:r>
          </w:p>
          <w:p w14:paraId="710F1EEC" w14:textId="77777777" w:rsidR="00D549EE" w:rsidRPr="00D549EE" w:rsidRDefault="00D549EE" w:rsidP="00D549EE">
            <w:pPr>
              <w:jc w:val="center"/>
              <w:rPr>
                <w:color w:val="000000" w:themeColor="text1"/>
                <w:lang w:val="en-US"/>
              </w:rPr>
            </w:pPr>
            <w:r w:rsidRPr="00D549EE">
              <w:rPr>
                <w:color w:val="000000" w:themeColor="text1"/>
                <w:lang w:val="en-US"/>
              </w:rPr>
              <w:t>(13-15): 14</w:t>
            </w:r>
          </w:p>
        </w:tc>
      </w:tr>
      <w:tr w:rsidR="00D549EE" w:rsidRPr="00D549EE" w14:paraId="25648001" w14:textId="77777777" w:rsidTr="00D549EE">
        <w:tc>
          <w:tcPr>
            <w:tcW w:w="1696" w:type="dxa"/>
          </w:tcPr>
          <w:p w14:paraId="7A7275E6" w14:textId="77777777" w:rsidR="00D549EE" w:rsidRPr="00D549EE" w:rsidRDefault="00D549EE" w:rsidP="00D549EE">
            <w:pPr>
              <w:jc w:val="center"/>
              <w:rPr>
                <w:color w:val="000000" w:themeColor="text1"/>
                <w:lang w:val="en-US"/>
              </w:rPr>
            </w:pPr>
            <w:r w:rsidRPr="00D549EE">
              <w:rPr>
                <w:color w:val="000000" w:themeColor="text1"/>
                <w:lang w:val="en-US"/>
              </w:rPr>
              <w:t>(16)</w:t>
            </w:r>
          </w:p>
          <w:p w14:paraId="1421EDF8" w14:textId="77777777" w:rsidR="00D549EE" w:rsidRPr="00D549EE" w:rsidRDefault="00D549EE" w:rsidP="00D549EE">
            <w:pPr>
              <w:jc w:val="center"/>
              <w:rPr>
                <w:color w:val="000000" w:themeColor="text1"/>
                <w:lang w:val="en-US"/>
              </w:rPr>
            </w:pPr>
            <w:r w:rsidRPr="00D549EE">
              <w:rPr>
                <w:color w:val="000000" w:themeColor="text1"/>
                <w:lang w:val="en-US"/>
              </w:rPr>
              <w:t>Losing of market share</w:t>
            </w:r>
          </w:p>
        </w:tc>
        <w:tc>
          <w:tcPr>
            <w:tcW w:w="4678" w:type="dxa"/>
          </w:tcPr>
          <w:p w14:paraId="74B30ED8" w14:textId="77777777" w:rsidR="00D549EE" w:rsidRPr="00D549EE" w:rsidRDefault="00D549EE" w:rsidP="00D549EE">
            <w:pPr>
              <w:rPr>
                <w:color w:val="000000" w:themeColor="text1"/>
                <w:lang w:val="en-US"/>
              </w:rPr>
            </w:pPr>
            <w:r w:rsidRPr="00D549EE">
              <w:rPr>
                <w:color w:val="000000" w:themeColor="text1"/>
                <w:lang w:val="en-US"/>
              </w:rPr>
              <w:t xml:space="preserve">This could be a case if there is a presence of one of the previous risks or all of them. Other reasons could be related directly to consumers. </w:t>
            </w:r>
          </w:p>
        </w:tc>
        <w:tc>
          <w:tcPr>
            <w:tcW w:w="1559" w:type="dxa"/>
          </w:tcPr>
          <w:p w14:paraId="144D66D0" w14:textId="77777777" w:rsidR="00D549EE" w:rsidRPr="00D549EE" w:rsidRDefault="00D549EE" w:rsidP="00D549EE">
            <w:pPr>
              <w:jc w:val="center"/>
              <w:rPr>
                <w:color w:val="000000" w:themeColor="text1"/>
                <w:lang w:val="en-US"/>
              </w:rPr>
            </w:pPr>
            <w:r w:rsidRPr="00D549EE">
              <w:rPr>
                <w:color w:val="000000" w:themeColor="text1"/>
                <w:lang w:val="en-US"/>
              </w:rPr>
              <w:t>Medium</w:t>
            </w:r>
          </w:p>
          <w:p w14:paraId="786DF43A" w14:textId="77777777" w:rsidR="00D549EE" w:rsidRPr="00D549EE" w:rsidRDefault="00D549EE" w:rsidP="00D549EE">
            <w:pPr>
              <w:jc w:val="center"/>
              <w:rPr>
                <w:color w:val="000000" w:themeColor="text1"/>
                <w:lang w:val="en-US"/>
              </w:rPr>
            </w:pPr>
            <w:r w:rsidRPr="00D549EE">
              <w:rPr>
                <w:color w:val="000000" w:themeColor="text1"/>
                <w:lang w:val="en-US"/>
              </w:rPr>
              <w:t>(10-12): 11</w:t>
            </w:r>
          </w:p>
        </w:tc>
        <w:tc>
          <w:tcPr>
            <w:tcW w:w="1701" w:type="dxa"/>
          </w:tcPr>
          <w:p w14:paraId="2D3F5DE4" w14:textId="77777777" w:rsidR="00D549EE" w:rsidRPr="00D549EE" w:rsidRDefault="00D549EE" w:rsidP="00D549EE">
            <w:pPr>
              <w:jc w:val="center"/>
              <w:rPr>
                <w:color w:val="000000" w:themeColor="text1"/>
                <w:lang w:val="en-US"/>
              </w:rPr>
            </w:pPr>
            <w:r w:rsidRPr="00D549EE">
              <w:rPr>
                <w:color w:val="000000" w:themeColor="text1"/>
                <w:lang w:val="en-US"/>
              </w:rPr>
              <w:t>Higher</w:t>
            </w:r>
          </w:p>
          <w:p w14:paraId="7301C160" w14:textId="77777777" w:rsidR="00D549EE" w:rsidRPr="00D549EE" w:rsidRDefault="00D549EE" w:rsidP="00D549EE">
            <w:pPr>
              <w:jc w:val="center"/>
              <w:rPr>
                <w:color w:val="000000" w:themeColor="text1"/>
                <w:lang w:val="en-US"/>
              </w:rPr>
            </w:pPr>
            <w:r w:rsidRPr="00D549EE">
              <w:rPr>
                <w:color w:val="000000" w:themeColor="text1"/>
                <w:lang w:val="en-US"/>
              </w:rPr>
              <w:t>(19-21):19</w:t>
            </w:r>
          </w:p>
        </w:tc>
      </w:tr>
    </w:tbl>
    <w:p w14:paraId="1B8F7138" w14:textId="77777777" w:rsidR="00D549EE" w:rsidRPr="00D549EE" w:rsidRDefault="00D549EE" w:rsidP="00D549EE">
      <w:pPr>
        <w:rPr>
          <w:color w:val="000000" w:themeColor="text1"/>
        </w:rPr>
      </w:pPr>
    </w:p>
    <w:p w14:paraId="68F7366D" w14:textId="5C7F7D3F" w:rsidR="00D549EE" w:rsidRPr="00D549EE" w:rsidRDefault="00D549EE" w:rsidP="00D549EE">
      <w:pPr>
        <w:rPr>
          <w:color w:val="000000" w:themeColor="text1"/>
        </w:rPr>
      </w:pPr>
      <w:r w:rsidRPr="00D549EE">
        <w:rPr>
          <w:color w:val="000000" w:themeColor="text1"/>
          <w:lang w:val="en-US"/>
        </w:rPr>
        <w:t>Table 11</w:t>
      </w:r>
      <w:r>
        <w:rPr>
          <w:color w:val="000000" w:themeColor="text1"/>
          <w:lang w:val="en-US"/>
        </w:rPr>
        <w:t xml:space="preserve"> - </w:t>
      </w:r>
      <w:r w:rsidRPr="00D549EE">
        <w:rPr>
          <w:color w:val="000000" w:themeColor="text1"/>
          <w:lang w:val="en-US"/>
        </w:rPr>
        <w:t xml:space="preserve"> </w:t>
      </w:r>
      <w:r w:rsidRPr="00D549EE">
        <w:rPr>
          <w:color w:val="000000" w:themeColor="text1"/>
        </w:rPr>
        <w:t>Legal / regulatory risks</w:t>
      </w:r>
    </w:p>
    <w:p w14:paraId="6EEFDF91" w14:textId="77777777" w:rsidR="00D549EE" w:rsidRPr="00D549EE" w:rsidRDefault="00D549EE" w:rsidP="00D549EE">
      <w:pPr>
        <w:rPr>
          <w:color w:val="000000" w:themeColor="text1"/>
        </w:rPr>
      </w:pPr>
    </w:p>
    <w:tbl>
      <w:tblPr>
        <w:tblStyle w:val="a9"/>
        <w:tblW w:w="0" w:type="auto"/>
        <w:tblLook w:val="04A0" w:firstRow="1" w:lastRow="0" w:firstColumn="1" w:lastColumn="0" w:noHBand="0" w:noVBand="1"/>
      </w:tblPr>
      <w:tblGrid>
        <w:gridCol w:w="1696"/>
        <w:gridCol w:w="4678"/>
        <w:gridCol w:w="1559"/>
        <w:gridCol w:w="1412"/>
      </w:tblGrid>
      <w:tr w:rsidR="00D549EE" w:rsidRPr="00D549EE" w14:paraId="2F06A50D" w14:textId="77777777" w:rsidTr="00D549EE">
        <w:tc>
          <w:tcPr>
            <w:tcW w:w="1696" w:type="dxa"/>
          </w:tcPr>
          <w:p w14:paraId="0360B411" w14:textId="77777777" w:rsidR="00D549EE" w:rsidRPr="00D549EE" w:rsidRDefault="00D549EE" w:rsidP="00D549EE">
            <w:pPr>
              <w:rPr>
                <w:color w:val="000000" w:themeColor="text1"/>
                <w:lang w:val="en-US"/>
              </w:rPr>
            </w:pPr>
            <w:r w:rsidRPr="00D549EE">
              <w:rPr>
                <w:color w:val="000000" w:themeColor="text1"/>
                <w:lang w:val="en-US"/>
              </w:rPr>
              <w:t>Category</w:t>
            </w:r>
          </w:p>
        </w:tc>
        <w:tc>
          <w:tcPr>
            <w:tcW w:w="4678" w:type="dxa"/>
          </w:tcPr>
          <w:p w14:paraId="2FE8A35A" w14:textId="77777777" w:rsidR="00D549EE" w:rsidRPr="00D549EE" w:rsidRDefault="00D549EE" w:rsidP="00D549EE">
            <w:pPr>
              <w:rPr>
                <w:color w:val="000000" w:themeColor="text1"/>
                <w:lang w:val="en-US"/>
              </w:rPr>
            </w:pPr>
            <w:r w:rsidRPr="00D549EE">
              <w:rPr>
                <w:color w:val="000000" w:themeColor="text1"/>
                <w:lang w:val="en-US"/>
              </w:rPr>
              <w:t>Nature and reasons</w:t>
            </w:r>
          </w:p>
        </w:tc>
        <w:tc>
          <w:tcPr>
            <w:tcW w:w="1559" w:type="dxa"/>
          </w:tcPr>
          <w:p w14:paraId="0ACF8FDC" w14:textId="77777777" w:rsidR="00D549EE" w:rsidRPr="00D549EE" w:rsidRDefault="00D549EE" w:rsidP="00D549EE">
            <w:pPr>
              <w:rPr>
                <w:color w:val="000000" w:themeColor="text1"/>
                <w:lang w:val="en-US"/>
              </w:rPr>
            </w:pPr>
            <w:r w:rsidRPr="00D549EE">
              <w:rPr>
                <w:color w:val="000000" w:themeColor="text1"/>
                <w:lang w:val="en-US"/>
              </w:rPr>
              <w:t>Likelihood</w:t>
            </w:r>
          </w:p>
        </w:tc>
        <w:tc>
          <w:tcPr>
            <w:tcW w:w="1412" w:type="dxa"/>
          </w:tcPr>
          <w:p w14:paraId="57CEAE6E" w14:textId="77777777" w:rsidR="00D549EE" w:rsidRPr="00D549EE" w:rsidRDefault="00D549EE" w:rsidP="00D549EE">
            <w:pPr>
              <w:rPr>
                <w:color w:val="000000" w:themeColor="text1"/>
                <w:lang w:val="en-US"/>
              </w:rPr>
            </w:pPr>
            <w:r w:rsidRPr="00D549EE">
              <w:rPr>
                <w:color w:val="000000" w:themeColor="text1"/>
                <w:lang w:val="en-US"/>
              </w:rPr>
              <w:t>Impact</w:t>
            </w:r>
          </w:p>
        </w:tc>
      </w:tr>
      <w:tr w:rsidR="00D549EE" w:rsidRPr="00D549EE" w14:paraId="74F3941B" w14:textId="77777777" w:rsidTr="00D549EE">
        <w:tc>
          <w:tcPr>
            <w:tcW w:w="1696" w:type="dxa"/>
          </w:tcPr>
          <w:p w14:paraId="2CF6BD90" w14:textId="77777777" w:rsidR="00D549EE" w:rsidRPr="00D549EE" w:rsidRDefault="00D549EE" w:rsidP="00D549EE">
            <w:pPr>
              <w:jc w:val="center"/>
              <w:rPr>
                <w:color w:val="000000" w:themeColor="text1"/>
                <w:lang w:val="en-US"/>
              </w:rPr>
            </w:pPr>
            <w:r w:rsidRPr="00D549EE">
              <w:rPr>
                <w:color w:val="000000" w:themeColor="text1"/>
                <w:lang w:val="en-US"/>
              </w:rPr>
              <w:t>(17)</w:t>
            </w:r>
          </w:p>
          <w:p w14:paraId="10D30EFD" w14:textId="77777777" w:rsidR="00D549EE" w:rsidRPr="00D549EE" w:rsidRDefault="00D549EE" w:rsidP="00D549EE">
            <w:pPr>
              <w:jc w:val="center"/>
              <w:rPr>
                <w:color w:val="000000" w:themeColor="text1"/>
                <w:lang w:val="en-US"/>
              </w:rPr>
            </w:pPr>
            <w:r w:rsidRPr="00D549EE">
              <w:rPr>
                <w:color w:val="000000" w:themeColor="text1"/>
                <w:lang w:val="en-US"/>
              </w:rPr>
              <w:t>Toughen the laws and other regulations</w:t>
            </w:r>
          </w:p>
        </w:tc>
        <w:tc>
          <w:tcPr>
            <w:tcW w:w="4678" w:type="dxa"/>
          </w:tcPr>
          <w:p w14:paraId="0BF2B2F1" w14:textId="77777777" w:rsidR="00D549EE" w:rsidRPr="00D549EE" w:rsidRDefault="00D549EE" w:rsidP="00D549EE">
            <w:pPr>
              <w:rPr>
                <w:color w:val="000000" w:themeColor="text1"/>
                <w:lang w:val="en-US"/>
              </w:rPr>
            </w:pPr>
            <w:r w:rsidRPr="00D549EE">
              <w:rPr>
                <w:color w:val="000000" w:themeColor="text1"/>
                <w:lang w:val="en-US"/>
              </w:rPr>
              <w:t xml:space="preserve">Changes in law could have both positive and negative influences. </w:t>
            </w:r>
          </w:p>
        </w:tc>
        <w:tc>
          <w:tcPr>
            <w:tcW w:w="1559" w:type="dxa"/>
          </w:tcPr>
          <w:p w14:paraId="78C76F69" w14:textId="77777777" w:rsidR="00D549EE" w:rsidRPr="00D549EE" w:rsidRDefault="00D549EE" w:rsidP="00D549EE">
            <w:pPr>
              <w:jc w:val="center"/>
              <w:rPr>
                <w:color w:val="000000" w:themeColor="text1"/>
                <w:lang w:val="en-US"/>
              </w:rPr>
            </w:pPr>
            <w:r w:rsidRPr="00D549EE">
              <w:rPr>
                <w:color w:val="000000" w:themeColor="text1"/>
                <w:lang w:val="en-US"/>
              </w:rPr>
              <w:t>Medium-low</w:t>
            </w:r>
          </w:p>
          <w:p w14:paraId="160A0143" w14:textId="77777777" w:rsidR="00D549EE" w:rsidRPr="00D549EE" w:rsidRDefault="00D549EE" w:rsidP="00D549EE">
            <w:pPr>
              <w:jc w:val="center"/>
              <w:rPr>
                <w:color w:val="000000" w:themeColor="text1"/>
                <w:lang w:val="en-US"/>
              </w:rPr>
            </w:pPr>
            <w:r w:rsidRPr="00D549EE">
              <w:rPr>
                <w:color w:val="000000" w:themeColor="text1"/>
                <w:lang w:val="en-US"/>
              </w:rPr>
              <w:t>(7-9): 9</w:t>
            </w:r>
          </w:p>
        </w:tc>
        <w:tc>
          <w:tcPr>
            <w:tcW w:w="1412" w:type="dxa"/>
          </w:tcPr>
          <w:p w14:paraId="18DF3365" w14:textId="77777777" w:rsidR="00D549EE" w:rsidRPr="00D549EE" w:rsidRDefault="00D549EE" w:rsidP="00D549EE">
            <w:pPr>
              <w:jc w:val="center"/>
              <w:rPr>
                <w:color w:val="000000" w:themeColor="text1"/>
                <w:lang w:val="en-US"/>
              </w:rPr>
            </w:pPr>
            <w:r w:rsidRPr="00D549EE">
              <w:rPr>
                <w:color w:val="000000" w:themeColor="text1"/>
                <w:lang w:val="en-US"/>
              </w:rPr>
              <w:t>Medium</w:t>
            </w:r>
          </w:p>
          <w:p w14:paraId="45C36B2E" w14:textId="77777777" w:rsidR="00D549EE" w:rsidRPr="00D549EE" w:rsidRDefault="00D549EE" w:rsidP="00D549EE">
            <w:pPr>
              <w:jc w:val="center"/>
              <w:rPr>
                <w:color w:val="000000" w:themeColor="text1"/>
                <w:lang w:val="en-US"/>
              </w:rPr>
            </w:pPr>
            <w:r w:rsidRPr="00D549EE">
              <w:rPr>
                <w:color w:val="000000" w:themeColor="text1"/>
                <w:lang w:val="en-US"/>
              </w:rPr>
              <w:t>(10-12): 11</w:t>
            </w:r>
          </w:p>
        </w:tc>
      </w:tr>
    </w:tbl>
    <w:p w14:paraId="3F85CC31" w14:textId="77777777" w:rsidR="00D549EE" w:rsidRPr="00D549EE" w:rsidRDefault="00D549EE" w:rsidP="00D549EE">
      <w:pPr>
        <w:rPr>
          <w:color w:val="000000" w:themeColor="text1"/>
        </w:rPr>
      </w:pPr>
    </w:p>
    <w:p w14:paraId="0AF73B5C" w14:textId="504CD682" w:rsidR="00D549EE" w:rsidRPr="00D549EE" w:rsidRDefault="00D549EE" w:rsidP="00D549EE">
      <w:pPr>
        <w:rPr>
          <w:color w:val="000000" w:themeColor="text1"/>
          <w:lang w:val="en-US"/>
        </w:rPr>
      </w:pPr>
      <w:r w:rsidRPr="00D549EE">
        <w:rPr>
          <w:color w:val="000000" w:themeColor="text1"/>
          <w:lang w:val="en-US"/>
        </w:rPr>
        <w:t xml:space="preserve">Table 12 </w:t>
      </w:r>
      <w:r>
        <w:rPr>
          <w:color w:val="000000" w:themeColor="text1"/>
          <w:lang w:val="en-US"/>
        </w:rPr>
        <w:t xml:space="preserve">- </w:t>
      </w:r>
      <w:r w:rsidRPr="00D549EE">
        <w:rPr>
          <w:color w:val="000000" w:themeColor="text1"/>
        </w:rPr>
        <w:t>Hazard</w:t>
      </w:r>
    </w:p>
    <w:p w14:paraId="49ACFDCE" w14:textId="77777777" w:rsidR="00D549EE" w:rsidRPr="00D549EE" w:rsidRDefault="00D549EE" w:rsidP="00D549EE">
      <w:pPr>
        <w:rPr>
          <w:color w:val="000000" w:themeColor="text1"/>
          <w:lang w:val="en-US"/>
        </w:rPr>
      </w:pPr>
    </w:p>
    <w:tbl>
      <w:tblPr>
        <w:tblStyle w:val="a9"/>
        <w:tblW w:w="9493" w:type="dxa"/>
        <w:tblLook w:val="04A0" w:firstRow="1" w:lastRow="0" w:firstColumn="1" w:lastColumn="0" w:noHBand="0" w:noVBand="1"/>
      </w:tblPr>
      <w:tblGrid>
        <w:gridCol w:w="1696"/>
        <w:gridCol w:w="4678"/>
        <w:gridCol w:w="1559"/>
        <w:gridCol w:w="1560"/>
      </w:tblGrid>
      <w:tr w:rsidR="00D549EE" w:rsidRPr="00D549EE" w14:paraId="637BB792" w14:textId="77777777" w:rsidTr="00D549EE">
        <w:tc>
          <w:tcPr>
            <w:tcW w:w="1696" w:type="dxa"/>
          </w:tcPr>
          <w:p w14:paraId="0C91A952" w14:textId="77777777" w:rsidR="00D549EE" w:rsidRPr="00D549EE" w:rsidRDefault="00D549EE" w:rsidP="00D549EE">
            <w:pPr>
              <w:rPr>
                <w:color w:val="000000" w:themeColor="text1"/>
                <w:lang w:val="en-US"/>
              </w:rPr>
            </w:pPr>
            <w:r w:rsidRPr="00D549EE">
              <w:rPr>
                <w:color w:val="000000" w:themeColor="text1"/>
                <w:lang w:val="en-US"/>
              </w:rPr>
              <w:t>Category</w:t>
            </w:r>
          </w:p>
        </w:tc>
        <w:tc>
          <w:tcPr>
            <w:tcW w:w="4678" w:type="dxa"/>
          </w:tcPr>
          <w:p w14:paraId="4B196E54" w14:textId="77777777" w:rsidR="00D549EE" w:rsidRPr="00D549EE" w:rsidRDefault="00D549EE" w:rsidP="00D549EE">
            <w:pPr>
              <w:rPr>
                <w:color w:val="000000" w:themeColor="text1"/>
                <w:lang w:val="en-US"/>
              </w:rPr>
            </w:pPr>
            <w:r w:rsidRPr="00D549EE">
              <w:rPr>
                <w:color w:val="000000" w:themeColor="text1"/>
                <w:lang w:val="en-US"/>
              </w:rPr>
              <w:t>Nature and reasons</w:t>
            </w:r>
          </w:p>
        </w:tc>
        <w:tc>
          <w:tcPr>
            <w:tcW w:w="1559" w:type="dxa"/>
          </w:tcPr>
          <w:p w14:paraId="29AA678E" w14:textId="77777777" w:rsidR="00D549EE" w:rsidRPr="00D549EE" w:rsidRDefault="00D549EE" w:rsidP="00D549EE">
            <w:pPr>
              <w:rPr>
                <w:color w:val="000000" w:themeColor="text1"/>
                <w:lang w:val="en-US"/>
              </w:rPr>
            </w:pPr>
            <w:r w:rsidRPr="00D549EE">
              <w:rPr>
                <w:color w:val="000000" w:themeColor="text1"/>
                <w:lang w:val="en-US"/>
              </w:rPr>
              <w:t>Likelihood</w:t>
            </w:r>
          </w:p>
        </w:tc>
        <w:tc>
          <w:tcPr>
            <w:tcW w:w="1560" w:type="dxa"/>
          </w:tcPr>
          <w:p w14:paraId="095380AA" w14:textId="77777777" w:rsidR="00D549EE" w:rsidRPr="00D549EE" w:rsidRDefault="00D549EE" w:rsidP="00D549EE">
            <w:pPr>
              <w:rPr>
                <w:color w:val="000000" w:themeColor="text1"/>
                <w:lang w:val="en-US"/>
              </w:rPr>
            </w:pPr>
            <w:r w:rsidRPr="00D549EE">
              <w:rPr>
                <w:color w:val="000000" w:themeColor="text1"/>
                <w:lang w:val="en-US"/>
              </w:rPr>
              <w:t>Impact</w:t>
            </w:r>
          </w:p>
        </w:tc>
      </w:tr>
      <w:tr w:rsidR="00D549EE" w:rsidRPr="00D549EE" w14:paraId="78ED3742" w14:textId="77777777" w:rsidTr="00D549EE">
        <w:tc>
          <w:tcPr>
            <w:tcW w:w="1696" w:type="dxa"/>
          </w:tcPr>
          <w:p w14:paraId="1C3E56A0" w14:textId="77777777" w:rsidR="00D549EE" w:rsidRPr="00D549EE" w:rsidRDefault="00D549EE" w:rsidP="00D549EE">
            <w:pPr>
              <w:jc w:val="center"/>
              <w:rPr>
                <w:color w:val="000000" w:themeColor="text1"/>
                <w:lang w:val="en-US"/>
              </w:rPr>
            </w:pPr>
            <w:r w:rsidRPr="00D549EE">
              <w:rPr>
                <w:color w:val="000000" w:themeColor="text1"/>
                <w:lang w:val="en-US"/>
              </w:rPr>
              <w:t>(18)</w:t>
            </w:r>
          </w:p>
          <w:p w14:paraId="1E8DF1E6" w14:textId="77777777" w:rsidR="00D549EE" w:rsidRPr="00D549EE" w:rsidRDefault="00D549EE" w:rsidP="00D549EE">
            <w:pPr>
              <w:jc w:val="center"/>
              <w:rPr>
                <w:color w:val="000000" w:themeColor="text1"/>
                <w:lang w:val="en-US"/>
              </w:rPr>
            </w:pPr>
            <w:r w:rsidRPr="00D549EE">
              <w:rPr>
                <w:color w:val="000000" w:themeColor="text1"/>
                <w:lang w:val="en-US"/>
              </w:rPr>
              <w:t>Physical</w:t>
            </w:r>
          </w:p>
        </w:tc>
        <w:tc>
          <w:tcPr>
            <w:tcW w:w="4678" w:type="dxa"/>
          </w:tcPr>
          <w:p w14:paraId="4685B9C1" w14:textId="77777777" w:rsidR="00D549EE" w:rsidRPr="00D549EE" w:rsidRDefault="00D549EE" w:rsidP="00D549EE">
            <w:pPr>
              <w:rPr>
                <w:color w:val="000000" w:themeColor="text1"/>
                <w:lang w:val="en-US"/>
              </w:rPr>
            </w:pPr>
            <w:r w:rsidRPr="00D549EE">
              <w:rPr>
                <w:color w:val="000000" w:themeColor="text1"/>
                <w:lang w:val="en-US"/>
              </w:rPr>
              <w:t xml:space="preserve">Everything in company’s building that could affect employees’ physical feelings, e.g. stress because of noise, or environmental conditions (such as heat) </w:t>
            </w:r>
          </w:p>
        </w:tc>
        <w:tc>
          <w:tcPr>
            <w:tcW w:w="1559" w:type="dxa"/>
          </w:tcPr>
          <w:p w14:paraId="1333F99B" w14:textId="77777777" w:rsidR="00D549EE" w:rsidRPr="00D549EE" w:rsidRDefault="00D549EE" w:rsidP="00D549EE">
            <w:pPr>
              <w:jc w:val="center"/>
              <w:rPr>
                <w:color w:val="000000" w:themeColor="text1"/>
                <w:lang w:val="en-US"/>
              </w:rPr>
            </w:pPr>
            <w:r w:rsidRPr="00D549EE">
              <w:rPr>
                <w:color w:val="000000" w:themeColor="text1"/>
                <w:lang w:val="en-US"/>
              </w:rPr>
              <w:t>Medium-low</w:t>
            </w:r>
          </w:p>
          <w:p w14:paraId="4BFB76A4" w14:textId="77777777" w:rsidR="00D549EE" w:rsidRPr="00D549EE" w:rsidRDefault="00D549EE" w:rsidP="00D549EE">
            <w:pPr>
              <w:jc w:val="center"/>
              <w:rPr>
                <w:color w:val="000000" w:themeColor="text1"/>
                <w:lang w:val="en-US"/>
              </w:rPr>
            </w:pPr>
            <w:r w:rsidRPr="00D549EE">
              <w:rPr>
                <w:color w:val="000000" w:themeColor="text1"/>
                <w:lang w:val="en-US"/>
              </w:rPr>
              <w:t>(7-9): 7</w:t>
            </w:r>
          </w:p>
        </w:tc>
        <w:tc>
          <w:tcPr>
            <w:tcW w:w="1560" w:type="dxa"/>
          </w:tcPr>
          <w:p w14:paraId="0903486C" w14:textId="77777777" w:rsidR="00D549EE" w:rsidRPr="00D549EE" w:rsidRDefault="00D549EE" w:rsidP="00D549EE">
            <w:pPr>
              <w:jc w:val="center"/>
              <w:rPr>
                <w:color w:val="000000" w:themeColor="text1"/>
                <w:lang w:val="en-US"/>
              </w:rPr>
            </w:pPr>
            <w:r w:rsidRPr="00D549EE">
              <w:rPr>
                <w:color w:val="000000" w:themeColor="text1"/>
                <w:lang w:val="en-US"/>
              </w:rPr>
              <w:t>Medium-high</w:t>
            </w:r>
          </w:p>
          <w:p w14:paraId="5DFE1EB7" w14:textId="77777777" w:rsidR="00D549EE" w:rsidRPr="00D549EE" w:rsidRDefault="00D549EE" w:rsidP="00D549EE">
            <w:pPr>
              <w:jc w:val="center"/>
              <w:rPr>
                <w:color w:val="000000" w:themeColor="text1"/>
                <w:lang w:val="en-US"/>
              </w:rPr>
            </w:pPr>
            <w:r w:rsidRPr="00D549EE">
              <w:rPr>
                <w:color w:val="000000" w:themeColor="text1"/>
                <w:lang w:val="en-US"/>
              </w:rPr>
              <w:t>(13-15): 14</w:t>
            </w:r>
          </w:p>
        </w:tc>
      </w:tr>
      <w:tr w:rsidR="00D549EE" w:rsidRPr="00D549EE" w14:paraId="3DE464FF" w14:textId="77777777" w:rsidTr="00D549EE">
        <w:tc>
          <w:tcPr>
            <w:tcW w:w="1696" w:type="dxa"/>
          </w:tcPr>
          <w:p w14:paraId="3F6DC494" w14:textId="77777777" w:rsidR="00D549EE" w:rsidRPr="00D549EE" w:rsidRDefault="00D549EE" w:rsidP="00D549EE">
            <w:pPr>
              <w:jc w:val="center"/>
              <w:rPr>
                <w:color w:val="000000" w:themeColor="text1"/>
                <w:lang w:val="en-US"/>
              </w:rPr>
            </w:pPr>
            <w:r w:rsidRPr="00D549EE">
              <w:rPr>
                <w:color w:val="000000" w:themeColor="text1"/>
                <w:lang w:val="en-US"/>
              </w:rPr>
              <w:t>(19)</w:t>
            </w:r>
          </w:p>
          <w:p w14:paraId="711B474A" w14:textId="77777777" w:rsidR="00D549EE" w:rsidRPr="00D549EE" w:rsidRDefault="00D549EE" w:rsidP="00D549EE">
            <w:pPr>
              <w:jc w:val="center"/>
              <w:rPr>
                <w:color w:val="000000" w:themeColor="text1"/>
                <w:lang w:val="en-US"/>
              </w:rPr>
            </w:pPr>
            <w:r w:rsidRPr="00D549EE">
              <w:rPr>
                <w:color w:val="000000" w:themeColor="text1"/>
                <w:lang w:val="en-US"/>
              </w:rPr>
              <w:t>Biological</w:t>
            </w:r>
          </w:p>
        </w:tc>
        <w:tc>
          <w:tcPr>
            <w:tcW w:w="4678" w:type="dxa"/>
          </w:tcPr>
          <w:p w14:paraId="3E8AE6CE" w14:textId="77777777" w:rsidR="00D549EE" w:rsidRPr="00D549EE" w:rsidRDefault="00D549EE" w:rsidP="00D549EE">
            <w:pPr>
              <w:rPr>
                <w:color w:val="000000" w:themeColor="text1"/>
                <w:lang w:val="en-US"/>
              </w:rPr>
            </w:pPr>
            <w:r w:rsidRPr="00D549EE">
              <w:rPr>
                <w:color w:val="000000" w:themeColor="text1"/>
                <w:lang w:val="en-US"/>
              </w:rPr>
              <w:t xml:space="preserve">Risk related to non-compliance with sanitary conditions. Maintenance of required sanitary conditions must be provided. </w:t>
            </w:r>
          </w:p>
        </w:tc>
        <w:tc>
          <w:tcPr>
            <w:tcW w:w="1559" w:type="dxa"/>
          </w:tcPr>
          <w:p w14:paraId="71C54FAA" w14:textId="77777777" w:rsidR="00D549EE" w:rsidRPr="00D549EE" w:rsidRDefault="00D549EE" w:rsidP="00D549EE">
            <w:pPr>
              <w:jc w:val="center"/>
              <w:rPr>
                <w:color w:val="000000" w:themeColor="text1"/>
                <w:lang w:val="en-US"/>
              </w:rPr>
            </w:pPr>
            <w:r w:rsidRPr="00D549EE">
              <w:rPr>
                <w:color w:val="000000" w:themeColor="text1"/>
                <w:lang w:val="en-US"/>
              </w:rPr>
              <w:t>Low</w:t>
            </w:r>
          </w:p>
          <w:p w14:paraId="398E1D00" w14:textId="77777777" w:rsidR="00D549EE" w:rsidRPr="00D549EE" w:rsidRDefault="00D549EE" w:rsidP="00D549EE">
            <w:pPr>
              <w:jc w:val="center"/>
              <w:rPr>
                <w:color w:val="000000" w:themeColor="text1"/>
                <w:lang w:val="en-US"/>
              </w:rPr>
            </w:pPr>
            <w:r w:rsidRPr="00D549EE">
              <w:rPr>
                <w:color w:val="000000" w:themeColor="text1"/>
                <w:lang w:val="en-US"/>
              </w:rPr>
              <w:t>(4-6): 4</w:t>
            </w:r>
          </w:p>
        </w:tc>
        <w:tc>
          <w:tcPr>
            <w:tcW w:w="1560" w:type="dxa"/>
          </w:tcPr>
          <w:p w14:paraId="1BFB66BD" w14:textId="77777777" w:rsidR="00D549EE" w:rsidRPr="00D549EE" w:rsidRDefault="00D549EE" w:rsidP="00D549EE">
            <w:pPr>
              <w:jc w:val="center"/>
              <w:rPr>
                <w:color w:val="000000" w:themeColor="text1"/>
                <w:lang w:val="en-US"/>
              </w:rPr>
            </w:pPr>
            <w:r w:rsidRPr="00D549EE">
              <w:rPr>
                <w:color w:val="000000" w:themeColor="text1"/>
                <w:lang w:val="en-US"/>
              </w:rPr>
              <w:t>Medium</w:t>
            </w:r>
          </w:p>
          <w:p w14:paraId="16A11D0E" w14:textId="77777777" w:rsidR="00D549EE" w:rsidRPr="00D549EE" w:rsidRDefault="00D549EE" w:rsidP="00D549EE">
            <w:pPr>
              <w:jc w:val="center"/>
              <w:rPr>
                <w:color w:val="000000" w:themeColor="text1"/>
                <w:lang w:val="en-US"/>
              </w:rPr>
            </w:pPr>
            <w:r w:rsidRPr="00D549EE">
              <w:rPr>
                <w:color w:val="000000" w:themeColor="text1"/>
                <w:lang w:val="en-US"/>
              </w:rPr>
              <w:t>(10-12): 12</w:t>
            </w:r>
          </w:p>
        </w:tc>
      </w:tr>
      <w:tr w:rsidR="00D549EE" w:rsidRPr="00D549EE" w14:paraId="150D4153" w14:textId="77777777" w:rsidTr="00D549EE">
        <w:tc>
          <w:tcPr>
            <w:tcW w:w="1696" w:type="dxa"/>
          </w:tcPr>
          <w:p w14:paraId="7E036C57" w14:textId="77777777" w:rsidR="00D549EE" w:rsidRPr="00D549EE" w:rsidRDefault="00D549EE" w:rsidP="00D549EE">
            <w:pPr>
              <w:jc w:val="center"/>
              <w:rPr>
                <w:color w:val="000000" w:themeColor="text1"/>
                <w:lang w:val="en-US"/>
              </w:rPr>
            </w:pPr>
            <w:r w:rsidRPr="00D549EE">
              <w:rPr>
                <w:color w:val="000000" w:themeColor="text1"/>
                <w:lang w:val="en-US"/>
              </w:rPr>
              <w:t>(20)</w:t>
            </w:r>
          </w:p>
          <w:p w14:paraId="64604069" w14:textId="77777777" w:rsidR="00D549EE" w:rsidRPr="00D549EE" w:rsidRDefault="00D549EE" w:rsidP="00D549EE">
            <w:pPr>
              <w:jc w:val="center"/>
              <w:rPr>
                <w:color w:val="000000" w:themeColor="text1"/>
                <w:lang w:val="en-US"/>
              </w:rPr>
            </w:pPr>
            <w:r w:rsidRPr="00D549EE">
              <w:rPr>
                <w:color w:val="000000" w:themeColor="text1"/>
                <w:lang w:val="en-US"/>
              </w:rPr>
              <w:t>Ergonomic</w:t>
            </w:r>
          </w:p>
        </w:tc>
        <w:tc>
          <w:tcPr>
            <w:tcW w:w="4678" w:type="dxa"/>
          </w:tcPr>
          <w:p w14:paraId="5B93F142" w14:textId="77777777" w:rsidR="00D549EE" w:rsidRPr="00D549EE" w:rsidRDefault="00D549EE" w:rsidP="00D549EE">
            <w:pPr>
              <w:rPr>
                <w:color w:val="000000" w:themeColor="text1"/>
                <w:lang w:val="en-US"/>
              </w:rPr>
            </w:pPr>
            <w:r w:rsidRPr="00D549EE">
              <w:rPr>
                <w:color w:val="000000" w:themeColor="text1"/>
                <w:lang w:val="en-US"/>
              </w:rPr>
              <w:t xml:space="preserve">Inappropriate and inconvenient furnishing would make employee irritable and oblivious </w:t>
            </w:r>
          </w:p>
        </w:tc>
        <w:tc>
          <w:tcPr>
            <w:tcW w:w="1559" w:type="dxa"/>
          </w:tcPr>
          <w:p w14:paraId="559B4725" w14:textId="77777777" w:rsidR="00D549EE" w:rsidRPr="00D549EE" w:rsidRDefault="00D549EE" w:rsidP="00D549EE">
            <w:pPr>
              <w:jc w:val="center"/>
              <w:rPr>
                <w:color w:val="000000" w:themeColor="text1"/>
                <w:lang w:val="en-US"/>
              </w:rPr>
            </w:pPr>
            <w:r w:rsidRPr="00D549EE">
              <w:rPr>
                <w:color w:val="000000" w:themeColor="text1"/>
                <w:lang w:val="en-US"/>
              </w:rPr>
              <w:t>Medium-low</w:t>
            </w:r>
          </w:p>
          <w:p w14:paraId="41052BEF" w14:textId="77777777" w:rsidR="00D549EE" w:rsidRPr="00D549EE" w:rsidRDefault="00D549EE" w:rsidP="00D549EE">
            <w:pPr>
              <w:jc w:val="center"/>
              <w:rPr>
                <w:color w:val="000000" w:themeColor="text1"/>
                <w:lang w:val="en-US"/>
              </w:rPr>
            </w:pPr>
            <w:r w:rsidRPr="00D549EE">
              <w:rPr>
                <w:color w:val="000000" w:themeColor="text1"/>
                <w:lang w:val="en-US"/>
              </w:rPr>
              <w:t>(7-9): 8</w:t>
            </w:r>
          </w:p>
        </w:tc>
        <w:tc>
          <w:tcPr>
            <w:tcW w:w="1560" w:type="dxa"/>
          </w:tcPr>
          <w:p w14:paraId="7E735353" w14:textId="77777777" w:rsidR="00D549EE" w:rsidRPr="00D549EE" w:rsidRDefault="00D549EE" w:rsidP="00D549EE">
            <w:pPr>
              <w:jc w:val="center"/>
              <w:rPr>
                <w:color w:val="000000" w:themeColor="text1"/>
                <w:lang w:val="en-US"/>
              </w:rPr>
            </w:pPr>
            <w:r w:rsidRPr="00D549EE">
              <w:rPr>
                <w:color w:val="000000" w:themeColor="text1"/>
                <w:lang w:val="en-US"/>
              </w:rPr>
              <w:t>Medium-low</w:t>
            </w:r>
          </w:p>
          <w:p w14:paraId="29509FC0" w14:textId="77777777" w:rsidR="00D549EE" w:rsidRPr="00D549EE" w:rsidRDefault="00D549EE" w:rsidP="00D549EE">
            <w:pPr>
              <w:jc w:val="center"/>
              <w:rPr>
                <w:color w:val="000000" w:themeColor="text1"/>
                <w:lang w:val="en-US"/>
              </w:rPr>
            </w:pPr>
            <w:r w:rsidRPr="00D549EE">
              <w:rPr>
                <w:color w:val="000000" w:themeColor="text1"/>
                <w:lang w:val="en-US"/>
              </w:rPr>
              <w:t>(7:9): 9</w:t>
            </w:r>
          </w:p>
        </w:tc>
      </w:tr>
      <w:tr w:rsidR="00D549EE" w:rsidRPr="00D549EE" w14:paraId="219552CF" w14:textId="77777777" w:rsidTr="00D549EE">
        <w:tc>
          <w:tcPr>
            <w:tcW w:w="1696" w:type="dxa"/>
          </w:tcPr>
          <w:p w14:paraId="388FC5F3" w14:textId="77777777" w:rsidR="00D549EE" w:rsidRPr="00D549EE" w:rsidRDefault="00D549EE" w:rsidP="00D549EE">
            <w:pPr>
              <w:jc w:val="center"/>
              <w:rPr>
                <w:color w:val="000000" w:themeColor="text1"/>
                <w:lang w:val="en-US"/>
              </w:rPr>
            </w:pPr>
            <w:r w:rsidRPr="00D549EE">
              <w:rPr>
                <w:color w:val="000000" w:themeColor="text1"/>
                <w:lang w:val="en-US"/>
              </w:rPr>
              <w:t>(21)</w:t>
            </w:r>
          </w:p>
          <w:p w14:paraId="7EA9C8F9" w14:textId="77777777" w:rsidR="00D549EE" w:rsidRPr="00D549EE" w:rsidRDefault="00D549EE" w:rsidP="00D549EE">
            <w:pPr>
              <w:jc w:val="center"/>
              <w:rPr>
                <w:color w:val="000000" w:themeColor="text1"/>
                <w:lang w:val="en-US"/>
              </w:rPr>
            </w:pPr>
            <w:r w:rsidRPr="00D549EE">
              <w:rPr>
                <w:color w:val="000000" w:themeColor="text1"/>
                <w:lang w:val="en-US"/>
              </w:rPr>
              <w:t>Psychological</w:t>
            </w:r>
          </w:p>
        </w:tc>
        <w:tc>
          <w:tcPr>
            <w:tcW w:w="4678" w:type="dxa"/>
          </w:tcPr>
          <w:p w14:paraId="52900685" w14:textId="77777777" w:rsidR="00D549EE" w:rsidRPr="00D549EE" w:rsidRDefault="00D549EE" w:rsidP="00D549EE">
            <w:pPr>
              <w:rPr>
                <w:color w:val="000000" w:themeColor="text1"/>
                <w:lang w:val="en-US"/>
              </w:rPr>
            </w:pPr>
            <w:r w:rsidRPr="00D549EE">
              <w:rPr>
                <w:color w:val="000000" w:themeColor="text1"/>
                <w:lang w:val="en-US"/>
              </w:rPr>
              <w:t xml:space="preserve">Mental and emotional sustainability of employees are very important characteristics to competently provide services to customers. The psychological conditions could be affected by many reasons (e.g. big volume of work, discrimination on a workplace etc.). </w:t>
            </w:r>
          </w:p>
        </w:tc>
        <w:tc>
          <w:tcPr>
            <w:tcW w:w="1559" w:type="dxa"/>
          </w:tcPr>
          <w:p w14:paraId="7A570523" w14:textId="77777777" w:rsidR="00D549EE" w:rsidRPr="00D549EE" w:rsidRDefault="00D549EE" w:rsidP="00D549EE">
            <w:pPr>
              <w:jc w:val="center"/>
              <w:rPr>
                <w:color w:val="000000" w:themeColor="text1"/>
                <w:lang w:val="en-US"/>
              </w:rPr>
            </w:pPr>
            <w:r w:rsidRPr="00D549EE">
              <w:rPr>
                <w:color w:val="000000" w:themeColor="text1"/>
                <w:lang w:val="en-US"/>
              </w:rPr>
              <w:t>Low</w:t>
            </w:r>
          </w:p>
          <w:p w14:paraId="776D1456" w14:textId="77777777" w:rsidR="00D549EE" w:rsidRPr="00D549EE" w:rsidRDefault="00D549EE" w:rsidP="00D549EE">
            <w:pPr>
              <w:jc w:val="center"/>
              <w:rPr>
                <w:color w:val="000000" w:themeColor="text1"/>
                <w:lang w:val="en-US"/>
              </w:rPr>
            </w:pPr>
            <w:r w:rsidRPr="00D549EE">
              <w:rPr>
                <w:color w:val="000000" w:themeColor="text1"/>
                <w:lang w:val="en-US"/>
              </w:rPr>
              <w:t>(4-6): 4</w:t>
            </w:r>
          </w:p>
        </w:tc>
        <w:tc>
          <w:tcPr>
            <w:tcW w:w="1560" w:type="dxa"/>
          </w:tcPr>
          <w:p w14:paraId="2EB21490" w14:textId="77777777" w:rsidR="00D549EE" w:rsidRPr="00D549EE" w:rsidRDefault="00D549EE" w:rsidP="00D549EE">
            <w:pPr>
              <w:jc w:val="center"/>
              <w:rPr>
                <w:color w:val="000000" w:themeColor="text1"/>
                <w:lang w:val="en-US"/>
              </w:rPr>
            </w:pPr>
            <w:r w:rsidRPr="00D549EE">
              <w:rPr>
                <w:color w:val="000000" w:themeColor="text1"/>
                <w:lang w:val="en-US"/>
              </w:rPr>
              <w:t>Medium-high</w:t>
            </w:r>
          </w:p>
          <w:p w14:paraId="00CBB2C1" w14:textId="77777777" w:rsidR="00D549EE" w:rsidRPr="00D549EE" w:rsidRDefault="00D549EE" w:rsidP="00D549EE">
            <w:pPr>
              <w:jc w:val="center"/>
              <w:rPr>
                <w:color w:val="000000" w:themeColor="text1"/>
                <w:lang w:val="en-US"/>
              </w:rPr>
            </w:pPr>
            <w:r w:rsidRPr="00D549EE">
              <w:rPr>
                <w:color w:val="000000" w:themeColor="text1"/>
                <w:lang w:val="en-US"/>
              </w:rPr>
              <w:t>(13-15): 14</w:t>
            </w:r>
          </w:p>
        </w:tc>
      </w:tr>
    </w:tbl>
    <w:p w14:paraId="7896879E" w14:textId="77777777" w:rsidR="00D549EE" w:rsidRPr="00D549EE" w:rsidRDefault="00D549EE" w:rsidP="00D549EE">
      <w:pPr>
        <w:rPr>
          <w:color w:val="000000" w:themeColor="text1"/>
        </w:rPr>
      </w:pPr>
    </w:p>
    <w:p w14:paraId="41DDBB7C" w14:textId="77777777" w:rsidR="00D549EE" w:rsidRPr="00D549EE" w:rsidRDefault="00D549EE" w:rsidP="00D549EE">
      <w:pPr>
        <w:jc w:val="both"/>
        <w:rPr>
          <w:color w:val="000000" w:themeColor="text1"/>
          <w:lang w:val="en-US"/>
        </w:rPr>
      </w:pPr>
      <w:r w:rsidRPr="00D549EE">
        <w:rPr>
          <w:color w:val="000000" w:themeColor="text1"/>
          <w:lang w:val="en-US"/>
        </w:rPr>
        <w:tab/>
        <w:t>Thus, based on the table above we can conclude that the top highest risk to be occurred are: 1) Losing of market share – (16) high risk; 2) New entrants on the market: likelihood – (14) high risk; 3) Aggressive marketing and promotion – (12) (medium-high risk). The top 3 highest impacts: 1) Losing of market share – (16) higher; Unexpected disasters (11) high, and 3) Staff turnover – (8) high.</w:t>
      </w:r>
    </w:p>
    <w:p w14:paraId="726E68AC" w14:textId="77777777" w:rsidR="00D549EE" w:rsidRPr="00D549EE" w:rsidRDefault="00D549EE" w:rsidP="00D549EE">
      <w:pPr>
        <w:jc w:val="both"/>
        <w:rPr>
          <w:color w:val="000000" w:themeColor="text1"/>
          <w:lang w:val="en-US"/>
        </w:rPr>
      </w:pPr>
    </w:p>
    <w:p w14:paraId="10B28C84" w14:textId="77777777" w:rsidR="00D549EE" w:rsidRPr="00D549EE" w:rsidRDefault="00D549EE" w:rsidP="00D549EE">
      <w:pPr>
        <w:jc w:val="both"/>
        <w:rPr>
          <w:color w:val="000000" w:themeColor="text1"/>
          <w:lang w:val="en-US"/>
        </w:rPr>
      </w:pPr>
      <w:r w:rsidRPr="00D549EE">
        <w:rPr>
          <w:color w:val="000000" w:themeColor="text1"/>
          <w:lang w:val="en-US"/>
        </w:rPr>
        <w:tab/>
        <w:t>Based on risk analysis we may suggest these strategies for each of risks that should be mentioned:</w:t>
      </w:r>
    </w:p>
    <w:p w14:paraId="2CC56B83" w14:textId="77777777" w:rsidR="00D549EE" w:rsidRPr="00D549EE" w:rsidRDefault="00D549EE" w:rsidP="00D549EE">
      <w:pPr>
        <w:jc w:val="both"/>
        <w:rPr>
          <w:color w:val="000000" w:themeColor="text1"/>
          <w:lang w:val="en-US"/>
        </w:rPr>
      </w:pPr>
      <w:r w:rsidRPr="00D549EE">
        <w:rPr>
          <w:color w:val="000000" w:themeColor="text1"/>
          <w:lang w:val="en-US"/>
        </w:rPr>
        <w:tab/>
        <w:t>(6)</w:t>
      </w:r>
      <w:r w:rsidRPr="00D549EE">
        <w:rPr>
          <w:i/>
          <w:iCs/>
          <w:color w:val="000000" w:themeColor="text1"/>
          <w:lang w:val="en-US"/>
        </w:rPr>
        <w:t xml:space="preserve"> Liquidity risk. </w:t>
      </w:r>
      <w:r w:rsidRPr="00D549EE">
        <w:rPr>
          <w:color w:val="000000" w:themeColor="text1"/>
          <w:lang w:val="en-US"/>
        </w:rPr>
        <w:t xml:space="preserve">This risk exists almost in every start-up business, since there is an uncertainty in performance, for example: if actual sales would be equal to expected, if costs would not exceed estimated expenditures etc. Basically, likelihood of all other risks affects probability of liquidity risk. We can’t control and eliminate this risk, so we can either accept or reduce it by more accurate and effective estimation of sales and costs and by reducing other related risks. </w:t>
      </w:r>
    </w:p>
    <w:p w14:paraId="2CBA45FA" w14:textId="77777777" w:rsidR="00D549EE" w:rsidRPr="00D549EE" w:rsidRDefault="00D549EE" w:rsidP="00D549EE">
      <w:pPr>
        <w:jc w:val="both"/>
        <w:rPr>
          <w:iCs/>
          <w:color w:val="000000" w:themeColor="text1"/>
          <w:lang w:val="en-US"/>
        </w:rPr>
      </w:pPr>
      <w:r w:rsidRPr="00D549EE">
        <w:rPr>
          <w:iCs/>
          <w:color w:val="000000" w:themeColor="text1"/>
          <w:lang w:val="en-US"/>
        </w:rPr>
        <w:tab/>
        <w:t xml:space="preserve">(12) </w:t>
      </w:r>
      <w:r w:rsidRPr="00D549EE">
        <w:rPr>
          <w:i/>
          <w:color w:val="000000" w:themeColor="text1"/>
          <w:lang w:val="en-US"/>
        </w:rPr>
        <w:t xml:space="preserve">New entrants. </w:t>
      </w:r>
      <w:r w:rsidRPr="00D549EE">
        <w:rPr>
          <w:iCs/>
          <w:color w:val="000000" w:themeColor="text1"/>
          <w:lang w:val="en-US"/>
        </w:rPr>
        <w:t>We cannott avoid this risk, so we have to accept it. The only way to prevent negative influence from new entrants is to obtain sufficient funds and capture your target audience.</w:t>
      </w:r>
    </w:p>
    <w:p w14:paraId="011B42F1" w14:textId="77777777" w:rsidR="00D549EE" w:rsidRPr="00D549EE" w:rsidRDefault="00D549EE" w:rsidP="00D549EE">
      <w:pPr>
        <w:jc w:val="both"/>
        <w:rPr>
          <w:color w:val="000000" w:themeColor="text1"/>
          <w:lang w:val="en-US"/>
        </w:rPr>
      </w:pPr>
      <w:r w:rsidRPr="00D549EE">
        <w:rPr>
          <w:color w:val="000000" w:themeColor="text1"/>
          <w:lang w:val="en-US"/>
        </w:rPr>
        <w:tab/>
        <w:t xml:space="preserve">(16) </w:t>
      </w:r>
      <w:r w:rsidRPr="00D549EE">
        <w:rPr>
          <w:i/>
          <w:iCs/>
          <w:color w:val="000000" w:themeColor="text1"/>
          <w:lang w:val="en-US"/>
        </w:rPr>
        <w:t>Losing of market share</w:t>
      </w:r>
      <w:r w:rsidRPr="00D549EE">
        <w:rPr>
          <w:color w:val="000000" w:themeColor="text1"/>
          <w:lang w:val="en-US"/>
        </w:rPr>
        <w:t xml:space="preserve">. This risk could appear when our company find and capture some target audience. So, this risk is to be appeared when company is fully in operational cycle, that is after several months. It is a normal practice when some of your customers once leave you, and we cannot control choice of everyone. But by risk of losing market share we consider a losing of large number of target customers. So that, we have to eliminate losing significant share of market. Our suggestion is to encourage loyal customers with bonuses and discounts. Be in touch with customers through social networks remind them about bonuses or discounts due to holiday campaign. This should be done periodically or only when there is some holiday, in order to prevent getting them annoyed. Decorating furniture due to respective event is also could be done. </w:t>
      </w:r>
    </w:p>
    <w:p w14:paraId="0DE3D718" w14:textId="77777777" w:rsidR="00D549EE" w:rsidRPr="00D549EE" w:rsidRDefault="00D549EE" w:rsidP="00D549EE">
      <w:pPr>
        <w:rPr>
          <w:color w:val="000000" w:themeColor="text1"/>
          <w:lang w:val="en-US"/>
        </w:rPr>
      </w:pPr>
    </w:p>
    <w:p w14:paraId="78BF6864" w14:textId="77777777" w:rsidR="00D549EE" w:rsidRPr="00D549EE" w:rsidRDefault="00D549EE" w:rsidP="00D549EE">
      <w:pPr>
        <w:rPr>
          <w:i/>
          <w:color w:val="000000" w:themeColor="text1"/>
          <w:lang w:val="en-US"/>
        </w:rPr>
      </w:pPr>
      <w:r w:rsidRPr="00D549EE">
        <w:rPr>
          <w:b/>
          <w:color w:val="000000" w:themeColor="text1"/>
          <w:lang w:val="en-US"/>
        </w:rPr>
        <w:tab/>
      </w:r>
      <w:r w:rsidRPr="00D549EE">
        <w:rPr>
          <w:i/>
          <w:color w:val="000000" w:themeColor="text1"/>
          <w:lang w:val="en-US"/>
        </w:rPr>
        <w:t xml:space="preserve">Sensitivity testing </w:t>
      </w:r>
    </w:p>
    <w:p w14:paraId="6214C444" w14:textId="77777777" w:rsidR="00D549EE" w:rsidRPr="00D549EE" w:rsidRDefault="00D549EE" w:rsidP="00D549EE">
      <w:pPr>
        <w:jc w:val="both"/>
        <w:rPr>
          <w:bCs/>
          <w:color w:val="000000" w:themeColor="text1"/>
          <w:lang w:val="en-US"/>
        </w:rPr>
      </w:pPr>
      <w:r w:rsidRPr="00D549EE">
        <w:rPr>
          <w:bCs/>
          <w:color w:val="000000" w:themeColor="text1"/>
          <w:lang w:val="en-US"/>
        </w:rPr>
        <w:tab/>
        <w:t xml:space="preserve">It is almost impossible to predict exact and accurate outcomes. It is highly useful to check important variables on their sensitivity to changes in some inputs. Because we can find and evaluate what inputs have the highest influence, so that we will be able to rank sensitivity of variables to the inputs. </w:t>
      </w:r>
    </w:p>
    <w:p w14:paraId="51BA5791" w14:textId="77777777" w:rsidR="00D549EE" w:rsidRPr="00D549EE" w:rsidRDefault="00D549EE" w:rsidP="00D549EE">
      <w:pPr>
        <w:jc w:val="both"/>
        <w:rPr>
          <w:bCs/>
          <w:color w:val="000000" w:themeColor="text1"/>
          <w:lang w:val="en-US"/>
        </w:rPr>
      </w:pPr>
      <w:r w:rsidRPr="00D549EE">
        <w:rPr>
          <w:bCs/>
          <w:i/>
          <w:iCs/>
          <w:color w:val="000000" w:themeColor="text1"/>
          <w:lang w:val="en-US"/>
        </w:rPr>
        <w:tab/>
        <w:t>Net Income.</w:t>
      </w:r>
      <w:r w:rsidRPr="00D549EE">
        <w:rPr>
          <w:bCs/>
          <w:color w:val="000000" w:themeColor="text1"/>
          <w:lang w:val="en-US"/>
        </w:rPr>
        <w:t xml:space="preserve"> We evaluated what would happen, if our expected level of occupancy per month deviated from predicted value by 20%: </w:t>
      </w:r>
    </w:p>
    <w:p w14:paraId="74BE40F8" w14:textId="77777777" w:rsidR="00D549EE" w:rsidRPr="00D549EE" w:rsidRDefault="00D549EE" w:rsidP="00D549EE">
      <w:pPr>
        <w:jc w:val="both"/>
        <w:rPr>
          <w:bCs/>
          <w:color w:val="000000" w:themeColor="text1"/>
          <w:lang w:val="en-US"/>
        </w:rPr>
      </w:pPr>
      <w:r w:rsidRPr="00D549EE">
        <w:rPr>
          <w:bCs/>
          <w:color w:val="000000" w:themeColor="text1"/>
          <w:lang w:val="en-US"/>
        </w:rPr>
        <w:tab/>
      </w:r>
    </w:p>
    <w:p w14:paraId="41CF6E7E" w14:textId="08326427" w:rsidR="00D549EE" w:rsidRPr="00D549EE" w:rsidRDefault="00D549EE" w:rsidP="00D549EE">
      <w:pPr>
        <w:jc w:val="both"/>
        <w:rPr>
          <w:bCs/>
          <w:color w:val="000000" w:themeColor="text1"/>
          <w:lang w:val="en-US"/>
        </w:rPr>
      </w:pPr>
      <w:r w:rsidRPr="00D549EE">
        <w:rPr>
          <w:bCs/>
          <w:color w:val="000000" w:themeColor="text1"/>
          <w:lang w:val="en-US"/>
        </w:rPr>
        <w:t>Table 12</w:t>
      </w:r>
      <w:r>
        <w:rPr>
          <w:bCs/>
          <w:color w:val="000000" w:themeColor="text1"/>
          <w:lang w:val="en-US"/>
        </w:rPr>
        <w:t xml:space="preserve"> -</w:t>
      </w:r>
      <w:r w:rsidRPr="00D549EE">
        <w:rPr>
          <w:bCs/>
          <w:color w:val="000000" w:themeColor="text1"/>
          <w:lang w:val="en-US"/>
        </w:rPr>
        <w:t xml:space="preserve">  Sensitivity test for 2 years </w:t>
      </w:r>
    </w:p>
    <w:p w14:paraId="4DCEB01D" w14:textId="77777777" w:rsidR="00D549EE" w:rsidRPr="00D549EE" w:rsidRDefault="00D549EE" w:rsidP="00D549EE">
      <w:pPr>
        <w:jc w:val="both"/>
        <w:rPr>
          <w:bCs/>
          <w:color w:val="000000" w:themeColor="text1"/>
          <w:lang w:val="en-US"/>
        </w:rPr>
      </w:pPr>
    </w:p>
    <w:tbl>
      <w:tblPr>
        <w:tblW w:w="9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2042"/>
        <w:gridCol w:w="2062"/>
        <w:gridCol w:w="2690"/>
      </w:tblGrid>
      <w:tr w:rsidR="00D549EE" w:rsidRPr="00D549EE" w14:paraId="1DDE753A" w14:textId="77777777" w:rsidTr="00D549EE">
        <w:trPr>
          <w:trHeight w:val="380"/>
        </w:trPr>
        <w:tc>
          <w:tcPr>
            <w:tcW w:w="0" w:type="auto"/>
            <w:shd w:val="clear" w:color="auto" w:fill="auto"/>
            <w:noWrap/>
            <w:vAlign w:val="bottom"/>
            <w:hideMark/>
          </w:tcPr>
          <w:p w14:paraId="0D47284C" w14:textId="77777777" w:rsidR="00D549EE" w:rsidRPr="00D549EE" w:rsidRDefault="00D549EE" w:rsidP="00D549EE">
            <w:pPr>
              <w:rPr>
                <w:color w:val="000000" w:themeColor="text1"/>
              </w:rPr>
            </w:pPr>
            <w:r w:rsidRPr="00D549EE">
              <w:rPr>
                <w:color w:val="000000" w:themeColor="text1"/>
              </w:rPr>
              <w:t>Year 1</w:t>
            </w:r>
          </w:p>
        </w:tc>
        <w:tc>
          <w:tcPr>
            <w:tcW w:w="2042" w:type="dxa"/>
            <w:shd w:val="clear" w:color="auto" w:fill="auto"/>
            <w:noWrap/>
            <w:vAlign w:val="bottom"/>
            <w:hideMark/>
          </w:tcPr>
          <w:p w14:paraId="7DE1A454" w14:textId="77777777" w:rsidR="00D549EE" w:rsidRPr="00D549EE" w:rsidRDefault="00D549EE" w:rsidP="00D549EE">
            <w:pPr>
              <w:rPr>
                <w:iCs/>
                <w:color w:val="000000" w:themeColor="text1"/>
              </w:rPr>
            </w:pPr>
            <w:r w:rsidRPr="00D549EE">
              <w:rPr>
                <w:iCs/>
                <w:color w:val="000000" w:themeColor="text1"/>
              </w:rPr>
              <w:t>sensitivity (20%)</w:t>
            </w:r>
          </w:p>
        </w:tc>
        <w:tc>
          <w:tcPr>
            <w:tcW w:w="2062" w:type="dxa"/>
            <w:shd w:val="clear" w:color="auto" w:fill="auto"/>
            <w:noWrap/>
            <w:vAlign w:val="bottom"/>
            <w:hideMark/>
          </w:tcPr>
          <w:p w14:paraId="546A179C" w14:textId="77777777" w:rsidR="00D549EE" w:rsidRPr="00D549EE" w:rsidRDefault="00D549EE" w:rsidP="00D549EE">
            <w:pPr>
              <w:rPr>
                <w:iCs/>
                <w:color w:val="000000" w:themeColor="text1"/>
              </w:rPr>
            </w:pPr>
          </w:p>
        </w:tc>
        <w:tc>
          <w:tcPr>
            <w:tcW w:w="2690" w:type="dxa"/>
            <w:shd w:val="clear" w:color="auto" w:fill="auto"/>
            <w:noWrap/>
            <w:vAlign w:val="bottom"/>
            <w:hideMark/>
          </w:tcPr>
          <w:p w14:paraId="0518A77F" w14:textId="77777777" w:rsidR="00D549EE" w:rsidRPr="00D549EE" w:rsidRDefault="00D549EE" w:rsidP="00D549EE">
            <w:pPr>
              <w:rPr>
                <w:iCs/>
                <w:color w:val="000000" w:themeColor="text1"/>
              </w:rPr>
            </w:pPr>
            <w:r w:rsidRPr="00D549EE">
              <w:rPr>
                <w:iCs/>
                <w:color w:val="000000" w:themeColor="text1"/>
              </w:rPr>
              <w:t>sensitivity (+20%)</w:t>
            </w:r>
          </w:p>
        </w:tc>
      </w:tr>
      <w:tr w:rsidR="00D549EE" w:rsidRPr="00D549EE" w14:paraId="1937371C" w14:textId="77777777" w:rsidTr="00D549EE">
        <w:trPr>
          <w:trHeight w:val="470"/>
        </w:trPr>
        <w:tc>
          <w:tcPr>
            <w:tcW w:w="0" w:type="auto"/>
            <w:shd w:val="clear" w:color="auto" w:fill="auto"/>
            <w:noWrap/>
            <w:vAlign w:val="bottom"/>
            <w:hideMark/>
          </w:tcPr>
          <w:p w14:paraId="7A43ED7C" w14:textId="77777777" w:rsidR="00D549EE" w:rsidRPr="00D549EE" w:rsidRDefault="00D549EE" w:rsidP="00D549EE">
            <w:pPr>
              <w:rPr>
                <w:color w:val="000000" w:themeColor="text1"/>
              </w:rPr>
            </w:pPr>
            <w:r w:rsidRPr="00D549EE">
              <w:rPr>
                <w:color w:val="000000" w:themeColor="text1"/>
              </w:rPr>
              <w:t>Sales Revenue</w:t>
            </w:r>
          </w:p>
        </w:tc>
        <w:tc>
          <w:tcPr>
            <w:tcW w:w="2042" w:type="dxa"/>
            <w:shd w:val="clear" w:color="auto" w:fill="auto"/>
            <w:noWrap/>
            <w:vAlign w:val="bottom"/>
            <w:hideMark/>
          </w:tcPr>
          <w:p w14:paraId="1AFAAFD3" w14:textId="77777777" w:rsidR="00D549EE" w:rsidRPr="00D549EE" w:rsidRDefault="00D549EE" w:rsidP="00D549EE">
            <w:pPr>
              <w:rPr>
                <w:iCs/>
                <w:color w:val="000000" w:themeColor="text1"/>
              </w:rPr>
            </w:pPr>
            <w:r w:rsidRPr="00D549EE">
              <w:rPr>
                <w:iCs/>
                <w:color w:val="000000" w:themeColor="text1"/>
              </w:rPr>
              <w:t xml:space="preserve"> 33 729 500,00 </w:t>
            </w:r>
          </w:p>
        </w:tc>
        <w:tc>
          <w:tcPr>
            <w:tcW w:w="2062" w:type="dxa"/>
            <w:shd w:val="clear" w:color="auto" w:fill="auto"/>
            <w:noWrap/>
            <w:vAlign w:val="bottom"/>
            <w:hideMark/>
          </w:tcPr>
          <w:p w14:paraId="1E37FC35" w14:textId="77777777" w:rsidR="00D549EE" w:rsidRPr="00D549EE" w:rsidRDefault="00D549EE" w:rsidP="00D549EE">
            <w:pPr>
              <w:rPr>
                <w:color w:val="000000" w:themeColor="text1"/>
              </w:rPr>
            </w:pPr>
            <w:r w:rsidRPr="00D549EE">
              <w:rPr>
                <w:color w:val="000000" w:themeColor="text1"/>
              </w:rPr>
              <w:t xml:space="preserve">     33 729 500,00 </w:t>
            </w:r>
          </w:p>
        </w:tc>
        <w:tc>
          <w:tcPr>
            <w:tcW w:w="2690" w:type="dxa"/>
            <w:shd w:val="clear" w:color="auto" w:fill="auto"/>
            <w:noWrap/>
            <w:vAlign w:val="bottom"/>
            <w:hideMark/>
          </w:tcPr>
          <w:p w14:paraId="64D34CD3" w14:textId="77777777" w:rsidR="00D549EE" w:rsidRPr="00D549EE" w:rsidRDefault="00D549EE" w:rsidP="00D549EE">
            <w:pPr>
              <w:rPr>
                <w:iCs/>
                <w:color w:val="000000" w:themeColor="text1"/>
              </w:rPr>
            </w:pPr>
            <w:r w:rsidRPr="00D549EE">
              <w:rPr>
                <w:iCs/>
                <w:color w:val="000000" w:themeColor="text1"/>
              </w:rPr>
              <w:t xml:space="preserve">       33 729 500,00 </w:t>
            </w:r>
          </w:p>
        </w:tc>
      </w:tr>
      <w:tr w:rsidR="00D549EE" w:rsidRPr="00D549EE" w14:paraId="2ADD9E52" w14:textId="77777777" w:rsidTr="00D549EE">
        <w:trPr>
          <w:trHeight w:val="420"/>
        </w:trPr>
        <w:tc>
          <w:tcPr>
            <w:tcW w:w="0" w:type="auto"/>
            <w:shd w:val="clear" w:color="auto" w:fill="auto"/>
            <w:noWrap/>
            <w:vAlign w:val="bottom"/>
            <w:hideMark/>
          </w:tcPr>
          <w:p w14:paraId="7649FBB2" w14:textId="77777777" w:rsidR="00D549EE" w:rsidRPr="00D549EE" w:rsidRDefault="00D549EE" w:rsidP="00D549EE">
            <w:pPr>
              <w:rPr>
                <w:color w:val="000000" w:themeColor="text1"/>
              </w:rPr>
            </w:pPr>
            <w:r w:rsidRPr="00D549EE">
              <w:rPr>
                <w:color w:val="000000" w:themeColor="text1"/>
              </w:rPr>
              <w:t>Cost of sales</w:t>
            </w:r>
          </w:p>
        </w:tc>
        <w:tc>
          <w:tcPr>
            <w:tcW w:w="2042" w:type="dxa"/>
            <w:shd w:val="clear" w:color="auto" w:fill="auto"/>
            <w:noWrap/>
            <w:vAlign w:val="bottom"/>
            <w:hideMark/>
          </w:tcPr>
          <w:p w14:paraId="0F49C34B" w14:textId="77777777" w:rsidR="00D549EE" w:rsidRPr="00D549EE" w:rsidRDefault="00D549EE" w:rsidP="00D549EE">
            <w:pPr>
              <w:rPr>
                <w:iCs/>
                <w:color w:val="000000" w:themeColor="text1"/>
              </w:rPr>
            </w:pPr>
            <w:r w:rsidRPr="00D549EE">
              <w:rPr>
                <w:iCs/>
                <w:color w:val="000000" w:themeColor="text1"/>
              </w:rPr>
              <w:t xml:space="preserve">-  3 675 850,00 </w:t>
            </w:r>
          </w:p>
        </w:tc>
        <w:tc>
          <w:tcPr>
            <w:tcW w:w="2062" w:type="dxa"/>
            <w:shd w:val="clear" w:color="auto" w:fill="auto"/>
            <w:noWrap/>
            <w:vAlign w:val="bottom"/>
            <w:hideMark/>
          </w:tcPr>
          <w:p w14:paraId="1BD5CFD1" w14:textId="77777777" w:rsidR="00D549EE" w:rsidRPr="00D549EE" w:rsidRDefault="00D549EE" w:rsidP="00D549EE">
            <w:pPr>
              <w:rPr>
                <w:color w:val="000000" w:themeColor="text1"/>
              </w:rPr>
            </w:pPr>
            <w:r w:rsidRPr="00D549EE">
              <w:rPr>
                <w:color w:val="000000" w:themeColor="text1"/>
              </w:rPr>
              <w:t xml:space="preserve">-       3 675 850,00 </w:t>
            </w:r>
          </w:p>
        </w:tc>
        <w:tc>
          <w:tcPr>
            <w:tcW w:w="2690" w:type="dxa"/>
            <w:shd w:val="clear" w:color="auto" w:fill="auto"/>
            <w:noWrap/>
            <w:vAlign w:val="bottom"/>
            <w:hideMark/>
          </w:tcPr>
          <w:p w14:paraId="749247E9" w14:textId="77777777" w:rsidR="00D549EE" w:rsidRPr="00D549EE" w:rsidRDefault="00D549EE" w:rsidP="00D549EE">
            <w:pPr>
              <w:rPr>
                <w:iCs/>
                <w:color w:val="000000" w:themeColor="text1"/>
              </w:rPr>
            </w:pPr>
            <w:r w:rsidRPr="00D549EE">
              <w:rPr>
                <w:iCs/>
                <w:color w:val="000000" w:themeColor="text1"/>
              </w:rPr>
              <w:t xml:space="preserve">-       3 675 850,00 </w:t>
            </w:r>
          </w:p>
        </w:tc>
      </w:tr>
      <w:tr w:rsidR="00D549EE" w:rsidRPr="00D549EE" w14:paraId="49D971A5" w14:textId="77777777" w:rsidTr="00D549EE">
        <w:trPr>
          <w:trHeight w:val="420"/>
        </w:trPr>
        <w:tc>
          <w:tcPr>
            <w:tcW w:w="0" w:type="auto"/>
            <w:shd w:val="clear" w:color="auto" w:fill="auto"/>
            <w:noWrap/>
            <w:vAlign w:val="bottom"/>
            <w:hideMark/>
          </w:tcPr>
          <w:p w14:paraId="130F8031" w14:textId="77777777" w:rsidR="00D549EE" w:rsidRPr="00D549EE" w:rsidRDefault="00D549EE" w:rsidP="00D549EE">
            <w:pPr>
              <w:rPr>
                <w:color w:val="000000" w:themeColor="text1"/>
              </w:rPr>
            </w:pPr>
            <w:r w:rsidRPr="00D549EE">
              <w:rPr>
                <w:color w:val="000000" w:themeColor="text1"/>
              </w:rPr>
              <w:t>Gross profit</w:t>
            </w:r>
          </w:p>
        </w:tc>
        <w:tc>
          <w:tcPr>
            <w:tcW w:w="2042" w:type="dxa"/>
            <w:shd w:val="clear" w:color="auto" w:fill="auto"/>
            <w:noWrap/>
            <w:vAlign w:val="bottom"/>
            <w:hideMark/>
          </w:tcPr>
          <w:p w14:paraId="54B58774" w14:textId="77777777" w:rsidR="00D549EE" w:rsidRPr="00D549EE" w:rsidRDefault="00D549EE" w:rsidP="00D549EE">
            <w:pPr>
              <w:rPr>
                <w:b/>
                <w:bCs/>
                <w:iCs/>
                <w:color w:val="000000" w:themeColor="text1"/>
              </w:rPr>
            </w:pPr>
            <w:r w:rsidRPr="00D549EE">
              <w:rPr>
                <w:b/>
                <w:bCs/>
                <w:iCs/>
                <w:color w:val="000000" w:themeColor="text1"/>
              </w:rPr>
              <w:t xml:space="preserve"> 30 053 650,00 </w:t>
            </w:r>
          </w:p>
        </w:tc>
        <w:tc>
          <w:tcPr>
            <w:tcW w:w="2062" w:type="dxa"/>
            <w:shd w:val="clear" w:color="auto" w:fill="auto"/>
            <w:noWrap/>
            <w:vAlign w:val="bottom"/>
            <w:hideMark/>
          </w:tcPr>
          <w:p w14:paraId="531A5B0F" w14:textId="77777777" w:rsidR="00D549EE" w:rsidRPr="00D549EE" w:rsidRDefault="00D549EE" w:rsidP="00D549EE">
            <w:pPr>
              <w:rPr>
                <w:b/>
                <w:bCs/>
                <w:color w:val="000000" w:themeColor="text1"/>
              </w:rPr>
            </w:pPr>
            <w:r w:rsidRPr="00D549EE">
              <w:rPr>
                <w:b/>
                <w:bCs/>
                <w:color w:val="000000" w:themeColor="text1"/>
              </w:rPr>
              <w:t xml:space="preserve">     30 053 650,00 </w:t>
            </w:r>
          </w:p>
        </w:tc>
        <w:tc>
          <w:tcPr>
            <w:tcW w:w="2690" w:type="dxa"/>
            <w:shd w:val="clear" w:color="auto" w:fill="auto"/>
            <w:noWrap/>
            <w:vAlign w:val="bottom"/>
            <w:hideMark/>
          </w:tcPr>
          <w:p w14:paraId="35243A32" w14:textId="77777777" w:rsidR="00D549EE" w:rsidRPr="00D549EE" w:rsidRDefault="00D549EE" w:rsidP="00D549EE">
            <w:pPr>
              <w:rPr>
                <w:b/>
                <w:bCs/>
                <w:iCs/>
                <w:color w:val="000000" w:themeColor="text1"/>
              </w:rPr>
            </w:pPr>
            <w:r w:rsidRPr="00D549EE">
              <w:rPr>
                <w:b/>
                <w:bCs/>
                <w:iCs/>
                <w:color w:val="000000" w:themeColor="text1"/>
              </w:rPr>
              <w:t xml:space="preserve">       30 053 650,00 </w:t>
            </w:r>
          </w:p>
        </w:tc>
      </w:tr>
      <w:tr w:rsidR="00D549EE" w:rsidRPr="00D549EE" w14:paraId="0BE87C64" w14:textId="77777777" w:rsidTr="00D549EE">
        <w:trPr>
          <w:trHeight w:val="420"/>
        </w:trPr>
        <w:tc>
          <w:tcPr>
            <w:tcW w:w="0" w:type="auto"/>
            <w:shd w:val="clear" w:color="auto" w:fill="auto"/>
            <w:noWrap/>
            <w:vAlign w:val="bottom"/>
            <w:hideMark/>
          </w:tcPr>
          <w:p w14:paraId="35E9ACD8" w14:textId="77777777" w:rsidR="00D549EE" w:rsidRPr="00D549EE" w:rsidRDefault="00D549EE" w:rsidP="00D549EE">
            <w:pPr>
              <w:rPr>
                <w:color w:val="000000" w:themeColor="text1"/>
              </w:rPr>
            </w:pPr>
            <w:r w:rsidRPr="00D549EE">
              <w:rPr>
                <w:color w:val="000000" w:themeColor="text1"/>
              </w:rPr>
              <w:t>Administrative expenses</w:t>
            </w:r>
          </w:p>
        </w:tc>
        <w:tc>
          <w:tcPr>
            <w:tcW w:w="2042" w:type="dxa"/>
            <w:shd w:val="clear" w:color="auto" w:fill="auto"/>
            <w:noWrap/>
            <w:vAlign w:val="bottom"/>
            <w:hideMark/>
          </w:tcPr>
          <w:p w14:paraId="6098B581" w14:textId="77777777" w:rsidR="00D549EE" w:rsidRPr="00D549EE" w:rsidRDefault="00D549EE" w:rsidP="00D549EE">
            <w:pPr>
              <w:rPr>
                <w:iCs/>
                <w:color w:val="000000" w:themeColor="text1"/>
              </w:rPr>
            </w:pPr>
            <w:r w:rsidRPr="00D549EE">
              <w:rPr>
                <w:iCs/>
                <w:color w:val="000000" w:themeColor="text1"/>
              </w:rPr>
              <w:t xml:space="preserve">-  6 756 475,00 </w:t>
            </w:r>
          </w:p>
        </w:tc>
        <w:tc>
          <w:tcPr>
            <w:tcW w:w="2062" w:type="dxa"/>
            <w:shd w:val="clear" w:color="auto" w:fill="auto"/>
            <w:noWrap/>
            <w:vAlign w:val="bottom"/>
            <w:hideMark/>
          </w:tcPr>
          <w:p w14:paraId="5D780A4D" w14:textId="77777777" w:rsidR="00D549EE" w:rsidRPr="00D549EE" w:rsidRDefault="00D549EE" w:rsidP="00D549EE">
            <w:pPr>
              <w:rPr>
                <w:color w:val="000000" w:themeColor="text1"/>
              </w:rPr>
            </w:pPr>
            <w:r w:rsidRPr="00D549EE">
              <w:rPr>
                <w:color w:val="000000" w:themeColor="text1"/>
              </w:rPr>
              <w:t xml:space="preserve">-       6 756 475,00 </w:t>
            </w:r>
          </w:p>
        </w:tc>
        <w:tc>
          <w:tcPr>
            <w:tcW w:w="2690" w:type="dxa"/>
            <w:shd w:val="clear" w:color="auto" w:fill="auto"/>
            <w:noWrap/>
            <w:vAlign w:val="bottom"/>
            <w:hideMark/>
          </w:tcPr>
          <w:p w14:paraId="61301026" w14:textId="77777777" w:rsidR="00D549EE" w:rsidRPr="00D549EE" w:rsidRDefault="00D549EE" w:rsidP="00D549EE">
            <w:pPr>
              <w:rPr>
                <w:iCs/>
                <w:color w:val="000000" w:themeColor="text1"/>
              </w:rPr>
            </w:pPr>
            <w:r w:rsidRPr="00D549EE">
              <w:rPr>
                <w:iCs/>
                <w:color w:val="000000" w:themeColor="text1"/>
              </w:rPr>
              <w:t xml:space="preserve">-       6 756 475,00 </w:t>
            </w:r>
          </w:p>
        </w:tc>
      </w:tr>
      <w:tr w:rsidR="00D549EE" w:rsidRPr="00D549EE" w14:paraId="290902CE" w14:textId="77777777" w:rsidTr="00D549EE">
        <w:trPr>
          <w:trHeight w:val="420"/>
        </w:trPr>
        <w:tc>
          <w:tcPr>
            <w:tcW w:w="0" w:type="auto"/>
            <w:shd w:val="clear" w:color="auto" w:fill="auto"/>
            <w:noWrap/>
            <w:vAlign w:val="bottom"/>
            <w:hideMark/>
          </w:tcPr>
          <w:p w14:paraId="70F8C218" w14:textId="77777777" w:rsidR="00D549EE" w:rsidRPr="00D549EE" w:rsidRDefault="00D549EE" w:rsidP="00D549EE">
            <w:pPr>
              <w:rPr>
                <w:color w:val="000000" w:themeColor="text1"/>
              </w:rPr>
            </w:pPr>
            <w:r w:rsidRPr="00D549EE">
              <w:rPr>
                <w:color w:val="000000" w:themeColor="text1"/>
              </w:rPr>
              <w:t>Operating expenses</w:t>
            </w:r>
          </w:p>
        </w:tc>
        <w:tc>
          <w:tcPr>
            <w:tcW w:w="2042" w:type="dxa"/>
            <w:shd w:val="clear" w:color="auto" w:fill="auto"/>
            <w:noWrap/>
            <w:vAlign w:val="bottom"/>
            <w:hideMark/>
          </w:tcPr>
          <w:p w14:paraId="123B14A6" w14:textId="77777777" w:rsidR="00D549EE" w:rsidRPr="00D549EE" w:rsidRDefault="00D549EE" w:rsidP="00D549EE">
            <w:pPr>
              <w:rPr>
                <w:iCs/>
                <w:color w:val="000000" w:themeColor="text1"/>
              </w:rPr>
            </w:pPr>
            <w:r w:rsidRPr="00D549EE">
              <w:rPr>
                <w:iCs/>
                <w:color w:val="000000" w:themeColor="text1"/>
              </w:rPr>
              <w:t xml:space="preserve">-19 418 253,97 </w:t>
            </w:r>
          </w:p>
        </w:tc>
        <w:tc>
          <w:tcPr>
            <w:tcW w:w="2062" w:type="dxa"/>
            <w:shd w:val="clear" w:color="auto" w:fill="auto"/>
            <w:noWrap/>
            <w:vAlign w:val="bottom"/>
            <w:hideMark/>
          </w:tcPr>
          <w:p w14:paraId="7F93D694" w14:textId="77777777" w:rsidR="00D549EE" w:rsidRPr="00D549EE" w:rsidRDefault="00D549EE" w:rsidP="00D549EE">
            <w:pPr>
              <w:rPr>
                <w:color w:val="000000" w:themeColor="text1"/>
              </w:rPr>
            </w:pPr>
            <w:r w:rsidRPr="00D549EE">
              <w:rPr>
                <w:color w:val="000000" w:themeColor="text1"/>
              </w:rPr>
              <w:t xml:space="preserve">-    23 301 904,76 </w:t>
            </w:r>
          </w:p>
        </w:tc>
        <w:tc>
          <w:tcPr>
            <w:tcW w:w="2690" w:type="dxa"/>
            <w:shd w:val="clear" w:color="auto" w:fill="auto"/>
            <w:noWrap/>
            <w:vAlign w:val="bottom"/>
            <w:hideMark/>
          </w:tcPr>
          <w:p w14:paraId="659BE765" w14:textId="77777777" w:rsidR="00D549EE" w:rsidRPr="00D549EE" w:rsidRDefault="00D549EE" w:rsidP="00D549EE">
            <w:pPr>
              <w:rPr>
                <w:iCs/>
                <w:color w:val="000000" w:themeColor="text1"/>
              </w:rPr>
            </w:pPr>
            <w:r w:rsidRPr="00D549EE">
              <w:rPr>
                <w:iCs/>
                <w:color w:val="000000" w:themeColor="text1"/>
              </w:rPr>
              <w:t xml:space="preserve">-     27 962 285,71 </w:t>
            </w:r>
          </w:p>
        </w:tc>
      </w:tr>
      <w:tr w:rsidR="00D549EE" w:rsidRPr="00D549EE" w14:paraId="3C794FEE" w14:textId="77777777" w:rsidTr="00D549EE">
        <w:trPr>
          <w:trHeight w:val="420"/>
        </w:trPr>
        <w:tc>
          <w:tcPr>
            <w:tcW w:w="0" w:type="auto"/>
            <w:shd w:val="clear" w:color="auto" w:fill="auto"/>
            <w:noWrap/>
            <w:vAlign w:val="bottom"/>
            <w:hideMark/>
          </w:tcPr>
          <w:p w14:paraId="59BD6F01" w14:textId="77777777" w:rsidR="00D549EE" w:rsidRPr="00D549EE" w:rsidRDefault="00D549EE" w:rsidP="00D549EE">
            <w:pPr>
              <w:rPr>
                <w:color w:val="000000" w:themeColor="text1"/>
              </w:rPr>
            </w:pPr>
            <w:r w:rsidRPr="00D549EE">
              <w:rPr>
                <w:color w:val="000000" w:themeColor="text1"/>
              </w:rPr>
              <w:t>Operating profit</w:t>
            </w:r>
          </w:p>
        </w:tc>
        <w:tc>
          <w:tcPr>
            <w:tcW w:w="2042" w:type="dxa"/>
            <w:shd w:val="clear" w:color="auto" w:fill="auto"/>
            <w:noWrap/>
            <w:vAlign w:val="bottom"/>
            <w:hideMark/>
          </w:tcPr>
          <w:p w14:paraId="53584EDB" w14:textId="77777777" w:rsidR="00D549EE" w:rsidRPr="00D549EE" w:rsidRDefault="00D549EE" w:rsidP="00D549EE">
            <w:pPr>
              <w:rPr>
                <w:iCs/>
                <w:color w:val="000000" w:themeColor="text1"/>
              </w:rPr>
            </w:pPr>
            <w:r w:rsidRPr="00D549EE">
              <w:rPr>
                <w:iCs/>
                <w:color w:val="000000" w:themeColor="text1"/>
              </w:rPr>
              <w:t xml:space="preserve">   3 878 921,03 </w:t>
            </w:r>
          </w:p>
        </w:tc>
        <w:tc>
          <w:tcPr>
            <w:tcW w:w="2062" w:type="dxa"/>
            <w:shd w:val="clear" w:color="auto" w:fill="auto"/>
            <w:noWrap/>
            <w:vAlign w:val="bottom"/>
            <w:hideMark/>
          </w:tcPr>
          <w:p w14:paraId="7DD60B0F" w14:textId="77777777" w:rsidR="00D549EE" w:rsidRPr="00D549EE" w:rsidRDefault="00D549EE" w:rsidP="00D549EE">
            <w:pPr>
              <w:rPr>
                <w:color w:val="000000" w:themeColor="text1"/>
              </w:rPr>
            </w:pPr>
            <w:r w:rsidRPr="00D549EE">
              <w:rPr>
                <w:color w:val="000000" w:themeColor="text1"/>
              </w:rPr>
              <w:t xml:space="preserve">-             4 729,76 </w:t>
            </w:r>
          </w:p>
        </w:tc>
        <w:tc>
          <w:tcPr>
            <w:tcW w:w="2690" w:type="dxa"/>
            <w:shd w:val="clear" w:color="auto" w:fill="auto"/>
            <w:noWrap/>
            <w:vAlign w:val="bottom"/>
            <w:hideMark/>
          </w:tcPr>
          <w:p w14:paraId="1773470C" w14:textId="77777777" w:rsidR="00D549EE" w:rsidRPr="00D549EE" w:rsidRDefault="00D549EE" w:rsidP="00D549EE">
            <w:pPr>
              <w:rPr>
                <w:iCs/>
                <w:color w:val="000000" w:themeColor="text1"/>
              </w:rPr>
            </w:pPr>
            <w:r w:rsidRPr="00D549EE">
              <w:rPr>
                <w:iCs/>
                <w:color w:val="000000" w:themeColor="text1"/>
              </w:rPr>
              <w:t xml:space="preserve">-       4 665 110,71 </w:t>
            </w:r>
          </w:p>
        </w:tc>
      </w:tr>
      <w:tr w:rsidR="00D549EE" w:rsidRPr="00D549EE" w14:paraId="5B392AC2" w14:textId="77777777" w:rsidTr="00D549EE">
        <w:trPr>
          <w:trHeight w:val="420"/>
        </w:trPr>
        <w:tc>
          <w:tcPr>
            <w:tcW w:w="0" w:type="auto"/>
            <w:shd w:val="clear" w:color="auto" w:fill="auto"/>
            <w:noWrap/>
            <w:vAlign w:val="bottom"/>
            <w:hideMark/>
          </w:tcPr>
          <w:p w14:paraId="14FC3C9F" w14:textId="77777777" w:rsidR="00D549EE" w:rsidRPr="00D549EE" w:rsidRDefault="00D549EE" w:rsidP="00D549EE">
            <w:pPr>
              <w:rPr>
                <w:color w:val="000000" w:themeColor="text1"/>
              </w:rPr>
            </w:pPr>
            <w:r w:rsidRPr="00D549EE">
              <w:rPr>
                <w:color w:val="000000" w:themeColor="text1"/>
              </w:rPr>
              <w:t>Finance costs</w:t>
            </w:r>
          </w:p>
        </w:tc>
        <w:tc>
          <w:tcPr>
            <w:tcW w:w="2042" w:type="dxa"/>
            <w:shd w:val="clear" w:color="auto" w:fill="auto"/>
            <w:noWrap/>
            <w:vAlign w:val="bottom"/>
            <w:hideMark/>
          </w:tcPr>
          <w:p w14:paraId="2BAE6D77" w14:textId="77777777" w:rsidR="00D549EE" w:rsidRPr="00D549EE" w:rsidRDefault="00D549EE" w:rsidP="00D549EE">
            <w:pPr>
              <w:rPr>
                <w:iCs/>
                <w:color w:val="000000" w:themeColor="text1"/>
              </w:rPr>
            </w:pPr>
            <w:r w:rsidRPr="00D549EE">
              <w:rPr>
                <w:iCs/>
                <w:color w:val="000000" w:themeColor="text1"/>
              </w:rPr>
              <w:t xml:space="preserve">-     348 601,81 </w:t>
            </w:r>
          </w:p>
        </w:tc>
        <w:tc>
          <w:tcPr>
            <w:tcW w:w="2062" w:type="dxa"/>
            <w:shd w:val="clear" w:color="auto" w:fill="auto"/>
            <w:noWrap/>
            <w:vAlign w:val="bottom"/>
            <w:hideMark/>
          </w:tcPr>
          <w:p w14:paraId="5DAA2F91" w14:textId="77777777" w:rsidR="00D549EE" w:rsidRPr="00D549EE" w:rsidRDefault="00D549EE" w:rsidP="00D549EE">
            <w:pPr>
              <w:rPr>
                <w:color w:val="000000" w:themeColor="text1"/>
              </w:rPr>
            </w:pPr>
            <w:r w:rsidRPr="00D549EE">
              <w:rPr>
                <w:color w:val="000000" w:themeColor="text1"/>
              </w:rPr>
              <w:t xml:space="preserve">-         348 601,81 </w:t>
            </w:r>
          </w:p>
        </w:tc>
        <w:tc>
          <w:tcPr>
            <w:tcW w:w="2690" w:type="dxa"/>
            <w:shd w:val="clear" w:color="auto" w:fill="auto"/>
            <w:noWrap/>
            <w:vAlign w:val="bottom"/>
            <w:hideMark/>
          </w:tcPr>
          <w:p w14:paraId="64EFB680" w14:textId="77777777" w:rsidR="00D549EE" w:rsidRPr="00D549EE" w:rsidRDefault="00D549EE" w:rsidP="00D549EE">
            <w:pPr>
              <w:rPr>
                <w:iCs/>
                <w:color w:val="000000" w:themeColor="text1"/>
              </w:rPr>
            </w:pPr>
            <w:r w:rsidRPr="00D549EE">
              <w:rPr>
                <w:iCs/>
                <w:color w:val="000000" w:themeColor="text1"/>
              </w:rPr>
              <w:t xml:space="preserve">-         348 601,81 </w:t>
            </w:r>
          </w:p>
        </w:tc>
      </w:tr>
      <w:tr w:rsidR="00D549EE" w:rsidRPr="00D549EE" w14:paraId="1F1FC308" w14:textId="77777777" w:rsidTr="00D549EE">
        <w:trPr>
          <w:trHeight w:val="430"/>
        </w:trPr>
        <w:tc>
          <w:tcPr>
            <w:tcW w:w="0" w:type="auto"/>
            <w:shd w:val="clear" w:color="auto" w:fill="auto"/>
            <w:noWrap/>
            <w:vAlign w:val="bottom"/>
            <w:hideMark/>
          </w:tcPr>
          <w:p w14:paraId="3B2A41A6" w14:textId="77777777" w:rsidR="00D549EE" w:rsidRPr="00D549EE" w:rsidRDefault="00D549EE" w:rsidP="00D549EE">
            <w:pPr>
              <w:rPr>
                <w:color w:val="000000" w:themeColor="text1"/>
              </w:rPr>
            </w:pPr>
            <w:r w:rsidRPr="00D549EE">
              <w:rPr>
                <w:color w:val="000000" w:themeColor="text1"/>
              </w:rPr>
              <w:t>Profit before tax</w:t>
            </w:r>
          </w:p>
        </w:tc>
        <w:tc>
          <w:tcPr>
            <w:tcW w:w="2042" w:type="dxa"/>
            <w:shd w:val="clear" w:color="auto" w:fill="auto"/>
            <w:noWrap/>
            <w:vAlign w:val="bottom"/>
            <w:hideMark/>
          </w:tcPr>
          <w:p w14:paraId="5F2549BB" w14:textId="77777777" w:rsidR="00D549EE" w:rsidRPr="00D549EE" w:rsidRDefault="00D549EE" w:rsidP="00D549EE">
            <w:pPr>
              <w:rPr>
                <w:b/>
                <w:bCs/>
                <w:iCs/>
                <w:color w:val="000000" w:themeColor="text1"/>
              </w:rPr>
            </w:pPr>
            <w:r w:rsidRPr="00D549EE">
              <w:rPr>
                <w:b/>
                <w:bCs/>
                <w:iCs/>
                <w:color w:val="000000" w:themeColor="text1"/>
              </w:rPr>
              <w:t xml:space="preserve">3 530 319,22 </w:t>
            </w:r>
          </w:p>
        </w:tc>
        <w:tc>
          <w:tcPr>
            <w:tcW w:w="2062" w:type="dxa"/>
            <w:shd w:val="clear" w:color="auto" w:fill="auto"/>
            <w:noWrap/>
            <w:vAlign w:val="bottom"/>
            <w:hideMark/>
          </w:tcPr>
          <w:p w14:paraId="348A6F43" w14:textId="77777777" w:rsidR="00D549EE" w:rsidRPr="00D549EE" w:rsidRDefault="00D549EE" w:rsidP="00D549EE">
            <w:pPr>
              <w:rPr>
                <w:b/>
                <w:bCs/>
                <w:color w:val="000000" w:themeColor="text1"/>
              </w:rPr>
            </w:pPr>
            <w:r w:rsidRPr="00D549EE">
              <w:rPr>
                <w:b/>
                <w:bCs/>
                <w:color w:val="000000" w:themeColor="text1"/>
              </w:rPr>
              <w:t xml:space="preserve">-         353 331,57 </w:t>
            </w:r>
          </w:p>
        </w:tc>
        <w:tc>
          <w:tcPr>
            <w:tcW w:w="2690" w:type="dxa"/>
            <w:shd w:val="clear" w:color="auto" w:fill="auto"/>
            <w:noWrap/>
            <w:vAlign w:val="bottom"/>
            <w:hideMark/>
          </w:tcPr>
          <w:p w14:paraId="3DDB3F7F" w14:textId="77777777" w:rsidR="00D549EE" w:rsidRPr="00D549EE" w:rsidRDefault="00D549EE" w:rsidP="00D549EE">
            <w:pPr>
              <w:rPr>
                <w:b/>
                <w:bCs/>
                <w:iCs/>
                <w:color w:val="000000" w:themeColor="text1"/>
              </w:rPr>
            </w:pPr>
            <w:r w:rsidRPr="00D549EE">
              <w:rPr>
                <w:b/>
                <w:bCs/>
                <w:iCs/>
                <w:color w:val="000000" w:themeColor="text1"/>
              </w:rPr>
              <w:t xml:space="preserve">-       5 013 712,52 </w:t>
            </w:r>
          </w:p>
        </w:tc>
      </w:tr>
      <w:tr w:rsidR="00D549EE" w:rsidRPr="00D549EE" w14:paraId="03F61CF6" w14:textId="77777777" w:rsidTr="00D549EE">
        <w:trPr>
          <w:trHeight w:val="385"/>
        </w:trPr>
        <w:tc>
          <w:tcPr>
            <w:tcW w:w="0" w:type="auto"/>
            <w:shd w:val="clear" w:color="auto" w:fill="auto"/>
            <w:noWrap/>
            <w:vAlign w:val="bottom"/>
            <w:hideMark/>
          </w:tcPr>
          <w:p w14:paraId="2089BFDB" w14:textId="77777777" w:rsidR="00D549EE" w:rsidRPr="00D549EE" w:rsidRDefault="00D549EE" w:rsidP="00D549EE">
            <w:pPr>
              <w:rPr>
                <w:color w:val="000000" w:themeColor="text1"/>
              </w:rPr>
            </w:pPr>
            <w:r w:rsidRPr="00D549EE">
              <w:rPr>
                <w:color w:val="000000" w:themeColor="text1"/>
              </w:rPr>
              <w:t>Income tax expense (3%)</w:t>
            </w:r>
          </w:p>
        </w:tc>
        <w:tc>
          <w:tcPr>
            <w:tcW w:w="2042" w:type="dxa"/>
            <w:shd w:val="clear" w:color="auto" w:fill="auto"/>
            <w:noWrap/>
            <w:vAlign w:val="bottom"/>
            <w:hideMark/>
          </w:tcPr>
          <w:p w14:paraId="5F920601" w14:textId="77777777" w:rsidR="00D549EE" w:rsidRPr="00D549EE" w:rsidRDefault="00D549EE" w:rsidP="00D549EE">
            <w:pPr>
              <w:rPr>
                <w:iCs/>
                <w:color w:val="000000" w:themeColor="text1"/>
              </w:rPr>
            </w:pPr>
            <w:r w:rsidRPr="00D549EE">
              <w:rPr>
                <w:iCs/>
                <w:color w:val="000000" w:themeColor="text1"/>
              </w:rPr>
              <w:t xml:space="preserve">-          105 909,58 </w:t>
            </w:r>
          </w:p>
        </w:tc>
        <w:tc>
          <w:tcPr>
            <w:tcW w:w="2062" w:type="dxa"/>
            <w:shd w:val="clear" w:color="auto" w:fill="auto"/>
            <w:noWrap/>
            <w:vAlign w:val="bottom"/>
            <w:hideMark/>
          </w:tcPr>
          <w:p w14:paraId="7FFD3F35" w14:textId="77777777" w:rsidR="00D549EE" w:rsidRPr="00D549EE" w:rsidRDefault="00D549EE" w:rsidP="00D549EE">
            <w:pPr>
              <w:rPr>
                <w:color w:val="000000" w:themeColor="text1"/>
              </w:rPr>
            </w:pPr>
            <w:r w:rsidRPr="00D549EE">
              <w:rPr>
                <w:color w:val="000000" w:themeColor="text1"/>
              </w:rPr>
              <w:t xml:space="preserve">             10 599,95 </w:t>
            </w:r>
          </w:p>
        </w:tc>
        <w:tc>
          <w:tcPr>
            <w:tcW w:w="2690" w:type="dxa"/>
            <w:shd w:val="clear" w:color="auto" w:fill="auto"/>
            <w:noWrap/>
            <w:vAlign w:val="bottom"/>
            <w:hideMark/>
          </w:tcPr>
          <w:p w14:paraId="316ED535" w14:textId="77777777" w:rsidR="00D549EE" w:rsidRPr="00D549EE" w:rsidRDefault="00D549EE" w:rsidP="00D549EE">
            <w:pPr>
              <w:rPr>
                <w:iCs/>
                <w:color w:val="000000" w:themeColor="text1"/>
              </w:rPr>
            </w:pPr>
            <w:r w:rsidRPr="00D549EE">
              <w:rPr>
                <w:iCs/>
                <w:color w:val="000000" w:themeColor="text1"/>
              </w:rPr>
              <w:t xml:space="preserve">           150 411,38 </w:t>
            </w:r>
          </w:p>
        </w:tc>
      </w:tr>
      <w:tr w:rsidR="00D549EE" w:rsidRPr="00D549EE" w14:paraId="40439C1F" w14:textId="77777777" w:rsidTr="00D549EE">
        <w:trPr>
          <w:trHeight w:val="410"/>
        </w:trPr>
        <w:tc>
          <w:tcPr>
            <w:tcW w:w="0" w:type="auto"/>
            <w:shd w:val="clear" w:color="auto" w:fill="auto"/>
            <w:noWrap/>
            <w:vAlign w:val="bottom"/>
            <w:hideMark/>
          </w:tcPr>
          <w:p w14:paraId="13C1C084" w14:textId="77777777" w:rsidR="00D549EE" w:rsidRPr="00D549EE" w:rsidRDefault="00D549EE" w:rsidP="00D549EE">
            <w:pPr>
              <w:rPr>
                <w:color w:val="000000" w:themeColor="text1"/>
              </w:rPr>
            </w:pPr>
            <w:r w:rsidRPr="00D549EE">
              <w:rPr>
                <w:color w:val="000000" w:themeColor="text1"/>
              </w:rPr>
              <w:t xml:space="preserve">Profit </w:t>
            </w:r>
          </w:p>
        </w:tc>
        <w:tc>
          <w:tcPr>
            <w:tcW w:w="2042" w:type="dxa"/>
            <w:shd w:val="clear" w:color="auto" w:fill="auto"/>
            <w:noWrap/>
            <w:vAlign w:val="bottom"/>
            <w:hideMark/>
          </w:tcPr>
          <w:p w14:paraId="0B0355CF" w14:textId="77777777" w:rsidR="00D549EE" w:rsidRPr="00D549EE" w:rsidRDefault="00D549EE" w:rsidP="00D549EE">
            <w:pPr>
              <w:rPr>
                <w:b/>
                <w:bCs/>
                <w:iCs/>
                <w:color w:val="000000" w:themeColor="text1"/>
              </w:rPr>
            </w:pPr>
            <w:r w:rsidRPr="00D549EE">
              <w:rPr>
                <w:b/>
                <w:bCs/>
                <w:iCs/>
                <w:color w:val="000000" w:themeColor="text1"/>
              </w:rPr>
              <w:t xml:space="preserve">       3 424 409,65 </w:t>
            </w:r>
          </w:p>
        </w:tc>
        <w:tc>
          <w:tcPr>
            <w:tcW w:w="2062" w:type="dxa"/>
            <w:shd w:val="clear" w:color="auto" w:fill="auto"/>
            <w:noWrap/>
            <w:vAlign w:val="bottom"/>
            <w:hideMark/>
          </w:tcPr>
          <w:p w14:paraId="19FF8F1D" w14:textId="77777777" w:rsidR="00D549EE" w:rsidRPr="00D549EE" w:rsidRDefault="00D549EE" w:rsidP="00D549EE">
            <w:pPr>
              <w:rPr>
                <w:b/>
                <w:bCs/>
                <w:color w:val="000000" w:themeColor="text1"/>
              </w:rPr>
            </w:pPr>
            <w:r w:rsidRPr="00D549EE">
              <w:rPr>
                <w:b/>
                <w:bCs/>
                <w:color w:val="000000" w:themeColor="text1"/>
              </w:rPr>
              <w:t xml:space="preserve">-         342 731,62 </w:t>
            </w:r>
          </w:p>
        </w:tc>
        <w:tc>
          <w:tcPr>
            <w:tcW w:w="2690" w:type="dxa"/>
            <w:shd w:val="clear" w:color="auto" w:fill="auto"/>
            <w:noWrap/>
            <w:vAlign w:val="bottom"/>
            <w:hideMark/>
          </w:tcPr>
          <w:p w14:paraId="7C2205C0" w14:textId="77777777" w:rsidR="00D549EE" w:rsidRPr="00D549EE" w:rsidRDefault="00D549EE" w:rsidP="00D549EE">
            <w:pPr>
              <w:rPr>
                <w:b/>
                <w:bCs/>
                <w:iCs/>
                <w:color w:val="000000" w:themeColor="text1"/>
              </w:rPr>
            </w:pPr>
            <w:r w:rsidRPr="00D549EE">
              <w:rPr>
                <w:b/>
                <w:bCs/>
                <w:iCs/>
                <w:color w:val="000000" w:themeColor="text1"/>
              </w:rPr>
              <w:t xml:space="preserve">-      4 863 301,15 </w:t>
            </w:r>
          </w:p>
        </w:tc>
      </w:tr>
      <w:tr w:rsidR="00D549EE" w:rsidRPr="00D549EE" w14:paraId="4B1E841A" w14:textId="77777777" w:rsidTr="00D549EE">
        <w:trPr>
          <w:trHeight w:val="380"/>
        </w:trPr>
        <w:tc>
          <w:tcPr>
            <w:tcW w:w="0" w:type="auto"/>
            <w:shd w:val="clear" w:color="auto" w:fill="auto"/>
            <w:noWrap/>
            <w:vAlign w:val="bottom"/>
            <w:hideMark/>
          </w:tcPr>
          <w:p w14:paraId="7CC93763" w14:textId="77777777" w:rsidR="00D549EE" w:rsidRPr="00D549EE" w:rsidRDefault="00D549EE" w:rsidP="00D549EE">
            <w:pPr>
              <w:rPr>
                <w:color w:val="000000" w:themeColor="text1"/>
              </w:rPr>
            </w:pPr>
            <w:r w:rsidRPr="00D549EE">
              <w:rPr>
                <w:color w:val="000000" w:themeColor="text1"/>
              </w:rPr>
              <w:t>Year 2</w:t>
            </w:r>
          </w:p>
        </w:tc>
        <w:tc>
          <w:tcPr>
            <w:tcW w:w="4104" w:type="dxa"/>
            <w:gridSpan w:val="2"/>
            <w:shd w:val="clear" w:color="auto" w:fill="auto"/>
            <w:noWrap/>
            <w:vAlign w:val="bottom"/>
            <w:hideMark/>
          </w:tcPr>
          <w:p w14:paraId="4E5EC0E8" w14:textId="77777777" w:rsidR="00D549EE" w:rsidRPr="00D549EE" w:rsidRDefault="00D549EE" w:rsidP="00D549EE">
            <w:pPr>
              <w:rPr>
                <w:iCs/>
                <w:color w:val="000000" w:themeColor="text1"/>
              </w:rPr>
            </w:pPr>
            <w:r w:rsidRPr="00D549EE">
              <w:rPr>
                <w:iCs/>
                <w:color w:val="000000" w:themeColor="text1"/>
              </w:rPr>
              <w:t>sensitivity (-20%)</w:t>
            </w:r>
          </w:p>
        </w:tc>
        <w:tc>
          <w:tcPr>
            <w:tcW w:w="2690" w:type="dxa"/>
            <w:shd w:val="clear" w:color="auto" w:fill="auto"/>
            <w:noWrap/>
            <w:vAlign w:val="bottom"/>
            <w:hideMark/>
          </w:tcPr>
          <w:p w14:paraId="241B6C82" w14:textId="77777777" w:rsidR="00D549EE" w:rsidRPr="00D549EE" w:rsidRDefault="00D549EE" w:rsidP="00D549EE">
            <w:pPr>
              <w:rPr>
                <w:iCs/>
                <w:color w:val="000000" w:themeColor="text1"/>
              </w:rPr>
            </w:pPr>
            <w:r w:rsidRPr="00D549EE">
              <w:rPr>
                <w:iCs/>
                <w:color w:val="000000" w:themeColor="text1"/>
              </w:rPr>
              <w:t>Sensitivity</w:t>
            </w:r>
            <w:r w:rsidRPr="00D549EE">
              <w:rPr>
                <w:iCs/>
                <w:color w:val="000000" w:themeColor="text1"/>
                <w:lang w:val="en-US"/>
              </w:rPr>
              <w:t xml:space="preserve"> </w:t>
            </w:r>
            <w:r w:rsidRPr="00D549EE">
              <w:rPr>
                <w:iCs/>
                <w:color w:val="000000" w:themeColor="text1"/>
              </w:rPr>
              <w:t>(+20%)</w:t>
            </w:r>
          </w:p>
        </w:tc>
      </w:tr>
      <w:tr w:rsidR="00D549EE" w:rsidRPr="00D549EE" w14:paraId="58A666CC" w14:textId="77777777" w:rsidTr="00D549EE">
        <w:trPr>
          <w:trHeight w:val="470"/>
        </w:trPr>
        <w:tc>
          <w:tcPr>
            <w:tcW w:w="0" w:type="auto"/>
            <w:shd w:val="clear" w:color="auto" w:fill="auto"/>
            <w:noWrap/>
            <w:vAlign w:val="bottom"/>
            <w:hideMark/>
          </w:tcPr>
          <w:p w14:paraId="6CBEC138" w14:textId="77777777" w:rsidR="00D549EE" w:rsidRPr="00D549EE" w:rsidRDefault="00D549EE" w:rsidP="00D549EE">
            <w:pPr>
              <w:rPr>
                <w:color w:val="000000" w:themeColor="text1"/>
              </w:rPr>
            </w:pPr>
            <w:r w:rsidRPr="00D549EE">
              <w:rPr>
                <w:color w:val="000000" w:themeColor="text1"/>
              </w:rPr>
              <w:t>Sales Revenue</w:t>
            </w:r>
          </w:p>
        </w:tc>
        <w:tc>
          <w:tcPr>
            <w:tcW w:w="2042" w:type="dxa"/>
            <w:shd w:val="clear" w:color="auto" w:fill="auto"/>
            <w:noWrap/>
            <w:vAlign w:val="bottom"/>
            <w:hideMark/>
          </w:tcPr>
          <w:p w14:paraId="6D077122" w14:textId="77777777" w:rsidR="00D549EE" w:rsidRPr="00D549EE" w:rsidRDefault="00D549EE" w:rsidP="00D549EE">
            <w:pPr>
              <w:rPr>
                <w:iCs/>
                <w:color w:val="000000" w:themeColor="text1"/>
              </w:rPr>
            </w:pPr>
            <w:r w:rsidRPr="00D549EE">
              <w:rPr>
                <w:iCs/>
                <w:color w:val="000000" w:themeColor="text1"/>
              </w:rPr>
              <w:t xml:space="preserve">   33 898 000,00 </w:t>
            </w:r>
          </w:p>
        </w:tc>
        <w:tc>
          <w:tcPr>
            <w:tcW w:w="2062" w:type="dxa"/>
            <w:shd w:val="clear" w:color="auto" w:fill="auto"/>
            <w:noWrap/>
            <w:vAlign w:val="bottom"/>
            <w:hideMark/>
          </w:tcPr>
          <w:p w14:paraId="518C25DA" w14:textId="77777777" w:rsidR="00D549EE" w:rsidRPr="00D549EE" w:rsidRDefault="00D549EE" w:rsidP="00D549EE">
            <w:pPr>
              <w:rPr>
                <w:color w:val="000000" w:themeColor="text1"/>
              </w:rPr>
            </w:pPr>
            <w:r w:rsidRPr="00D549EE">
              <w:rPr>
                <w:color w:val="000000" w:themeColor="text1"/>
              </w:rPr>
              <w:t xml:space="preserve">33 898 000,00 </w:t>
            </w:r>
          </w:p>
        </w:tc>
        <w:tc>
          <w:tcPr>
            <w:tcW w:w="2690" w:type="dxa"/>
            <w:shd w:val="clear" w:color="auto" w:fill="auto"/>
            <w:noWrap/>
            <w:vAlign w:val="bottom"/>
            <w:hideMark/>
          </w:tcPr>
          <w:p w14:paraId="089509D2" w14:textId="77777777" w:rsidR="00D549EE" w:rsidRPr="00D549EE" w:rsidRDefault="00D549EE" w:rsidP="00D549EE">
            <w:pPr>
              <w:rPr>
                <w:iCs/>
                <w:color w:val="000000" w:themeColor="text1"/>
              </w:rPr>
            </w:pPr>
            <w:r w:rsidRPr="00D549EE">
              <w:rPr>
                <w:iCs/>
                <w:color w:val="000000" w:themeColor="text1"/>
              </w:rPr>
              <w:t xml:space="preserve">    33 898 000,00 </w:t>
            </w:r>
          </w:p>
        </w:tc>
      </w:tr>
      <w:tr w:rsidR="00D549EE" w:rsidRPr="00D549EE" w14:paraId="79CC0032" w14:textId="77777777" w:rsidTr="00D549EE">
        <w:trPr>
          <w:trHeight w:val="420"/>
        </w:trPr>
        <w:tc>
          <w:tcPr>
            <w:tcW w:w="0" w:type="auto"/>
            <w:shd w:val="clear" w:color="auto" w:fill="auto"/>
            <w:noWrap/>
            <w:vAlign w:val="bottom"/>
            <w:hideMark/>
          </w:tcPr>
          <w:p w14:paraId="02C29214" w14:textId="77777777" w:rsidR="00D549EE" w:rsidRPr="00D549EE" w:rsidRDefault="00D549EE" w:rsidP="00D549EE">
            <w:pPr>
              <w:rPr>
                <w:color w:val="000000" w:themeColor="text1"/>
              </w:rPr>
            </w:pPr>
            <w:r w:rsidRPr="00D549EE">
              <w:rPr>
                <w:color w:val="000000" w:themeColor="text1"/>
              </w:rPr>
              <w:t>Cost of sales</w:t>
            </w:r>
          </w:p>
        </w:tc>
        <w:tc>
          <w:tcPr>
            <w:tcW w:w="2042" w:type="dxa"/>
            <w:shd w:val="clear" w:color="auto" w:fill="auto"/>
            <w:noWrap/>
            <w:vAlign w:val="bottom"/>
            <w:hideMark/>
          </w:tcPr>
          <w:p w14:paraId="7D6AC74E" w14:textId="77777777" w:rsidR="00D549EE" w:rsidRPr="00D549EE" w:rsidRDefault="00D549EE" w:rsidP="00D549EE">
            <w:pPr>
              <w:rPr>
                <w:iCs/>
                <w:color w:val="000000" w:themeColor="text1"/>
              </w:rPr>
            </w:pPr>
            <w:r w:rsidRPr="00D549EE">
              <w:rPr>
                <w:iCs/>
                <w:color w:val="000000" w:themeColor="text1"/>
              </w:rPr>
              <w:t xml:space="preserve">-     3 929 000,00 </w:t>
            </w:r>
          </w:p>
        </w:tc>
        <w:tc>
          <w:tcPr>
            <w:tcW w:w="2062" w:type="dxa"/>
            <w:shd w:val="clear" w:color="auto" w:fill="auto"/>
            <w:noWrap/>
            <w:vAlign w:val="bottom"/>
            <w:hideMark/>
          </w:tcPr>
          <w:p w14:paraId="046CE477" w14:textId="77777777" w:rsidR="00D549EE" w:rsidRPr="00D549EE" w:rsidRDefault="00D549EE" w:rsidP="00D549EE">
            <w:pPr>
              <w:rPr>
                <w:color w:val="000000" w:themeColor="text1"/>
              </w:rPr>
            </w:pPr>
            <w:r w:rsidRPr="00D549EE">
              <w:rPr>
                <w:color w:val="000000" w:themeColor="text1"/>
              </w:rPr>
              <w:t xml:space="preserve">-     3 929 000,00 </w:t>
            </w:r>
          </w:p>
        </w:tc>
        <w:tc>
          <w:tcPr>
            <w:tcW w:w="2690" w:type="dxa"/>
            <w:shd w:val="clear" w:color="auto" w:fill="auto"/>
            <w:noWrap/>
            <w:vAlign w:val="bottom"/>
            <w:hideMark/>
          </w:tcPr>
          <w:p w14:paraId="60856DA3" w14:textId="77777777" w:rsidR="00D549EE" w:rsidRPr="00D549EE" w:rsidRDefault="00D549EE" w:rsidP="00D549EE">
            <w:pPr>
              <w:rPr>
                <w:iCs/>
                <w:color w:val="000000" w:themeColor="text1"/>
              </w:rPr>
            </w:pPr>
            <w:r w:rsidRPr="00D549EE">
              <w:rPr>
                <w:iCs/>
                <w:color w:val="000000" w:themeColor="text1"/>
              </w:rPr>
              <w:t xml:space="preserve">-     3 929 000,00 </w:t>
            </w:r>
          </w:p>
        </w:tc>
      </w:tr>
      <w:tr w:rsidR="00D549EE" w:rsidRPr="00D549EE" w14:paraId="05D31909" w14:textId="77777777" w:rsidTr="00D549EE">
        <w:trPr>
          <w:trHeight w:val="420"/>
        </w:trPr>
        <w:tc>
          <w:tcPr>
            <w:tcW w:w="0" w:type="auto"/>
            <w:shd w:val="clear" w:color="auto" w:fill="auto"/>
            <w:noWrap/>
            <w:vAlign w:val="bottom"/>
            <w:hideMark/>
          </w:tcPr>
          <w:p w14:paraId="22307347" w14:textId="77777777" w:rsidR="00D549EE" w:rsidRPr="00D549EE" w:rsidRDefault="00D549EE" w:rsidP="00D549EE">
            <w:pPr>
              <w:rPr>
                <w:color w:val="000000" w:themeColor="text1"/>
              </w:rPr>
            </w:pPr>
            <w:r w:rsidRPr="00D549EE">
              <w:rPr>
                <w:color w:val="000000" w:themeColor="text1"/>
              </w:rPr>
              <w:t>Gross profit</w:t>
            </w:r>
          </w:p>
        </w:tc>
        <w:tc>
          <w:tcPr>
            <w:tcW w:w="2042" w:type="dxa"/>
            <w:shd w:val="clear" w:color="auto" w:fill="auto"/>
            <w:noWrap/>
            <w:vAlign w:val="bottom"/>
            <w:hideMark/>
          </w:tcPr>
          <w:p w14:paraId="37C34109" w14:textId="77777777" w:rsidR="00D549EE" w:rsidRPr="00D549EE" w:rsidRDefault="00D549EE" w:rsidP="00D549EE">
            <w:pPr>
              <w:rPr>
                <w:iCs/>
                <w:color w:val="000000" w:themeColor="text1"/>
              </w:rPr>
            </w:pPr>
            <w:r w:rsidRPr="00D549EE">
              <w:rPr>
                <w:iCs/>
                <w:color w:val="000000" w:themeColor="text1"/>
              </w:rPr>
              <w:t xml:space="preserve">   29 969 000,00 </w:t>
            </w:r>
          </w:p>
        </w:tc>
        <w:tc>
          <w:tcPr>
            <w:tcW w:w="2062" w:type="dxa"/>
            <w:shd w:val="clear" w:color="auto" w:fill="auto"/>
            <w:noWrap/>
            <w:vAlign w:val="bottom"/>
            <w:hideMark/>
          </w:tcPr>
          <w:p w14:paraId="58A2D2BB" w14:textId="77777777" w:rsidR="00D549EE" w:rsidRPr="00D549EE" w:rsidRDefault="00D549EE" w:rsidP="00D549EE">
            <w:pPr>
              <w:rPr>
                <w:color w:val="000000" w:themeColor="text1"/>
              </w:rPr>
            </w:pPr>
            <w:r w:rsidRPr="00D549EE">
              <w:rPr>
                <w:color w:val="000000" w:themeColor="text1"/>
              </w:rPr>
              <w:t xml:space="preserve">    29 969 000,00 </w:t>
            </w:r>
          </w:p>
        </w:tc>
        <w:tc>
          <w:tcPr>
            <w:tcW w:w="2690" w:type="dxa"/>
            <w:shd w:val="clear" w:color="auto" w:fill="auto"/>
            <w:noWrap/>
            <w:vAlign w:val="bottom"/>
            <w:hideMark/>
          </w:tcPr>
          <w:p w14:paraId="797B2F50" w14:textId="77777777" w:rsidR="00D549EE" w:rsidRPr="00D549EE" w:rsidRDefault="00D549EE" w:rsidP="00D549EE">
            <w:pPr>
              <w:rPr>
                <w:iCs/>
                <w:color w:val="000000" w:themeColor="text1"/>
              </w:rPr>
            </w:pPr>
            <w:r w:rsidRPr="00D549EE">
              <w:rPr>
                <w:iCs/>
                <w:color w:val="000000" w:themeColor="text1"/>
              </w:rPr>
              <w:t xml:space="preserve">    29 969 000,00 </w:t>
            </w:r>
          </w:p>
        </w:tc>
      </w:tr>
      <w:tr w:rsidR="00D549EE" w:rsidRPr="00D549EE" w14:paraId="2AA88803" w14:textId="77777777" w:rsidTr="00D549EE">
        <w:trPr>
          <w:trHeight w:val="420"/>
        </w:trPr>
        <w:tc>
          <w:tcPr>
            <w:tcW w:w="0" w:type="auto"/>
            <w:shd w:val="clear" w:color="auto" w:fill="auto"/>
            <w:noWrap/>
            <w:vAlign w:val="bottom"/>
            <w:hideMark/>
          </w:tcPr>
          <w:p w14:paraId="0E74233F" w14:textId="77777777" w:rsidR="00D549EE" w:rsidRPr="00D549EE" w:rsidRDefault="00D549EE" w:rsidP="00D549EE">
            <w:pPr>
              <w:rPr>
                <w:color w:val="000000" w:themeColor="text1"/>
              </w:rPr>
            </w:pPr>
            <w:r w:rsidRPr="00D549EE">
              <w:rPr>
                <w:color w:val="000000" w:themeColor="text1"/>
              </w:rPr>
              <w:t>Administrative expenses</w:t>
            </w:r>
          </w:p>
        </w:tc>
        <w:tc>
          <w:tcPr>
            <w:tcW w:w="2042" w:type="dxa"/>
            <w:shd w:val="clear" w:color="auto" w:fill="auto"/>
            <w:noWrap/>
            <w:vAlign w:val="bottom"/>
            <w:hideMark/>
          </w:tcPr>
          <w:p w14:paraId="1878EB7A" w14:textId="77777777" w:rsidR="00D549EE" w:rsidRPr="00D549EE" w:rsidRDefault="00D549EE" w:rsidP="00D549EE">
            <w:pPr>
              <w:rPr>
                <w:iCs/>
                <w:color w:val="000000" w:themeColor="text1"/>
              </w:rPr>
            </w:pPr>
            <w:r w:rsidRPr="00D549EE">
              <w:rPr>
                <w:iCs/>
                <w:color w:val="000000" w:themeColor="text1"/>
              </w:rPr>
              <w:t xml:space="preserve">-     7 454 900,00 </w:t>
            </w:r>
          </w:p>
        </w:tc>
        <w:tc>
          <w:tcPr>
            <w:tcW w:w="2062" w:type="dxa"/>
            <w:shd w:val="clear" w:color="auto" w:fill="auto"/>
            <w:noWrap/>
            <w:vAlign w:val="bottom"/>
            <w:hideMark/>
          </w:tcPr>
          <w:p w14:paraId="71EE54A6" w14:textId="77777777" w:rsidR="00D549EE" w:rsidRPr="00D549EE" w:rsidRDefault="00D549EE" w:rsidP="00D549EE">
            <w:pPr>
              <w:rPr>
                <w:color w:val="000000" w:themeColor="text1"/>
              </w:rPr>
            </w:pPr>
            <w:r w:rsidRPr="00D549EE">
              <w:rPr>
                <w:color w:val="000000" w:themeColor="text1"/>
              </w:rPr>
              <w:t xml:space="preserve">-     7 454 900,00 </w:t>
            </w:r>
          </w:p>
        </w:tc>
        <w:tc>
          <w:tcPr>
            <w:tcW w:w="2690" w:type="dxa"/>
            <w:shd w:val="clear" w:color="auto" w:fill="auto"/>
            <w:noWrap/>
            <w:vAlign w:val="bottom"/>
            <w:hideMark/>
          </w:tcPr>
          <w:p w14:paraId="5F326062" w14:textId="77777777" w:rsidR="00D549EE" w:rsidRPr="00D549EE" w:rsidRDefault="00D549EE" w:rsidP="00D549EE">
            <w:pPr>
              <w:rPr>
                <w:iCs/>
                <w:color w:val="000000" w:themeColor="text1"/>
              </w:rPr>
            </w:pPr>
            <w:r w:rsidRPr="00D549EE">
              <w:rPr>
                <w:iCs/>
                <w:color w:val="000000" w:themeColor="text1"/>
              </w:rPr>
              <w:t xml:space="preserve">-     7 454 900,00 </w:t>
            </w:r>
          </w:p>
        </w:tc>
      </w:tr>
      <w:tr w:rsidR="00D549EE" w:rsidRPr="00D549EE" w14:paraId="477D3072" w14:textId="77777777" w:rsidTr="00D549EE">
        <w:trPr>
          <w:trHeight w:val="420"/>
        </w:trPr>
        <w:tc>
          <w:tcPr>
            <w:tcW w:w="0" w:type="auto"/>
            <w:shd w:val="clear" w:color="auto" w:fill="auto"/>
            <w:noWrap/>
            <w:vAlign w:val="bottom"/>
            <w:hideMark/>
          </w:tcPr>
          <w:p w14:paraId="1E76B0F6" w14:textId="77777777" w:rsidR="00D549EE" w:rsidRPr="00D549EE" w:rsidRDefault="00D549EE" w:rsidP="00D549EE">
            <w:pPr>
              <w:rPr>
                <w:color w:val="000000" w:themeColor="text1"/>
              </w:rPr>
            </w:pPr>
            <w:r w:rsidRPr="00D549EE">
              <w:rPr>
                <w:color w:val="000000" w:themeColor="text1"/>
              </w:rPr>
              <w:t>Operating expenses</w:t>
            </w:r>
          </w:p>
        </w:tc>
        <w:tc>
          <w:tcPr>
            <w:tcW w:w="2042" w:type="dxa"/>
            <w:shd w:val="clear" w:color="auto" w:fill="auto"/>
            <w:noWrap/>
            <w:vAlign w:val="bottom"/>
            <w:hideMark/>
          </w:tcPr>
          <w:p w14:paraId="4A6F86FD" w14:textId="77777777" w:rsidR="00D549EE" w:rsidRPr="00D549EE" w:rsidRDefault="00D549EE" w:rsidP="00D549EE">
            <w:pPr>
              <w:rPr>
                <w:iCs/>
                <w:color w:val="000000" w:themeColor="text1"/>
              </w:rPr>
            </w:pPr>
            <w:r w:rsidRPr="00D549EE">
              <w:rPr>
                <w:iCs/>
                <w:color w:val="000000" w:themeColor="text1"/>
              </w:rPr>
              <w:t xml:space="preserve">-     1 289 166,67 </w:t>
            </w:r>
          </w:p>
        </w:tc>
        <w:tc>
          <w:tcPr>
            <w:tcW w:w="2062" w:type="dxa"/>
            <w:shd w:val="clear" w:color="auto" w:fill="auto"/>
            <w:noWrap/>
            <w:vAlign w:val="bottom"/>
            <w:hideMark/>
          </w:tcPr>
          <w:p w14:paraId="339A6589" w14:textId="77777777" w:rsidR="00D549EE" w:rsidRPr="00D549EE" w:rsidRDefault="00D549EE" w:rsidP="00D549EE">
            <w:pPr>
              <w:rPr>
                <w:color w:val="000000" w:themeColor="text1"/>
              </w:rPr>
            </w:pPr>
            <w:r w:rsidRPr="00D549EE">
              <w:rPr>
                <w:color w:val="000000" w:themeColor="text1"/>
              </w:rPr>
              <w:t xml:space="preserve">-     1 547 000,00 </w:t>
            </w:r>
          </w:p>
        </w:tc>
        <w:tc>
          <w:tcPr>
            <w:tcW w:w="2690" w:type="dxa"/>
            <w:shd w:val="clear" w:color="auto" w:fill="auto"/>
            <w:noWrap/>
            <w:vAlign w:val="bottom"/>
            <w:hideMark/>
          </w:tcPr>
          <w:p w14:paraId="45361981" w14:textId="77777777" w:rsidR="00D549EE" w:rsidRPr="00D549EE" w:rsidRDefault="00D549EE" w:rsidP="00D549EE">
            <w:pPr>
              <w:rPr>
                <w:iCs/>
                <w:color w:val="000000" w:themeColor="text1"/>
              </w:rPr>
            </w:pPr>
            <w:r w:rsidRPr="00D549EE">
              <w:rPr>
                <w:iCs/>
                <w:color w:val="000000" w:themeColor="text1"/>
              </w:rPr>
              <w:t xml:space="preserve">-     1 856 400,00 </w:t>
            </w:r>
          </w:p>
        </w:tc>
      </w:tr>
      <w:tr w:rsidR="00D549EE" w:rsidRPr="00D549EE" w14:paraId="13BAA7B1" w14:textId="77777777" w:rsidTr="00D549EE">
        <w:trPr>
          <w:trHeight w:val="420"/>
        </w:trPr>
        <w:tc>
          <w:tcPr>
            <w:tcW w:w="0" w:type="auto"/>
            <w:shd w:val="clear" w:color="auto" w:fill="auto"/>
            <w:noWrap/>
            <w:vAlign w:val="bottom"/>
            <w:hideMark/>
          </w:tcPr>
          <w:p w14:paraId="28B8634D" w14:textId="77777777" w:rsidR="00D549EE" w:rsidRPr="00D549EE" w:rsidRDefault="00D549EE" w:rsidP="00D549EE">
            <w:pPr>
              <w:rPr>
                <w:color w:val="000000" w:themeColor="text1"/>
              </w:rPr>
            </w:pPr>
            <w:r w:rsidRPr="00D549EE">
              <w:rPr>
                <w:color w:val="000000" w:themeColor="text1"/>
              </w:rPr>
              <w:t>Operating profit</w:t>
            </w:r>
          </w:p>
        </w:tc>
        <w:tc>
          <w:tcPr>
            <w:tcW w:w="2042" w:type="dxa"/>
            <w:shd w:val="clear" w:color="auto" w:fill="auto"/>
            <w:noWrap/>
            <w:vAlign w:val="bottom"/>
            <w:hideMark/>
          </w:tcPr>
          <w:p w14:paraId="44C64B4D" w14:textId="77777777" w:rsidR="00D549EE" w:rsidRPr="00D549EE" w:rsidRDefault="00D549EE" w:rsidP="00D549EE">
            <w:pPr>
              <w:rPr>
                <w:iCs/>
                <w:color w:val="000000" w:themeColor="text1"/>
              </w:rPr>
            </w:pPr>
            <w:r w:rsidRPr="00D549EE">
              <w:rPr>
                <w:iCs/>
                <w:color w:val="000000" w:themeColor="text1"/>
              </w:rPr>
              <w:t xml:space="preserve">   21 224 933,33 </w:t>
            </w:r>
          </w:p>
        </w:tc>
        <w:tc>
          <w:tcPr>
            <w:tcW w:w="2062" w:type="dxa"/>
            <w:shd w:val="clear" w:color="auto" w:fill="auto"/>
            <w:noWrap/>
            <w:vAlign w:val="bottom"/>
            <w:hideMark/>
          </w:tcPr>
          <w:p w14:paraId="0643AA02" w14:textId="77777777" w:rsidR="00D549EE" w:rsidRPr="00D549EE" w:rsidRDefault="00D549EE" w:rsidP="00D549EE">
            <w:pPr>
              <w:rPr>
                <w:color w:val="000000" w:themeColor="text1"/>
              </w:rPr>
            </w:pPr>
            <w:r w:rsidRPr="00D549EE">
              <w:rPr>
                <w:color w:val="000000" w:themeColor="text1"/>
              </w:rPr>
              <w:t xml:space="preserve">    20 967 100,00 </w:t>
            </w:r>
          </w:p>
        </w:tc>
        <w:tc>
          <w:tcPr>
            <w:tcW w:w="2690" w:type="dxa"/>
            <w:shd w:val="clear" w:color="auto" w:fill="auto"/>
            <w:noWrap/>
            <w:vAlign w:val="bottom"/>
            <w:hideMark/>
          </w:tcPr>
          <w:p w14:paraId="6CDDCAD1" w14:textId="77777777" w:rsidR="00D549EE" w:rsidRPr="00D549EE" w:rsidRDefault="00D549EE" w:rsidP="00D549EE">
            <w:pPr>
              <w:rPr>
                <w:iCs/>
                <w:color w:val="000000" w:themeColor="text1"/>
              </w:rPr>
            </w:pPr>
            <w:r w:rsidRPr="00D549EE">
              <w:rPr>
                <w:iCs/>
                <w:color w:val="000000" w:themeColor="text1"/>
              </w:rPr>
              <w:t xml:space="preserve">    20 657 700,00 </w:t>
            </w:r>
          </w:p>
        </w:tc>
      </w:tr>
      <w:tr w:rsidR="00D549EE" w:rsidRPr="00D549EE" w14:paraId="213C6875" w14:textId="77777777" w:rsidTr="00D549EE">
        <w:trPr>
          <w:trHeight w:val="420"/>
        </w:trPr>
        <w:tc>
          <w:tcPr>
            <w:tcW w:w="0" w:type="auto"/>
            <w:shd w:val="clear" w:color="auto" w:fill="auto"/>
            <w:noWrap/>
            <w:vAlign w:val="bottom"/>
            <w:hideMark/>
          </w:tcPr>
          <w:p w14:paraId="7ABFFD33" w14:textId="77777777" w:rsidR="00D549EE" w:rsidRPr="00D549EE" w:rsidRDefault="00D549EE" w:rsidP="00D549EE">
            <w:pPr>
              <w:rPr>
                <w:color w:val="000000" w:themeColor="text1"/>
              </w:rPr>
            </w:pPr>
            <w:r w:rsidRPr="00D549EE">
              <w:rPr>
                <w:color w:val="000000" w:themeColor="text1"/>
              </w:rPr>
              <w:t>Finance costs</w:t>
            </w:r>
          </w:p>
        </w:tc>
        <w:tc>
          <w:tcPr>
            <w:tcW w:w="2042" w:type="dxa"/>
            <w:shd w:val="clear" w:color="auto" w:fill="auto"/>
            <w:noWrap/>
            <w:vAlign w:val="bottom"/>
            <w:hideMark/>
          </w:tcPr>
          <w:p w14:paraId="32618DCE" w14:textId="77777777" w:rsidR="00D549EE" w:rsidRPr="00D549EE" w:rsidRDefault="00D549EE" w:rsidP="00D549EE">
            <w:pPr>
              <w:rPr>
                <w:iCs/>
                <w:color w:val="000000" w:themeColor="text1"/>
              </w:rPr>
            </w:pPr>
            <w:r w:rsidRPr="00D549EE">
              <w:rPr>
                <w:iCs/>
                <w:color w:val="000000" w:themeColor="text1"/>
              </w:rPr>
              <w:t xml:space="preserve">-       502 758,33 </w:t>
            </w:r>
          </w:p>
        </w:tc>
        <w:tc>
          <w:tcPr>
            <w:tcW w:w="2062" w:type="dxa"/>
            <w:shd w:val="clear" w:color="auto" w:fill="auto"/>
            <w:noWrap/>
            <w:vAlign w:val="bottom"/>
            <w:hideMark/>
          </w:tcPr>
          <w:p w14:paraId="6389F079" w14:textId="77777777" w:rsidR="00D549EE" w:rsidRPr="00D549EE" w:rsidRDefault="00D549EE" w:rsidP="00D549EE">
            <w:pPr>
              <w:rPr>
                <w:color w:val="000000" w:themeColor="text1"/>
              </w:rPr>
            </w:pPr>
            <w:r w:rsidRPr="00D549EE">
              <w:rPr>
                <w:color w:val="000000" w:themeColor="text1"/>
              </w:rPr>
              <w:t xml:space="preserve">-       502 758,33 </w:t>
            </w:r>
          </w:p>
        </w:tc>
        <w:tc>
          <w:tcPr>
            <w:tcW w:w="2690" w:type="dxa"/>
            <w:shd w:val="clear" w:color="auto" w:fill="auto"/>
            <w:noWrap/>
            <w:vAlign w:val="bottom"/>
            <w:hideMark/>
          </w:tcPr>
          <w:p w14:paraId="3DDB4D97" w14:textId="77777777" w:rsidR="00D549EE" w:rsidRPr="00D549EE" w:rsidRDefault="00D549EE" w:rsidP="00D549EE">
            <w:pPr>
              <w:rPr>
                <w:iCs/>
                <w:color w:val="000000" w:themeColor="text1"/>
              </w:rPr>
            </w:pPr>
            <w:r w:rsidRPr="00D549EE">
              <w:rPr>
                <w:iCs/>
                <w:color w:val="000000" w:themeColor="text1"/>
              </w:rPr>
              <w:t xml:space="preserve">-         502 758,33 </w:t>
            </w:r>
          </w:p>
        </w:tc>
      </w:tr>
      <w:tr w:rsidR="00D549EE" w:rsidRPr="00D549EE" w14:paraId="705A94E6" w14:textId="77777777" w:rsidTr="00D549EE">
        <w:trPr>
          <w:trHeight w:val="430"/>
        </w:trPr>
        <w:tc>
          <w:tcPr>
            <w:tcW w:w="0" w:type="auto"/>
            <w:shd w:val="clear" w:color="auto" w:fill="auto"/>
            <w:noWrap/>
            <w:vAlign w:val="bottom"/>
            <w:hideMark/>
          </w:tcPr>
          <w:p w14:paraId="258018BD" w14:textId="77777777" w:rsidR="00D549EE" w:rsidRPr="00D549EE" w:rsidRDefault="00D549EE" w:rsidP="00D549EE">
            <w:pPr>
              <w:rPr>
                <w:color w:val="000000" w:themeColor="text1"/>
              </w:rPr>
            </w:pPr>
            <w:r w:rsidRPr="00D549EE">
              <w:rPr>
                <w:color w:val="000000" w:themeColor="text1"/>
              </w:rPr>
              <w:t>Profit before tax</w:t>
            </w:r>
          </w:p>
        </w:tc>
        <w:tc>
          <w:tcPr>
            <w:tcW w:w="2042" w:type="dxa"/>
            <w:shd w:val="clear" w:color="auto" w:fill="auto"/>
            <w:noWrap/>
            <w:vAlign w:val="bottom"/>
            <w:hideMark/>
          </w:tcPr>
          <w:p w14:paraId="3E41C208" w14:textId="77777777" w:rsidR="00D549EE" w:rsidRPr="00D549EE" w:rsidRDefault="00D549EE" w:rsidP="00D549EE">
            <w:pPr>
              <w:rPr>
                <w:b/>
                <w:bCs/>
                <w:iCs/>
                <w:color w:val="000000" w:themeColor="text1"/>
              </w:rPr>
            </w:pPr>
            <w:r w:rsidRPr="00D549EE">
              <w:rPr>
                <w:b/>
                <w:bCs/>
                <w:iCs/>
                <w:color w:val="000000" w:themeColor="text1"/>
              </w:rPr>
              <w:t xml:space="preserve">   21 184 933,33 </w:t>
            </w:r>
          </w:p>
        </w:tc>
        <w:tc>
          <w:tcPr>
            <w:tcW w:w="2062" w:type="dxa"/>
            <w:shd w:val="clear" w:color="auto" w:fill="auto"/>
            <w:noWrap/>
            <w:vAlign w:val="bottom"/>
            <w:hideMark/>
          </w:tcPr>
          <w:p w14:paraId="7BBD8FA9" w14:textId="77777777" w:rsidR="00D549EE" w:rsidRPr="00D549EE" w:rsidRDefault="00D549EE" w:rsidP="00D549EE">
            <w:pPr>
              <w:rPr>
                <w:color w:val="000000" w:themeColor="text1"/>
              </w:rPr>
            </w:pPr>
            <w:r w:rsidRPr="00D549EE">
              <w:rPr>
                <w:color w:val="000000" w:themeColor="text1"/>
              </w:rPr>
              <w:t xml:space="preserve">    20 927 100,00 </w:t>
            </w:r>
          </w:p>
        </w:tc>
        <w:tc>
          <w:tcPr>
            <w:tcW w:w="2690" w:type="dxa"/>
            <w:shd w:val="clear" w:color="auto" w:fill="auto"/>
            <w:noWrap/>
            <w:vAlign w:val="bottom"/>
            <w:hideMark/>
          </w:tcPr>
          <w:p w14:paraId="323D2FAC" w14:textId="77777777" w:rsidR="00D549EE" w:rsidRPr="00D549EE" w:rsidRDefault="00D549EE" w:rsidP="00D549EE">
            <w:pPr>
              <w:rPr>
                <w:b/>
                <w:bCs/>
                <w:iCs/>
                <w:color w:val="000000" w:themeColor="text1"/>
              </w:rPr>
            </w:pPr>
            <w:r w:rsidRPr="00D549EE">
              <w:rPr>
                <w:b/>
                <w:bCs/>
                <w:iCs/>
                <w:color w:val="000000" w:themeColor="text1"/>
              </w:rPr>
              <w:t xml:space="preserve">    20 617 700,00 </w:t>
            </w:r>
          </w:p>
        </w:tc>
      </w:tr>
      <w:tr w:rsidR="00D549EE" w:rsidRPr="00D549EE" w14:paraId="2040D0D5" w14:textId="77777777" w:rsidTr="00D549EE">
        <w:trPr>
          <w:trHeight w:val="385"/>
        </w:trPr>
        <w:tc>
          <w:tcPr>
            <w:tcW w:w="0" w:type="auto"/>
            <w:shd w:val="clear" w:color="auto" w:fill="auto"/>
            <w:noWrap/>
            <w:vAlign w:val="bottom"/>
            <w:hideMark/>
          </w:tcPr>
          <w:p w14:paraId="5E0F3D54" w14:textId="77777777" w:rsidR="00D549EE" w:rsidRPr="00D549EE" w:rsidRDefault="00D549EE" w:rsidP="00D549EE">
            <w:pPr>
              <w:rPr>
                <w:color w:val="000000" w:themeColor="text1"/>
              </w:rPr>
            </w:pPr>
            <w:r w:rsidRPr="00D549EE">
              <w:rPr>
                <w:color w:val="000000" w:themeColor="text1"/>
              </w:rPr>
              <w:t>Income tax expense (3%)</w:t>
            </w:r>
          </w:p>
        </w:tc>
        <w:tc>
          <w:tcPr>
            <w:tcW w:w="2042" w:type="dxa"/>
            <w:shd w:val="clear" w:color="auto" w:fill="auto"/>
            <w:noWrap/>
            <w:vAlign w:val="bottom"/>
            <w:hideMark/>
          </w:tcPr>
          <w:p w14:paraId="09B0B070" w14:textId="77777777" w:rsidR="00D549EE" w:rsidRPr="00D549EE" w:rsidRDefault="00D549EE" w:rsidP="00D549EE">
            <w:pPr>
              <w:rPr>
                <w:iCs/>
                <w:color w:val="000000" w:themeColor="text1"/>
              </w:rPr>
            </w:pPr>
            <w:r w:rsidRPr="00D549EE">
              <w:rPr>
                <w:iCs/>
                <w:color w:val="000000" w:themeColor="text1"/>
              </w:rPr>
              <w:t xml:space="preserve">-     1 624 015,61 </w:t>
            </w:r>
          </w:p>
        </w:tc>
        <w:tc>
          <w:tcPr>
            <w:tcW w:w="2062" w:type="dxa"/>
            <w:shd w:val="clear" w:color="auto" w:fill="auto"/>
            <w:noWrap/>
            <w:vAlign w:val="bottom"/>
            <w:hideMark/>
          </w:tcPr>
          <w:p w14:paraId="5A6D61E6" w14:textId="77777777" w:rsidR="00D549EE" w:rsidRPr="00D549EE" w:rsidRDefault="00D549EE" w:rsidP="00D549EE">
            <w:pPr>
              <w:rPr>
                <w:color w:val="000000" w:themeColor="text1"/>
              </w:rPr>
            </w:pPr>
            <w:r w:rsidRPr="00D549EE">
              <w:rPr>
                <w:color w:val="000000" w:themeColor="text1"/>
              </w:rPr>
              <w:t xml:space="preserve">-     1 624 015,61 </w:t>
            </w:r>
          </w:p>
        </w:tc>
        <w:tc>
          <w:tcPr>
            <w:tcW w:w="2690" w:type="dxa"/>
            <w:shd w:val="clear" w:color="auto" w:fill="auto"/>
            <w:noWrap/>
            <w:vAlign w:val="bottom"/>
            <w:hideMark/>
          </w:tcPr>
          <w:p w14:paraId="31518AA6" w14:textId="77777777" w:rsidR="00D549EE" w:rsidRPr="00D549EE" w:rsidRDefault="00D549EE" w:rsidP="00D549EE">
            <w:pPr>
              <w:rPr>
                <w:iCs/>
                <w:color w:val="000000" w:themeColor="text1"/>
              </w:rPr>
            </w:pPr>
            <w:r w:rsidRPr="00D549EE">
              <w:rPr>
                <w:iCs/>
                <w:color w:val="000000" w:themeColor="text1"/>
              </w:rPr>
              <w:t xml:space="preserve">-     1 624 015,61 </w:t>
            </w:r>
          </w:p>
        </w:tc>
      </w:tr>
      <w:tr w:rsidR="00D549EE" w:rsidRPr="00D549EE" w14:paraId="09772C0B" w14:textId="77777777" w:rsidTr="00D549EE">
        <w:trPr>
          <w:trHeight w:val="410"/>
        </w:trPr>
        <w:tc>
          <w:tcPr>
            <w:tcW w:w="0" w:type="auto"/>
            <w:shd w:val="clear" w:color="auto" w:fill="auto"/>
            <w:noWrap/>
            <w:vAlign w:val="bottom"/>
            <w:hideMark/>
          </w:tcPr>
          <w:p w14:paraId="71983CA4" w14:textId="77777777" w:rsidR="00D549EE" w:rsidRPr="00D549EE" w:rsidRDefault="00D549EE" w:rsidP="00D549EE">
            <w:pPr>
              <w:rPr>
                <w:color w:val="000000" w:themeColor="text1"/>
              </w:rPr>
            </w:pPr>
            <w:r w:rsidRPr="00D549EE">
              <w:rPr>
                <w:color w:val="000000" w:themeColor="text1"/>
              </w:rPr>
              <w:t xml:space="preserve">Profit </w:t>
            </w:r>
          </w:p>
        </w:tc>
        <w:tc>
          <w:tcPr>
            <w:tcW w:w="2042" w:type="dxa"/>
            <w:shd w:val="clear" w:color="auto" w:fill="auto"/>
            <w:noWrap/>
            <w:vAlign w:val="bottom"/>
            <w:hideMark/>
          </w:tcPr>
          <w:p w14:paraId="785B416E" w14:textId="77777777" w:rsidR="00D549EE" w:rsidRPr="00D549EE" w:rsidRDefault="00D549EE" w:rsidP="00D549EE">
            <w:pPr>
              <w:rPr>
                <w:b/>
                <w:bCs/>
                <w:iCs/>
                <w:color w:val="000000" w:themeColor="text1"/>
              </w:rPr>
            </w:pPr>
            <w:r w:rsidRPr="00D549EE">
              <w:rPr>
                <w:b/>
                <w:bCs/>
                <w:iCs/>
                <w:color w:val="000000" w:themeColor="text1"/>
              </w:rPr>
              <w:t xml:space="preserve">   19 560 917,73 </w:t>
            </w:r>
          </w:p>
        </w:tc>
        <w:tc>
          <w:tcPr>
            <w:tcW w:w="2062" w:type="dxa"/>
            <w:shd w:val="clear" w:color="auto" w:fill="auto"/>
            <w:noWrap/>
            <w:vAlign w:val="bottom"/>
            <w:hideMark/>
          </w:tcPr>
          <w:p w14:paraId="5FEA21DA" w14:textId="77777777" w:rsidR="00D549EE" w:rsidRPr="00D549EE" w:rsidRDefault="00D549EE" w:rsidP="00D549EE">
            <w:pPr>
              <w:rPr>
                <w:color w:val="000000" w:themeColor="text1"/>
              </w:rPr>
            </w:pPr>
            <w:r w:rsidRPr="00D549EE">
              <w:rPr>
                <w:color w:val="000000" w:themeColor="text1"/>
              </w:rPr>
              <w:t xml:space="preserve">    19 303 084,39 </w:t>
            </w:r>
          </w:p>
        </w:tc>
        <w:tc>
          <w:tcPr>
            <w:tcW w:w="2690" w:type="dxa"/>
            <w:shd w:val="clear" w:color="auto" w:fill="auto"/>
            <w:noWrap/>
            <w:vAlign w:val="bottom"/>
            <w:hideMark/>
          </w:tcPr>
          <w:p w14:paraId="3421A301" w14:textId="77777777" w:rsidR="00D549EE" w:rsidRPr="00D549EE" w:rsidRDefault="00D549EE" w:rsidP="00D549EE">
            <w:pPr>
              <w:rPr>
                <w:b/>
                <w:bCs/>
                <w:iCs/>
                <w:color w:val="000000" w:themeColor="text1"/>
              </w:rPr>
            </w:pPr>
            <w:r w:rsidRPr="00D549EE">
              <w:rPr>
                <w:b/>
                <w:bCs/>
                <w:iCs/>
                <w:color w:val="000000" w:themeColor="text1"/>
              </w:rPr>
              <w:t xml:space="preserve">    18 993 684,39 </w:t>
            </w:r>
          </w:p>
        </w:tc>
      </w:tr>
    </w:tbl>
    <w:p w14:paraId="3BE14AD5" w14:textId="77777777" w:rsidR="00D549EE" w:rsidRPr="00D549EE" w:rsidRDefault="00D549EE" w:rsidP="00D549EE">
      <w:pPr>
        <w:pStyle w:val="a3"/>
        <w:ind w:left="1440"/>
        <w:rPr>
          <w:rFonts w:ascii="Times New Roman" w:hAnsi="Times New Roman"/>
          <w:bCs/>
          <w:color w:val="000000" w:themeColor="text1"/>
          <w:sz w:val="24"/>
          <w:szCs w:val="24"/>
          <w:lang w:val="en-US"/>
        </w:rPr>
      </w:pPr>
    </w:p>
    <w:p w14:paraId="4D00A6FE" w14:textId="77777777" w:rsidR="00D549EE" w:rsidRPr="00D549EE" w:rsidRDefault="00D549EE" w:rsidP="00D549EE">
      <w:pPr>
        <w:jc w:val="both"/>
        <w:rPr>
          <w:bCs/>
          <w:noProof/>
          <w:color w:val="000000" w:themeColor="text1"/>
          <w:lang w:val="en-US"/>
        </w:rPr>
      </w:pPr>
      <w:r w:rsidRPr="00D549EE">
        <w:rPr>
          <w:i/>
          <w:iCs/>
          <w:color w:val="000000" w:themeColor="text1"/>
          <w:lang w:val="en-US"/>
        </w:rPr>
        <w:tab/>
      </w:r>
      <w:r w:rsidRPr="00D549EE">
        <w:rPr>
          <w:bCs/>
          <w:noProof/>
          <w:color w:val="000000" w:themeColor="text1"/>
          <w:lang w:val="en-US"/>
        </w:rPr>
        <w:t xml:space="preserve">From this table we can see that due change in occupacny level: Gross Profit: -20%: was decreased  by 20%. +20%: was increased by 20%. Net effect because Gross Profit is directly depends on sales volume, hence level of occupancy. Thus we can conclude that profitability of our performance is highly sensitive to occupancy level, especially in Year 1. If occupancy rate were less by 20% than expected, payback period would take more time to cover initial investments.  If occupnacy rate were to be less than we expected it would significantly affect out profitability. </w:t>
      </w:r>
    </w:p>
    <w:p w14:paraId="2D134168" w14:textId="77777777" w:rsidR="00D549EE" w:rsidRPr="00D549EE" w:rsidRDefault="00D549EE" w:rsidP="00D549EE">
      <w:pPr>
        <w:pStyle w:val="1"/>
        <w:rPr>
          <w:rFonts w:ascii="Times New Roman" w:hAnsi="Times New Roman" w:cs="Times New Roman"/>
          <w:b/>
          <w:smallCaps/>
          <w:color w:val="000000" w:themeColor="text1"/>
          <w:sz w:val="24"/>
          <w:szCs w:val="24"/>
          <w:lang w:val="en-US"/>
        </w:rPr>
      </w:pPr>
      <w:bookmarkStart w:id="10" w:name="_Toc58237903"/>
      <w:r w:rsidRPr="00D549EE">
        <w:rPr>
          <w:rFonts w:ascii="Times New Roman" w:hAnsi="Times New Roman" w:cs="Times New Roman"/>
          <w:b/>
          <w:smallCaps/>
          <w:color w:val="000000" w:themeColor="text1"/>
          <w:sz w:val="24"/>
          <w:szCs w:val="24"/>
          <w:lang w:val="en-US"/>
        </w:rPr>
        <w:t>Section 9. Financial Plan</w:t>
      </w:r>
      <w:bookmarkEnd w:id="10"/>
      <w:r w:rsidRPr="00D549EE">
        <w:rPr>
          <w:rFonts w:ascii="Times New Roman" w:hAnsi="Times New Roman" w:cs="Times New Roman"/>
          <w:b/>
          <w:smallCaps/>
          <w:color w:val="000000" w:themeColor="text1"/>
          <w:sz w:val="24"/>
          <w:szCs w:val="24"/>
          <w:lang w:val="en-US"/>
        </w:rPr>
        <w:t xml:space="preserve"> </w:t>
      </w:r>
    </w:p>
    <w:p w14:paraId="56C0F22B" w14:textId="77777777" w:rsidR="00D549EE" w:rsidRPr="00D549EE" w:rsidRDefault="00D549EE" w:rsidP="00D549EE">
      <w:pPr>
        <w:rPr>
          <w:lang w:val="en-US"/>
        </w:rPr>
      </w:pPr>
    </w:p>
    <w:p w14:paraId="43174F16" w14:textId="587EDF1F" w:rsidR="00D549EE" w:rsidRPr="00D549EE" w:rsidRDefault="00D549EE" w:rsidP="00D549EE">
      <w:pPr>
        <w:jc w:val="both"/>
        <w:rPr>
          <w:lang w:val="en-US"/>
        </w:rPr>
      </w:pPr>
      <w:r>
        <w:rPr>
          <w:lang w:val="en-US"/>
        </w:rPr>
        <w:tab/>
      </w:r>
      <w:r w:rsidRPr="00D549EE">
        <w:rPr>
          <w:lang w:val="en-US"/>
        </w:rPr>
        <w:t>The main idea of the financial analysis is given in the previous sections, the following tables are estimated financial statements and calculating the financial indicators for financial analysis of the Social market. Furthermore, by using these estimations, we will conclude the social efficiency of the project.</w:t>
      </w:r>
    </w:p>
    <w:p w14:paraId="7041D54F" w14:textId="77777777" w:rsidR="00D549EE" w:rsidRPr="00D549EE" w:rsidRDefault="00D549EE" w:rsidP="00D549EE">
      <w:pPr>
        <w:jc w:val="both"/>
        <w:rPr>
          <w:lang w:val="en-US"/>
        </w:rPr>
      </w:pPr>
    </w:p>
    <w:p w14:paraId="479A9C53" w14:textId="01800105" w:rsidR="00D549EE" w:rsidRPr="00D549EE" w:rsidRDefault="00D549EE" w:rsidP="00D549EE">
      <w:pPr>
        <w:pStyle w:val="a3"/>
        <w:ind w:left="0"/>
        <w:rPr>
          <w:rFonts w:ascii="Times New Roman" w:hAnsi="Times New Roman"/>
          <w:sz w:val="24"/>
          <w:szCs w:val="24"/>
          <w:lang w:val="en-US"/>
        </w:rPr>
      </w:pPr>
      <w:r w:rsidRPr="00D549EE">
        <w:rPr>
          <w:rFonts w:ascii="Times New Roman" w:hAnsi="Times New Roman"/>
          <w:sz w:val="24"/>
          <w:szCs w:val="24"/>
          <w:lang w:val="en-US"/>
        </w:rPr>
        <w:t>Table 13 - Statement of comprehensive revenues forecast for 5 years, Ume social market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594"/>
        <w:gridCol w:w="1594"/>
        <w:gridCol w:w="1594"/>
        <w:gridCol w:w="1594"/>
        <w:gridCol w:w="1594"/>
      </w:tblGrid>
      <w:tr w:rsidR="00D549EE" w:rsidRPr="00D549EE" w14:paraId="2AA58F00" w14:textId="77777777" w:rsidTr="00D549EE">
        <w:trPr>
          <w:trHeight w:val="340"/>
        </w:trPr>
        <w:tc>
          <w:tcPr>
            <w:tcW w:w="0" w:type="auto"/>
            <w:shd w:val="clear" w:color="auto" w:fill="auto"/>
            <w:noWrap/>
            <w:vAlign w:val="bottom"/>
            <w:hideMark/>
          </w:tcPr>
          <w:p w14:paraId="116C061B" w14:textId="77777777" w:rsidR="00D549EE" w:rsidRPr="00D549EE" w:rsidRDefault="00D549EE" w:rsidP="00D549EE">
            <w:pPr>
              <w:contextualSpacing/>
              <w:rPr>
                <w:color w:val="000000" w:themeColor="text1"/>
                <w:lang w:val="en-US"/>
              </w:rPr>
            </w:pPr>
          </w:p>
        </w:tc>
        <w:tc>
          <w:tcPr>
            <w:tcW w:w="0" w:type="auto"/>
            <w:shd w:val="clear" w:color="auto" w:fill="auto"/>
            <w:noWrap/>
            <w:vAlign w:val="bottom"/>
            <w:hideMark/>
          </w:tcPr>
          <w:p w14:paraId="7832E723" w14:textId="77777777" w:rsidR="00D549EE" w:rsidRPr="00D549EE" w:rsidRDefault="00D549EE" w:rsidP="00D549EE">
            <w:pPr>
              <w:contextualSpacing/>
              <w:rPr>
                <w:color w:val="000000" w:themeColor="text1"/>
              </w:rPr>
            </w:pPr>
            <w:r w:rsidRPr="00D549EE">
              <w:rPr>
                <w:color w:val="000000" w:themeColor="text1"/>
              </w:rPr>
              <w:t>Year 1</w:t>
            </w:r>
          </w:p>
        </w:tc>
        <w:tc>
          <w:tcPr>
            <w:tcW w:w="0" w:type="auto"/>
            <w:shd w:val="clear" w:color="auto" w:fill="auto"/>
            <w:noWrap/>
            <w:vAlign w:val="bottom"/>
            <w:hideMark/>
          </w:tcPr>
          <w:p w14:paraId="53DA25CC" w14:textId="77777777" w:rsidR="00D549EE" w:rsidRPr="00D549EE" w:rsidRDefault="00D549EE" w:rsidP="00D549EE">
            <w:pPr>
              <w:contextualSpacing/>
              <w:rPr>
                <w:color w:val="000000" w:themeColor="text1"/>
              </w:rPr>
            </w:pPr>
            <w:r w:rsidRPr="00D549EE">
              <w:rPr>
                <w:color w:val="000000" w:themeColor="text1"/>
              </w:rPr>
              <w:t>Year 2</w:t>
            </w:r>
          </w:p>
        </w:tc>
        <w:tc>
          <w:tcPr>
            <w:tcW w:w="0" w:type="auto"/>
            <w:shd w:val="clear" w:color="auto" w:fill="auto"/>
            <w:noWrap/>
            <w:vAlign w:val="bottom"/>
            <w:hideMark/>
          </w:tcPr>
          <w:p w14:paraId="72E8D527" w14:textId="77777777" w:rsidR="00D549EE" w:rsidRPr="00D549EE" w:rsidRDefault="00D549EE" w:rsidP="00D549EE">
            <w:pPr>
              <w:contextualSpacing/>
              <w:rPr>
                <w:color w:val="000000" w:themeColor="text1"/>
              </w:rPr>
            </w:pPr>
            <w:r w:rsidRPr="00D549EE">
              <w:rPr>
                <w:color w:val="000000" w:themeColor="text1"/>
              </w:rPr>
              <w:t>Year 3</w:t>
            </w:r>
          </w:p>
        </w:tc>
        <w:tc>
          <w:tcPr>
            <w:tcW w:w="0" w:type="auto"/>
            <w:shd w:val="clear" w:color="auto" w:fill="auto"/>
            <w:noWrap/>
            <w:vAlign w:val="bottom"/>
            <w:hideMark/>
          </w:tcPr>
          <w:p w14:paraId="69463566" w14:textId="77777777" w:rsidR="00D549EE" w:rsidRPr="00D549EE" w:rsidRDefault="00D549EE" w:rsidP="00D549EE">
            <w:pPr>
              <w:contextualSpacing/>
              <w:rPr>
                <w:color w:val="000000" w:themeColor="text1"/>
              </w:rPr>
            </w:pPr>
            <w:r w:rsidRPr="00D549EE">
              <w:rPr>
                <w:color w:val="000000" w:themeColor="text1"/>
              </w:rPr>
              <w:t>Year 4</w:t>
            </w:r>
          </w:p>
        </w:tc>
        <w:tc>
          <w:tcPr>
            <w:tcW w:w="0" w:type="auto"/>
            <w:shd w:val="clear" w:color="auto" w:fill="auto"/>
            <w:noWrap/>
            <w:vAlign w:val="bottom"/>
            <w:hideMark/>
          </w:tcPr>
          <w:p w14:paraId="457B6A30" w14:textId="77777777" w:rsidR="00D549EE" w:rsidRPr="00D549EE" w:rsidRDefault="00D549EE" w:rsidP="00D549EE">
            <w:pPr>
              <w:contextualSpacing/>
              <w:rPr>
                <w:color w:val="000000" w:themeColor="text1"/>
              </w:rPr>
            </w:pPr>
            <w:r w:rsidRPr="00D549EE">
              <w:rPr>
                <w:color w:val="000000" w:themeColor="text1"/>
              </w:rPr>
              <w:t>Year 5</w:t>
            </w:r>
          </w:p>
        </w:tc>
      </w:tr>
      <w:tr w:rsidR="00D549EE" w:rsidRPr="00D549EE" w14:paraId="31063676" w14:textId="77777777" w:rsidTr="00D549EE">
        <w:trPr>
          <w:trHeight w:val="412"/>
        </w:trPr>
        <w:tc>
          <w:tcPr>
            <w:tcW w:w="0" w:type="auto"/>
            <w:shd w:val="clear" w:color="auto" w:fill="auto"/>
            <w:vAlign w:val="center"/>
            <w:hideMark/>
          </w:tcPr>
          <w:p w14:paraId="2C6BCB7E" w14:textId="77777777" w:rsidR="00D549EE" w:rsidRPr="00D549EE" w:rsidRDefault="00D549EE" w:rsidP="00D549EE">
            <w:pPr>
              <w:contextualSpacing/>
              <w:rPr>
                <w:color w:val="000000" w:themeColor="text1"/>
              </w:rPr>
            </w:pPr>
            <w:r w:rsidRPr="00D549EE">
              <w:rPr>
                <w:color w:val="000000" w:themeColor="text1"/>
              </w:rPr>
              <w:t xml:space="preserve">Sales Revenue </w:t>
            </w:r>
          </w:p>
        </w:tc>
        <w:tc>
          <w:tcPr>
            <w:tcW w:w="0" w:type="auto"/>
            <w:shd w:val="clear" w:color="auto" w:fill="auto"/>
            <w:noWrap/>
            <w:vAlign w:val="bottom"/>
            <w:hideMark/>
          </w:tcPr>
          <w:p w14:paraId="3E6A681B" w14:textId="77777777" w:rsidR="00D549EE" w:rsidRPr="00D549EE" w:rsidRDefault="00D549EE" w:rsidP="00D549EE">
            <w:pPr>
              <w:contextualSpacing/>
              <w:jc w:val="right"/>
              <w:rPr>
                <w:color w:val="000000" w:themeColor="text1"/>
              </w:rPr>
            </w:pPr>
            <w:r w:rsidRPr="00D549EE">
              <w:rPr>
                <w:color w:val="000000"/>
              </w:rPr>
              <w:t xml:space="preserve">33 729 500,00   </w:t>
            </w:r>
          </w:p>
        </w:tc>
        <w:tc>
          <w:tcPr>
            <w:tcW w:w="0" w:type="auto"/>
            <w:shd w:val="clear" w:color="auto" w:fill="auto"/>
            <w:noWrap/>
            <w:vAlign w:val="bottom"/>
            <w:hideMark/>
          </w:tcPr>
          <w:p w14:paraId="1328AAA7" w14:textId="77777777" w:rsidR="00D549EE" w:rsidRPr="00D549EE" w:rsidRDefault="00D549EE" w:rsidP="00D549EE">
            <w:pPr>
              <w:contextualSpacing/>
              <w:jc w:val="right"/>
              <w:rPr>
                <w:color w:val="000000" w:themeColor="text1"/>
              </w:rPr>
            </w:pPr>
            <w:r w:rsidRPr="00D549EE">
              <w:rPr>
                <w:color w:val="000000"/>
              </w:rPr>
              <w:t xml:space="preserve">33 898 000,00   </w:t>
            </w:r>
          </w:p>
        </w:tc>
        <w:tc>
          <w:tcPr>
            <w:tcW w:w="0" w:type="auto"/>
            <w:shd w:val="clear" w:color="auto" w:fill="auto"/>
            <w:noWrap/>
            <w:vAlign w:val="bottom"/>
            <w:hideMark/>
          </w:tcPr>
          <w:p w14:paraId="1A279027" w14:textId="77777777" w:rsidR="00D549EE" w:rsidRPr="00D549EE" w:rsidRDefault="00D549EE" w:rsidP="00D549EE">
            <w:pPr>
              <w:contextualSpacing/>
              <w:jc w:val="right"/>
              <w:rPr>
                <w:iCs/>
                <w:color w:val="000000" w:themeColor="text1"/>
              </w:rPr>
            </w:pPr>
            <w:r w:rsidRPr="00D549EE">
              <w:rPr>
                <w:color w:val="000000"/>
              </w:rPr>
              <w:t xml:space="preserve">46 948 730,00   </w:t>
            </w:r>
          </w:p>
        </w:tc>
        <w:tc>
          <w:tcPr>
            <w:tcW w:w="0" w:type="auto"/>
            <w:shd w:val="clear" w:color="auto" w:fill="auto"/>
            <w:noWrap/>
            <w:vAlign w:val="bottom"/>
            <w:hideMark/>
          </w:tcPr>
          <w:p w14:paraId="7AD1E694" w14:textId="77777777" w:rsidR="00D549EE" w:rsidRPr="00D549EE" w:rsidRDefault="00D549EE" w:rsidP="00D549EE">
            <w:pPr>
              <w:contextualSpacing/>
              <w:rPr>
                <w:color w:val="000000" w:themeColor="text1"/>
              </w:rPr>
            </w:pPr>
            <w:r w:rsidRPr="00D549EE">
              <w:rPr>
                <w:color w:val="000000"/>
              </w:rPr>
              <w:t xml:space="preserve">49 296 166,50   </w:t>
            </w:r>
          </w:p>
        </w:tc>
        <w:tc>
          <w:tcPr>
            <w:tcW w:w="0" w:type="auto"/>
            <w:shd w:val="clear" w:color="auto" w:fill="auto"/>
            <w:noWrap/>
            <w:vAlign w:val="bottom"/>
            <w:hideMark/>
          </w:tcPr>
          <w:p w14:paraId="6187C7BB" w14:textId="77777777" w:rsidR="00D549EE" w:rsidRPr="00D549EE" w:rsidRDefault="00D549EE" w:rsidP="00D549EE">
            <w:pPr>
              <w:contextualSpacing/>
              <w:jc w:val="right"/>
              <w:rPr>
                <w:color w:val="000000" w:themeColor="text1"/>
              </w:rPr>
            </w:pPr>
            <w:r w:rsidRPr="00D549EE">
              <w:rPr>
                <w:color w:val="000000"/>
              </w:rPr>
              <w:t xml:space="preserve">51 760 974,83   </w:t>
            </w:r>
          </w:p>
        </w:tc>
      </w:tr>
      <w:tr w:rsidR="00D549EE" w:rsidRPr="00D549EE" w14:paraId="1D37E965" w14:textId="77777777" w:rsidTr="00D549EE">
        <w:trPr>
          <w:trHeight w:val="275"/>
        </w:trPr>
        <w:tc>
          <w:tcPr>
            <w:tcW w:w="0" w:type="auto"/>
            <w:shd w:val="clear" w:color="auto" w:fill="auto"/>
            <w:vAlign w:val="center"/>
            <w:hideMark/>
          </w:tcPr>
          <w:p w14:paraId="56642B6D" w14:textId="77777777" w:rsidR="00D549EE" w:rsidRPr="00D549EE" w:rsidRDefault="00D549EE" w:rsidP="00D549EE">
            <w:pPr>
              <w:contextualSpacing/>
              <w:rPr>
                <w:color w:val="000000" w:themeColor="text1"/>
              </w:rPr>
            </w:pPr>
            <w:r w:rsidRPr="00D549EE">
              <w:rPr>
                <w:color w:val="000000" w:themeColor="text1"/>
              </w:rPr>
              <w:t xml:space="preserve">Cost of sales </w:t>
            </w:r>
          </w:p>
        </w:tc>
        <w:tc>
          <w:tcPr>
            <w:tcW w:w="0" w:type="auto"/>
            <w:shd w:val="clear" w:color="auto" w:fill="auto"/>
            <w:noWrap/>
            <w:vAlign w:val="bottom"/>
            <w:hideMark/>
          </w:tcPr>
          <w:p w14:paraId="5BE2D747" w14:textId="77777777" w:rsidR="00D549EE" w:rsidRPr="00D549EE" w:rsidRDefault="00D549EE" w:rsidP="00D549EE">
            <w:pPr>
              <w:contextualSpacing/>
              <w:jc w:val="right"/>
              <w:rPr>
                <w:color w:val="000000" w:themeColor="text1"/>
                <w:lang w:val="en-US"/>
              </w:rPr>
            </w:pPr>
            <w:r w:rsidRPr="00D549EE">
              <w:rPr>
                <w:color w:val="000000"/>
              </w:rPr>
              <w:t xml:space="preserve">  3 675 850,00   </w:t>
            </w:r>
          </w:p>
        </w:tc>
        <w:tc>
          <w:tcPr>
            <w:tcW w:w="0" w:type="auto"/>
            <w:shd w:val="clear" w:color="auto" w:fill="auto"/>
            <w:noWrap/>
            <w:vAlign w:val="bottom"/>
            <w:hideMark/>
          </w:tcPr>
          <w:p w14:paraId="2869A11A" w14:textId="77777777" w:rsidR="00D549EE" w:rsidRPr="00D549EE" w:rsidRDefault="00D549EE" w:rsidP="00D549EE">
            <w:pPr>
              <w:contextualSpacing/>
              <w:jc w:val="right"/>
              <w:rPr>
                <w:color w:val="000000" w:themeColor="text1"/>
                <w:lang w:val="en-US"/>
              </w:rPr>
            </w:pPr>
            <w:r w:rsidRPr="00D549EE">
              <w:rPr>
                <w:color w:val="000000"/>
              </w:rPr>
              <w:t xml:space="preserve">  3 929 000,00   </w:t>
            </w:r>
          </w:p>
        </w:tc>
        <w:tc>
          <w:tcPr>
            <w:tcW w:w="0" w:type="auto"/>
            <w:shd w:val="clear" w:color="auto" w:fill="auto"/>
            <w:noWrap/>
            <w:vAlign w:val="bottom"/>
            <w:hideMark/>
          </w:tcPr>
          <w:p w14:paraId="775621E8" w14:textId="77777777" w:rsidR="00D549EE" w:rsidRPr="00D549EE" w:rsidRDefault="00D549EE" w:rsidP="00D549EE">
            <w:pPr>
              <w:contextualSpacing/>
              <w:jc w:val="right"/>
              <w:rPr>
                <w:iCs/>
                <w:color w:val="000000" w:themeColor="text1"/>
                <w:lang w:val="en-US"/>
              </w:rPr>
            </w:pPr>
            <w:r w:rsidRPr="00D549EE">
              <w:rPr>
                <w:color w:val="000000"/>
              </w:rPr>
              <w:t xml:space="preserve">  5 441 665,00   </w:t>
            </w:r>
          </w:p>
        </w:tc>
        <w:tc>
          <w:tcPr>
            <w:tcW w:w="0" w:type="auto"/>
            <w:shd w:val="clear" w:color="auto" w:fill="auto"/>
            <w:noWrap/>
            <w:vAlign w:val="bottom"/>
            <w:hideMark/>
          </w:tcPr>
          <w:p w14:paraId="3E5FBBB7" w14:textId="77777777" w:rsidR="00D549EE" w:rsidRPr="00D549EE" w:rsidRDefault="00D549EE" w:rsidP="00D549EE">
            <w:pPr>
              <w:contextualSpacing/>
              <w:jc w:val="right"/>
              <w:rPr>
                <w:color w:val="000000" w:themeColor="text1"/>
                <w:lang w:val="en-US"/>
              </w:rPr>
            </w:pPr>
            <w:r w:rsidRPr="00D549EE">
              <w:rPr>
                <w:color w:val="000000"/>
              </w:rPr>
              <w:t xml:space="preserve">  5 713 748,25   </w:t>
            </w:r>
          </w:p>
        </w:tc>
        <w:tc>
          <w:tcPr>
            <w:tcW w:w="0" w:type="auto"/>
            <w:shd w:val="clear" w:color="auto" w:fill="auto"/>
            <w:noWrap/>
            <w:vAlign w:val="bottom"/>
            <w:hideMark/>
          </w:tcPr>
          <w:p w14:paraId="79B12DD3" w14:textId="77777777" w:rsidR="00D549EE" w:rsidRPr="00D549EE" w:rsidRDefault="00D549EE" w:rsidP="00D549EE">
            <w:pPr>
              <w:contextualSpacing/>
              <w:jc w:val="right"/>
              <w:rPr>
                <w:color w:val="000000" w:themeColor="text1"/>
                <w:lang w:val="en-US"/>
              </w:rPr>
            </w:pPr>
            <w:r w:rsidRPr="00D549EE">
              <w:rPr>
                <w:color w:val="000000"/>
              </w:rPr>
              <w:t xml:space="preserve">  5 999 435,66   </w:t>
            </w:r>
          </w:p>
        </w:tc>
      </w:tr>
      <w:tr w:rsidR="00D549EE" w:rsidRPr="00D549EE" w14:paraId="64DF1964" w14:textId="77777777" w:rsidTr="00D549EE">
        <w:trPr>
          <w:trHeight w:val="408"/>
        </w:trPr>
        <w:tc>
          <w:tcPr>
            <w:tcW w:w="0" w:type="auto"/>
            <w:shd w:val="clear" w:color="auto" w:fill="auto"/>
            <w:vAlign w:val="center"/>
            <w:hideMark/>
          </w:tcPr>
          <w:p w14:paraId="05019758" w14:textId="77777777" w:rsidR="00D549EE" w:rsidRPr="00D549EE" w:rsidRDefault="00D549EE" w:rsidP="00D549EE">
            <w:pPr>
              <w:contextualSpacing/>
              <w:rPr>
                <w:b/>
                <w:bCs/>
                <w:color w:val="000000" w:themeColor="text1"/>
              </w:rPr>
            </w:pPr>
            <w:r w:rsidRPr="00D549EE">
              <w:rPr>
                <w:b/>
                <w:bCs/>
                <w:color w:val="000000" w:themeColor="text1"/>
              </w:rPr>
              <w:t xml:space="preserve">Gross profit                          </w:t>
            </w:r>
          </w:p>
        </w:tc>
        <w:tc>
          <w:tcPr>
            <w:tcW w:w="0" w:type="auto"/>
            <w:shd w:val="clear" w:color="auto" w:fill="auto"/>
            <w:noWrap/>
            <w:vAlign w:val="bottom"/>
            <w:hideMark/>
          </w:tcPr>
          <w:p w14:paraId="2917C1AB" w14:textId="77777777" w:rsidR="00D549EE" w:rsidRPr="00D549EE" w:rsidRDefault="00D549EE" w:rsidP="00D549EE">
            <w:pPr>
              <w:contextualSpacing/>
              <w:jc w:val="right"/>
              <w:rPr>
                <w:b/>
                <w:bCs/>
                <w:iCs/>
                <w:color w:val="000000" w:themeColor="text1"/>
              </w:rPr>
            </w:pPr>
            <w:r w:rsidRPr="00D549EE">
              <w:rPr>
                <w:b/>
                <w:bCs/>
                <w:color w:val="000000"/>
              </w:rPr>
              <w:t xml:space="preserve">30 053 650,00   </w:t>
            </w:r>
          </w:p>
        </w:tc>
        <w:tc>
          <w:tcPr>
            <w:tcW w:w="0" w:type="auto"/>
            <w:shd w:val="clear" w:color="auto" w:fill="auto"/>
            <w:noWrap/>
            <w:vAlign w:val="bottom"/>
            <w:hideMark/>
          </w:tcPr>
          <w:p w14:paraId="0F6D8787" w14:textId="77777777" w:rsidR="00D549EE" w:rsidRPr="00D549EE" w:rsidRDefault="00D549EE" w:rsidP="00D549EE">
            <w:pPr>
              <w:contextualSpacing/>
              <w:jc w:val="right"/>
              <w:rPr>
                <w:b/>
                <w:bCs/>
                <w:iCs/>
                <w:color w:val="000000" w:themeColor="text1"/>
              </w:rPr>
            </w:pPr>
            <w:r w:rsidRPr="00D549EE">
              <w:rPr>
                <w:b/>
                <w:bCs/>
                <w:color w:val="000000"/>
              </w:rPr>
              <w:t xml:space="preserve">29 969 000,00   </w:t>
            </w:r>
          </w:p>
        </w:tc>
        <w:tc>
          <w:tcPr>
            <w:tcW w:w="0" w:type="auto"/>
            <w:shd w:val="clear" w:color="auto" w:fill="auto"/>
            <w:noWrap/>
            <w:vAlign w:val="bottom"/>
            <w:hideMark/>
          </w:tcPr>
          <w:p w14:paraId="77F507AD" w14:textId="77777777" w:rsidR="00D549EE" w:rsidRPr="00D549EE" w:rsidRDefault="00D549EE" w:rsidP="00D549EE">
            <w:pPr>
              <w:contextualSpacing/>
              <w:jc w:val="right"/>
              <w:rPr>
                <w:b/>
                <w:bCs/>
                <w:iCs/>
                <w:color w:val="000000" w:themeColor="text1"/>
              </w:rPr>
            </w:pPr>
            <w:r w:rsidRPr="00D549EE">
              <w:rPr>
                <w:b/>
                <w:bCs/>
                <w:color w:val="000000"/>
              </w:rPr>
              <w:t xml:space="preserve">41 507 065,00   </w:t>
            </w:r>
          </w:p>
        </w:tc>
        <w:tc>
          <w:tcPr>
            <w:tcW w:w="0" w:type="auto"/>
            <w:shd w:val="clear" w:color="auto" w:fill="auto"/>
            <w:noWrap/>
            <w:vAlign w:val="bottom"/>
            <w:hideMark/>
          </w:tcPr>
          <w:p w14:paraId="0E347C8D" w14:textId="77777777" w:rsidR="00D549EE" w:rsidRPr="00D549EE" w:rsidRDefault="00D549EE" w:rsidP="00D549EE">
            <w:pPr>
              <w:contextualSpacing/>
              <w:jc w:val="right"/>
              <w:rPr>
                <w:b/>
                <w:bCs/>
                <w:iCs/>
                <w:color w:val="000000" w:themeColor="text1"/>
              </w:rPr>
            </w:pPr>
            <w:r w:rsidRPr="00D549EE">
              <w:rPr>
                <w:b/>
                <w:bCs/>
                <w:color w:val="000000"/>
              </w:rPr>
              <w:t xml:space="preserve">43 582 418,25   </w:t>
            </w:r>
          </w:p>
        </w:tc>
        <w:tc>
          <w:tcPr>
            <w:tcW w:w="0" w:type="auto"/>
            <w:shd w:val="clear" w:color="auto" w:fill="auto"/>
            <w:noWrap/>
            <w:vAlign w:val="bottom"/>
            <w:hideMark/>
          </w:tcPr>
          <w:p w14:paraId="0E9AD4B7" w14:textId="77777777" w:rsidR="00D549EE" w:rsidRPr="00D549EE" w:rsidRDefault="00D549EE" w:rsidP="00D549EE">
            <w:pPr>
              <w:contextualSpacing/>
              <w:jc w:val="right"/>
              <w:rPr>
                <w:b/>
                <w:bCs/>
                <w:iCs/>
                <w:color w:val="000000" w:themeColor="text1"/>
              </w:rPr>
            </w:pPr>
            <w:r w:rsidRPr="00D549EE">
              <w:rPr>
                <w:b/>
                <w:bCs/>
                <w:color w:val="000000"/>
              </w:rPr>
              <w:t xml:space="preserve">45 761 539,16   </w:t>
            </w:r>
          </w:p>
        </w:tc>
      </w:tr>
      <w:tr w:rsidR="00D549EE" w:rsidRPr="00D549EE" w14:paraId="38C15121" w14:textId="77777777" w:rsidTr="00D549EE">
        <w:trPr>
          <w:trHeight w:val="271"/>
        </w:trPr>
        <w:tc>
          <w:tcPr>
            <w:tcW w:w="0" w:type="auto"/>
            <w:shd w:val="clear" w:color="auto" w:fill="auto"/>
            <w:vAlign w:val="center"/>
            <w:hideMark/>
          </w:tcPr>
          <w:p w14:paraId="5DDDF1E9" w14:textId="77777777" w:rsidR="00D549EE" w:rsidRPr="00D549EE" w:rsidRDefault="00D549EE" w:rsidP="00D549EE">
            <w:pPr>
              <w:contextualSpacing/>
              <w:rPr>
                <w:color w:val="000000" w:themeColor="text1"/>
              </w:rPr>
            </w:pPr>
            <w:r w:rsidRPr="00D549EE">
              <w:rPr>
                <w:color w:val="000000" w:themeColor="text1"/>
              </w:rPr>
              <w:t xml:space="preserve">Administrative expenses </w:t>
            </w:r>
          </w:p>
        </w:tc>
        <w:tc>
          <w:tcPr>
            <w:tcW w:w="0" w:type="auto"/>
            <w:shd w:val="clear" w:color="auto" w:fill="auto"/>
            <w:noWrap/>
            <w:vAlign w:val="bottom"/>
            <w:hideMark/>
          </w:tcPr>
          <w:p w14:paraId="269656A8" w14:textId="77777777" w:rsidR="00D549EE" w:rsidRPr="00D549EE" w:rsidRDefault="00D549EE" w:rsidP="00D549EE">
            <w:pPr>
              <w:contextualSpacing/>
              <w:jc w:val="right"/>
              <w:rPr>
                <w:color w:val="000000" w:themeColor="text1"/>
                <w:lang w:val="en-US"/>
              </w:rPr>
            </w:pPr>
            <w:r w:rsidRPr="00D549EE">
              <w:rPr>
                <w:color w:val="000000"/>
              </w:rPr>
              <w:t xml:space="preserve">  6 956 475,00   </w:t>
            </w:r>
          </w:p>
        </w:tc>
        <w:tc>
          <w:tcPr>
            <w:tcW w:w="0" w:type="auto"/>
            <w:shd w:val="clear" w:color="auto" w:fill="auto"/>
            <w:noWrap/>
            <w:vAlign w:val="bottom"/>
            <w:hideMark/>
          </w:tcPr>
          <w:p w14:paraId="70872ACB" w14:textId="77777777" w:rsidR="00D549EE" w:rsidRPr="00D549EE" w:rsidRDefault="00D549EE" w:rsidP="00D549EE">
            <w:pPr>
              <w:contextualSpacing/>
              <w:jc w:val="right"/>
              <w:rPr>
                <w:color w:val="000000" w:themeColor="text1"/>
                <w:lang w:val="en-US"/>
              </w:rPr>
            </w:pPr>
            <w:r w:rsidRPr="00D549EE">
              <w:rPr>
                <w:color w:val="000000"/>
              </w:rPr>
              <w:t xml:space="preserve">  7 454 900,00   </w:t>
            </w:r>
          </w:p>
        </w:tc>
        <w:tc>
          <w:tcPr>
            <w:tcW w:w="0" w:type="auto"/>
            <w:shd w:val="clear" w:color="auto" w:fill="auto"/>
            <w:noWrap/>
            <w:vAlign w:val="bottom"/>
            <w:hideMark/>
          </w:tcPr>
          <w:p w14:paraId="0C819DB1" w14:textId="77777777" w:rsidR="00D549EE" w:rsidRPr="00D549EE" w:rsidRDefault="00D549EE" w:rsidP="00D549EE">
            <w:pPr>
              <w:contextualSpacing/>
              <w:jc w:val="right"/>
              <w:rPr>
                <w:iCs/>
                <w:color w:val="000000" w:themeColor="text1"/>
                <w:lang w:val="en-US"/>
              </w:rPr>
            </w:pPr>
            <w:r w:rsidRPr="00D549EE">
              <w:rPr>
                <w:color w:val="000000"/>
              </w:rPr>
              <w:t xml:space="preserve">10 325 036,50   </w:t>
            </w:r>
          </w:p>
        </w:tc>
        <w:tc>
          <w:tcPr>
            <w:tcW w:w="0" w:type="auto"/>
            <w:shd w:val="clear" w:color="auto" w:fill="auto"/>
            <w:noWrap/>
            <w:vAlign w:val="bottom"/>
            <w:hideMark/>
          </w:tcPr>
          <w:p w14:paraId="638B5129" w14:textId="77777777" w:rsidR="00D549EE" w:rsidRPr="00D549EE" w:rsidRDefault="00D549EE" w:rsidP="00D549EE">
            <w:pPr>
              <w:contextualSpacing/>
              <w:jc w:val="right"/>
              <w:rPr>
                <w:color w:val="000000" w:themeColor="text1"/>
                <w:lang w:val="en-US"/>
              </w:rPr>
            </w:pPr>
            <w:r w:rsidRPr="00D549EE">
              <w:rPr>
                <w:color w:val="000000"/>
              </w:rPr>
              <w:t xml:space="preserve">14 300 175,55   </w:t>
            </w:r>
          </w:p>
        </w:tc>
        <w:tc>
          <w:tcPr>
            <w:tcW w:w="0" w:type="auto"/>
            <w:shd w:val="clear" w:color="auto" w:fill="auto"/>
            <w:noWrap/>
            <w:vAlign w:val="bottom"/>
            <w:hideMark/>
          </w:tcPr>
          <w:p w14:paraId="72B58522" w14:textId="77777777" w:rsidR="00D549EE" w:rsidRPr="00D549EE" w:rsidRDefault="00D549EE" w:rsidP="00D549EE">
            <w:pPr>
              <w:contextualSpacing/>
              <w:jc w:val="right"/>
              <w:rPr>
                <w:color w:val="000000" w:themeColor="text1"/>
                <w:lang w:val="en-US"/>
              </w:rPr>
            </w:pPr>
            <w:r w:rsidRPr="00D549EE">
              <w:rPr>
                <w:color w:val="000000"/>
              </w:rPr>
              <w:t xml:space="preserve">19 805 743,14   </w:t>
            </w:r>
          </w:p>
        </w:tc>
      </w:tr>
      <w:tr w:rsidR="00D549EE" w:rsidRPr="00D549EE" w14:paraId="780C070E" w14:textId="77777777" w:rsidTr="00D549EE">
        <w:trPr>
          <w:trHeight w:val="319"/>
        </w:trPr>
        <w:tc>
          <w:tcPr>
            <w:tcW w:w="0" w:type="auto"/>
            <w:shd w:val="clear" w:color="auto" w:fill="auto"/>
            <w:vAlign w:val="center"/>
            <w:hideMark/>
          </w:tcPr>
          <w:p w14:paraId="6B52287E" w14:textId="77777777" w:rsidR="00D549EE" w:rsidRPr="00D549EE" w:rsidRDefault="00D549EE" w:rsidP="00D549EE">
            <w:pPr>
              <w:contextualSpacing/>
              <w:rPr>
                <w:color w:val="000000" w:themeColor="text1"/>
              </w:rPr>
            </w:pPr>
            <w:r w:rsidRPr="00D549EE">
              <w:rPr>
                <w:color w:val="000000" w:themeColor="text1"/>
              </w:rPr>
              <w:t xml:space="preserve">Operating expenses </w:t>
            </w:r>
          </w:p>
        </w:tc>
        <w:tc>
          <w:tcPr>
            <w:tcW w:w="0" w:type="auto"/>
            <w:shd w:val="clear" w:color="auto" w:fill="auto"/>
            <w:noWrap/>
            <w:vAlign w:val="bottom"/>
            <w:hideMark/>
          </w:tcPr>
          <w:p w14:paraId="49E84AE1" w14:textId="77777777" w:rsidR="00D549EE" w:rsidRPr="00D549EE" w:rsidRDefault="00D549EE" w:rsidP="00D549EE">
            <w:pPr>
              <w:contextualSpacing/>
              <w:jc w:val="right"/>
              <w:rPr>
                <w:color w:val="000000" w:themeColor="text1"/>
                <w:lang w:val="en-US"/>
              </w:rPr>
            </w:pPr>
            <w:r w:rsidRPr="00D549EE">
              <w:rPr>
                <w:color w:val="000000"/>
              </w:rPr>
              <w:t xml:space="preserve">  1 790 000,00   </w:t>
            </w:r>
          </w:p>
        </w:tc>
        <w:tc>
          <w:tcPr>
            <w:tcW w:w="0" w:type="auto"/>
            <w:shd w:val="clear" w:color="auto" w:fill="auto"/>
            <w:noWrap/>
            <w:vAlign w:val="bottom"/>
            <w:hideMark/>
          </w:tcPr>
          <w:p w14:paraId="6F8D8329" w14:textId="77777777" w:rsidR="00D549EE" w:rsidRPr="00D549EE" w:rsidRDefault="00D549EE" w:rsidP="00D549EE">
            <w:pPr>
              <w:contextualSpacing/>
              <w:jc w:val="right"/>
              <w:rPr>
                <w:color w:val="000000" w:themeColor="text1"/>
                <w:lang w:val="en-US"/>
              </w:rPr>
            </w:pPr>
            <w:r w:rsidRPr="00D549EE">
              <w:rPr>
                <w:color w:val="000000"/>
              </w:rPr>
              <w:t xml:space="preserve">  1 547 000,00   </w:t>
            </w:r>
          </w:p>
        </w:tc>
        <w:tc>
          <w:tcPr>
            <w:tcW w:w="0" w:type="auto"/>
            <w:shd w:val="clear" w:color="auto" w:fill="auto"/>
            <w:noWrap/>
            <w:vAlign w:val="bottom"/>
            <w:hideMark/>
          </w:tcPr>
          <w:p w14:paraId="22EDAB8A" w14:textId="77777777" w:rsidR="00D549EE" w:rsidRPr="00D549EE" w:rsidRDefault="00D549EE" w:rsidP="00D549EE">
            <w:pPr>
              <w:contextualSpacing/>
              <w:jc w:val="right"/>
              <w:rPr>
                <w:iCs/>
                <w:color w:val="000000" w:themeColor="text1"/>
                <w:lang w:val="en-US"/>
              </w:rPr>
            </w:pPr>
            <w:r w:rsidRPr="00D549EE">
              <w:rPr>
                <w:color w:val="000000"/>
              </w:rPr>
              <w:t xml:space="preserve">  2 142 595,00   </w:t>
            </w:r>
          </w:p>
        </w:tc>
        <w:tc>
          <w:tcPr>
            <w:tcW w:w="0" w:type="auto"/>
            <w:shd w:val="clear" w:color="auto" w:fill="auto"/>
            <w:noWrap/>
            <w:vAlign w:val="bottom"/>
            <w:hideMark/>
          </w:tcPr>
          <w:p w14:paraId="12DA997D" w14:textId="77777777" w:rsidR="00D549EE" w:rsidRPr="00D549EE" w:rsidRDefault="00D549EE" w:rsidP="00D549EE">
            <w:pPr>
              <w:contextualSpacing/>
              <w:jc w:val="right"/>
              <w:rPr>
                <w:color w:val="000000" w:themeColor="text1"/>
                <w:lang w:val="en-US"/>
              </w:rPr>
            </w:pPr>
            <w:r w:rsidRPr="00D549EE">
              <w:rPr>
                <w:color w:val="000000"/>
              </w:rPr>
              <w:t xml:space="preserve">  2 967 494,08   </w:t>
            </w:r>
          </w:p>
        </w:tc>
        <w:tc>
          <w:tcPr>
            <w:tcW w:w="0" w:type="auto"/>
            <w:shd w:val="clear" w:color="auto" w:fill="auto"/>
            <w:noWrap/>
            <w:vAlign w:val="bottom"/>
            <w:hideMark/>
          </w:tcPr>
          <w:p w14:paraId="673F0768" w14:textId="77777777" w:rsidR="00D549EE" w:rsidRPr="00D549EE" w:rsidRDefault="00D549EE" w:rsidP="00D549EE">
            <w:pPr>
              <w:contextualSpacing/>
              <w:jc w:val="right"/>
              <w:rPr>
                <w:color w:val="000000" w:themeColor="text1"/>
                <w:lang w:val="en-US"/>
              </w:rPr>
            </w:pPr>
            <w:r w:rsidRPr="00D549EE">
              <w:rPr>
                <w:color w:val="000000"/>
              </w:rPr>
              <w:t xml:space="preserve">  4 109 979,29   </w:t>
            </w:r>
          </w:p>
        </w:tc>
      </w:tr>
      <w:tr w:rsidR="00D549EE" w:rsidRPr="00D549EE" w14:paraId="122D95E0" w14:textId="77777777" w:rsidTr="00D549EE">
        <w:trPr>
          <w:trHeight w:val="319"/>
        </w:trPr>
        <w:tc>
          <w:tcPr>
            <w:tcW w:w="0" w:type="auto"/>
            <w:shd w:val="clear" w:color="auto" w:fill="auto"/>
            <w:vAlign w:val="center"/>
          </w:tcPr>
          <w:p w14:paraId="0077A1F8" w14:textId="77777777" w:rsidR="00D549EE" w:rsidRPr="00D549EE" w:rsidRDefault="00D549EE" w:rsidP="00D549EE">
            <w:pPr>
              <w:contextualSpacing/>
              <w:rPr>
                <w:color w:val="000000" w:themeColor="text1"/>
              </w:rPr>
            </w:pPr>
            <w:r w:rsidRPr="00D549EE">
              <w:rPr>
                <w:color w:val="000000" w:themeColor="text1"/>
                <w:lang w:val="en-US"/>
              </w:rPr>
              <w:t xml:space="preserve">Capital </w:t>
            </w:r>
            <w:r w:rsidRPr="00D549EE">
              <w:rPr>
                <w:color w:val="000000" w:themeColor="text1"/>
              </w:rPr>
              <w:t>expenses</w:t>
            </w:r>
          </w:p>
        </w:tc>
        <w:tc>
          <w:tcPr>
            <w:tcW w:w="0" w:type="auto"/>
            <w:shd w:val="clear" w:color="auto" w:fill="auto"/>
            <w:noWrap/>
            <w:vAlign w:val="bottom"/>
          </w:tcPr>
          <w:p w14:paraId="088D6091" w14:textId="77777777" w:rsidR="00D549EE" w:rsidRPr="00D549EE" w:rsidRDefault="00D549EE" w:rsidP="00D549EE">
            <w:pPr>
              <w:contextualSpacing/>
              <w:jc w:val="right"/>
              <w:rPr>
                <w:color w:val="000000"/>
                <w:lang w:val="en-US"/>
              </w:rPr>
            </w:pPr>
            <w:r w:rsidRPr="00D549EE">
              <w:rPr>
                <w:color w:val="000000"/>
                <w:lang w:val="en-US"/>
              </w:rPr>
              <w:t>20 892 865</w:t>
            </w:r>
          </w:p>
        </w:tc>
        <w:tc>
          <w:tcPr>
            <w:tcW w:w="0" w:type="auto"/>
            <w:shd w:val="clear" w:color="auto" w:fill="auto"/>
            <w:noWrap/>
            <w:vAlign w:val="bottom"/>
          </w:tcPr>
          <w:p w14:paraId="32BE5A5E" w14:textId="77777777" w:rsidR="00D549EE" w:rsidRPr="00D549EE" w:rsidRDefault="00D549EE" w:rsidP="00D549EE">
            <w:pPr>
              <w:contextualSpacing/>
              <w:jc w:val="right"/>
              <w:rPr>
                <w:color w:val="000000"/>
                <w:lang w:val="en-US"/>
              </w:rPr>
            </w:pPr>
            <w:r w:rsidRPr="00D549EE">
              <w:rPr>
                <w:color w:val="000000"/>
                <w:lang w:val="en-US"/>
              </w:rPr>
              <w:t>0</w:t>
            </w:r>
          </w:p>
        </w:tc>
        <w:tc>
          <w:tcPr>
            <w:tcW w:w="0" w:type="auto"/>
            <w:shd w:val="clear" w:color="auto" w:fill="auto"/>
            <w:noWrap/>
            <w:vAlign w:val="bottom"/>
          </w:tcPr>
          <w:p w14:paraId="4B9D9643" w14:textId="77777777" w:rsidR="00D549EE" w:rsidRPr="00D549EE" w:rsidRDefault="00D549EE" w:rsidP="00D549EE">
            <w:pPr>
              <w:contextualSpacing/>
              <w:jc w:val="right"/>
              <w:rPr>
                <w:color w:val="000000"/>
                <w:lang w:val="en-US"/>
              </w:rPr>
            </w:pPr>
            <w:r w:rsidRPr="00D549EE">
              <w:rPr>
                <w:color w:val="000000"/>
                <w:lang w:val="en-US"/>
              </w:rPr>
              <w:t>0</w:t>
            </w:r>
          </w:p>
        </w:tc>
        <w:tc>
          <w:tcPr>
            <w:tcW w:w="0" w:type="auto"/>
            <w:shd w:val="clear" w:color="auto" w:fill="auto"/>
            <w:noWrap/>
            <w:vAlign w:val="bottom"/>
          </w:tcPr>
          <w:p w14:paraId="779A5CD2" w14:textId="77777777" w:rsidR="00D549EE" w:rsidRPr="00D549EE" w:rsidRDefault="00D549EE" w:rsidP="00D549EE">
            <w:pPr>
              <w:contextualSpacing/>
              <w:jc w:val="right"/>
              <w:rPr>
                <w:color w:val="000000"/>
                <w:lang w:val="en-US"/>
              </w:rPr>
            </w:pPr>
            <w:r w:rsidRPr="00D549EE">
              <w:rPr>
                <w:color w:val="000000"/>
                <w:lang w:val="en-US"/>
              </w:rPr>
              <w:t>0</w:t>
            </w:r>
          </w:p>
        </w:tc>
        <w:tc>
          <w:tcPr>
            <w:tcW w:w="0" w:type="auto"/>
            <w:shd w:val="clear" w:color="auto" w:fill="auto"/>
            <w:noWrap/>
            <w:vAlign w:val="bottom"/>
          </w:tcPr>
          <w:p w14:paraId="77E7C997" w14:textId="77777777" w:rsidR="00D549EE" w:rsidRPr="00D549EE" w:rsidRDefault="00D549EE" w:rsidP="00D549EE">
            <w:pPr>
              <w:contextualSpacing/>
              <w:jc w:val="right"/>
              <w:rPr>
                <w:color w:val="000000"/>
                <w:lang w:val="en-US"/>
              </w:rPr>
            </w:pPr>
            <w:r w:rsidRPr="00D549EE">
              <w:rPr>
                <w:color w:val="000000"/>
                <w:lang w:val="en-US"/>
              </w:rPr>
              <w:t>0</w:t>
            </w:r>
          </w:p>
        </w:tc>
      </w:tr>
      <w:tr w:rsidR="00D549EE" w:rsidRPr="00D549EE" w14:paraId="12DC0516" w14:textId="77777777" w:rsidTr="00D549EE">
        <w:trPr>
          <w:trHeight w:val="282"/>
        </w:trPr>
        <w:tc>
          <w:tcPr>
            <w:tcW w:w="0" w:type="auto"/>
            <w:shd w:val="clear" w:color="auto" w:fill="auto"/>
            <w:vAlign w:val="center"/>
            <w:hideMark/>
          </w:tcPr>
          <w:p w14:paraId="79DB7B21" w14:textId="77777777" w:rsidR="00D549EE" w:rsidRPr="00D549EE" w:rsidRDefault="00D549EE" w:rsidP="00D549EE">
            <w:pPr>
              <w:contextualSpacing/>
              <w:rPr>
                <w:b/>
                <w:bCs/>
                <w:color w:val="000000" w:themeColor="text1"/>
              </w:rPr>
            </w:pPr>
            <w:r w:rsidRPr="00D549EE">
              <w:rPr>
                <w:b/>
                <w:bCs/>
                <w:color w:val="000000" w:themeColor="text1"/>
              </w:rPr>
              <w:t xml:space="preserve"> Profit before tax</w:t>
            </w:r>
          </w:p>
        </w:tc>
        <w:tc>
          <w:tcPr>
            <w:tcW w:w="0" w:type="auto"/>
            <w:shd w:val="clear" w:color="auto" w:fill="auto"/>
            <w:noWrap/>
            <w:vAlign w:val="bottom"/>
            <w:hideMark/>
          </w:tcPr>
          <w:p w14:paraId="740F8923" w14:textId="77777777" w:rsidR="00D549EE" w:rsidRPr="00D549EE" w:rsidRDefault="00D549EE" w:rsidP="00D549EE">
            <w:pPr>
              <w:contextualSpacing/>
              <w:jc w:val="right"/>
              <w:rPr>
                <w:b/>
                <w:bCs/>
                <w:iCs/>
                <w:color w:val="000000" w:themeColor="text1"/>
                <w:lang w:val="en-US"/>
              </w:rPr>
            </w:pPr>
            <w:r w:rsidRPr="00D549EE">
              <w:rPr>
                <w:b/>
                <w:bCs/>
                <w:color w:val="000000"/>
                <w:lang w:val="en-US"/>
              </w:rPr>
              <w:t>414 310,00</w:t>
            </w:r>
            <w:r w:rsidRPr="00D549EE">
              <w:rPr>
                <w:b/>
                <w:bCs/>
                <w:color w:val="000000"/>
              </w:rPr>
              <w:t xml:space="preserve">   </w:t>
            </w:r>
          </w:p>
        </w:tc>
        <w:tc>
          <w:tcPr>
            <w:tcW w:w="0" w:type="auto"/>
            <w:shd w:val="clear" w:color="auto" w:fill="auto"/>
            <w:noWrap/>
            <w:vAlign w:val="bottom"/>
            <w:hideMark/>
          </w:tcPr>
          <w:p w14:paraId="130CF024" w14:textId="77777777" w:rsidR="00D549EE" w:rsidRPr="00D549EE" w:rsidRDefault="00D549EE" w:rsidP="00D549EE">
            <w:pPr>
              <w:contextualSpacing/>
              <w:jc w:val="right"/>
              <w:rPr>
                <w:b/>
                <w:bCs/>
                <w:iCs/>
                <w:color w:val="000000" w:themeColor="text1"/>
              </w:rPr>
            </w:pPr>
            <w:r w:rsidRPr="00D549EE">
              <w:rPr>
                <w:b/>
                <w:bCs/>
                <w:color w:val="000000"/>
              </w:rPr>
              <w:t xml:space="preserve">20 967 100,00   </w:t>
            </w:r>
          </w:p>
        </w:tc>
        <w:tc>
          <w:tcPr>
            <w:tcW w:w="0" w:type="auto"/>
            <w:shd w:val="clear" w:color="auto" w:fill="auto"/>
            <w:noWrap/>
            <w:vAlign w:val="bottom"/>
            <w:hideMark/>
          </w:tcPr>
          <w:p w14:paraId="72654242" w14:textId="77777777" w:rsidR="00D549EE" w:rsidRPr="00D549EE" w:rsidRDefault="00D549EE" w:rsidP="00D549EE">
            <w:pPr>
              <w:contextualSpacing/>
              <w:jc w:val="right"/>
              <w:rPr>
                <w:b/>
                <w:bCs/>
                <w:iCs/>
                <w:color w:val="000000" w:themeColor="text1"/>
              </w:rPr>
            </w:pPr>
            <w:r w:rsidRPr="00D549EE">
              <w:rPr>
                <w:b/>
                <w:bCs/>
                <w:color w:val="000000"/>
              </w:rPr>
              <w:t xml:space="preserve">29 039 433,50   </w:t>
            </w:r>
          </w:p>
        </w:tc>
        <w:tc>
          <w:tcPr>
            <w:tcW w:w="0" w:type="auto"/>
            <w:shd w:val="clear" w:color="auto" w:fill="auto"/>
            <w:noWrap/>
            <w:vAlign w:val="bottom"/>
            <w:hideMark/>
          </w:tcPr>
          <w:p w14:paraId="31ABCC1F" w14:textId="77777777" w:rsidR="00D549EE" w:rsidRPr="00D549EE" w:rsidRDefault="00D549EE" w:rsidP="00D549EE">
            <w:pPr>
              <w:contextualSpacing/>
              <w:jc w:val="right"/>
              <w:rPr>
                <w:b/>
                <w:bCs/>
                <w:iCs/>
                <w:color w:val="000000" w:themeColor="text1"/>
              </w:rPr>
            </w:pPr>
            <w:r w:rsidRPr="00D549EE">
              <w:rPr>
                <w:b/>
                <w:bCs/>
                <w:color w:val="000000"/>
              </w:rPr>
              <w:t xml:space="preserve">26 314 748,62   </w:t>
            </w:r>
          </w:p>
        </w:tc>
        <w:tc>
          <w:tcPr>
            <w:tcW w:w="0" w:type="auto"/>
            <w:shd w:val="clear" w:color="auto" w:fill="auto"/>
            <w:noWrap/>
            <w:vAlign w:val="bottom"/>
            <w:hideMark/>
          </w:tcPr>
          <w:p w14:paraId="26C29BB4" w14:textId="77777777" w:rsidR="00D549EE" w:rsidRPr="00D549EE" w:rsidRDefault="00D549EE" w:rsidP="00D549EE">
            <w:pPr>
              <w:contextualSpacing/>
              <w:jc w:val="right"/>
              <w:rPr>
                <w:b/>
                <w:bCs/>
                <w:iCs/>
                <w:color w:val="000000" w:themeColor="text1"/>
              </w:rPr>
            </w:pPr>
            <w:r w:rsidRPr="00D549EE">
              <w:rPr>
                <w:b/>
                <w:bCs/>
                <w:color w:val="000000"/>
              </w:rPr>
              <w:t xml:space="preserve">21 845 816,73   </w:t>
            </w:r>
          </w:p>
        </w:tc>
      </w:tr>
      <w:tr w:rsidR="00D549EE" w:rsidRPr="00D549EE" w14:paraId="56404E07" w14:textId="77777777" w:rsidTr="00D549EE">
        <w:trPr>
          <w:trHeight w:val="277"/>
        </w:trPr>
        <w:tc>
          <w:tcPr>
            <w:tcW w:w="0" w:type="auto"/>
            <w:shd w:val="clear" w:color="auto" w:fill="auto"/>
            <w:vAlign w:val="center"/>
            <w:hideMark/>
          </w:tcPr>
          <w:p w14:paraId="1DBBD56A" w14:textId="77777777" w:rsidR="00D549EE" w:rsidRPr="00D549EE" w:rsidRDefault="00D549EE" w:rsidP="00D549EE">
            <w:pPr>
              <w:contextualSpacing/>
              <w:rPr>
                <w:b/>
                <w:bCs/>
                <w:color w:val="000000" w:themeColor="text1"/>
              </w:rPr>
            </w:pPr>
            <w:r w:rsidRPr="00D549EE">
              <w:rPr>
                <w:color w:val="000000" w:themeColor="text1"/>
                <w:lang w:val="en-US"/>
              </w:rPr>
              <w:t xml:space="preserve">Income tax expense  </w:t>
            </w:r>
          </w:p>
        </w:tc>
        <w:tc>
          <w:tcPr>
            <w:tcW w:w="0" w:type="auto"/>
            <w:shd w:val="clear" w:color="auto" w:fill="auto"/>
            <w:noWrap/>
            <w:vAlign w:val="bottom"/>
            <w:hideMark/>
          </w:tcPr>
          <w:p w14:paraId="49F714BB" w14:textId="77777777" w:rsidR="00D549EE" w:rsidRPr="00D549EE" w:rsidRDefault="00D549EE" w:rsidP="00D549EE">
            <w:pPr>
              <w:contextualSpacing/>
              <w:jc w:val="right"/>
              <w:rPr>
                <w:b/>
                <w:bCs/>
                <w:iCs/>
                <w:color w:val="000000" w:themeColor="text1"/>
                <w:lang w:val="en-US"/>
              </w:rPr>
            </w:pPr>
            <w:r w:rsidRPr="00D549EE">
              <w:rPr>
                <w:color w:val="000000"/>
              </w:rPr>
              <w:t xml:space="preserve">    </w:t>
            </w:r>
            <w:r w:rsidRPr="00D549EE">
              <w:rPr>
                <w:color w:val="000000"/>
                <w:lang w:val="en-US"/>
              </w:rPr>
              <w:t>12 429,30</w:t>
            </w:r>
            <w:r w:rsidRPr="00D549EE">
              <w:rPr>
                <w:color w:val="000000"/>
              </w:rPr>
              <w:t xml:space="preserve">   </w:t>
            </w:r>
          </w:p>
        </w:tc>
        <w:tc>
          <w:tcPr>
            <w:tcW w:w="0" w:type="auto"/>
            <w:shd w:val="clear" w:color="auto" w:fill="auto"/>
            <w:noWrap/>
            <w:vAlign w:val="bottom"/>
            <w:hideMark/>
          </w:tcPr>
          <w:p w14:paraId="26E31FE1" w14:textId="77777777" w:rsidR="00D549EE" w:rsidRPr="00D549EE" w:rsidRDefault="00D549EE" w:rsidP="00D549EE">
            <w:pPr>
              <w:contextualSpacing/>
              <w:jc w:val="right"/>
              <w:rPr>
                <w:b/>
                <w:bCs/>
                <w:iCs/>
                <w:color w:val="000000" w:themeColor="text1"/>
              </w:rPr>
            </w:pPr>
            <w:r w:rsidRPr="00D549EE">
              <w:rPr>
                <w:color w:val="000000"/>
              </w:rPr>
              <w:t xml:space="preserve">     629 013,00   </w:t>
            </w:r>
          </w:p>
        </w:tc>
        <w:tc>
          <w:tcPr>
            <w:tcW w:w="0" w:type="auto"/>
            <w:shd w:val="clear" w:color="auto" w:fill="auto"/>
            <w:noWrap/>
            <w:vAlign w:val="bottom"/>
            <w:hideMark/>
          </w:tcPr>
          <w:p w14:paraId="724ABB53" w14:textId="77777777" w:rsidR="00D549EE" w:rsidRPr="00D549EE" w:rsidRDefault="00D549EE" w:rsidP="00D549EE">
            <w:pPr>
              <w:contextualSpacing/>
              <w:jc w:val="right"/>
              <w:rPr>
                <w:b/>
                <w:bCs/>
                <w:iCs/>
                <w:color w:val="000000" w:themeColor="text1"/>
              </w:rPr>
            </w:pPr>
            <w:r w:rsidRPr="00D549EE">
              <w:rPr>
                <w:color w:val="000000"/>
              </w:rPr>
              <w:t xml:space="preserve">     871 183,01   </w:t>
            </w:r>
          </w:p>
        </w:tc>
        <w:tc>
          <w:tcPr>
            <w:tcW w:w="0" w:type="auto"/>
            <w:shd w:val="clear" w:color="auto" w:fill="auto"/>
            <w:noWrap/>
            <w:vAlign w:val="bottom"/>
            <w:hideMark/>
          </w:tcPr>
          <w:p w14:paraId="38014F05" w14:textId="77777777" w:rsidR="00D549EE" w:rsidRPr="00D549EE" w:rsidRDefault="00D549EE" w:rsidP="00D549EE">
            <w:pPr>
              <w:contextualSpacing/>
              <w:jc w:val="right"/>
              <w:rPr>
                <w:b/>
                <w:bCs/>
                <w:iCs/>
                <w:color w:val="000000" w:themeColor="text1"/>
              </w:rPr>
            </w:pPr>
            <w:r w:rsidRPr="00D549EE">
              <w:rPr>
                <w:color w:val="000000"/>
              </w:rPr>
              <w:t xml:space="preserve">     789 442,46   </w:t>
            </w:r>
          </w:p>
        </w:tc>
        <w:tc>
          <w:tcPr>
            <w:tcW w:w="0" w:type="auto"/>
            <w:shd w:val="clear" w:color="auto" w:fill="auto"/>
            <w:noWrap/>
            <w:vAlign w:val="bottom"/>
            <w:hideMark/>
          </w:tcPr>
          <w:p w14:paraId="25415400" w14:textId="77777777" w:rsidR="00D549EE" w:rsidRPr="00D549EE" w:rsidRDefault="00D549EE" w:rsidP="00D549EE">
            <w:pPr>
              <w:contextualSpacing/>
              <w:jc w:val="right"/>
              <w:rPr>
                <w:b/>
                <w:bCs/>
                <w:iCs/>
                <w:color w:val="000000" w:themeColor="text1"/>
              </w:rPr>
            </w:pPr>
            <w:r w:rsidRPr="00D549EE">
              <w:rPr>
                <w:color w:val="000000"/>
              </w:rPr>
              <w:t xml:space="preserve">     655 374,50   </w:t>
            </w:r>
          </w:p>
        </w:tc>
      </w:tr>
      <w:tr w:rsidR="00D549EE" w:rsidRPr="00D549EE" w14:paraId="5775D94D" w14:textId="77777777" w:rsidTr="00D549EE">
        <w:trPr>
          <w:trHeight w:val="184"/>
        </w:trPr>
        <w:tc>
          <w:tcPr>
            <w:tcW w:w="0" w:type="auto"/>
            <w:shd w:val="clear" w:color="auto" w:fill="auto"/>
            <w:vAlign w:val="center"/>
            <w:hideMark/>
          </w:tcPr>
          <w:p w14:paraId="7BFE4E10" w14:textId="77777777" w:rsidR="00D549EE" w:rsidRPr="00D549EE" w:rsidRDefault="00D549EE" w:rsidP="00D549EE">
            <w:pPr>
              <w:contextualSpacing/>
              <w:rPr>
                <w:color w:val="000000" w:themeColor="text1"/>
                <w:lang w:val="en-US"/>
              </w:rPr>
            </w:pPr>
            <w:r w:rsidRPr="00D549EE">
              <w:rPr>
                <w:color w:val="000000" w:themeColor="text1"/>
              </w:rPr>
              <w:t>Profit for the year</w:t>
            </w:r>
          </w:p>
        </w:tc>
        <w:tc>
          <w:tcPr>
            <w:tcW w:w="0" w:type="auto"/>
            <w:shd w:val="clear" w:color="auto" w:fill="auto"/>
            <w:noWrap/>
            <w:vAlign w:val="bottom"/>
            <w:hideMark/>
          </w:tcPr>
          <w:p w14:paraId="6605AEC0" w14:textId="77777777" w:rsidR="00D549EE" w:rsidRPr="00D549EE" w:rsidRDefault="00D549EE" w:rsidP="00D549EE">
            <w:pPr>
              <w:contextualSpacing/>
              <w:rPr>
                <w:color w:val="000000" w:themeColor="text1"/>
              </w:rPr>
            </w:pPr>
            <w:r w:rsidRPr="00D549EE">
              <w:rPr>
                <w:b/>
                <w:bCs/>
                <w:color w:val="000000"/>
                <w:lang w:val="en-US"/>
              </w:rPr>
              <w:t>401 880,70</w:t>
            </w:r>
            <w:r w:rsidRPr="00D549EE">
              <w:rPr>
                <w:b/>
                <w:bCs/>
                <w:color w:val="000000"/>
              </w:rPr>
              <w:t xml:space="preserve">   </w:t>
            </w:r>
          </w:p>
        </w:tc>
        <w:tc>
          <w:tcPr>
            <w:tcW w:w="0" w:type="auto"/>
            <w:shd w:val="clear" w:color="auto" w:fill="auto"/>
            <w:noWrap/>
            <w:vAlign w:val="bottom"/>
            <w:hideMark/>
          </w:tcPr>
          <w:p w14:paraId="030DEE2B" w14:textId="77777777" w:rsidR="00D549EE" w:rsidRPr="00D549EE" w:rsidRDefault="00D549EE" w:rsidP="00D549EE">
            <w:pPr>
              <w:contextualSpacing/>
              <w:jc w:val="right"/>
              <w:rPr>
                <w:color w:val="000000" w:themeColor="text1"/>
                <w:lang w:val="en-US"/>
              </w:rPr>
            </w:pPr>
            <w:r w:rsidRPr="00D549EE">
              <w:rPr>
                <w:b/>
                <w:bCs/>
                <w:color w:val="000000"/>
                <w:lang w:val="en-US"/>
              </w:rPr>
              <w:t>2</w:t>
            </w:r>
            <w:r w:rsidRPr="00D549EE">
              <w:rPr>
                <w:b/>
                <w:bCs/>
                <w:color w:val="000000"/>
              </w:rPr>
              <w:t xml:space="preserve">0 338 087,00   </w:t>
            </w:r>
          </w:p>
        </w:tc>
        <w:tc>
          <w:tcPr>
            <w:tcW w:w="0" w:type="auto"/>
            <w:shd w:val="clear" w:color="auto" w:fill="auto"/>
            <w:noWrap/>
            <w:vAlign w:val="bottom"/>
            <w:hideMark/>
          </w:tcPr>
          <w:p w14:paraId="4876A91C" w14:textId="77777777" w:rsidR="00D549EE" w:rsidRPr="00D549EE" w:rsidRDefault="00D549EE" w:rsidP="00D549EE">
            <w:pPr>
              <w:contextualSpacing/>
              <w:jc w:val="right"/>
              <w:rPr>
                <w:iCs/>
                <w:color w:val="000000" w:themeColor="text1"/>
                <w:lang w:val="en-US"/>
              </w:rPr>
            </w:pPr>
            <w:r w:rsidRPr="00D549EE">
              <w:rPr>
                <w:b/>
                <w:bCs/>
                <w:color w:val="000000"/>
              </w:rPr>
              <w:t xml:space="preserve">28 168 250,50   </w:t>
            </w:r>
          </w:p>
        </w:tc>
        <w:tc>
          <w:tcPr>
            <w:tcW w:w="0" w:type="auto"/>
            <w:shd w:val="clear" w:color="auto" w:fill="auto"/>
            <w:noWrap/>
            <w:vAlign w:val="bottom"/>
            <w:hideMark/>
          </w:tcPr>
          <w:p w14:paraId="0B426793" w14:textId="77777777" w:rsidR="00D549EE" w:rsidRPr="00D549EE" w:rsidRDefault="00D549EE" w:rsidP="00D549EE">
            <w:pPr>
              <w:contextualSpacing/>
              <w:jc w:val="right"/>
              <w:rPr>
                <w:color w:val="000000" w:themeColor="text1"/>
                <w:lang w:val="en-US"/>
              </w:rPr>
            </w:pPr>
            <w:r w:rsidRPr="00D549EE">
              <w:rPr>
                <w:b/>
                <w:bCs/>
                <w:color w:val="000000"/>
              </w:rPr>
              <w:t xml:space="preserve">25 525 306,16   </w:t>
            </w:r>
          </w:p>
        </w:tc>
        <w:tc>
          <w:tcPr>
            <w:tcW w:w="0" w:type="auto"/>
            <w:shd w:val="clear" w:color="auto" w:fill="auto"/>
            <w:noWrap/>
            <w:vAlign w:val="bottom"/>
            <w:hideMark/>
          </w:tcPr>
          <w:p w14:paraId="0D8C3910" w14:textId="77777777" w:rsidR="00D549EE" w:rsidRPr="00D549EE" w:rsidRDefault="00D549EE" w:rsidP="00D549EE">
            <w:pPr>
              <w:contextualSpacing/>
              <w:jc w:val="right"/>
              <w:rPr>
                <w:color w:val="000000" w:themeColor="text1"/>
                <w:lang w:val="en-US"/>
              </w:rPr>
            </w:pPr>
            <w:r w:rsidRPr="00D549EE">
              <w:rPr>
                <w:b/>
                <w:bCs/>
                <w:color w:val="000000"/>
              </w:rPr>
              <w:t xml:space="preserve">21 190 442,23   </w:t>
            </w:r>
          </w:p>
        </w:tc>
      </w:tr>
    </w:tbl>
    <w:p w14:paraId="5F1E4B8B" w14:textId="77777777" w:rsidR="00D549EE" w:rsidRPr="00D549EE" w:rsidRDefault="00D549EE" w:rsidP="00D549EE">
      <w:pPr>
        <w:pStyle w:val="a3"/>
        <w:ind w:left="0"/>
        <w:rPr>
          <w:rFonts w:ascii="Times New Roman" w:hAnsi="Times New Roman"/>
          <w:color w:val="000000" w:themeColor="text1"/>
          <w:sz w:val="24"/>
          <w:szCs w:val="24"/>
          <w:lang w:val="en-US"/>
        </w:rPr>
      </w:pPr>
    </w:p>
    <w:p w14:paraId="5DC22A5A" w14:textId="77777777" w:rsidR="00D549EE" w:rsidRPr="00D549EE" w:rsidRDefault="00D549EE" w:rsidP="00D549EE">
      <w:pPr>
        <w:jc w:val="both"/>
      </w:pPr>
    </w:p>
    <w:p w14:paraId="787420D9" w14:textId="349B585B" w:rsidR="00D549EE" w:rsidRPr="00D549EE" w:rsidRDefault="00D549EE" w:rsidP="00D549EE">
      <w:pPr>
        <w:jc w:val="both"/>
        <w:rPr>
          <w:bCs/>
          <w:noProof/>
          <w:color w:val="000000" w:themeColor="text1"/>
          <w:lang w:val="en-US"/>
        </w:rPr>
      </w:pPr>
      <w:r w:rsidRPr="00D549EE">
        <w:rPr>
          <w:bCs/>
          <w:noProof/>
          <w:color w:val="000000" w:themeColor="text1"/>
          <w:lang w:val="en-US"/>
        </w:rPr>
        <w:tab/>
        <w:t>Table 14</w:t>
      </w:r>
      <w:r>
        <w:rPr>
          <w:bCs/>
          <w:noProof/>
          <w:color w:val="000000" w:themeColor="text1"/>
          <w:lang w:val="en-US"/>
        </w:rPr>
        <w:t xml:space="preserve"> -</w:t>
      </w:r>
      <w:r w:rsidRPr="00D549EE">
        <w:rPr>
          <w:bCs/>
          <w:noProof/>
          <w:color w:val="000000" w:themeColor="text1"/>
          <w:lang w:val="en-US"/>
        </w:rPr>
        <w:t xml:space="preserve"> Financial indicators of the project. </w:t>
      </w:r>
    </w:p>
    <w:p w14:paraId="1A1D2A5B" w14:textId="77777777" w:rsidR="00D549EE" w:rsidRPr="00D549EE" w:rsidRDefault="00D549EE" w:rsidP="00D549EE">
      <w:pPr>
        <w:jc w:val="both"/>
        <w:rPr>
          <w:bCs/>
          <w:noProof/>
          <w:color w:val="000000" w:themeColor="text1"/>
          <w:lang w:val="en-US"/>
        </w:rPr>
      </w:pPr>
    </w:p>
    <w:tbl>
      <w:tblPr>
        <w:tblStyle w:val="a9"/>
        <w:tblW w:w="0" w:type="auto"/>
        <w:tblLook w:val="04A0" w:firstRow="1" w:lastRow="0" w:firstColumn="1" w:lastColumn="0" w:noHBand="0" w:noVBand="1"/>
      </w:tblPr>
      <w:tblGrid>
        <w:gridCol w:w="6858"/>
        <w:gridCol w:w="2481"/>
      </w:tblGrid>
      <w:tr w:rsidR="00D549EE" w:rsidRPr="00D549EE" w14:paraId="56D00F1A" w14:textId="77777777" w:rsidTr="00D549EE">
        <w:tc>
          <w:tcPr>
            <w:tcW w:w="6858" w:type="dxa"/>
          </w:tcPr>
          <w:p w14:paraId="6BEEB2E8" w14:textId="77777777" w:rsidR="00D549EE" w:rsidRPr="00D549EE" w:rsidRDefault="00D549EE" w:rsidP="00D549EE">
            <w:pPr>
              <w:snapToGrid w:val="0"/>
              <w:contextualSpacing/>
              <w:rPr>
                <w:b/>
                <w:color w:val="000000" w:themeColor="text1"/>
                <w:lang w:val="en-US"/>
              </w:rPr>
            </w:pPr>
            <w:r w:rsidRPr="00D549EE">
              <w:rPr>
                <w:b/>
                <w:color w:val="000000" w:themeColor="text1"/>
                <w:lang w:val="en-US"/>
              </w:rPr>
              <w:t>Indicators</w:t>
            </w:r>
          </w:p>
        </w:tc>
        <w:tc>
          <w:tcPr>
            <w:tcW w:w="2481" w:type="dxa"/>
          </w:tcPr>
          <w:p w14:paraId="3F5263EB" w14:textId="77777777" w:rsidR="00D549EE" w:rsidRPr="00D549EE" w:rsidRDefault="00D549EE" w:rsidP="00D549EE">
            <w:pPr>
              <w:snapToGrid w:val="0"/>
              <w:contextualSpacing/>
              <w:rPr>
                <w:b/>
                <w:color w:val="000000" w:themeColor="text1"/>
                <w:lang w:val="en-US"/>
              </w:rPr>
            </w:pPr>
            <w:r w:rsidRPr="00D549EE">
              <w:rPr>
                <w:b/>
                <w:color w:val="000000" w:themeColor="text1"/>
                <w:lang w:val="en-US"/>
              </w:rPr>
              <w:t>Value</w:t>
            </w:r>
          </w:p>
        </w:tc>
      </w:tr>
      <w:tr w:rsidR="00D549EE" w:rsidRPr="00D549EE" w14:paraId="0A966750" w14:textId="77777777" w:rsidTr="00D549EE">
        <w:tc>
          <w:tcPr>
            <w:tcW w:w="6858" w:type="dxa"/>
          </w:tcPr>
          <w:p w14:paraId="06E04565" w14:textId="77777777" w:rsidR="00D549EE" w:rsidRPr="00D549EE" w:rsidRDefault="00D549EE" w:rsidP="00D549EE">
            <w:pPr>
              <w:snapToGrid w:val="0"/>
              <w:contextualSpacing/>
              <w:rPr>
                <w:color w:val="000000" w:themeColor="text1"/>
                <w:lang w:val="en-US"/>
              </w:rPr>
            </w:pPr>
            <w:r w:rsidRPr="00D549EE">
              <w:rPr>
                <w:color w:val="000000" w:themeColor="text1"/>
                <w:lang w:val="en-US"/>
              </w:rPr>
              <w:t xml:space="preserve">Contributing to equity </w:t>
            </w:r>
          </w:p>
        </w:tc>
        <w:tc>
          <w:tcPr>
            <w:tcW w:w="2481" w:type="dxa"/>
          </w:tcPr>
          <w:p w14:paraId="64D2EB36" w14:textId="77777777" w:rsidR="00D549EE" w:rsidRPr="00D549EE" w:rsidRDefault="00D549EE" w:rsidP="00D549EE">
            <w:pPr>
              <w:snapToGrid w:val="0"/>
              <w:contextualSpacing/>
              <w:rPr>
                <w:color w:val="000000" w:themeColor="text1"/>
                <w:lang w:val="en-US"/>
              </w:rPr>
            </w:pPr>
            <w:r w:rsidRPr="00D549EE">
              <w:rPr>
                <w:bCs/>
                <w:color w:val="000000" w:themeColor="text1"/>
                <w:lang w:val="en-US"/>
              </w:rPr>
              <w:t>22 772 865</w:t>
            </w:r>
          </w:p>
        </w:tc>
      </w:tr>
      <w:tr w:rsidR="00D549EE" w:rsidRPr="00D549EE" w14:paraId="3452C3BB" w14:textId="77777777" w:rsidTr="00D549EE">
        <w:tc>
          <w:tcPr>
            <w:tcW w:w="6858" w:type="dxa"/>
          </w:tcPr>
          <w:p w14:paraId="470622BB" w14:textId="77777777" w:rsidR="00D549EE" w:rsidRPr="00D549EE" w:rsidRDefault="00D549EE" w:rsidP="00D549EE">
            <w:pPr>
              <w:snapToGrid w:val="0"/>
              <w:contextualSpacing/>
              <w:rPr>
                <w:color w:val="000000" w:themeColor="text1"/>
                <w:lang w:val="en-US"/>
              </w:rPr>
            </w:pPr>
            <w:r w:rsidRPr="00D549EE">
              <w:rPr>
                <w:color w:val="000000" w:themeColor="text1"/>
                <w:lang w:val="en-US"/>
              </w:rPr>
              <w:t>including:</w:t>
            </w:r>
          </w:p>
        </w:tc>
        <w:tc>
          <w:tcPr>
            <w:tcW w:w="2481" w:type="dxa"/>
          </w:tcPr>
          <w:p w14:paraId="516F4263" w14:textId="77777777" w:rsidR="00D549EE" w:rsidRPr="00D549EE" w:rsidRDefault="00D549EE" w:rsidP="00D549EE">
            <w:pPr>
              <w:snapToGrid w:val="0"/>
              <w:contextualSpacing/>
              <w:rPr>
                <w:color w:val="000000" w:themeColor="text1"/>
                <w:lang w:val="en-US"/>
              </w:rPr>
            </w:pPr>
          </w:p>
        </w:tc>
      </w:tr>
      <w:tr w:rsidR="00D549EE" w:rsidRPr="00D549EE" w14:paraId="0261E2C9" w14:textId="77777777" w:rsidTr="00D549EE">
        <w:tc>
          <w:tcPr>
            <w:tcW w:w="6858" w:type="dxa"/>
          </w:tcPr>
          <w:p w14:paraId="662BA8C2" w14:textId="77777777" w:rsidR="00D549EE" w:rsidRPr="00D549EE" w:rsidRDefault="00D549EE" w:rsidP="00D549EE">
            <w:pPr>
              <w:pStyle w:val="a5"/>
              <w:shd w:val="clear" w:color="auto" w:fill="FFFFFF"/>
            </w:pPr>
            <w:r w:rsidRPr="00D549EE">
              <w:t xml:space="preserve">Capital expenditures </w:t>
            </w:r>
          </w:p>
        </w:tc>
        <w:tc>
          <w:tcPr>
            <w:tcW w:w="2481" w:type="dxa"/>
          </w:tcPr>
          <w:p w14:paraId="33F613C9" w14:textId="77777777" w:rsidR="00D549EE" w:rsidRPr="00D549EE" w:rsidRDefault="00D549EE" w:rsidP="00D549EE">
            <w:pPr>
              <w:snapToGrid w:val="0"/>
              <w:contextualSpacing/>
              <w:rPr>
                <w:color w:val="000000" w:themeColor="text1"/>
                <w:lang w:val="en-US"/>
              </w:rPr>
            </w:pPr>
            <w:r w:rsidRPr="00D549EE">
              <w:rPr>
                <w:bCs/>
                <w:color w:val="000000" w:themeColor="text1"/>
              </w:rPr>
              <w:t>20 982 865</w:t>
            </w:r>
          </w:p>
        </w:tc>
      </w:tr>
      <w:tr w:rsidR="00D549EE" w:rsidRPr="00D549EE" w14:paraId="2BEEC9CE" w14:textId="77777777" w:rsidTr="00D549EE">
        <w:tc>
          <w:tcPr>
            <w:tcW w:w="6858" w:type="dxa"/>
          </w:tcPr>
          <w:p w14:paraId="0045E78E" w14:textId="77777777" w:rsidR="00D549EE" w:rsidRPr="00D549EE" w:rsidRDefault="00D549EE" w:rsidP="00D549EE">
            <w:pPr>
              <w:pStyle w:val="a5"/>
              <w:shd w:val="clear" w:color="auto" w:fill="FFFFFF"/>
            </w:pPr>
            <w:r w:rsidRPr="00D549EE">
              <w:t xml:space="preserve">Operating expenses </w:t>
            </w:r>
          </w:p>
        </w:tc>
        <w:tc>
          <w:tcPr>
            <w:tcW w:w="2481" w:type="dxa"/>
          </w:tcPr>
          <w:p w14:paraId="14D0DE59" w14:textId="77777777" w:rsidR="00D549EE" w:rsidRPr="00D549EE" w:rsidRDefault="00D549EE" w:rsidP="00D549EE">
            <w:pPr>
              <w:snapToGrid w:val="0"/>
              <w:contextualSpacing/>
              <w:rPr>
                <w:color w:val="000000" w:themeColor="text1"/>
                <w:lang w:val="en-US"/>
              </w:rPr>
            </w:pPr>
            <w:r w:rsidRPr="00D549EE">
              <w:rPr>
                <w:color w:val="000000" w:themeColor="text1"/>
                <w:lang w:val="en-US"/>
              </w:rPr>
              <w:t xml:space="preserve">1 790 000 </w:t>
            </w:r>
          </w:p>
        </w:tc>
      </w:tr>
      <w:tr w:rsidR="00D549EE" w:rsidRPr="00D549EE" w14:paraId="38BA8EB6" w14:textId="77777777" w:rsidTr="00D549EE">
        <w:tc>
          <w:tcPr>
            <w:tcW w:w="6858" w:type="dxa"/>
          </w:tcPr>
          <w:p w14:paraId="02C0A660" w14:textId="77777777" w:rsidR="00D549EE" w:rsidRPr="00D549EE" w:rsidRDefault="00D549EE" w:rsidP="00D549EE">
            <w:pPr>
              <w:pStyle w:val="a5"/>
              <w:shd w:val="clear" w:color="auto" w:fill="FFFFFF"/>
            </w:pPr>
            <w:r w:rsidRPr="00D549EE">
              <w:t xml:space="preserve">Net Profit for 5 years </w:t>
            </w:r>
          </w:p>
        </w:tc>
        <w:tc>
          <w:tcPr>
            <w:tcW w:w="2481" w:type="dxa"/>
          </w:tcPr>
          <w:p w14:paraId="33BB6FBE" w14:textId="77777777" w:rsidR="00D549EE" w:rsidRPr="00D549EE" w:rsidRDefault="00D549EE" w:rsidP="00D549EE">
            <w:pPr>
              <w:snapToGrid w:val="0"/>
              <w:contextualSpacing/>
              <w:rPr>
                <w:color w:val="000000" w:themeColor="text1"/>
                <w:lang w:val="en-US"/>
              </w:rPr>
            </w:pPr>
            <w:r w:rsidRPr="00D549EE">
              <w:rPr>
                <w:color w:val="000000" w:themeColor="text1"/>
                <w:lang w:val="en-US"/>
              </w:rPr>
              <w:t>94 997 181</w:t>
            </w:r>
          </w:p>
        </w:tc>
      </w:tr>
      <w:tr w:rsidR="00D549EE" w:rsidRPr="00D549EE" w14:paraId="17E24EB3" w14:textId="77777777" w:rsidTr="00D549EE">
        <w:tc>
          <w:tcPr>
            <w:tcW w:w="6858" w:type="dxa"/>
          </w:tcPr>
          <w:p w14:paraId="6801BFEB" w14:textId="77777777" w:rsidR="00D549EE" w:rsidRPr="00D549EE" w:rsidRDefault="00D549EE" w:rsidP="00D549EE">
            <w:pPr>
              <w:pStyle w:val="a5"/>
              <w:shd w:val="clear" w:color="auto" w:fill="FFFFFF"/>
              <w:rPr>
                <w:lang w:val="en-US"/>
              </w:rPr>
            </w:pPr>
            <w:r w:rsidRPr="00D549EE">
              <w:rPr>
                <w:lang w:val="en-US"/>
              </w:rPr>
              <w:t>PV of the net profit for 5 years</w:t>
            </w:r>
          </w:p>
        </w:tc>
        <w:tc>
          <w:tcPr>
            <w:tcW w:w="2481" w:type="dxa"/>
          </w:tcPr>
          <w:p w14:paraId="262C987A" w14:textId="77777777" w:rsidR="00D549EE" w:rsidRPr="00D549EE" w:rsidRDefault="00D549EE" w:rsidP="00D549EE">
            <w:pPr>
              <w:snapToGrid w:val="0"/>
              <w:contextualSpacing/>
              <w:rPr>
                <w:color w:val="000000" w:themeColor="text1"/>
                <w:lang w:val="en-US"/>
              </w:rPr>
            </w:pPr>
            <w:r w:rsidRPr="00D549EE">
              <w:rPr>
                <w:color w:val="000000" w:themeColor="text1"/>
                <w:lang w:val="en-US"/>
              </w:rPr>
              <w:t>89 685 754</w:t>
            </w:r>
          </w:p>
        </w:tc>
      </w:tr>
      <w:tr w:rsidR="00D549EE" w:rsidRPr="00D549EE" w14:paraId="67381760" w14:textId="77777777" w:rsidTr="00D549EE">
        <w:tc>
          <w:tcPr>
            <w:tcW w:w="6858" w:type="dxa"/>
          </w:tcPr>
          <w:p w14:paraId="5FF1DC5A" w14:textId="77777777" w:rsidR="00D549EE" w:rsidRPr="00D549EE" w:rsidRDefault="00D549EE" w:rsidP="00D549EE">
            <w:pPr>
              <w:pStyle w:val="a5"/>
              <w:shd w:val="clear" w:color="auto" w:fill="FFFFFF"/>
            </w:pPr>
            <w:r w:rsidRPr="00D549EE">
              <w:t>NPV</w:t>
            </w:r>
          </w:p>
        </w:tc>
        <w:tc>
          <w:tcPr>
            <w:tcW w:w="2481" w:type="dxa"/>
          </w:tcPr>
          <w:p w14:paraId="5C9F52CB" w14:textId="77777777" w:rsidR="00D549EE" w:rsidRPr="00D549EE" w:rsidRDefault="00D549EE" w:rsidP="00D549EE">
            <w:pPr>
              <w:snapToGrid w:val="0"/>
              <w:contextualSpacing/>
              <w:rPr>
                <w:color w:val="000000" w:themeColor="text1"/>
                <w:lang w:val="en-US"/>
              </w:rPr>
            </w:pPr>
            <w:r w:rsidRPr="00D549EE">
              <w:rPr>
                <w:color w:val="000000" w:themeColor="text1"/>
                <w:lang w:val="en-US"/>
              </w:rPr>
              <w:t>68 792 888</w:t>
            </w:r>
          </w:p>
        </w:tc>
      </w:tr>
      <w:tr w:rsidR="00D549EE" w:rsidRPr="00D549EE" w14:paraId="5E154EB1" w14:textId="77777777" w:rsidTr="00D549EE">
        <w:tc>
          <w:tcPr>
            <w:tcW w:w="6858" w:type="dxa"/>
          </w:tcPr>
          <w:p w14:paraId="6DE5B1B6" w14:textId="77777777" w:rsidR="00D549EE" w:rsidRPr="00D549EE" w:rsidRDefault="00D549EE" w:rsidP="00D549EE">
            <w:pPr>
              <w:pStyle w:val="a5"/>
              <w:shd w:val="clear" w:color="auto" w:fill="FFFFFF"/>
            </w:pPr>
            <w:r w:rsidRPr="00D549EE">
              <w:t>Project payback period</w:t>
            </w:r>
          </w:p>
        </w:tc>
        <w:tc>
          <w:tcPr>
            <w:tcW w:w="2481" w:type="dxa"/>
          </w:tcPr>
          <w:p w14:paraId="1FDF8C47" w14:textId="77777777" w:rsidR="00D549EE" w:rsidRPr="00D549EE" w:rsidRDefault="00D549EE" w:rsidP="00D549EE">
            <w:pPr>
              <w:snapToGrid w:val="0"/>
              <w:contextualSpacing/>
              <w:rPr>
                <w:color w:val="000000" w:themeColor="text1"/>
                <w:lang w:val="en-US"/>
              </w:rPr>
            </w:pPr>
            <w:r w:rsidRPr="00D549EE">
              <w:rPr>
                <w:color w:val="000000" w:themeColor="text1"/>
                <w:lang w:val="en-US"/>
              </w:rPr>
              <w:t>1 year 1 month</w:t>
            </w:r>
          </w:p>
        </w:tc>
      </w:tr>
      <w:tr w:rsidR="00D549EE" w:rsidRPr="00D549EE" w14:paraId="719ECE3C" w14:textId="77777777" w:rsidTr="00D549EE">
        <w:tc>
          <w:tcPr>
            <w:tcW w:w="6858" w:type="dxa"/>
          </w:tcPr>
          <w:p w14:paraId="7278C067" w14:textId="77777777" w:rsidR="00D549EE" w:rsidRPr="00D549EE" w:rsidRDefault="00D549EE" w:rsidP="00D549EE">
            <w:pPr>
              <w:pStyle w:val="a5"/>
              <w:shd w:val="clear" w:color="auto" w:fill="FFFFFF"/>
            </w:pPr>
            <w:r w:rsidRPr="00D549EE">
              <w:t xml:space="preserve">PI Profitability Index </w:t>
            </w:r>
          </w:p>
        </w:tc>
        <w:tc>
          <w:tcPr>
            <w:tcW w:w="2481" w:type="dxa"/>
          </w:tcPr>
          <w:p w14:paraId="1D7A2309" w14:textId="77777777" w:rsidR="00D549EE" w:rsidRPr="00D549EE" w:rsidRDefault="00D549EE" w:rsidP="00D549EE">
            <w:pPr>
              <w:snapToGrid w:val="0"/>
              <w:contextualSpacing/>
              <w:rPr>
                <w:color w:val="000000" w:themeColor="text1"/>
                <w:lang w:val="en-US"/>
              </w:rPr>
            </w:pPr>
            <w:r w:rsidRPr="00D549EE">
              <w:rPr>
                <w:color w:val="000000" w:themeColor="text1"/>
                <w:lang w:val="en-US"/>
              </w:rPr>
              <w:t>4.29</w:t>
            </w:r>
          </w:p>
        </w:tc>
      </w:tr>
      <w:tr w:rsidR="00D549EE" w:rsidRPr="00D549EE" w14:paraId="2F62E289" w14:textId="77777777" w:rsidTr="00D549EE">
        <w:tc>
          <w:tcPr>
            <w:tcW w:w="6858" w:type="dxa"/>
          </w:tcPr>
          <w:p w14:paraId="745AB5F3" w14:textId="77777777" w:rsidR="00D549EE" w:rsidRPr="00D549EE" w:rsidRDefault="00D549EE" w:rsidP="00D549EE">
            <w:pPr>
              <w:pStyle w:val="a5"/>
              <w:shd w:val="clear" w:color="auto" w:fill="FFFFFF"/>
            </w:pPr>
            <w:r w:rsidRPr="00D549EE">
              <w:t xml:space="preserve">IRR </w:t>
            </w:r>
          </w:p>
        </w:tc>
        <w:tc>
          <w:tcPr>
            <w:tcW w:w="2481" w:type="dxa"/>
          </w:tcPr>
          <w:p w14:paraId="570329AE" w14:textId="77777777" w:rsidR="00D549EE" w:rsidRPr="00D549EE" w:rsidRDefault="00D549EE" w:rsidP="00D549EE">
            <w:pPr>
              <w:snapToGrid w:val="0"/>
              <w:contextualSpacing/>
              <w:rPr>
                <w:color w:val="000000" w:themeColor="text1"/>
                <w:lang w:val="en-US"/>
              </w:rPr>
            </w:pPr>
            <w:r w:rsidRPr="00D549EE">
              <w:rPr>
                <w:color w:val="000000" w:themeColor="text1"/>
                <w:lang w:val="en-US"/>
              </w:rPr>
              <w:t>102%</w:t>
            </w:r>
          </w:p>
        </w:tc>
      </w:tr>
      <w:tr w:rsidR="00D549EE" w:rsidRPr="00FC685D" w14:paraId="09816A8B" w14:textId="77777777" w:rsidTr="00D549EE">
        <w:tc>
          <w:tcPr>
            <w:tcW w:w="9339" w:type="dxa"/>
            <w:gridSpan w:val="2"/>
          </w:tcPr>
          <w:p w14:paraId="7F9971F0" w14:textId="77777777" w:rsidR="00D549EE" w:rsidRPr="00D549EE" w:rsidRDefault="00D549EE" w:rsidP="00D549EE">
            <w:pPr>
              <w:snapToGrid w:val="0"/>
              <w:contextualSpacing/>
              <w:rPr>
                <w:color w:val="000000" w:themeColor="text1"/>
                <w:lang w:val="en-US"/>
              </w:rPr>
            </w:pPr>
            <w:r w:rsidRPr="00D549EE">
              <w:rPr>
                <w:color w:val="000000" w:themeColor="text1"/>
                <w:lang w:val="en-US"/>
              </w:rPr>
              <w:t>Note – Compiled by the author</w:t>
            </w:r>
          </w:p>
          <w:p w14:paraId="3CB51207" w14:textId="77777777" w:rsidR="00D549EE" w:rsidRPr="00D549EE" w:rsidRDefault="00D549EE" w:rsidP="00D549EE">
            <w:pPr>
              <w:snapToGrid w:val="0"/>
              <w:contextualSpacing/>
              <w:rPr>
                <w:color w:val="000000" w:themeColor="text1"/>
                <w:lang w:val="kk-KZ"/>
              </w:rPr>
            </w:pPr>
            <w:r w:rsidRPr="00D549EE">
              <w:rPr>
                <w:color w:val="000000" w:themeColor="text1"/>
                <w:lang w:val="en-US"/>
              </w:rPr>
              <w:t>*profit is considered as revenue from donors</w:t>
            </w:r>
          </w:p>
        </w:tc>
      </w:tr>
    </w:tbl>
    <w:p w14:paraId="44E0FB5C" w14:textId="77777777" w:rsidR="00D549EE" w:rsidRPr="00D549EE" w:rsidRDefault="00D549EE" w:rsidP="00D549EE">
      <w:pPr>
        <w:jc w:val="both"/>
        <w:rPr>
          <w:bCs/>
          <w:noProof/>
          <w:color w:val="000000" w:themeColor="text1"/>
          <w:lang w:val="en-US"/>
        </w:rPr>
      </w:pPr>
    </w:p>
    <w:p w14:paraId="0617E05A" w14:textId="77777777" w:rsidR="00D549EE" w:rsidRPr="00D549EE" w:rsidRDefault="00D549EE" w:rsidP="00D549EE">
      <w:pPr>
        <w:jc w:val="both"/>
        <w:rPr>
          <w:lang w:val="en-US"/>
        </w:rPr>
      </w:pPr>
      <w:r w:rsidRPr="00D549EE">
        <w:rPr>
          <w:lang w:val="en-US"/>
        </w:rPr>
        <w:tab/>
        <w:t>In calculations of financial indicators, we used discount rate - 1.66%. It was found based in data of expected inflation for the next year and the most appropriate bank deposit rate. In result we obtain following estimated information: inflation rate - 8.5%, discount rate - 10.3%.This type of discounts rate is most appropriate for us, because of our size and nature of business, we could not use WACC or another discounts rate, it would be impossible to calculate properly.</w:t>
      </w:r>
    </w:p>
    <w:p w14:paraId="5D068DB2" w14:textId="77777777" w:rsidR="00D549EE" w:rsidRPr="00D549EE" w:rsidRDefault="00D549EE" w:rsidP="00D549EE">
      <w:pPr>
        <w:jc w:val="both"/>
        <w:rPr>
          <w:lang w:val="en-US"/>
        </w:rPr>
      </w:pPr>
      <w:r w:rsidRPr="00D549EE">
        <w:rPr>
          <w:lang w:val="en-US"/>
        </w:rPr>
        <w:tab/>
        <w:t xml:space="preserve">From the financial indicators and forecasted estimation of cash flow and financial statement, it can be concluded that the social market is profitable and has high financial indicators for activity. If to take into account, that all invested funding will be go to the charity after realization project in the form of profit, and the social market will work for taking profit for the charity, it is efficient project for further charity doing for a long time. It is the example of when investment of about 21 million tenge goes as not once charity assistance, but works for years and give the opportunity to help needy people for considered amount every year. Furthermore, the mechanism of the project is organized to help people with limited income to buy qualified goods for cheap price. </w:t>
      </w:r>
    </w:p>
    <w:p w14:paraId="5F76DDEC" w14:textId="77777777" w:rsidR="00D549EE" w:rsidRPr="00D549EE" w:rsidRDefault="00D549EE" w:rsidP="00D549EE">
      <w:pPr>
        <w:jc w:val="both"/>
        <w:rPr>
          <w:lang w:val="en-US"/>
        </w:rPr>
      </w:pPr>
    </w:p>
    <w:p w14:paraId="6E2C9507" w14:textId="77777777" w:rsidR="00D549EE" w:rsidRPr="00D549EE" w:rsidRDefault="00D549EE" w:rsidP="00D549EE">
      <w:pPr>
        <w:jc w:val="both"/>
        <w:rPr>
          <w:i/>
          <w:lang w:val="en-US"/>
        </w:rPr>
      </w:pPr>
      <w:r w:rsidRPr="00D549EE">
        <w:rPr>
          <w:i/>
          <w:lang w:val="en-US"/>
        </w:rPr>
        <w:tab/>
        <w:t>The Social effectiveness of the project</w:t>
      </w:r>
    </w:p>
    <w:p w14:paraId="3F5E15C5" w14:textId="77777777" w:rsidR="00D549EE" w:rsidRPr="00D549EE" w:rsidRDefault="00D549EE" w:rsidP="00D549EE">
      <w:pPr>
        <w:jc w:val="both"/>
        <w:rPr>
          <w:i/>
          <w:lang w:val="en-US"/>
        </w:rPr>
      </w:pPr>
    </w:p>
    <w:p w14:paraId="1775F385" w14:textId="77777777" w:rsidR="00D549EE" w:rsidRPr="00D549EE" w:rsidRDefault="00D549EE" w:rsidP="00D549EE">
      <w:pPr>
        <w:jc w:val="both"/>
        <w:rPr>
          <w:lang w:val="en-US"/>
        </w:rPr>
      </w:pPr>
      <w:r w:rsidRPr="00D549EE">
        <w:rPr>
          <w:lang w:val="en-US"/>
        </w:rPr>
        <w:tab/>
        <w:t>The project has a high social significance, as it is aimed at promoting the idea of social protection and assistance to the socially vulnerable segment of the population, the idea of transition from excessive consumerism to rational consumption. The project addresses the following social issues:</w:t>
      </w:r>
    </w:p>
    <w:p w14:paraId="230BFDB3" w14:textId="77777777" w:rsidR="00D549EE" w:rsidRPr="00D549EE" w:rsidRDefault="00D549EE" w:rsidP="00D549EE">
      <w:pPr>
        <w:jc w:val="both"/>
        <w:rPr>
          <w:lang w:val="en-US"/>
        </w:rPr>
      </w:pPr>
      <w:r w:rsidRPr="00D549EE">
        <w:rPr>
          <w:lang w:val="en-US"/>
        </w:rPr>
        <w:t>1. Assistance to low-income families through goods at low prices.</w:t>
      </w:r>
    </w:p>
    <w:p w14:paraId="1E108157" w14:textId="77777777" w:rsidR="00D549EE" w:rsidRPr="00D549EE" w:rsidRDefault="00D549EE" w:rsidP="00D549EE">
      <w:pPr>
        <w:jc w:val="both"/>
        <w:rPr>
          <w:lang w:val="en-US"/>
        </w:rPr>
      </w:pPr>
      <w:r w:rsidRPr="00D549EE">
        <w:rPr>
          <w:lang w:val="en-US"/>
        </w:rPr>
        <w:t>2. Reduce inventory and waste.</w:t>
      </w:r>
    </w:p>
    <w:p w14:paraId="7A3E9AC1" w14:textId="77777777" w:rsidR="00D549EE" w:rsidRPr="00D549EE" w:rsidRDefault="00D549EE" w:rsidP="00D549EE">
      <w:pPr>
        <w:jc w:val="both"/>
        <w:rPr>
          <w:lang w:val="en-US"/>
        </w:rPr>
      </w:pPr>
      <w:r w:rsidRPr="00D549EE">
        <w:rPr>
          <w:lang w:val="en-US"/>
        </w:rPr>
        <w:t>3. Sharing of material and human resources.</w:t>
      </w:r>
    </w:p>
    <w:p w14:paraId="4EC3C823" w14:textId="77777777" w:rsidR="00D549EE" w:rsidRPr="00D549EE" w:rsidRDefault="00D549EE" w:rsidP="00D549EE">
      <w:pPr>
        <w:jc w:val="both"/>
        <w:rPr>
          <w:lang w:val="en-US"/>
        </w:rPr>
      </w:pPr>
      <w:r w:rsidRPr="00D549EE">
        <w:rPr>
          <w:lang w:val="en-US"/>
        </w:rPr>
        <w:t>4. Solving the problem of excessive consumption.</w:t>
      </w:r>
    </w:p>
    <w:p w14:paraId="47E1C174" w14:textId="77777777" w:rsidR="00D549EE" w:rsidRPr="00D549EE" w:rsidRDefault="00D549EE" w:rsidP="00D549EE">
      <w:pPr>
        <w:jc w:val="both"/>
        <w:rPr>
          <w:lang w:val="en-US"/>
        </w:rPr>
      </w:pPr>
      <w:r w:rsidRPr="00D549EE">
        <w:rPr>
          <w:lang w:val="en-US"/>
        </w:rPr>
        <w:t>5. The project provides an incentive to activate civic engagement and mutual assistance.</w:t>
      </w:r>
    </w:p>
    <w:p w14:paraId="3AC757B5" w14:textId="77777777" w:rsidR="00D549EE" w:rsidRPr="00D549EE" w:rsidRDefault="00D549EE" w:rsidP="00D549EE">
      <w:pPr>
        <w:jc w:val="both"/>
        <w:rPr>
          <w:lang w:val="en-US"/>
        </w:rPr>
      </w:pPr>
      <w:r w:rsidRPr="00D549EE">
        <w:rPr>
          <w:lang w:val="en-US"/>
        </w:rPr>
        <w:tab/>
        <w:t xml:space="preserve">The following table illustrates the socio-economic efficiency of the implementation of the project implementation and successful work. According to the research of Nielsen Kazakhstan, the average spending of Almaty residents to clothes and major purchases about 30% of the income. [7] On the other hand, the average prices for the clothes as a following: man suit – 33 000 tenge, dress – 17 000 tenge, jeans and pant – 11 500 tenge, shirt – 7000 tenge and shoes – 16 500 tenge. In average, one unit of the clothes price is 10 400 tenge. This price for one unit of the clothes is available not for all families, if to take into account that 5% of the population is living under the national poverty line, less than 2 US dollars per day, and 10% of population is living under UN poverty line, that is 5.5 US dollars per day. Our social market is good solution for that 10% of the people, who cannot spend 10 400 tenge for one unit of clothes, and will be benefit from social market where average price for clothes is till 4200 tenge (10 US dollars) for new clothes and 200-2500 (5 US dollars) for used, but clean and good qualified clothes and shoes. </w:t>
      </w:r>
    </w:p>
    <w:p w14:paraId="0C7C890F" w14:textId="77777777" w:rsidR="00D549EE" w:rsidRPr="00D549EE" w:rsidRDefault="00D549EE" w:rsidP="00D549EE">
      <w:pPr>
        <w:jc w:val="both"/>
        <w:rPr>
          <w:lang w:val="en-US"/>
        </w:rPr>
      </w:pPr>
    </w:p>
    <w:p w14:paraId="6BA932D8" w14:textId="77777777" w:rsidR="00D549EE" w:rsidRDefault="00D549EE" w:rsidP="00D549EE">
      <w:pPr>
        <w:jc w:val="both"/>
        <w:rPr>
          <w:lang w:val="en-US"/>
        </w:rPr>
      </w:pPr>
      <w:r w:rsidRPr="00D549EE">
        <w:rPr>
          <w:lang w:val="en-US"/>
        </w:rPr>
        <w:tab/>
      </w:r>
    </w:p>
    <w:p w14:paraId="20A2B0CF" w14:textId="64BE17F0" w:rsidR="00D549EE" w:rsidRPr="00D549EE" w:rsidRDefault="00D549EE" w:rsidP="00D549EE">
      <w:pPr>
        <w:jc w:val="both"/>
        <w:rPr>
          <w:lang w:val="en-US"/>
        </w:rPr>
      </w:pPr>
      <w:r w:rsidRPr="00D549EE">
        <w:rPr>
          <w:lang w:val="en-US"/>
        </w:rPr>
        <w:t>Table 15 - Calculation of the socio-economic efficiency of the Crowdfunding platform</w:t>
      </w:r>
    </w:p>
    <w:p w14:paraId="1C65BD0F" w14:textId="77777777" w:rsidR="00D549EE" w:rsidRPr="00D549EE" w:rsidRDefault="00D549EE" w:rsidP="00D549EE">
      <w:pPr>
        <w:jc w:val="both"/>
        <w:rPr>
          <w:lang w:val="en-US"/>
        </w:rPr>
      </w:pPr>
    </w:p>
    <w:tbl>
      <w:tblPr>
        <w:tblStyle w:val="a9"/>
        <w:tblW w:w="0" w:type="auto"/>
        <w:tblLook w:val="04A0" w:firstRow="1" w:lastRow="0" w:firstColumn="1" w:lastColumn="0" w:noHBand="0" w:noVBand="1"/>
      </w:tblPr>
      <w:tblGrid>
        <w:gridCol w:w="456"/>
        <w:gridCol w:w="5088"/>
        <w:gridCol w:w="3815"/>
      </w:tblGrid>
      <w:tr w:rsidR="00D549EE" w:rsidRPr="00D549EE" w14:paraId="6535734D" w14:textId="77777777" w:rsidTr="00D549EE">
        <w:tc>
          <w:tcPr>
            <w:tcW w:w="0" w:type="auto"/>
          </w:tcPr>
          <w:p w14:paraId="0612A359" w14:textId="77777777" w:rsidR="00D549EE" w:rsidRPr="00D549EE" w:rsidRDefault="00D549EE" w:rsidP="00D549EE">
            <w:pPr>
              <w:rPr>
                <w:lang w:val="en-US"/>
              </w:rPr>
            </w:pPr>
          </w:p>
        </w:tc>
        <w:tc>
          <w:tcPr>
            <w:tcW w:w="5088" w:type="dxa"/>
          </w:tcPr>
          <w:p w14:paraId="141137F8" w14:textId="77777777" w:rsidR="00D549EE" w:rsidRPr="00D549EE" w:rsidRDefault="00D549EE" w:rsidP="00D549EE">
            <w:pPr>
              <w:rPr>
                <w:b/>
                <w:lang w:val="en-US"/>
              </w:rPr>
            </w:pPr>
            <w:r w:rsidRPr="00D549EE">
              <w:rPr>
                <w:b/>
                <w:lang w:val="en-US"/>
              </w:rPr>
              <w:t>Indicator</w:t>
            </w:r>
          </w:p>
        </w:tc>
        <w:tc>
          <w:tcPr>
            <w:tcW w:w="3815" w:type="dxa"/>
          </w:tcPr>
          <w:p w14:paraId="739CE621" w14:textId="77777777" w:rsidR="00D549EE" w:rsidRPr="00D549EE" w:rsidRDefault="00D549EE" w:rsidP="00D549EE">
            <w:pPr>
              <w:rPr>
                <w:b/>
                <w:lang w:val="kk-KZ"/>
              </w:rPr>
            </w:pPr>
          </w:p>
        </w:tc>
      </w:tr>
      <w:tr w:rsidR="00D549EE" w:rsidRPr="00D549EE" w14:paraId="421E855F" w14:textId="77777777" w:rsidTr="00D549EE">
        <w:tc>
          <w:tcPr>
            <w:tcW w:w="0" w:type="auto"/>
          </w:tcPr>
          <w:p w14:paraId="4E953FCB" w14:textId="77777777" w:rsidR="00D549EE" w:rsidRPr="00D549EE" w:rsidRDefault="00D549EE" w:rsidP="00D549EE">
            <w:pPr>
              <w:rPr>
                <w:lang w:val="en-US"/>
              </w:rPr>
            </w:pPr>
            <w:r w:rsidRPr="00D549EE">
              <w:rPr>
                <w:lang w:val="en-US"/>
              </w:rPr>
              <w:t>1</w:t>
            </w:r>
          </w:p>
        </w:tc>
        <w:tc>
          <w:tcPr>
            <w:tcW w:w="5088" w:type="dxa"/>
          </w:tcPr>
          <w:p w14:paraId="4EBD1B06" w14:textId="77777777" w:rsidR="00D549EE" w:rsidRPr="00D549EE" w:rsidRDefault="00D549EE" w:rsidP="00D549EE">
            <w:pPr>
              <w:rPr>
                <w:lang w:val="en-US"/>
              </w:rPr>
            </w:pPr>
            <w:r w:rsidRPr="00D549EE">
              <w:rPr>
                <w:lang w:val="en-US"/>
              </w:rPr>
              <w:t>Potential number of persons (families), who will receive social assistance using the Ume social market services</w:t>
            </w:r>
          </w:p>
        </w:tc>
        <w:tc>
          <w:tcPr>
            <w:tcW w:w="3815" w:type="dxa"/>
          </w:tcPr>
          <w:p w14:paraId="47C28B92" w14:textId="77777777" w:rsidR="00D549EE" w:rsidRPr="00D549EE" w:rsidRDefault="00D549EE" w:rsidP="00D549EE">
            <w:pPr>
              <w:jc w:val="center"/>
              <w:rPr>
                <w:lang w:val="en-US"/>
              </w:rPr>
            </w:pPr>
            <w:r w:rsidRPr="00D549EE">
              <w:t xml:space="preserve">1000 </w:t>
            </w:r>
            <w:r w:rsidRPr="00D549EE">
              <w:rPr>
                <w:lang w:val="en-US"/>
              </w:rPr>
              <w:t>per month</w:t>
            </w:r>
          </w:p>
          <w:p w14:paraId="0D714A71" w14:textId="77777777" w:rsidR="00D549EE" w:rsidRPr="00D549EE" w:rsidRDefault="00D549EE" w:rsidP="00D549EE">
            <w:pPr>
              <w:jc w:val="center"/>
              <w:rPr>
                <w:lang w:val="en-US"/>
              </w:rPr>
            </w:pPr>
            <w:r w:rsidRPr="00D549EE">
              <w:rPr>
                <w:lang w:val="en-US"/>
              </w:rPr>
              <w:t xml:space="preserve">12 000 per year </w:t>
            </w:r>
          </w:p>
          <w:p w14:paraId="4E4181D4" w14:textId="77777777" w:rsidR="00D549EE" w:rsidRPr="00D549EE" w:rsidRDefault="00D549EE" w:rsidP="00D549EE">
            <w:pPr>
              <w:jc w:val="center"/>
              <w:rPr>
                <w:lang w:val="en-US"/>
              </w:rPr>
            </w:pPr>
          </w:p>
        </w:tc>
      </w:tr>
      <w:tr w:rsidR="00D549EE" w:rsidRPr="00D549EE" w14:paraId="2B1EA405" w14:textId="77777777" w:rsidTr="00D549EE">
        <w:tc>
          <w:tcPr>
            <w:tcW w:w="0" w:type="auto"/>
          </w:tcPr>
          <w:p w14:paraId="27EF61CF" w14:textId="77777777" w:rsidR="00D549EE" w:rsidRPr="00D549EE" w:rsidRDefault="00D549EE" w:rsidP="00D549EE">
            <w:pPr>
              <w:rPr>
                <w:lang w:val="en-US"/>
              </w:rPr>
            </w:pPr>
            <w:r w:rsidRPr="00D549EE">
              <w:rPr>
                <w:lang w:val="en-US"/>
              </w:rPr>
              <w:t>2</w:t>
            </w:r>
          </w:p>
        </w:tc>
        <w:tc>
          <w:tcPr>
            <w:tcW w:w="5088" w:type="dxa"/>
          </w:tcPr>
          <w:p w14:paraId="258802F0" w14:textId="77777777" w:rsidR="00D549EE" w:rsidRPr="00D549EE" w:rsidRDefault="00D549EE" w:rsidP="00D549EE">
            <w:pPr>
              <w:rPr>
                <w:lang w:val="en-US"/>
              </w:rPr>
            </w:pPr>
            <w:r w:rsidRPr="00D549EE">
              <w:rPr>
                <w:lang w:val="en-US"/>
              </w:rPr>
              <w:t>The average cost of the unit of clothes/shoes</w:t>
            </w:r>
          </w:p>
        </w:tc>
        <w:tc>
          <w:tcPr>
            <w:tcW w:w="3815" w:type="dxa"/>
          </w:tcPr>
          <w:p w14:paraId="6DE588A0" w14:textId="77777777" w:rsidR="00D549EE" w:rsidRPr="00D549EE" w:rsidRDefault="00D549EE" w:rsidP="00D549EE">
            <w:pPr>
              <w:jc w:val="center"/>
              <w:rPr>
                <w:lang w:val="en-US"/>
              </w:rPr>
            </w:pPr>
            <w:r w:rsidRPr="00D549EE">
              <w:rPr>
                <w:lang w:val="en-US"/>
              </w:rPr>
              <w:t>10 400 000 per month</w:t>
            </w:r>
          </w:p>
          <w:p w14:paraId="19B7615B" w14:textId="77777777" w:rsidR="00D549EE" w:rsidRPr="00D549EE" w:rsidRDefault="00D549EE" w:rsidP="00D549EE">
            <w:pPr>
              <w:jc w:val="center"/>
              <w:rPr>
                <w:lang w:val="en-US"/>
              </w:rPr>
            </w:pPr>
            <w:r w:rsidRPr="00D549EE">
              <w:rPr>
                <w:lang w:val="en-US"/>
              </w:rPr>
              <w:t>124 800 000 per year</w:t>
            </w:r>
          </w:p>
        </w:tc>
      </w:tr>
      <w:tr w:rsidR="00D549EE" w:rsidRPr="00D549EE" w14:paraId="617FF5B9" w14:textId="77777777" w:rsidTr="00D549EE">
        <w:tc>
          <w:tcPr>
            <w:tcW w:w="0" w:type="auto"/>
          </w:tcPr>
          <w:p w14:paraId="518723FD" w14:textId="77777777" w:rsidR="00D549EE" w:rsidRPr="00D549EE" w:rsidRDefault="00D549EE" w:rsidP="00D549EE">
            <w:pPr>
              <w:rPr>
                <w:lang w:val="en-US"/>
              </w:rPr>
            </w:pPr>
            <w:r w:rsidRPr="00D549EE">
              <w:rPr>
                <w:lang w:val="en-US"/>
              </w:rPr>
              <w:t>3</w:t>
            </w:r>
          </w:p>
        </w:tc>
        <w:tc>
          <w:tcPr>
            <w:tcW w:w="5088" w:type="dxa"/>
          </w:tcPr>
          <w:p w14:paraId="487C8863" w14:textId="77777777" w:rsidR="00D549EE" w:rsidRPr="00D549EE" w:rsidRDefault="00D549EE" w:rsidP="00D549EE">
            <w:pPr>
              <w:rPr>
                <w:lang w:val="en-US"/>
              </w:rPr>
            </w:pPr>
            <w:r w:rsidRPr="00D549EE">
              <w:rPr>
                <w:lang w:val="en-US"/>
              </w:rPr>
              <w:t>Present value of the cost of the of the unit of clothes/shoes (1000 per month)</w:t>
            </w:r>
          </w:p>
        </w:tc>
        <w:tc>
          <w:tcPr>
            <w:tcW w:w="3815" w:type="dxa"/>
          </w:tcPr>
          <w:p w14:paraId="6C8911E2" w14:textId="77777777" w:rsidR="00D549EE" w:rsidRPr="00D549EE" w:rsidRDefault="00D549EE" w:rsidP="00D549EE">
            <w:pPr>
              <w:jc w:val="center"/>
              <w:rPr>
                <w:lang w:val="en-US"/>
              </w:rPr>
            </w:pPr>
            <w:r w:rsidRPr="00D549EE">
              <w:rPr>
                <w:lang w:val="en-US"/>
              </w:rPr>
              <w:t>115 023 041</w:t>
            </w:r>
          </w:p>
        </w:tc>
      </w:tr>
      <w:tr w:rsidR="00D549EE" w:rsidRPr="00D549EE" w14:paraId="2D83F150" w14:textId="77777777" w:rsidTr="00D549EE">
        <w:tc>
          <w:tcPr>
            <w:tcW w:w="0" w:type="auto"/>
          </w:tcPr>
          <w:p w14:paraId="0502A655" w14:textId="77777777" w:rsidR="00D549EE" w:rsidRPr="00D549EE" w:rsidRDefault="00D549EE" w:rsidP="00D549EE">
            <w:pPr>
              <w:rPr>
                <w:lang w:val="en-US"/>
              </w:rPr>
            </w:pPr>
            <w:r w:rsidRPr="00D549EE">
              <w:rPr>
                <w:lang w:val="en-US"/>
              </w:rPr>
              <w:t>4</w:t>
            </w:r>
          </w:p>
        </w:tc>
        <w:tc>
          <w:tcPr>
            <w:tcW w:w="5088" w:type="dxa"/>
          </w:tcPr>
          <w:p w14:paraId="51B3C27A" w14:textId="77777777" w:rsidR="00D549EE" w:rsidRPr="00D549EE" w:rsidRDefault="00D549EE" w:rsidP="00D549EE">
            <w:pPr>
              <w:rPr>
                <w:lang w:val="en-US"/>
              </w:rPr>
            </w:pPr>
            <w:r w:rsidRPr="00D549EE">
              <w:rPr>
                <w:lang w:val="en-US"/>
              </w:rPr>
              <w:t>Total present value of the cost of the of the unit of clothes/shoes (1000 per month) for 5 years, in million tenge</w:t>
            </w:r>
          </w:p>
        </w:tc>
        <w:tc>
          <w:tcPr>
            <w:tcW w:w="3815" w:type="dxa"/>
          </w:tcPr>
          <w:p w14:paraId="7838939D" w14:textId="77777777" w:rsidR="00D549EE" w:rsidRPr="00D549EE" w:rsidRDefault="00D549EE" w:rsidP="00D549EE">
            <w:pPr>
              <w:jc w:val="center"/>
              <w:rPr>
                <w:lang w:val="en-US"/>
              </w:rPr>
            </w:pPr>
            <w:r w:rsidRPr="00D549EE">
              <w:t>491 792 131</w:t>
            </w:r>
          </w:p>
        </w:tc>
      </w:tr>
      <w:tr w:rsidR="00D549EE" w:rsidRPr="00D549EE" w14:paraId="0BC6D7A2" w14:textId="77777777" w:rsidTr="00D549EE">
        <w:tc>
          <w:tcPr>
            <w:tcW w:w="0" w:type="auto"/>
          </w:tcPr>
          <w:p w14:paraId="39CD4688" w14:textId="77777777" w:rsidR="00D549EE" w:rsidRPr="00D549EE" w:rsidRDefault="00D549EE" w:rsidP="00D549EE">
            <w:pPr>
              <w:rPr>
                <w:lang w:val="en-US"/>
              </w:rPr>
            </w:pPr>
            <w:r w:rsidRPr="00D549EE">
              <w:rPr>
                <w:lang w:val="en-US"/>
              </w:rPr>
              <w:t>5</w:t>
            </w:r>
          </w:p>
        </w:tc>
        <w:tc>
          <w:tcPr>
            <w:tcW w:w="5088" w:type="dxa"/>
          </w:tcPr>
          <w:p w14:paraId="1317994A" w14:textId="77777777" w:rsidR="00D549EE" w:rsidRPr="00D549EE" w:rsidRDefault="00D549EE" w:rsidP="00D549EE">
            <w:pPr>
              <w:rPr>
                <w:lang w:val="en-US"/>
              </w:rPr>
            </w:pPr>
            <w:r w:rsidRPr="00D549EE">
              <w:rPr>
                <w:lang w:val="en-US"/>
              </w:rPr>
              <w:t>Present value of saved spending on the clothes</w:t>
            </w:r>
          </w:p>
        </w:tc>
        <w:tc>
          <w:tcPr>
            <w:tcW w:w="3815" w:type="dxa"/>
          </w:tcPr>
          <w:p w14:paraId="0B60631C" w14:textId="77777777" w:rsidR="00D549EE" w:rsidRPr="00D549EE" w:rsidRDefault="00D549EE" w:rsidP="00D549EE">
            <w:pPr>
              <w:jc w:val="center"/>
            </w:pPr>
            <w:r w:rsidRPr="00D549EE">
              <w:t>333 378 320</w:t>
            </w:r>
          </w:p>
        </w:tc>
      </w:tr>
      <w:tr w:rsidR="00D549EE" w:rsidRPr="00D549EE" w14:paraId="7C1CDE7F" w14:textId="77777777" w:rsidTr="00D549EE">
        <w:tc>
          <w:tcPr>
            <w:tcW w:w="0" w:type="auto"/>
          </w:tcPr>
          <w:p w14:paraId="664B06A4" w14:textId="77777777" w:rsidR="00D549EE" w:rsidRPr="00D549EE" w:rsidRDefault="00D549EE" w:rsidP="00D549EE">
            <w:pPr>
              <w:rPr>
                <w:lang w:val="en-US"/>
              </w:rPr>
            </w:pPr>
            <w:r w:rsidRPr="00D549EE">
              <w:rPr>
                <w:lang w:val="en-US"/>
              </w:rPr>
              <w:t>6</w:t>
            </w:r>
          </w:p>
        </w:tc>
        <w:tc>
          <w:tcPr>
            <w:tcW w:w="5088" w:type="dxa"/>
          </w:tcPr>
          <w:p w14:paraId="674AA289" w14:textId="77777777" w:rsidR="00D549EE" w:rsidRPr="00D549EE" w:rsidRDefault="00D549EE" w:rsidP="00D549EE">
            <w:pPr>
              <w:rPr>
                <w:lang w:val="en-US"/>
              </w:rPr>
            </w:pPr>
            <w:r w:rsidRPr="00D549EE">
              <w:rPr>
                <w:lang w:val="en-US"/>
              </w:rPr>
              <w:t xml:space="preserve">Social market expenditures </w:t>
            </w:r>
          </w:p>
        </w:tc>
        <w:tc>
          <w:tcPr>
            <w:tcW w:w="3815" w:type="dxa"/>
          </w:tcPr>
          <w:p w14:paraId="354A3D42" w14:textId="77777777" w:rsidR="00D549EE" w:rsidRPr="00D549EE" w:rsidRDefault="00D549EE" w:rsidP="00D549EE">
            <w:pPr>
              <w:jc w:val="center"/>
            </w:pPr>
            <w:r w:rsidRPr="00D549EE">
              <w:rPr>
                <w:bCs/>
                <w:color w:val="000000" w:themeColor="text1"/>
              </w:rPr>
              <w:t>20 982 865</w:t>
            </w:r>
          </w:p>
        </w:tc>
      </w:tr>
      <w:tr w:rsidR="00D549EE" w:rsidRPr="00D549EE" w14:paraId="7DF6BE20" w14:textId="77777777" w:rsidTr="00D549EE">
        <w:tc>
          <w:tcPr>
            <w:tcW w:w="0" w:type="auto"/>
          </w:tcPr>
          <w:p w14:paraId="7A909FF3" w14:textId="77777777" w:rsidR="00D549EE" w:rsidRPr="00D549EE" w:rsidRDefault="00D549EE" w:rsidP="00D549EE">
            <w:pPr>
              <w:rPr>
                <w:lang w:val="en-US"/>
              </w:rPr>
            </w:pPr>
            <w:r w:rsidRPr="00D549EE">
              <w:rPr>
                <w:lang w:val="en-US"/>
              </w:rPr>
              <w:t>7</w:t>
            </w:r>
          </w:p>
        </w:tc>
        <w:tc>
          <w:tcPr>
            <w:tcW w:w="5088" w:type="dxa"/>
          </w:tcPr>
          <w:p w14:paraId="19552A2F" w14:textId="77777777" w:rsidR="00D549EE" w:rsidRPr="00D549EE" w:rsidRDefault="00D549EE" w:rsidP="00D549EE">
            <w:pPr>
              <w:rPr>
                <w:lang w:val="en-US"/>
              </w:rPr>
            </w:pPr>
            <w:r w:rsidRPr="00D549EE">
              <w:rPr>
                <w:lang w:val="en-US"/>
              </w:rPr>
              <w:t xml:space="preserve">Present value of the Social market profit  </w:t>
            </w:r>
          </w:p>
        </w:tc>
        <w:tc>
          <w:tcPr>
            <w:tcW w:w="3815" w:type="dxa"/>
          </w:tcPr>
          <w:p w14:paraId="73401F1E" w14:textId="77777777" w:rsidR="00D549EE" w:rsidRPr="00D549EE" w:rsidRDefault="00D549EE" w:rsidP="00D549EE">
            <w:pPr>
              <w:jc w:val="center"/>
              <w:rPr>
                <w:lang w:val="en-US"/>
              </w:rPr>
            </w:pPr>
            <w:r w:rsidRPr="00D549EE">
              <w:rPr>
                <w:color w:val="000000" w:themeColor="text1"/>
                <w:lang w:val="en-US"/>
              </w:rPr>
              <w:t>89 685 754</w:t>
            </w:r>
          </w:p>
        </w:tc>
      </w:tr>
      <w:tr w:rsidR="00D549EE" w:rsidRPr="00D549EE" w14:paraId="14B68F8A" w14:textId="77777777" w:rsidTr="00D549EE">
        <w:tc>
          <w:tcPr>
            <w:tcW w:w="0" w:type="auto"/>
          </w:tcPr>
          <w:p w14:paraId="7DE8D81E" w14:textId="77777777" w:rsidR="00D549EE" w:rsidRPr="00D549EE" w:rsidRDefault="00D549EE" w:rsidP="00D549EE">
            <w:pPr>
              <w:rPr>
                <w:lang w:val="en-US"/>
              </w:rPr>
            </w:pPr>
            <w:r w:rsidRPr="00D549EE">
              <w:rPr>
                <w:lang w:val="en-US"/>
              </w:rPr>
              <w:t>10</w:t>
            </w:r>
          </w:p>
        </w:tc>
        <w:tc>
          <w:tcPr>
            <w:tcW w:w="5088" w:type="dxa"/>
          </w:tcPr>
          <w:p w14:paraId="68B7F8E6" w14:textId="77777777" w:rsidR="00D549EE" w:rsidRPr="00D549EE" w:rsidRDefault="00D549EE" w:rsidP="00D549EE">
            <w:pPr>
              <w:rPr>
                <w:b/>
                <w:lang w:val="en-US"/>
              </w:rPr>
            </w:pPr>
            <w:r w:rsidRPr="00D549EE">
              <w:rPr>
                <w:b/>
                <w:lang w:val="en-US"/>
              </w:rPr>
              <w:t>Socio-economic efficiency of the social market activity</w:t>
            </w:r>
          </w:p>
        </w:tc>
        <w:tc>
          <w:tcPr>
            <w:tcW w:w="3815" w:type="dxa"/>
          </w:tcPr>
          <w:p w14:paraId="74D46F16" w14:textId="77777777" w:rsidR="00D549EE" w:rsidRPr="00D549EE" w:rsidRDefault="00D549EE" w:rsidP="00D549EE">
            <w:pPr>
              <w:jc w:val="center"/>
              <w:rPr>
                <w:b/>
                <w:lang w:val="en-US"/>
              </w:rPr>
            </w:pPr>
            <w:r w:rsidRPr="00D549EE">
              <w:rPr>
                <w:b/>
                <w:lang w:val="en-US"/>
              </w:rPr>
              <w:t>158.90</w:t>
            </w:r>
          </w:p>
        </w:tc>
      </w:tr>
      <w:tr w:rsidR="00D549EE" w:rsidRPr="00D549EE" w14:paraId="500230CE" w14:textId="77777777" w:rsidTr="00D549EE">
        <w:tc>
          <w:tcPr>
            <w:tcW w:w="0" w:type="auto"/>
          </w:tcPr>
          <w:p w14:paraId="3AAD4E04" w14:textId="77777777" w:rsidR="00D549EE" w:rsidRPr="00D549EE" w:rsidRDefault="00D549EE" w:rsidP="00D549EE">
            <w:pPr>
              <w:rPr>
                <w:lang w:val="en-US"/>
              </w:rPr>
            </w:pPr>
            <w:r w:rsidRPr="00D549EE">
              <w:rPr>
                <w:lang w:val="en-US"/>
              </w:rPr>
              <w:t>11</w:t>
            </w:r>
          </w:p>
        </w:tc>
        <w:tc>
          <w:tcPr>
            <w:tcW w:w="5088" w:type="dxa"/>
          </w:tcPr>
          <w:p w14:paraId="2596C1BA" w14:textId="77777777" w:rsidR="00D549EE" w:rsidRPr="00D549EE" w:rsidRDefault="00D549EE" w:rsidP="00D549EE">
            <w:pPr>
              <w:rPr>
                <w:b/>
                <w:lang w:val="en-US"/>
              </w:rPr>
            </w:pPr>
            <w:r w:rsidRPr="00D549EE">
              <w:rPr>
                <w:b/>
                <w:lang w:val="en-US"/>
              </w:rPr>
              <w:t>Socio-economic efficiency of the investment in social market</w:t>
            </w:r>
          </w:p>
        </w:tc>
        <w:tc>
          <w:tcPr>
            <w:tcW w:w="3815" w:type="dxa"/>
          </w:tcPr>
          <w:p w14:paraId="2392C0FB" w14:textId="77777777" w:rsidR="00D549EE" w:rsidRPr="00D549EE" w:rsidRDefault="00D549EE" w:rsidP="00D549EE">
            <w:pPr>
              <w:jc w:val="center"/>
              <w:rPr>
                <w:b/>
                <w:lang w:val="en-US"/>
              </w:rPr>
            </w:pPr>
            <w:r w:rsidRPr="00D549EE">
              <w:rPr>
                <w:b/>
                <w:lang w:val="en-US"/>
              </w:rPr>
              <w:t>4.27</w:t>
            </w:r>
          </w:p>
        </w:tc>
      </w:tr>
    </w:tbl>
    <w:p w14:paraId="7F171D95" w14:textId="77777777" w:rsidR="00D549EE" w:rsidRPr="00D549EE" w:rsidRDefault="00D549EE" w:rsidP="00D549EE">
      <w:pPr>
        <w:jc w:val="both"/>
        <w:rPr>
          <w:lang w:val="en-US"/>
        </w:rPr>
      </w:pPr>
      <w:r w:rsidRPr="00D549EE">
        <w:rPr>
          <w:lang w:val="en-US"/>
        </w:rPr>
        <w:tab/>
      </w:r>
    </w:p>
    <w:p w14:paraId="34D6D9A9" w14:textId="77777777" w:rsidR="00D549EE" w:rsidRPr="00D549EE" w:rsidRDefault="00D549EE" w:rsidP="00D549EE">
      <w:pPr>
        <w:pStyle w:val="a3"/>
        <w:spacing w:line="240" w:lineRule="auto"/>
        <w:ind w:left="0" w:firstLine="720"/>
        <w:jc w:val="both"/>
        <w:rPr>
          <w:rFonts w:ascii="Times New Roman" w:hAnsi="Times New Roman"/>
          <w:color w:val="000000" w:themeColor="text1"/>
          <w:sz w:val="24"/>
          <w:szCs w:val="24"/>
          <w:lang w:val="en-US"/>
        </w:rPr>
      </w:pPr>
      <w:r w:rsidRPr="00D549EE">
        <w:rPr>
          <w:rFonts w:ascii="Times New Roman" w:hAnsi="Times New Roman"/>
          <w:color w:val="000000" w:themeColor="text1"/>
          <w:sz w:val="24"/>
          <w:szCs w:val="24"/>
          <w:lang w:val="en-US"/>
        </w:rPr>
        <w:t xml:space="preserve">The result of estimation the socio-economic efficiency of the investment to the social market is 4.27, this means that each tenge invested in the implementation of the social market brings 4.27 tenge for doing charity, as the concept of the market is using profit to the charity. Furthermore, socio-economic efficiency of the working of the social market is 158.90. This means that each tenge invested and used in the social market brings extra 158.90 tenge savings for social vulnerable segment of the customers and people with limited income amount.   </w:t>
      </w:r>
    </w:p>
    <w:p w14:paraId="23E690B7" w14:textId="77777777" w:rsidR="00D549EE" w:rsidRPr="00D549EE" w:rsidRDefault="00D549EE" w:rsidP="00D549EE">
      <w:pPr>
        <w:contextualSpacing/>
        <w:jc w:val="both"/>
        <w:rPr>
          <w:color w:val="000000" w:themeColor="text1"/>
          <w:lang w:val="en-US"/>
        </w:rPr>
      </w:pPr>
    </w:p>
    <w:p w14:paraId="5F4A701B" w14:textId="77777777" w:rsidR="00D549EE" w:rsidRPr="00D549EE" w:rsidRDefault="00D549EE" w:rsidP="00D549EE">
      <w:pPr>
        <w:rPr>
          <w:lang w:val="en-US"/>
        </w:rPr>
      </w:pPr>
      <w:r w:rsidRPr="00D549EE">
        <w:rPr>
          <w:color w:val="000000" w:themeColor="text1"/>
          <w:lang w:val="en-US"/>
        </w:rPr>
        <w:tab/>
        <w:t xml:space="preserve">Appendix 1. </w:t>
      </w:r>
      <w:r w:rsidRPr="00D549EE">
        <w:rPr>
          <w:lang w:val="en-US"/>
        </w:rPr>
        <w:t xml:space="preserve">HUMAN CAPITAL </w:t>
      </w:r>
    </w:p>
    <w:p w14:paraId="45BB9B6B" w14:textId="77777777" w:rsidR="00D549EE" w:rsidRPr="00D549EE" w:rsidRDefault="00D549EE" w:rsidP="00D549EE">
      <w:pPr>
        <w:rPr>
          <w:lang w:val="en-US"/>
        </w:rPr>
      </w:pPr>
    </w:p>
    <w:p w14:paraId="23A073CB" w14:textId="2B0E1F9C" w:rsidR="00D549EE" w:rsidRDefault="00D549EE" w:rsidP="00D549EE">
      <w:pPr>
        <w:rPr>
          <w:lang w:val="en-US"/>
        </w:rPr>
      </w:pPr>
      <w:r w:rsidRPr="00D549EE">
        <w:rPr>
          <w:lang w:val="en-US"/>
        </w:rPr>
        <w:t>CV for salesperson</w:t>
      </w:r>
    </w:p>
    <w:p w14:paraId="57DF6A2E" w14:textId="77777777" w:rsidR="00D549EE" w:rsidRPr="00D549EE" w:rsidRDefault="00D549EE" w:rsidP="00D549EE">
      <w:pPr>
        <w:rPr>
          <w:lang w:val="en-US"/>
        </w:rPr>
      </w:pPr>
    </w:p>
    <w:p w14:paraId="5D86F774" w14:textId="77777777" w:rsidR="00D549EE" w:rsidRPr="00D549EE" w:rsidRDefault="00D549EE" w:rsidP="00D549EE">
      <w:r w:rsidRPr="00D549EE">
        <w:rPr>
          <w:noProof/>
        </w:rPr>
        <w:drawing>
          <wp:inline distT="0" distB="0" distL="0" distR="0" wp14:anchorId="30224914" wp14:editId="242E9B72">
            <wp:extent cx="5935980" cy="3105150"/>
            <wp:effectExtent l="0" t="0" r="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5980" cy="3105150"/>
                    </a:xfrm>
                    <a:prstGeom prst="rect">
                      <a:avLst/>
                    </a:prstGeom>
                    <a:noFill/>
                    <a:ln>
                      <a:noFill/>
                    </a:ln>
                  </pic:spPr>
                </pic:pic>
              </a:graphicData>
            </a:graphic>
          </wp:inline>
        </w:drawing>
      </w:r>
    </w:p>
    <w:p w14:paraId="1DD00CA3" w14:textId="77777777" w:rsidR="00D549EE" w:rsidRPr="00D549EE" w:rsidRDefault="00D549EE" w:rsidP="00D549EE">
      <w:pPr>
        <w:snapToGrid w:val="0"/>
        <w:contextualSpacing/>
        <w:rPr>
          <w:b/>
          <w:smallCaps/>
        </w:rPr>
      </w:pPr>
    </w:p>
    <w:p w14:paraId="5181877B" w14:textId="77777777" w:rsidR="00D549EE" w:rsidRPr="00D549EE" w:rsidRDefault="00D549EE" w:rsidP="00D549EE">
      <w:pPr>
        <w:snapToGrid w:val="0"/>
        <w:contextualSpacing/>
        <w:rPr>
          <w:b/>
          <w:smallCaps/>
        </w:rPr>
      </w:pPr>
    </w:p>
    <w:p w14:paraId="71375159" w14:textId="77777777" w:rsidR="00D549EE" w:rsidRPr="00D549EE" w:rsidRDefault="00D549EE" w:rsidP="00D549EE">
      <w:r w:rsidRPr="00D549EE">
        <w:t>CV for manager</w:t>
      </w:r>
    </w:p>
    <w:p w14:paraId="7238B119" w14:textId="77777777" w:rsidR="00D549EE" w:rsidRPr="00D549EE" w:rsidRDefault="00D549EE" w:rsidP="00D549EE"/>
    <w:p w14:paraId="03EF1056" w14:textId="77777777" w:rsidR="00D549EE" w:rsidRPr="00D549EE" w:rsidRDefault="00D549EE" w:rsidP="00D549EE">
      <w:r w:rsidRPr="00D549EE">
        <w:rPr>
          <w:noProof/>
        </w:rPr>
        <w:drawing>
          <wp:inline distT="0" distB="0" distL="0" distR="0" wp14:anchorId="5BD9037B" wp14:editId="2F675F13">
            <wp:extent cx="5935980" cy="3741420"/>
            <wp:effectExtent l="0" t="0" r="7620" b="0"/>
            <wp:docPr id="9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5980" cy="3741420"/>
                    </a:xfrm>
                    <a:prstGeom prst="rect">
                      <a:avLst/>
                    </a:prstGeom>
                    <a:noFill/>
                    <a:ln>
                      <a:noFill/>
                    </a:ln>
                  </pic:spPr>
                </pic:pic>
              </a:graphicData>
            </a:graphic>
          </wp:inline>
        </w:drawing>
      </w:r>
    </w:p>
    <w:p w14:paraId="00BE6066" w14:textId="5FD90A63" w:rsidR="00D549EE" w:rsidRPr="00FC685D" w:rsidRDefault="00D549EE" w:rsidP="00FC685D">
      <w:pPr>
        <w:rPr>
          <w:rFonts w:eastAsiaTheme="majorEastAsia"/>
          <w:b/>
          <w:smallCaps/>
          <w:color w:val="000000" w:themeColor="text1"/>
        </w:rPr>
      </w:pPr>
    </w:p>
    <w:sectPr w:rsidR="00D549EE" w:rsidRPr="00FC685D" w:rsidSect="009147F1">
      <w:footerReference w:type="even" r:id="rId96"/>
      <w:footerReference w:type="default" r:id="rId97"/>
      <w:pgSz w:w="11901" w:h="16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C5963" w14:textId="77777777" w:rsidR="00191457" w:rsidRDefault="00191457" w:rsidP="00352633">
      <w:r>
        <w:separator/>
      </w:r>
    </w:p>
  </w:endnote>
  <w:endnote w:type="continuationSeparator" w:id="0">
    <w:p w14:paraId="55D2AA41" w14:textId="77777777" w:rsidR="00191457" w:rsidRDefault="00191457" w:rsidP="00352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MS PMincho">
    <w:panose1 w:val="02020600040205080304"/>
    <w:charset w:val="80"/>
    <w:family w:val="roman"/>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2"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b"/>
      </w:rPr>
      <w:id w:val="1657795792"/>
      <w:docPartObj>
        <w:docPartGallery w:val="Page Numbers (Bottom of Page)"/>
        <w:docPartUnique/>
      </w:docPartObj>
    </w:sdtPr>
    <w:sdtEndPr>
      <w:rPr>
        <w:rStyle w:val="afb"/>
      </w:rPr>
    </w:sdtEndPr>
    <w:sdtContent>
      <w:p w14:paraId="7A033AE7" w14:textId="7FE28DD4" w:rsidR="00AC0BEF" w:rsidRDefault="00AC0BEF" w:rsidP="009147F1">
        <w:pPr>
          <w:pStyle w:val="ac"/>
          <w:framePr w:wrap="none" w:vAnchor="text" w:hAnchor="margin" w:xAlign="center" w:y="1"/>
          <w:rPr>
            <w:rStyle w:val="afb"/>
          </w:rPr>
        </w:pPr>
        <w:r>
          <w:rPr>
            <w:rStyle w:val="afb"/>
          </w:rPr>
          <w:fldChar w:fldCharType="begin"/>
        </w:r>
        <w:r>
          <w:rPr>
            <w:rStyle w:val="afb"/>
          </w:rPr>
          <w:instrText xml:space="preserve"> PAGE </w:instrText>
        </w:r>
        <w:r>
          <w:rPr>
            <w:rStyle w:val="afb"/>
          </w:rPr>
          <w:fldChar w:fldCharType="end"/>
        </w:r>
      </w:p>
    </w:sdtContent>
  </w:sdt>
  <w:p w14:paraId="13BAA2C6" w14:textId="77777777" w:rsidR="00AC0BEF" w:rsidRDefault="00AC0BEF">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b"/>
      </w:rPr>
      <w:id w:val="492613621"/>
      <w:docPartObj>
        <w:docPartGallery w:val="Page Numbers (Bottom of Page)"/>
        <w:docPartUnique/>
      </w:docPartObj>
    </w:sdtPr>
    <w:sdtEndPr>
      <w:rPr>
        <w:rStyle w:val="afb"/>
      </w:rPr>
    </w:sdtEndPr>
    <w:sdtContent>
      <w:p w14:paraId="30955BE0" w14:textId="3DB91E18" w:rsidR="00AC0BEF" w:rsidRDefault="00AC0BEF" w:rsidP="009147F1">
        <w:pPr>
          <w:pStyle w:val="ac"/>
          <w:framePr w:wrap="none" w:vAnchor="text" w:hAnchor="margin" w:xAlign="center" w:y="1"/>
          <w:rPr>
            <w:rStyle w:val="afb"/>
          </w:rPr>
        </w:pPr>
        <w:r>
          <w:rPr>
            <w:rStyle w:val="afb"/>
          </w:rPr>
          <w:fldChar w:fldCharType="begin"/>
        </w:r>
        <w:r>
          <w:rPr>
            <w:rStyle w:val="afb"/>
          </w:rPr>
          <w:instrText xml:space="preserve"> PAGE </w:instrText>
        </w:r>
        <w:r>
          <w:rPr>
            <w:rStyle w:val="afb"/>
          </w:rPr>
          <w:fldChar w:fldCharType="separate"/>
        </w:r>
        <w:r w:rsidR="00D74F7B">
          <w:rPr>
            <w:rStyle w:val="afb"/>
            <w:noProof/>
          </w:rPr>
          <w:t>26</w:t>
        </w:r>
        <w:r>
          <w:rPr>
            <w:rStyle w:val="afb"/>
          </w:rPr>
          <w:fldChar w:fldCharType="end"/>
        </w:r>
      </w:p>
    </w:sdtContent>
  </w:sdt>
  <w:p w14:paraId="71C1BDA5" w14:textId="77777777" w:rsidR="00AC0BEF" w:rsidRDefault="00AC0BE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03F38" w14:textId="77777777" w:rsidR="00191457" w:rsidRDefault="00191457" w:rsidP="00352633">
      <w:r>
        <w:separator/>
      </w:r>
    </w:p>
  </w:footnote>
  <w:footnote w:type="continuationSeparator" w:id="0">
    <w:p w14:paraId="2C5E4144" w14:textId="77777777" w:rsidR="00191457" w:rsidRDefault="00191457" w:rsidP="003526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2100"/>
        </w:tabs>
        <w:ind w:left="2100" w:hanging="1020"/>
      </w:pPr>
      <w:rPr>
        <w:rFonts w:ascii="Times New Roman" w:hAnsi="Times New Roman" w:cs="Times New Roman"/>
        <w:b/>
        <w:sz w:val="24"/>
      </w:rPr>
    </w:lvl>
    <w:lvl w:ilvl="2">
      <w:start w:val="1"/>
      <w:numFmt w:val="decimal"/>
      <w:lvlText w:val="%3)"/>
      <w:lvlJc w:val="left"/>
      <w:pPr>
        <w:tabs>
          <w:tab w:val="num" w:pos="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CC3BA8"/>
    <w:multiLevelType w:val="hybridMultilevel"/>
    <w:tmpl w:val="E9C8492A"/>
    <w:lvl w:ilvl="0" w:tplc="290C1834">
      <w:start w:val="1"/>
      <w:numFmt w:val="bullet"/>
      <w:lvlText w:val="-"/>
      <w:lvlJc w:val="left"/>
      <w:pPr>
        <w:ind w:left="1080" w:hanging="360"/>
      </w:pPr>
      <w:rPr>
        <w:rFonts w:ascii="Calibri" w:eastAsia="Calibri" w:hAnsi="Calibri"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2FA5707"/>
    <w:multiLevelType w:val="hybridMultilevel"/>
    <w:tmpl w:val="83D2B68E"/>
    <w:lvl w:ilvl="0" w:tplc="AFF86B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3737DEC"/>
    <w:multiLevelType w:val="hybridMultilevel"/>
    <w:tmpl w:val="402A0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47224D"/>
    <w:multiLevelType w:val="multilevel"/>
    <w:tmpl w:val="772C4908"/>
    <w:lvl w:ilvl="0">
      <w:start w:val="1"/>
      <w:numFmt w:val="bullet"/>
      <w:lvlText w:val=""/>
      <w:lvlJc w:val="left"/>
      <w:pPr>
        <w:tabs>
          <w:tab w:val="num" w:pos="720"/>
        </w:tabs>
        <w:ind w:left="720" w:hanging="360"/>
      </w:pPr>
      <w:rPr>
        <w:rFonts w:ascii="Symbol" w:hAnsi="Symbol" w:hint="default"/>
        <w:sz w:val="20"/>
      </w:rPr>
    </w:lvl>
    <w:lvl w:ilvl="1">
      <w:start w:val="18"/>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233BC"/>
    <w:multiLevelType w:val="hybridMultilevel"/>
    <w:tmpl w:val="1A020674"/>
    <w:lvl w:ilvl="0" w:tplc="A9A2609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AD005E7"/>
    <w:multiLevelType w:val="hybridMultilevel"/>
    <w:tmpl w:val="41469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416DF1"/>
    <w:multiLevelType w:val="hybridMultilevel"/>
    <w:tmpl w:val="530450B2"/>
    <w:lvl w:ilvl="0" w:tplc="435804FA">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0C177E37"/>
    <w:multiLevelType w:val="hybridMultilevel"/>
    <w:tmpl w:val="88EE9CB0"/>
    <w:lvl w:ilvl="0" w:tplc="310E52D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B8480D"/>
    <w:multiLevelType w:val="hybridMultilevel"/>
    <w:tmpl w:val="46DE3F7A"/>
    <w:lvl w:ilvl="0" w:tplc="5CBE3E10">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10036890"/>
    <w:multiLevelType w:val="hybridMultilevel"/>
    <w:tmpl w:val="BC5A5CE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4F3BEC"/>
    <w:multiLevelType w:val="hybridMultilevel"/>
    <w:tmpl w:val="43522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78497C"/>
    <w:multiLevelType w:val="multilevel"/>
    <w:tmpl w:val="F0242740"/>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60" w:hanging="40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13" w15:restartNumberingAfterBreak="0">
    <w:nsid w:val="167F29C8"/>
    <w:multiLevelType w:val="hybridMultilevel"/>
    <w:tmpl w:val="254E87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40252D"/>
    <w:multiLevelType w:val="hybridMultilevel"/>
    <w:tmpl w:val="B4EEAC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7B357DA"/>
    <w:multiLevelType w:val="hybridMultilevel"/>
    <w:tmpl w:val="C7129676"/>
    <w:lvl w:ilvl="0" w:tplc="90626F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186758AD"/>
    <w:multiLevelType w:val="hybridMultilevel"/>
    <w:tmpl w:val="D200E2FE"/>
    <w:lvl w:ilvl="0" w:tplc="6AFA6422">
      <w:start w:val="6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CF5EBF"/>
    <w:multiLevelType w:val="hybridMultilevel"/>
    <w:tmpl w:val="D30614CE"/>
    <w:lvl w:ilvl="0" w:tplc="1E90C0C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EB66613"/>
    <w:multiLevelType w:val="hybridMultilevel"/>
    <w:tmpl w:val="FC5271F0"/>
    <w:numStyleLink w:val="Numbered"/>
  </w:abstractNum>
  <w:abstractNum w:abstractNumId="19" w15:restartNumberingAfterBreak="0">
    <w:nsid w:val="31874339"/>
    <w:multiLevelType w:val="hybridMultilevel"/>
    <w:tmpl w:val="43D82FE4"/>
    <w:lvl w:ilvl="0" w:tplc="10C00654">
      <w:start w:val="7"/>
      <w:numFmt w:val="decimal"/>
      <w:lvlText w:val="%1."/>
      <w:lvlJc w:val="left"/>
      <w:pPr>
        <w:ind w:left="1724" w:hanging="360"/>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20" w15:restartNumberingAfterBreak="0">
    <w:nsid w:val="358B6649"/>
    <w:multiLevelType w:val="hybridMultilevel"/>
    <w:tmpl w:val="F1D881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4C4916"/>
    <w:multiLevelType w:val="multilevel"/>
    <w:tmpl w:val="406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77379C"/>
    <w:multiLevelType w:val="hybridMultilevel"/>
    <w:tmpl w:val="C9FA2042"/>
    <w:lvl w:ilvl="0" w:tplc="34062C4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3" w15:restartNumberingAfterBreak="0">
    <w:nsid w:val="3BCB1E44"/>
    <w:multiLevelType w:val="hybridMultilevel"/>
    <w:tmpl w:val="91EEE40A"/>
    <w:lvl w:ilvl="0" w:tplc="EC180CD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C4E3F28"/>
    <w:multiLevelType w:val="multilevel"/>
    <w:tmpl w:val="3424C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1F87D04"/>
    <w:multiLevelType w:val="hybridMultilevel"/>
    <w:tmpl w:val="B21C5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056026"/>
    <w:multiLevelType w:val="hybridMultilevel"/>
    <w:tmpl w:val="13BEB6BC"/>
    <w:lvl w:ilvl="0" w:tplc="F40AACB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38A354C"/>
    <w:multiLevelType w:val="hybridMultilevel"/>
    <w:tmpl w:val="DD22E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24108A"/>
    <w:multiLevelType w:val="hybridMultilevel"/>
    <w:tmpl w:val="499672C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DC2160"/>
    <w:multiLevelType w:val="hybridMultilevel"/>
    <w:tmpl w:val="B78636C8"/>
    <w:lvl w:ilvl="0" w:tplc="5DA26E88">
      <w:start w:val="1"/>
      <w:numFmt w:val="low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48663514"/>
    <w:multiLevelType w:val="hybridMultilevel"/>
    <w:tmpl w:val="FC5271F0"/>
    <w:styleLink w:val="Numbered"/>
    <w:lvl w:ilvl="0" w:tplc="9F16B018">
      <w:start w:val="1"/>
      <w:numFmt w:val="decimal"/>
      <w:lvlText w:val="%1."/>
      <w:lvlJc w:val="left"/>
      <w:pPr>
        <w:tabs>
          <w:tab w:val="num" w:pos="960"/>
        </w:tabs>
        <w:ind w:left="393" w:firstLine="174"/>
      </w:pPr>
      <w:rPr>
        <w:rFonts w:hAnsi="Arial Unicode MS"/>
        <w:caps w:val="0"/>
        <w:smallCaps w:val="0"/>
        <w:strike w:val="0"/>
        <w:dstrike w:val="0"/>
        <w:outline w:val="0"/>
        <w:emboss w:val="0"/>
        <w:imprint w:val="0"/>
        <w:spacing w:val="0"/>
        <w:w w:val="100"/>
        <w:kern w:val="0"/>
        <w:position w:val="0"/>
        <w:highlight w:val="none"/>
        <w:vertAlign w:val="baseline"/>
      </w:rPr>
    </w:lvl>
    <w:lvl w:ilvl="1" w:tplc="04F481F4">
      <w:start w:val="1"/>
      <w:numFmt w:val="decimal"/>
      <w:lvlText w:val="%2."/>
      <w:lvlJc w:val="left"/>
      <w:pPr>
        <w:tabs>
          <w:tab w:val="num" w:pos="1320"/>
        </w:tabs>
        <w:ind w:left="753" w:firstLine="174"/>
      </w:pPr>
      <w:rPr>
        <w:rFonts w:hAnsi="Arial Unicode MS"/>
        <w:caps w:val="0"/>
        <w:smallCaps w:val="0"/>
        <w:strike w:val="0"/>
        <w:dstrike w:val="0"/>
        <w:outline w:val="0"/>
        <w:emboss w:val="0"/>
        <w:imprint w:val="0"/>
        <w:spacing w:val="0"/>
        <w:w w:val="100"/>
        <w:kern w:val="0"/>
        <w:position w:val="0"/>
        <w:highlight w:val="none"/>
        <w:vertAlign w:val="baseline"/>
      </w:rPr>
    </w:lvl>
    <w:lvl w:ilvl="2" w:tplc="F086DF86">
      <w:start w:val="1"/>
      <w:numFmt w:val="decimal"/>
      <w:lvlText w:val="%3."/>
      <w:lvlJc w:val="left"/>
      <w:pPr>
        <w:tabs>
          <w:tab w:val="num" w:pos="1680"/>
        </w:tabs>
        <w:ind w:left="1113" w:firstLine="174"/>
      </w:pPr>
      <w:rPr>
        <w:rFonts w:hAnsi="Arial Unicode MS"/>
        <w:caps w:val="0"/>
        <w:smallCaps w:val="0"/>
        <w:strike w:val="0"/>
        <w:dstrike w:val="0"/>
        <w:outline w:val="0"/>
        <w:emboss w:val="0"/>
        <w:imprint w:val="0"/>
        <w:spacing w:val="0"/>
        <w:w w:val="100"/>
        <w:kern w:val="0"/>
        <w:position w:val="0"/>
        <w:highlight w:val="none"/>
        <w:vertAlign w:val="baseline"/>
      </w:rPr>
    </w:lvl>
    <w:lvl w:ilvl="3" w:tplc="B5B095A4">
      <w:start w:val="1"/>
      <w:numFmt w:val="decimal"/>
      <w:lvlText w:val="%4."/>
      <w:lvlJc w:val="left"/>
      <w:pPr>
        <w:tabs>
          <w:tab w:val="num" w:pos="2040"/>
        </w:tabs>
        <w:ind w:left="1473" w:firstLine="174"/>
      </w:pPr>
      <w:rPr>
        <w:rFonts w:hAnsi="Arial Unicode MS"/>
        <w:caps w:val="0"/>
        <w:smallCaps w:val="0"/>
        <w:strike w:val="0"/>
        <w:dstrike w:val="0"/>
        <w:outline w:val="0"/>
        <w:emboss w:val="0"/>
        <w:imprint w:val="0"/>
        <w:spacing w:val="0"/>
        <w:w w:val="100"/>
        <w:kern w:val="0"/>
        <w:position w:val="0"/>
        <w:highlight w:val="none"/>
        <w:vertAlign w:val="baseline"/>
      </w:rPr>
    </w:lvl>
    <w:lvl w:ilvl="4" w:tplc="480E92F2">
      <w:start w:val="1"/>
      <w:numFmt w:val="decimal"/>
      <w:lvlText w:val="%5."/>
      <w:lvlJc w:val="left"/>
      <w:pPr>
        <w:tabs>
          <w:tab w:val="num" w:pos="2400"/>
        </w:tabs>
        <w:ind w:left="1833" w:firstLine="174"/>
      </w:pPr>
      <w:rPr>
        <w:rFonts w:hAnsi="Arial Unicode MS"/>
        <w:caps w:val="0"/>
        <w:smallCaps w:val="0"/>
        <w:strike w:val="0"/>
        <w:dstrike w:val="0"/>
        <w:outline w:val="0"/>
        <w:emboss w:val="0"/>
        <w:imprint w:val="0"/>
        <w:spacing w:val="0"/>
        <w:w w:val="100"/>
        <w:kern w:val="0"/>
        <w:position w:val="0"/>
        <w:highlight w:val="none"/>
        <w:vertAlign w:val="baseline"/>
      </w:rPr>
    </w:lvl>
    <w:lvl w:ilvl="5" w:tplc="BEE259AA">
      <w:start w:val="1"/>
      <w:numFmt w:val="decimal"/>
      <w:lvlText w:val="%6."/>
      <w:lvlJc w:val="left"/>
      <w:pPr>
        <w:tabs>
          <w:tab w:val="num" w:pos="2760"/>
        </w:tabs>
        <w:ind w:left="2193" w:firstLine="174"/>
      </w:pPr>
      <w:rPr>
        <w:rFonts w:hAnsi="Arial Unicode MS"/>
        <w:caps w:val="0"/>
        <w:smallCaps w:val="0"/>
        <w:strike w:val="0"/>
        <w:dstrike w:val="0"/>
        <w:outline w:val="0"/>
        <w:emboss w:val="0"/>
        <w:imprint w:val="0"/>
        <w:spacing w:val="0"/>
        <w:w w:val="100"/>
        <w:kern w:val="0"/>
        <w:position w:val="0"/>
        <w:highlight w:val="none"/>
        <w:vertAlign w:val="baseline"/>
      </w:rPr>
    </w:lvl>
    <w:lvl w:ilvl="6" w:tplc="26469C78">
      <w:start w:val="1"/>
      <w:numFmt w:val="decimal"/>
      <w:lvlText w:val="%7."/>
      <w:lvlJc w:val="left"/>
      <w:pPr>
        <w:tabs>
          <w:tab w:val="num" w:pos="3120"/>
        </w:tabs>
        <w:ind w:left="2553" w:firstLine="174"/>
      </w:pPr>
      <w:rPr>
        <w:rFonts w:hAnsi="Arial Unicode MS"/>
        <w:caps w:val="0"/>
        <w:smallCaps w:val="0"/>
        <w:strike w:val="0"/>
        <w:dstrike w:val="0"/>
        <w:outline w:val="0"/>
        <w:emboss w:val="0"/>
        <w:imprint w:val="0"/>
        <w:spacing w:val="0"/>
        <w:w w:val="100"/>
        <w:kern w:val="0"/>
        <w:position w:val="0"/>
        <w:highlight w:val="none"/>
        <w:vertAlign w:val="baseline"/>
      </w:rPr>
    </w:lvl>
    <w:lvl w:ilvl="7" w:tplc="416AE688">
      <w:start w:val="1"/>
      <w:numFmt w:val="decimal"/>
      <w:lvlText w:val="%8."/>
      <w:lvlJc w:val="left"/>
      <w:pPr>
        <w:tabs>
          <w:tab w:val="num" w:pos="3480"/>
        </w:tabs>
        <w:ind w:left="2913" w:firstLine="174"/>
      </w:pPr>
      <w:rPr>
        <w:rFonts w:hAnsi="Arial Unicode MS"/>
        <w:caps w:val="0"/>
        <w:smallCaps w:val="0"/>
        <w:strike w:val="0"/>
        <w:dstrike w:val="0"/>
        <w:outline w:val="0"/>
        <w:emboss w:val="0"/>
        <w:imprint w:val="0"/>
        <w:spacing w:val="0"/>
        <w:w w:val="100"/>
        <w:kern w:val="0"/>
        <w:position w:val="0"/>
        <w:highlight w:val="none"/>
        <w:vertAlign w:val="baseline"/>
      </w:rPr>
    </w:lvl>
    <w:lvl w:ilvl="8" w:tplc="74C2B16A">
      <w:start w:val="1"/>
      <w:numFmt w:val="decimal"/>
      <w:lvlText w:val="%9."/>
      <w:lvlJc w:val="left"/>
      <w:pPr>
        <w:tabs>
          <w:tab w:val="num" w:pos="3840"/>
        </w:tabs>
        <w:ind w:left="3273" w:firstLine="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8F06B1F"/>
    <w:multiLevelType w:val="hybridMultilevel"/>
    <w:tmpl w:val="D8CC8BC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D1E4845"/>
    <w:multiLevelType w:val="hybridMultilevel"/>
    <w:tmpl w:val="D86EA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E1658D0"/>
    <w:multiLevelType w:val="hybridMultilevel"/>
    <w:tmpl w:val="830A9DA4"/>
    <w:lvl w:ilvl="0" w:tplc="3F286DB0">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50FA5245"/>
    <w:multiLevelType w:val="hybridMultilevel"/>
    <w:tmpl w:val="D4E4B47C"/>
    <w:lvl w:ilvl="0" w:tplc="A41069B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951D4F"/>
    <w:multiLevelType w:val="hybridMultilevel"/>
    <w:tmpl w:val="87960DFE"/>
    <w:lvl w:ilvl="0" w:tplc="1A3E31A2">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557A6D21"/>
    <w:multiLevelType w:val="hybridMultilevel"/>
    <w:tmpl w:val="8A9024B0"/>
    <w:lvl w:ilvl="0" w:tplc="3028F10E">
      <w:start w:val="4"/>
      <w:numFmt w:val="bullet"/>
      <w:lvlText w:val="-"/>
      <w:lvlJc w:val="left"/>
      <w:pPr>
        <w:ind w:left="644" w:hanging="360"/>
      </w:pPr>
      <w:rPr>
        <w:rFonts w:ascii="TimesNewRomanPS" w:eastAsia="Times New Roman" w:hAnsi="TimesNewRomanPS"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15:restartNumberingAfterBreak="0">
    <w:nsid w:val="60B96B00"/>
    <w:multiLevelType w:val="hybridMultilevel"/>
    <w:tmpl w:val="69AEBE7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D35484"/>
    <w:multiLevelType w:val="hybridMultilevel"/>
    <w:tmpl w:val="4D204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4334956"/>
    <w:multiLevelType w:val="hybridMultilevel"/>
    <w:tmpl w:val="45FEAF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E134BE"/>
    <w:multiLevelType w:val="hybridMultilevel"/>
    <w:tmpl w:val="20EA30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402C58"/>
    <w:multiLevelType w:val="hybridMultilevel"/>
    <w:tmpl w:val="3C0611EA"/>
    <w:lvl w:ilvl="0" w:tplc="26887F82">
      <w:start w:val="1"/>
      <w:numFmt w:val="decimal"/>
      <w:pStyle w:val="figurecaption"/>
      <w:lvlText w:val="Fig. %1."/>
      <w:lvlJc w:val="left"/>
      <w:pPr>
        <w:ind w:left="643"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723"/>
        </w:tabs>
        <w:ind w:left="1723" w:hanging="360"/>
      </w:pPr>
      <w:rPr>
        <w:rFonts w:cs="Times New Roman"/>
      </w:rPr>
    </w:lvl>
    <w:lvl w:ilvl="2" w:tplc="0409001B">
      <w:start w:val="1"/>
      <w:numFmt w:val="lowerRoman"/>
      <w:lvlText w:val="%3."/>
      <w:lvlJc w:val="right"/>
      <w:pPr>
        <w:tabs>
          <w:tab w:val="num" w:pos="2443"/>
        </w:tabs>
        <w:ind w:left="2443" w:hanging="180"/>
      </w:pPr>
      <w:rPr>
        <w:rFonts w:cs="Times New Roman"/>
      </w:rPr>
    </w:lvl>
    <w:lvl w:ilvl="3" w:tplc="0409000F">
      <w:start w:val="1"/>
      <w:numFmt w:val="decimal"/>
      <w:lvlText w:val="%4."/>
      <w:lvlJc w:val="left"/>
      <w:pPr>
        <w:tabs>
          <w:tab w:val="num" w:pos="3163"/>
        </w:tabs>
        <w:ind w:left="3163" w:hanging="360"/>
      </w:pPr>
      <w:rPr>
        <w:rFonts w:cs="Times New Roman"/>
      </w:rPr>
    </w:lvl>
    <w:lvl w:ilvl="4" w:tplc="04090019">
      <w:start w:val="1"/>
      <w:numFmt w:val="lowerLetter"/>
      <w:lvlText w:val="%5."/>
      <w:lvlJc w:val="left"/>
      <w:pPr>
        <w:tabs>
          <w:tab w:val="num" w:pos="3883"/>
        </w:tabs>
        <w:ind w:left="3883" w:hanging="360"/>
      </w:pPr>
      <w:rPr>
        <w:rFonts w:cs="Times New Roman"/>
      </w:rPr>
    </w:lvl>
    <w:lvl w:ilvl="5" w:tplc="0409001B">
      <w:start w:val="1"/>
      <w:numFmt w:val="lowerRoman"/>
      <w:lvlText w:val="%6."/>
      <w:lvlJc w:val="right"/>
      <w:pPr>
        <w:tabs>
          <w:tab w:val="num" w:pos="4603"/>
        </w:tabs>
        <w:ind w:left="4603" w:hanging="180"/>
      </w:pPr>
      <w:rPr>
        <w:rFonts w:cs="Times New Roman"/>
      </w:rPr>
    </w:lvl>
    <w:lvl w:ilvl="6" w:tplc="0409000F">
      <w:start w:val="1"/>
      <w:numFmt w:val="decimal"/>
      <w:lvlText w:val="%7."/>
      <w:lvlJc w:val="left"/>
      <w:pPr>
        <w:tabs>
          <w:tab w:val="num" w:pos="5323"/>
        </w:tabs>
        <w:ind w:left="5323" w:hanging="360"/>
      </w:pPr>
      <w:rPr>
        <w:rFonts w:cs="Times New Roman"/>
      </w:rPr>
    </w:lvl>
    <w:lvl w:ilvl="7" w:tplc="04090019">
      <w:start w:val="1"/>
      <w:numFmt w:val="lowerLetter"/>
      <w:lvlText w:val="%8."/>
      <w:lvlJc w:val="left"/>
      <w:pPr>
        <w:tabs>
          <w:tab w:val="num" w:pos="6043"/>
        </w:tabs>
        <w:ind w:left="6043" w:hanging="360"/>
      </w:pPr>
      <w:rPr>
        <w:rFonts w:cs="Times New Roman"/>
      </w:rPr>
    </w:lvl>
    <w:lvl w:ilvl="8" w:tplc="0409001B">
      <w:start w:val="1"/>
      <w:numFmt w:val="lowerRoman"/>
      <w:lvlText w:val="%9."/>
      <w:lvlJc w:val="right"/>
      <w:pPr>
        <w:tabs>
          <w:tab w:val="num" w:pos="6763"/>
        </w:tabs>
        <w:ind w:left="6763" w:hanging="180"/>
      </w:pPr>
      <w:rPr>
        <w:rFonts w:cs="Times New Roman"/>
      </w:rPr>
    </w:lvl>
  </w:abstractNum>
  <w:abstractNum w:abstractNumId="42" w15:restartNumberingAfterBreak="0">
    <w:nsid w:val="72474B86"/>
    <w:multiLevelType w:val="hybridMultilevel"/>
    <w:tmpl w:val="467C5516"/>
    <w:lvl w:ilvl="0" w:tplc="04190011">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3" w15:restartNumberingAfterBreak="0">
    <w:nsid w:val="75035161"/>
    <w:multiLevelType w:val="hybridMultilevel"/>
    <w:tmpl w:val="F09AD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223752"/>
    <w:multiLevelType w:val="multilevel"/>
    <w:tmpl w:val="F796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A347A3"/>
    <w:multiLevelType w:val="hybridMultilevel"/>
    <w:tmpl w:val="B21C5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BA53D0E"/>
    <w:multiLevelType w:val="hybridMultilevel"/>
    <w:tmpl w:val="25907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DD658FF"/>
    <w:multiLevelType w:val="hybridMultilevel"/>
    <w:tmpl w:val="5DF4F876"/>
    <w:lvl w:ilvl="0" w:tplc="5A387E3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334819"/>
    <w:multiLevelType w:val="hybridMultilevel"/>
    <w:tmpl w:val="3134F5C4"/>
    <w:lvl w:ilvl="0" w:tplc="290C1834">
      <w:start w:val="1"/>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F5D61C1"/>
    <w:multiLevelType w:val="hybridMultilevel"/>
    <w:tmpl w:val="E9E20CC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12"/>
  </w:num>
  <w:num w:numId="4">
    <w:abstractNumId w:val="41"/>
  </w:num>
  <w:num w:numId="5">
    <w:abstractNumId w:val="15"/>
  </w:num>
  <w:num w:numId="6">
    <w:abstractNumId w:val="2"/>
  </w:num>
  <w:num w:numId="7">
    <w:abstractNumId w:val="26"/>
  </w:num>
  <w:num w:numId="8">
    <w:abstractNumId w:val="8"/>
  </w:num>
  <w:num w:numId="9">
    <w:abstractNumId w:val="43"/>
  </w:num>
  <w:num w:numId="10">
    <w:abstractNumId w:val="22"/>
  </w:num>
  <w:num w:numId="11">
    <w:abstractNumId w:val="34"/>
  </w:num>
  <w:num w:numId="12">
    <w:abstractNumId w:val="7"/>
  </w:num>
  <w:num w:numId="13">
    <w:abstractNumId w:val="29"/>
  </w:num>
  <w:num w:numId="14">
    <w:abstractNumId w:val="33"/>
  </w:num>
  <w:num w:numId="15">
    <w:abstractNumId w:val="47"/>
  </w:num>
  <w:num w:numId="16">
    <w:abstractNumId w:val="3"/>
  </w:num>
  <w:num w:numId="17">
    <w:abstractNumId w:val="20"/>
  </w:num>
  <w:num w:numId="18">
    <w:abstractNumId w:val="48"/>
  </w:num>
  <w:num w:numId="19">
    <w:abstractNumId w:val="39"/>
  </w:num>
  <w:num w:numId="20">
    <w:abstractNumId w:val="9"/>
  </w:num>
  <w:num w:numId="21">
    <w:abstractNumId w:val="37"/>
  </w:num>
  <w:num w:numId="22">
    <w:abstractNumId w:val="35"/>
  </w:num>
  <w:num w:numId="23">
    <w:abstractNumId w:val="17"/>
  </w:num>
  <w:num w:numId="24">
    <w:abstractNumId w:val="10"/>
  </w:num>
  <w:num w:numId="25">
    <w:abstractNumId w:val="31"/>
  </w:num>
  <w:num w:numId="26">
    <w:abstractNumId w:val="23"/>
  </w:num>
  <w:num w:numId="27">
    <w:abstractNumId w:val="5"/>
  </w:num>
  <w:num w:numId="28">
    <w:abstractNumId w:val="36"/>
  </w:num>
  <w:num w:numId="29">
    <w:abstractNumId w:val="42"/>
  </w:num>
  <w:num w:numId="30">
    <w:abstractNumId w:val="19"/>
  </w:num>
  <w:num w:numId="31">
    <w:abstractNumId w:val="6"/>
  </w:num>
  <w:num w:numId="32">
    <w:abstractNumId w:val="40"/>
  </w:num>
  <w:num w:numId="33">
    <w:abstractNumId w:val="13"/>
  </w:num>
  <w:num w:numId="34">
    <w:abstractNumId w:val="32"/>
  </w:num>
  <w:num w:numId="35">
    <w:abstractNumId w:val="49"/>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18"/>
  </w:num>
  <w:num w:numId="39">
    <w:abstractNumId w:val="18"/>
    <w:lvlOverride w:ilvl="0">
      <w:startOverride w:val="1"/>
    </w:lvlOverride>
  </w:num>
  <w:num w:numId="40">
    <w:abstractNumId w:val="28"/>
  </w:num>
  <w:num w:numId="41">
    <w:abstractNumId w:val="38"/>
  </w:num>
  <w:num w:numId="42">
    <w:abstractNumId w:val="4"/>
  </w:num>
  <w:num w:numId="43">
    <w:abstractNumId w:val="44"/>
  </w:num>
  <w:num w:numId="44">
    <w:abstractNumId w:val="46"/>
  </w:num>
  <w:num w:numId="45">
    <w:abstractNumId w:val="11"/>
  </w:num>
  <w:num w:numId="46">
    <w:abstractNumId w:val="14"/>
  </w:num>
  <w:num w:numId="47">
    <w:abstractNumId w:val="25"/>
  </w:num>
  <w:num w:numId="48">
    <w:abstractNumId w:val="45"/>
  </w:num>
  <w:num w:numId="49">
    <w:abstractNumId w:val="27"/>
  </w:num>
  <w:num w:numId="50">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activeWritingStyle w:appName="MSWord" w:lang="en-US" w:vendorID="64" w:dllVersion="4096" w:nlCheck="1" w:checkStyle="0"/>
  <w:activeWritingStyle w:appName="MSWord" w:lang="ru-RU"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ru-RU" w:vendorID="64" w:dllVersion="6" w:nlCheck="1" w:checkStyle="0"/>
  <w:activeWritingStyle w:appName="MSWord" w:lang="en-GB" w:vendorID="64" w:dllVersion="6"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16A"/>
    <w:rsid w:val="00001B83"/>
    <w:rsid w:val="0000457C"/>
    <w:rsid w:val="00004749"/>
    <w:rsid w:val="000048BC"/>
    <w:rsid w:val="00005809"/>
    <w:rsid w:val="00005F0B"/>
    <w:rsid w:val="00010331"/>
    <w:rsid w:val="000107B0"/>
    <w:rsid w:val="0001161F"/>
    <w:rsid w:val="00012ACF"/>
    <w:rsid w:val="00012F08"/>
    <w:rsid w:val="0001451B"/>
    <w:rsid w:val="00015105"/>
    <w:rsid w:val="00016A1D"/>
    <w:rsid w:val="00016F74"/>
    <w:rsid w:val="00017201"/>
    <w:rsid w:val="000204D1"/>
    <w:rsid w:val="00020972"/>
    <w:rsid w:val="00020CC5"/>
    <w:rsid w:val="00020CDF"/>
    <w:rsid w:val="00020DD8"/>
    <w:rsid w:val="00021271"/>
    <w:rsid w:val="00021E63"/>
    <w:rsid w:val="00021E99"/>
    <w:rsid w:val="00021F61"/>
    <w:rsid w:val="00022B41"/>
    <w:rsid w:val="00023147"/>
    <w:rsid w:val="00023200"/>
    <w:rsid w:val="000236B4"/>
    <w:rsid w:val="00024545"/>
    <w:rsid w:val="00024F28"/>
    <w:rsid w:val="00024F5E"/>
    <w:rsid w:val="0002513A"/>
    <w:rsid w:val="00025164"/>
    <w:rsid w:val="00025E99"/>
    <w:rsid w:val="000268F9"/>
    <w:rsid w:val="00026AFC"/>
    <w:rsid w:val="0003055C"/>
    <w:rsid w:val="00030FA4"/>
    <w:rsid w:val="00032632"/>
    <w:rsid w:val="00032C0D"/>
    <w:rsid w:val="00033E86"/>
    <w:rsid w:val="000341B8"/>
    <w:rsid w:val="0003452F"/>
    <w:rsid w:val="00034589"/>
    <w:rsid w:val="0003568E"/>
    <w:rsid w:val="0003605E"/>
    <w:rsid w:val="0003610E"/>
    <w:rsid w:val="000362A1"/>
    <w:rsid w:val="000376A4"/>
    <w:rsid w:val="00037FC0"/>
    <w:rsid w:val="00040B71"/>
    <w:rsid w:val="00040EF8"/>
    <w:rsid w:val="00041458"/>
    <w:rsid w:val="00043CEC"/>
    <w:rsid w:val="00043E59"/>
    <w:rsid w:val="00043F2E"/>
    <w:rsid w:val="00044C6A"/>
    <w:rsid w:val="0004586C"/>
    <w:rsid w:val="00045D2B"/>
    <w:rsid w:val="00046BFC"/>
    <w:rsid w:val="0005137F"/>
    <w:rsid w:val="00051558"/>
    <w:rsid w:val="00052304"/>
    <w:rsid w:val="0005359B"/>
    <w:rsid w:val="00053742"/>
    <w:rsid w:val="0005454F"/>
    <w:rsid w:val="00054575"/>
    <w:rsid w:val="00054AF4"/>
    <w:rsid w:val="00054B5D"/>
    <w:rsid w:val="00056C8F"/>
    <w:rsid w:val="00056E59"/>
    <w:rsid w:val="00057165"/>
    <w:rsid w:val="000576E8"/>
    <w:rsid w:val="00060190"/>
    <w:rsid w:val="00060629"/>
    <w:rsid w:val="00060D3A"/>
    <w:rsid w:val="0006161C"/>
    <w:rsid w:val="000622CB"/>
    <w:rsid w:val="00062FEE"/>
    <w:rsid w:val="000630D6"/>
    <w:rsid w:val="00066364"/>
    <w:rsid w:val="0006792B"/>
    <w:rsid w:val="0007061A"/>
    <w:rsid w:val="000715E2"/>
    <w:rsid w:val="00071FE6"/>
    <w:rsid w:val="00072B94"/>
    <w:rsid w:val="00072FBC"/>
    <w:rsid w:val="00073B17"/>
    <w:rsid w:val="000742D9"/>
    <w:rsid w:val="000744BC"/>
    <w:rsid w:val="00074B03"/>
    <w:rsid w:val="00075250"/>
    <w:rsid w:val="00075384"/>
    <w:rsid w:val="0007543F"/>
    <w:rsid w:val="00075FB1"/>
    <w:rsid w:val="00077F87"/>
    <w:rsid w:val="00080684"/>
    <w:rsid w:val="00080E5B"/>
    <w:rsid w:val="00080EBF"/>
    <w:rsid w:val="00081A93"/>
    <w:rsid w:val="00082056"/>
    <w:rsid w:val="0008491A"/>
    <w:rsid w:val="00086A76"/>
    <w:rsid w:val="000879B7"/>
    <w:rsid w:val="00090189"/>
    <w:rsid w:val="000903F6"/>
    <w:rsid w:val="00090639"/>
    <w:rsid w:val="00090662"/>
    <w:rsid w:val="00091491"/>
    <w:rsid w:val="000916F6"/>
    <w:rsid w:val="00091BB1"/>
    <w:rsid w:val="00091E94"/>
    <w:rsid w:val="00091F97"/>
    <w:rsid w:val="00092B14"/>
    <w:rsid w:val="00093520"/>
    <w:rsid w:val="000942D6"/>
    <w:rsid w:val="0009454F"/>
    <w:rsid w:val="0009491A"/>
    <w:rsid w:val="00095A44"/>
    <w:rsid w:val="00096104"/>
    <w:rsid w:val="000969D2"/>
    <w:rsid w:val="000978A8"/>
    <w:rsid w:val="00097E5B"/>
    <w:rsid w:val="00097EF9"/>
    <w:rsid w:val="000A2FCF"/>
    <w:rsid w:val="000A422F"/>
    <w:rsid w:val="000A4B64"/>
    <w:rsid w:val="000A5AC6"/>
    <w:rsid w:val="000A771F"/>
    <w:rsid w:val="000B02EC"/>
    <w:rsid w:val="000B34DA"/>
    <w:rsid w:val="000B34EE"/>
    <w:rsid w:val="000B38CA"/>
    <w:rsid w:val="000B3B87"/>
    <w:rsid w:val="000B3D32"/>
    <w:rsid w:val="000B461F"/>
    <w:rsid w:val="000B4A78"/>
    <w:rsid w:val="000B5A3F"/>
    <w:rsid w:val="000B70C4"/>
    <w:rsid w:val="000B7AA0"/>
    <w:rsid w:val="000B7D51"/>
    <w:rsid w:val="000B7F64"/>
    <w:rsid w:val="000C1884"/>
    <w:rsid w:val="000C1B74"/>
    <w:rsid w:val="000C330C"/>
    <w:rsid w:val="000C34AF"/>
    <w:rsid w:val="000C3A2B"/>
    <w:rsid w:val="000C411B"/>
    <w:rsid w:val="000C431E"/>
    <w:rsid w:val="000C45E7"/>
    <w:rsid w:val="000C5151"/>
    <w:rsid w:val="000C517D"/>
    <w:rsid w:val="000C60C6"/>
    <w:rsid w:val="000C6AA4"/>
    <w:rsid w:val="000C6E3C"/>
    <w:rsid w:val="000C72CB"/>
    <w:rsid w:val="000C747C"/>
    <w:rsid w:val="000C7E5B"/>
    <w:rsid w:val="000D00CB"/>
    <w:rsid w:val="000D0A62"/>
    <w:rsid w:val="000D0F2C"/>
    <w:rsid w:val="000D249F"/>
    <w:rsid w:val="000D28D1"/>
    <w:rsid w:val="000D4BE6"/>
    <w:rsid w:val="000D4BF6"/>
    <w:rsid w:val="000D5B28"/>
    <w:rsid w:val="000D714D"/>
    <w:rsid w:val="000D7251"/>
    <w:rsid w:val="000D763C"/>
    <w:rsid w:val="000D78DF"/>
    <w:rsid w:val="000D7B8F"/>
    <w:rsid w:val="000E04FD"/>
    <w:rsid w:val="000E1CD2"/>
    <w:rsid w:val="000E1EF9"/>
    <w:rsid w:val="000E2292"/>
    <w:rsid w:val="000E25B7"/>
    <w:rsid w:val="000E27B5"/>
    <w:rsid w:val="000E282A"/>
    <w:rsid w:val="000E3901"/>
    <w:rsid w:val="000E3C9C"/>
    <w:rsid w:val="000E6E1D"/>
    <w:rsid w:val="000E7DAB"/>
    <w:rsid w:val="000F0E67"/>
    <w:rsid w:val="000F1387"/>
    <w:rsid w:val="000F19FB"/>
    <w:rsid w:val="000F1A75"/>
    <w:rsid w:val="000F1F20"/>
    <w:rsid w:val="000F24D6"/>
    <w:rsid w:val="000F284A"/>
    <w:rsid w:val="000F2C24"/>
    <w:rsid w:val="000F2C5D"/>
    <w:rsid w:val="000F2D5A"/>
    <w:rsid w:val="000F2DBC"/>
    <w:rsid w:val="000F3DF1"/>
    <w:rsid w:val="000F40A9"/>
    <w:rsid w:val="000F5298"/>
    <w:rsid w:val="000F5D14"/>
    <w:rsid w:val="000F6453"/>
    <w:rsid w:val="000F7958"/>
    <w:rsid w:val="000F79CE"/>
    <w:rsid w:val="00100CFD"/>
    <w:rsid w:val="00100E2A"/>
    <w:rsid w:val="0010112C"/>
    <w:rsid w:val="00101C8D"/>
    <w:rsid w:val="00101D11"/>
    <w:rsid w:val="001020B1"/>
    <w:rsid w:val="001027C8"/>
    <w:rsid w:val="00102C3C"/>
    <w:rsid w:val="0010317F"/>
    <w:rsid w:val="00103952"/>
    <w:rsid w:val="00104429"/>
    <w:rsid w:val="00104C73"/>
    <w:rsid w:val="0010512A"/>
    <w:rsid w:val="001051D0"/>
    <w:rsid w:val="00105620"/>
    <w:rsid w:val="00105B8A"/>
    <w:rsid w:val="00106C8A"/>
    <w:rsid w:val="00106F14"/>
    <w:rsid w:val="001078DA"/>
    <w:rsid w:val="00107C0A"/>
    <w:rsid w:val="00107F25"/>
    <w:rsid w:val="0011225E"/>
    <w:rsid w:val="00112A88"/>
    <w:rsid w:val="001150BB"/>
    <w:rsid w:val="00115DF7"/>
    <w:rsid w:val="00115FBE"/>
    <w:rsid w:val="00116656"/>
    <w:rsid w:val="00116F30"/>
    <w:rsid w:val="001176B6"/>
    <w:rsid w:val="001178A7"/>
    <w:rsid w:val="00120388"/>
    <w:rsid w:val="0012087C"/>
    <w:rsid w:val="00120FA3"/>
    <w:rsid w:val="0012136B"/>
    <w:rsid w:val="0012273F"/>
    <w:rsid w:val="0012294A"/>
    <w:rsid w:val="00123E16"/>
    <w:rsid w:val="001242FF"/>
    <w:rsid w:val="00124677"/>
    <w:rsid w:val="00125232"/>
    <w:rsid w:val="0012554C"/>
    <w:rsid w:val="00125BF3"/>
    <w:rsid w:val="0012630B"/>
    <w:rsid w:val="0012697A"/>
    <w:rsid w:val="001269FD"/>
    <w:rsid w:val="00126AD2"/>
    <w:rsid w:val="00126E84"/>
    <w:rsid w:val="00127248"/>
    <w:rsid w:val="0012724F"/>
    <w:rsid w:val="001277D2"/>
    <w:rsid w:val="00131336"/>
    <w:rsid w:val="00131859"/>
    <w:rsid w:val="00132A77"/>
    <w:rsid w:val="001345D6"/>
    <w:rsid w:val="0013470F"/>
    <w:rsid w:val="00135DE3"/>
    <w:rsid w:val="001368D2"/>
    <w:rsid w:val="001373F2"/>
    <w:rsid w:val="00137F02"/>
    <w:rsid w:val="00140238"/>
    <w:rsid w:val="00140F3A"/>
    <w:rsid w:val="00141A41"/>
    <w:rsid w:val="00142ED4"/>
    <w:rsid w:val="00144CB0"/>
    <w:rsid w:val="0014560A"/>
    <w:rsid w:val="0014630E"/>
    <w:rsid w:val="00151089"/>
    <w:rsid w:val="001517AF"/>
    <w:rsid w:val="00151A9D"/>
    <w:rsid w:val="00151D10"/>
    <w:rsid w:val="0015212A"/>
    <w:rsid w:val="001524E5"/>
    <w:rsid w:val="001529CD"/>
    <w:rsid w:val="00152EA5"/>
    <w:rsid w:val="0015444E"/>
    <w:rsid w:val="001548A8"/>
    <w:rsid w:val="00155909"/>
    <w:rsid w:val="00156762"/>
    <w:rsid w:val="001579E4"/>
    <w:rsid w:val="00157CE4"/>
    <w:rsid w:val="0016082C"/>
    <w:rsid w:val="00160CFE"/>
    <w:rsid w:val="00161FF4"/>
    <w:rsid w:val="00162A74"/>
    <w:rsid w:val="00162BBA"/>
    <w:rsid w:val="00162FB6"/>
    <w:rsid w:val="00163CF3"/>
    <w:rsid w:val="00164096"/>
    <w:rsid w:val="00165B70"/>
    <w:rsid w:val="00165C79"/>
    <w:rsid w:val="00166410"/>
    <w:rsid w:val="001674EA"/>
    <w:rsid w:val="00167A1D"/>
    <w:rsid w:val="001704EC"/>
    <w:rsid w:val="001719D2"/>
    <w:rsid w:val="00171B07"/>
    <w:rsid w:val="00173084"/>
    <w:rsid w:val="00173769"/>
    <w:rsid w:val="0017474F"/>
    <w:rsid w:val="001748C6"/>
    <w:rsid w:val="00175E6F"/>
    <w:rsid w:val="0017600E"/>
    <w:rsid w:val="001775C3"/>
    <w:rsid w:val="00180573"/>
    <w:rsid w:val="0018147D"/>
    <w:rsid w:val="001823C3"/>
    <w:rsid w:val="00183C8E"/>
    <w:rsid w:val="00183DE2"/>
    <w:rsid w:val="00184539"/>
    <w:rsid w:val="00184622"/>
    <w:rsid w:val="001867B9"/>
    <w:rsid w:val="001877B9"/>
    <w:rsid w:val="0019004C"/>
    <w:rsid w:val="00190E0D"/>
    <w:rsid w:val="001912C3"/>
    <w:rsid w:val="00191457"/>
    <w:rsid w:val="00191681"/>
    <w:rsid w:val="001928EE"/>
    <w:rsid w:val="00193A32"/>
    <w:rsid w:val="00193AEB"/>
    <w:rsid w:val="00193D99"/>
    <w:rsid w:val="001949D8"/>
    <w:rsid w:val="001951ED"/>
    <w:rsid w:val="00195BD2"/>
    <w:rsid w:val="00195C5F"/>
    <w:rsid w:val="00197027"/>
    <w:rsid w:val="001971C5"/>
    <w:rsid w:val="001A039E"/>
    <w:rsid w:val="001A0AAC"/>
    <w:rsid w:val="001A0EE2"/>
    <w:rsid w:val="001A1379"/>
    <w:rsid w:val="001A1B77"/>
    <w:rsid w:val="001A1E00"/>
    <w:rsid w:val="001A1F97"/>
    <w:rsid w:val="001A1FE4"/>
    <w:rsid w:val="001A2793"/>
    <w:rsid w:val="001A2D8D"/>
    <w:rsid w:val="001A3290"/>
    <w:rsid w:val="001A4056"/>
    <w:rsid w:val="001A5252"/>
    <w:rsid w:val="001A5702"/>
    <w:rsid w:val="001A5B85"/>
    <w:rsid w:val="001A69AD"/>
    <w:rsid w:val="001A6B5E"/>
    <w:rsid w:val="001A7A2E"/>
    <w:rsid w:val="001A7B0E"/>
    <w:rsid w:val="001A7BF9"/>
    <w:rsid w:val="001B0380"/>
    <w:rsid w:val="001B0C43"/>
    <w:rsid w:val="001B14EE"/>
    <w:rsid w:val="001B2BB4"/>
    <w:rsid w:val="001B2D03"/>
    <w:rsid w:val="001B332F"/>
    <w:rsid w:val="001B3E5B"/>
    <w:rsid w:val="001B449C"/>
    <w:rsid w:val="001B6B14"/>
    <w:rsid w:val="001B6CE4"/>
    <w:rsid w:val="001C16A1"/>
    <w:rsid w:val="001C2733"/>
    <w:rsid w:val="001C33D4"/>
    <w:rsid w:val="001C34EB"/>
    <w:rsid w:val="001C3669"/>
    <w:rsid w:val="001C3CA7"/>
    <w:rsid w:val="001C4711"/>
    <w:rsid w:val="001C4B7D"/>
    <w:rsid w:val="001C4D64"/>
    <w:rsid w:val="001C5A38"/>
    <w:rsid w:val="001C6181"/>
    <w:rsid w:val="001C63FA"/>
    <w:rsid w:val="001C63FB"/>
    <w:rsid w:val="001C63FD"/>
    <w:rsid w:val="001C684B"/>
    <w:rsid w:val="001C7161"/>
    <w:rsid w:val="001D0A21"/>
    <w:rsid w:val="001D1798"/>
    <w:rsid w:val="001D1FF9"/>
    <w:rsid w:val="001D23B9"/>
    <w:rsid w:val="001D421F"/>
    <w:rsid w:val="001D4508"/>
    <w:rsid w:val="001D4512"/>
    <w:rsid w:val="001D454B"/>
    <w:rsid w:val="001D45D2"/>
    <w:rsid w:val="001D5881"/>
    <w:rsid w:val="001E03CD"/>
    <w:rsid w:val="001E0CF3"/>
    <w:rsid w:val="001E1CEB"/>
    <w:rsid w:val="001E25A6"/>
    <w:rsid w:val="001E3322"/>
    <w:rsid w:val="001E341D"/>
    <w:rsid w:val="001E43F1"/>
    <w:rsid w:val="001E45B0"/>
    <w:rsid w:val="001E495B"/>
    <w:rsid w:val="001E4C1A"/>
    <w:rsid w:val="001E62B4"/>
    <w:rsid w:val="001F013E"/>
    <w:rsid w:val="001F0905"/>
    <w:rsid w:val="001F0A2C"/>
    <w:rsid w:val="001F141C"/>
    <w:rsid w:val="001F2608"/>
    <w:rsid w:val="001F3AF2"/>
    <w:rsid w:val="001F3CCA"/>
    <w:rsid w:val="001F4248"/>
    <w:rsid w:val="001F4758"/>
    <w:rsid w:val="001F4BA5"/>
    <w:rsid w:val="001F5E63"/>
    <w:rsid w:val="001F5F18"/>
    <w:rsid w:val="001F7A62"/>
    <w:rsid w:val="00200066"/>
    <w:rsid w:val="00200114"/>
    <w:rsid w:val="0020160C"/>
    <w:rsid w:val="00201E66"/>
    <w:rsid w:val="00202442"/>
    <w:rsid w:val="00204568"/>
    <w:rsid w:val="002047E6"/>
    <w:rsid w:val="002049F9"/>
    <w:rsid w:val="00204BAA"/>
    <w:rsid w:val="00205091"/>
    <w:rsid w:val="00205E4C"/>
    <w:rsid w:val="00205F37"/>
    <w:rsid w:val="00205F50"/>
    <w:rsid w:val="0020600D"/>
    <w:rsid w:val="0020604E"/>
    <w:rsid w:val="002062E6"/>
    <w:rsid w:val="00206FA5"/>
    <w:rsid w:val="0020790D"/>
    <w:rsid w:val="00210DCF"/>
    <w:rsid w:val="002111D6"/>
    <w:rsid w:val="00211283"/>
    <w:rsid w:val="0021188C"/>
    <w:rsid w:val="00212EFB"/>
    <w:rsid w:val="00213728"/>
    <w:rsid w:val="00213C28"/>
    <w:rsid w:val="00215723"/>
    <w:rsid w:val="00215999"/>
    <w:rsid w:val="00215D47"/>
    <w:rsid w:val="00216419"/>
    <w:rsid w:val="00216574"/>
    <w:rsid w:val="00216674"/>
    <w:rsid w:val="00216A73"/>
    <w:rsid w:val="00216BD0"/>
    <w:rsid w:val="002176D8"/>
    <w:rsid w:val="002179D3"/>
    <w:rsid w:val="00217A00"/>
    <w:rsid w:val="0022079F"/>
    <w:rsid w:val="00221C97"/>
    <w:rsid w:val="00221E41"/>
    <w:rsid w:val="00221FEF"/>
    <w:rsid w:val="00222398"/>
    <w:rsid w:val="00222C0D"/>
    <w:rsid w:val="002234AA"/>
    <w:rsid w:val="00223A87"/>
    <w:rsid w:val="0022400C"/>
    <w:rsid w:val="002251AE"/>
    <w:rsid w:val="00227C45"/>
    <w:rsid w:val="00227E9A"/>
    <w:rsid w:val="00227F23"/>
    <w:rsid w:val="002304A2"/>
    <w:rsid w:val="002305A5"/>
    <w:rsid w:val="002307E3"/>
    <w:rsid w:val="00231013"/>
    <w:rsid w:val="00232CE2"/>
    <w:rsid w:val="00232D08"/>
    <w:rsid w:val="002333F9"/>
    <w:rsid w:val="00233BFB"/>
    <w:rsid w:val="00234065"/>
    <w:rsid w:val="00234EFD"/>
    <w:rsid w:val="00235877"/>
    <w:rsid w:val="00236732"/>
    <w:rsid w:val="00236FED"/>
    <w:rsid w:val="00237E46"/>
    <w:rsid w:val="002412E4"/>
    <w:rsid w:val="0024132A"/>
    <w:rsid w:val="002415E8"/>
    <w:rsid w:val="00241F34"/>
    <w:rsid w:val="00242341"/>
    <w:rsid w:val="00242853"/>
    <w:rsid w:val="00242859"/>
    <w:rsid w:val="00243887"/>
    <w:rsid w:val="00244A71"/>
    <w:rsid w:val="0024534B"/>
    <w:rsid w:val="00245B43"/>
    <w:rsid w:val="00245EDC"/>
    <w:rsid w:val="00245F2D"/>
    <w:rsid w:val="00246284"/>
    <w:rsid w:val="002465CB"/>
    <w:rsid w:val="00246E41"/>
    <w:rsid w:val="002473B9"/>
    <w:rsid w:val="0025182F"/>
    <w:rsid w:val="00252848"/>
    <w:rsid w:val="00252AF5"/>
    <w:rsid w:val="00252B8F"/>
    <w:rsid w:val="0025373E"/>
    <w:rsid w:val="002542BD"/>
    <w:rsid w:val="00255B16"/>
    <w:rsid w:val="00256032"/>
    <w:rsid w:val="002561F0"/>
    <w:rsid w:val="002561F1"/>
    <w:rsid w:val="00256F9D"/>
    <w:rsid w:val="00257652"/>
    <w:rsid w:val="002578D3"/>
    <w:rsid w:val="002607A6"/>
    <w:rsid w:val="00260AC0"/>
    <w:rsid w:val="00261C94"/>
    <w:rsid w:val="002623A3"/>
    <w:rsid w:val="00262A0A"/>
    <w:rsid w:val="00262D8D"/>
    <w:rsid w:val="00263B47"/>
    <w:rsid w:val="00263D33"/>
    <w:rsid w:val="00263ED1"/>
    <w:rsid w:val="00264276"/>
    <w:rsid w:val="00264655"/>
    <w:rsid w:val="00264CF5"/>
    <w:rsid w:val="00265457"/>
    <w:rsid w:val="00265BD0"/>
    <w:rsid w:val="00267285"/>
    <w:rsid w:val="002677BF"/>
    <w:rsid w:val="002703AF"/>
    <w:rsid w:val="00270427"/>
    <w:rsid w:val="002710E8"/>
    <w:rsid w:val="002717C0"/>
    <w:rsid w:val="00271B6B"/>
    <w:rsid w:val="00271D4A"/>
    <w:rsid w:val="00272D01"/>
    <w:rsid w:val="00274F06"/>
    <w:rsid w:val="002751FF"/>
    <w:rsid w:val="002753CE"/>
    <w:rsid w:val="00275483"/>
    <w:rsid w:val="00275960"/>
    <w:rsid w:val="00275B4F"/>
    <w:rsid w:val="00276BD9"/>
    <w:rsid w:val="0027720E"/>
    <w:rsid w:val="002802F4"/>
    <w:rsid w:val="00280B25"/>
    <w:rsid w:val="00281B9B"/>
    <w:rsid w:val="0028291A"/>
    <w:rsid w:val="002834BF"/>
    <w:rsid w:val="0028475F"/>
    <w:rsid w:val="002856D7"/>
    <w:rsid w:val="002863F4"/>
    <w:rsid w:val="00286683"/>
    <w:rsid w:val="00286899"/>
    <w:rsid w:val="00287ACF"/>
    <w:rsid w:val="00290547"/>
    <w:rsid w:val="002907AA"/>
    <w:rsid w:val="00291ADC"/>
    <w:rsid w:val="00292BE1"/>
    <w:rsid w:val="0029355C"/>
    <w:rsid w:val="00293747"/>
    <w:rsid w:val="002939C4"/>
    <w:rsid w:val="00293CBE"/>
    <w:rsid w:val="002942A8"/>
    <w:rsid w:val="00295B54"/>
    <w:rsid w:val="00296614"/>
    <w:rsid w:val="00296AEB"/>
    <w:rsid w:val="002A00CE"/>
    <w:rsid w:val="002A0174"/>
    <w:rsid w:val="002A086A"/>
    <w:rsid w:val="002A1106"/>
    <w:rsid w:val="002A19EE"/>
    <w:rsid w:val="002A2806"/>
    <w:rsid w:val="002A2D0B"/>
    <w:rsid w:val="002A312F"/>
    <w:rsid w:val="002A47CC"/>
    <w:rsid w:val="002A5471"/>
    <w:rsid w:val="002A5CDF"/>
    <w:rsid w:val="002A6274"/>
    <w:rsid w:val="002A65A4"/>
    <w:rsid w:val="002A6AE2"/>
    <w:rsid w:val="002A6B64"/>
    <w:rsid w:val="002A7174"/>
    <w:rsid w:val="002A7576"/>
    <w:rsid w:val="002A7773"/>
    <w:rsid w:val="002B0D27"/>
    <w:rsid w:val="002B1573"/>
    <w:rsid w:val="002B227D"/>
    <w:rsid w:val="002B269A"/>
    <w:rsid w:val="002B3CAE"/>
    <w:rsid w:val="002B5D48"/>
    <w:rsid w:val="002B62F8"/>
    <w:rsid w:val="002B6982"/>
    <w:rsid w:val="002C03D5"/>
    <w:rsid w:val="002C06CE"/>
    <w:rsid w:val="002C0D6D"/>
    <w:rsid w:val="002C1236"/>
    <w:rsid w:val="002C31EE"/>
    <w:rsid w:val="002C5506"/>
    <w:rsid w:val="002C5672"/>
    <w:rsid w:val="002C59CE"/>
    <w:rsid w:val="002C5F23"/>
    <w:rsid w:val="002C6AB1"/>
    <w:rsid w:val="002C6DAA"/>
    <w:rsid w:val="002D06E5"/>
    <w:rsid w:val="002D15A8"/>
    <w:rsid w:val="002D2D3E"/>
    <w:rsid w:val="002D3B32"/>
    <w:rsid w:val="002D3C96"/>
    <w:rsid w:val="002D4062"/>
    <w:rsid w:val="002D421E"/>
    <w:rsid w:val="002D4C7A"/>
    <w:rsid w:val="002D55CD"/>
    <w:rsid w:val="002D5BE3"/>
    <w:rsid w:val="002D6418"/>
    <w:rsid w:val="002D7B8A"/>
    <w:rsid w:val="002E0690"/>
    <w:rsid w:val="002E1C0C"/>
    <w:rsid w:val="002E22AC"/>
    <w:rsid w:val="002E312D"/>
    <w:rsid w:val="002E4FFA"/>
    <w:rsid w:val="002E5A04"/>
    <w:rsid w:val="002E5B2C"/>
    <w:rsid w:val="002E5D21"/>
    <w:rsid w:val="002E635F"/>
    <w:rsid w:val="002E7933"/>
    <w:rsid w:val="002E7E40"/>
    <w:rsid w:val="002F1202"/>
    <w:rsid w:val="002F13F7"/>
    <w:rsid w:val="002F1DD5"/>
    <w:rsid w:val="002F259D"/>
    <w:rsid w:val="002F3045"/>
    <w:rsid w:val="002F3603"/>
    <w:rsid w:val="002F415F"/>
    <w:rsid w:val="002F45C9"/>
    <w:rsid w:val="002F48BF"/>
    <w:rsid w:val="002F4E4C"/>
    <w:rsid w:val="002F54D7"/>
    <w:rsid w:val="002F57BE"/>
    <w:rsid w:val="002F5BFD"/>
    <w:rsid w:val="002F7290"/>
    <w:rsid w:val="002F798C"/>
    <w:rsid w:val="003009B3"/>
    <w:rsid w:val="00300FF4"/>
    <w:rsid w:val="00302084"/>
    <w:rsid w:val="0030217A"/>
    <w:rsid w:val="00302D69"/>
    <w:rsid w:val="00302E79"/>
    <w:rsid w:val="00304A3C"/>
    <w:rsid w:val="00304B6B"/>
    <w:rsid w:val="003051EA"/>
    <w:rsid w:val="003053A5"/>
    <w:rsid w:val="00305564"/>
    <w:rsid w:val="003055EC"/>
    <w:rsid w:val="003056E6"/>
    <w:rsid w:val="003072F2"/>
    <w:rsid w:val="00307E08"/>
    <w:rsid w:val="00312088"/>
    <w:rsid w:val="00313079"/>
    <w:rsid w:val="00313555"/>
    <w:rsid w:val="00313589"/>
    <w:rsid w:val="00313767"/>
    <w:rsid w:val="00314649"/>
    <w:rsid w:val="00314B6A"/>
    <w:rsid w:val="00314F5E"/>
    <w:rsid w:val="00315F9B"/>
    <w:rsid w:val="0031609A"/>
    <w:rsid w:val="0031639B"/>
    <w:rsid w:val="003176BA"/>
    <w:rsid w:val="003178CD"/>
    <w:rsid w:val="00317969"/>
    <w:rsid w:val="0031799E"/>
    <w:rsid w:val="00317D3B"/>
    <w:rsid w:val="00320845"/>
    <w:rsid w:val="00322C98"/>
    <w:rsid w:val="00326636"/>
    <w:rsid w:val="003277A5"/>
    <w:rsid w:val="003278D4"/>
    <w:rsid w:val="00327F08"/>
    <w:rsid w:val="003306A9"/>
    <w:rsid w:val="00330FB7"/>
    <w:rsid w:val="0033204F"/>
    <w:rsid w:val="003328A5"/>
    <w:rsid w:val="00332A5E"/>
    <w:rsid w:val="00333759"/>
    <w:rsid w:val="00335547"/>
    <w:rsid w:val="00335BED"/>
    <w:rsid w:val="00335E16"/>
    <w:rsid w:val="00335FA4"/>
    <w:rsid w:val="00341645"/>
    <w:rsid w:val="00341F10"/>
    <w:rsid w:val="00343A3D"/>
    <w:rsid w:val="0034411C"/>
    <w:rsid w:val="00344140"/>
    <w:rsid w:val="003455E8"/>
    <w:rsid w:val="0034587B"/>
    <w:rsid w:val="0034627F"/>
    <w:rsid w:val="003468B9"/>
    <w:rsid w:val="00346D3E"/>
    <w:rsid w:val="003470DA"/>
    <w:rsid w:val="00350D67"/>
    <w:rsid w:val="00351688"/>
    <w:rsid w:val="00351F63"/>
    <w:rsid w:val="00351FFA"/>
    <w:rsid w:val="00352383"/>
    <w:rsid w:val="00352633"/>
    <w:rsid w:val="0035342A"/>
    <w:rsid w:val="0035372E"/>
    <w:rsid w:val="00353ABE"/>
    <w:rsid w:val="00353C0D"/>
    <w:rsid w:val="00353E5C"/>
    <w:rsid w:val="00354417"/>
    <w:rsid w:val="0035491F"/>
    <w:rsid w:val="003572F4"/>
    <w:rsid w:val="00360E6E"/>
    <w:rsid w:val="00361686"/>
    <w:rsid w:val="003625CB"/>
    <w:rsid w:val="00362F68"/>
    <w:rsid w:val="00363122"/>
    <w:rsid w:val="003631FC"/>
    <w:rsid w:val="0036380C"/>
    <w:rsid w:val="0036503B"/>
    <w:rsid w:val="00367192"/>
    <w:rsid w:val="00367385"/>
    <w:rsid w:val="00367ECC"/>
    <w:rsid w:val="00370237"/>
    <w:rsid w:val="0037170F"/>
    <w:rsid w:val="0037208E"/>
    <w:rsid w:val="00372096"/>
    <w:rsid w:val="0037229B"/>
    <w:rsid w:val="00372E25"/>
    <w:rsid w:val="00373494"/>
    <w:rsid w:val="00374281"/>
    <w:rsid w:val="00374A74"/>
    <w:rsid w:val="0037511F"/>
    <w:rsid w:val="00375289"/>
    <w:rsid w:val="003770BA"/>
    <w:rsid w:val="003774B4"/>
    <w:rsid w:val="003800F9"/>
    <w:rsid w:val="003803B3"/>
    <w:rsid w:val="0038069B"/>
    <w:rsid w:val="00381281"/>
    <w:rsid w:val="00383269"/>
    <w:rsid w:val="0038352E"/>
    <w:rsid w:val="00383A55"/>
    <w:rsid w:val="003858E9"/>
    <w:rsid w:val="00385F08"/>
    <w:rsid w:val="0038661D"/>
    <w:rsid w:val="0038685C"/>
    <w:rsid w:val="00386FE9"/>
    <w:rsid w:val="00387340"/>
    <w:rsid w:val="00387A15"/>
    <w:rsid w:val="003900CD"/>
    <w:rsid w:val="0039056C"/>
    <w:rsid w:val="00391431"/>
    <w:rsid w:val="00391896"/>
    <w:rsid w:val="00392B81"/>
    <w:rsid w:val="003933EA"/>
    <w:rsid w:val="00393598"/>
    <w:rsid w:val="00393CB8"/>
    <w:rsid w:val="00394482"/>
    <w:rsid w:val="00394C29"/>
    <w:rsid w:val="00394C63"/>
    <w:rsid w:val="00394CF6"/>
    <w:rsid w:val="00394DF7"/>
    <w:rsid w:val="00394FD9"/>
    <w:rsid w:val="00395E03"/>
    <w:rsid w:val="00395EE7"/>
    <w:rsid w:val="00396538"/>
    <w:rsid w:val="003965E9"/>
    <w:rsid w:val="003975E9"/>
    <w:rsid w:val="003A035C"/>
    <w:rsid w:val="003A06AA"/>
    <w:rsid w:val="003A0A72"/>
    <w:rsid w:val="003A1110"/>
    <w:rsid w:val="003A1851"/>
    <w:rsid w:val="003A1B48"/>
    <w:rsid w:val="003A215B"/>
    <w:rsid w:val="003A21FB"/>
    <w:rsid w:val="003A3941"/>
    <w:rsid w:val="003A4129"/>
    <w:rsid w:val="003A42E3"/>
    <w:rsid w:val="003A4FC4"/>
    <w:rsid w:val="003A5576"/>
    <w:rsid w:val="003A56CC"/>
    <w:rsid w:val="003B1BB1"/>
    <w:rsid w:val="003B46F6"/>
    <w:rsid w:val="003B4705"/>
    <w:rsid w:val="003B51AC"/>
    <w:rsid w:val="003B665A"/>
    <w:rsid w:val="003B698A"/>
    <w:rsid w:val="003B6B73"/>
    <w:rsid w:val="003C16BF"/>
    <w:rsid w:val="003C22E6"/>
    <w:rsid w:val="003C244E"/>
    <w:rsid w:val="003C2536"/>
    <w:rsid w:val="003C282B"/>
    <w:rsid w:val="003C2DEA"/>
    <w:rsid w:val="003C4E2A"/>
    <w:rsid w:val="003C50D1"/>
    <w:rsid w:val="003C5B30"/>
    <w:rsid w:val="003C74F7"/>
    <w:rsid w:val="003C7E93"/>
    <w:rsid w:val="003C7ED8"/>
    <w:rsid w:val="003C7FDB"/>
    <w:rsid w:val="003D02B2"/>
    <w:rsid w:val="003D0344"/>
    <w:rsid w:val="003D05C8"/>
    <w:rsid w:val="003D0BF6"/>
    <w:rsid w:val="003D15B4"/>
    <w:rsid w:val="003D2780"/>
    <w:rsid w:val="003D3462"/>
    <w:rsid w:val="003D36CE"/>
    <w:rsid w:val="003D40B9"/>
    <w:rsid w:val="003D42FF"/>
    <w:rsid w:val="003D5648"/>
    <w:rsid w:val="003D5BDA"/>
    <w:rsid w:val="003D5DC0"/>
    <w:rsid w:val="003D62EC"/>
    <w:rsid w:val="003D6ABC"/>
    <w:rsid w:val="003D72D6"/>
    <w:rsid w:val="003D7625"/>
    <w:rsid w:val="003D7792"/>
    <w:rsid w:val="003E0CA2"/>
    <w:rsid w:val="003E1051"/>
    <w:rsid w:val="003E2C0D"/>
    <w:rsid w:val="003E6247"/>
    <w:rsid w:val="003E6718"/>
    <w:rsid w:val="003E67D4"/>
    <w:rsid w:val="003E7334"/>
    <w:rsid w:val="003E765D"/>
    <w:rsid w:val="003E7F9C"/>
    <w:rsid w:val="003F061D"/>
    <w:rsid w:val="003F122A"/>
    <w:rsid w:val="003F139C"/>
    <w:rsid w:val="003F19EB"/>
    <w:rsid w:val="003F2EC4"/>
    <w:rsid w:val="003F3708"/>
    <w:rsid w:val="003F39E8"/>
    <w:rsid w:val="003F3EFA"/>
    <w:rsid w:val="003F46EC"/>
    <w:rsid w:val="003F536E"/>
    <w:rsid w:val="003F5B3E"/>
    <w:rsid w:val="003F6160"/>
    <w:rsid w:val="003F661C"/>
    <w:rsid w:val="003F70C4"/>
    <w:rsid w:val="003F7911"/>
    <w:rsid w:val="0040047D"/>
    <w:rsid w:val="0040143A"/>
    <w:rsid w:val="00401772"/>
    <w:rsid w:val="0040226A"/>
    <w:rsid w:val="00402834"/>
    <w:rsid w:val="004039A8"/>
    <w:rsid w:val="00403ED5"/>
    <w:rsid w:val="004042CE"/>
    <w:rsid w:val="004043AB"/>
    <w:rsid w:val="00404B20"/>
    <w:rsid w:val="00404EB6"/>
    <w:rsid w:val="004051B9"/>
    <w:rsid w:val="00405460"/>
    <w:rsid w:val="004054A8"/>
    <w:rsid w:val="004105C3"/>
    <w:rsid w:val="0041088A"/>
    <w:rsid w:val="00411097"/>
    <w:rsid w:val="004117B5"/>
    <w:rsid w:val="00411E77"/>
    <w:rsid w:val="004120DB"/>
    <w:rsid w:val="004126FC"/>
    <w:rsid w:val="004131C1"/>
    <w:rsid w:val="00413709"/>
    <w:rsid w:val="00413765"/>
    <w:rsid w:val="004144F4"/>
    <w:rsid w:val="00414A5D"/>
    <w:rsid w:val="004150C5"/>
    <w:rsid w:val="0041540F"/>
    <w:rsid w:val="00415793"/>
    <w:rsid w:val="00415D89"/>
    <w:rsid w:val="00416353"/>
    <w:rsid w:val="00416650"/>
    <w:rsid w:val="00417037"/>
    <w:rsid w:val="00417BC9"/>
    <w:rsid w:val="004203CF"/>
    <w:rsid w:val="00421E50"/>
    <w:rsid w:val="00421F20"/>
    <w:rsid w:val="00422CC1"/>
    <w:rsid w:val="004234F7"/>
    <w:rsid w:val="00423988"/>
    <w:rsid w:val="00425527"/>
    <w:rsid w:val="00425F3F"/>
    <w:rsid w:val="004261E3"/>
    <w:rsid w:val="00426427"/>
    <w:rsid w:val="00426BFD"/>
    <w:rsid w:val="00427CD3"/>
    <w:rsid w:val="00430CE5"/>
    <w:rsid w:val="00431417"/>
    <w:rsid w:val="00431707"/>
    <w:rsid w:val="00431716"/>
    <w:rsid w:val="00432047"/>
    <w:rsid w:val="004322D1"/>
    <w:rsid w:val="004329F2"/>
    <w:rsid w:val="00432A0F"/>
    <w:rsid w:val="00435262"/>
    <w:rsid w:val="00436C23"/>
    <w:rsid w:val="00437AD9"/>
    <w:rsid w:val="00437B3B"/>
    <w:rsid w:val="00440137"/>
    <w:rsid w:val="00440C07"/>
    <w:rsid w:val="00441148"/>
    <w:rsid w:val="00441527"/>
    <w:rsid w:val="00444C99"/>
    <w:rsid w:val="00444E92"/>
    <w:rsid w:val="0044700E"/>
    <w:rsid w:val="0045002E"/>
    <w:rsid w:val="0045071D"/>
    <w:rsid w:val="00451552"/>
    <w:rsid w:val="0045172F"/>
    <w:rsid w:val="00452767"/>
    <w:rsid w:val="00452AFA"/>
    <w:rsid w:val="00453C3B"/>
    <w:rsid w:val="00454445"/>
    <w:rsid w:val="004551A0"/>
    <w:rsid w:val="00455509"/>
    <w:rsid w:val="00455643"/>
    <w:rsid w:val="00455E71"/>
    <w:rsid w:val="00457F32"/>
    <w:rsid w:val="004600E4"/>
    <w:rsid w:val="004602D8"/>
    <w:rsid w:val="00461386"/>
    <w:rsid w:val="00461FB3"/>
    <w:rsid w:val="00462015"/>
    <w:rsid w:val="00462209"/>
    <w:rsid w:val="0046267C"/>
    <w:rsid w:val="00464C42"/>
    <w:rsid w:val="00464CEF"/>
    <w:rsid w:val="00465D6E"/>
    <w:rsid w:val="00466480"/>
    <w:rsid w:val="00467143"/>
    <w:rsid w:val="00467265"/>
    <w:rsid w:val="00467640"/>
    <w:rsid w:val="00467CCD"/>
    <w:rsid w:val="004702CB"/>
    <w:rsid w:val="00470703"/>
    <w:rsid w:val="0047076B"/>
    <w:rsid w:val="00472134"/>
    <w:rsid w:val="00472D21"/>
    <w:rsid w:val="004731C4"/>
    <w:rsid w:val="00473CC6"/>
    <w:rsid w:val="00475515"/>
    <w:rsid w:val="00475BE6"/>
    <w:rsid w:val="004762CD"/>
    <w:rsid w:val="00476931"/>
    <w:rsid w:val="00476C3E"/>
    <w:rsid w:val="004777C4"/>
    <w:rsid w:val="004808B3"/>
    <w:rsid w:val="00480A4D"/>
    <w:rsid w:val="004821C7"/>
    <w:rsid w:val="004821D0"/>
    <w:rsid w:val="004823E7"/>
    <w:rsid w:val="00482DBB"/>
    <w:rsid w:val="00483B21"/>
    <w:rsid w:val="004847EE"/>
    <w:rsid w:val="00484BED"/>
    <w:rsid w:val="00485419"/>
    <w:rsid w:val="0048551C"/>
    <w:rsid w:val="0048582B"/>
    <w:rsid w:val="00485D31"/>
    <w:rsid w:val="00486238"/>
    <w:rsid w:val="004868F6"/>
    <w:rsid w:val="00487308"/>
    <w:rsid w:val="00490A5C"/>
    <w:rsid w:val="00490C92"/>
    <w:rsid w:val="00491EC8"/>
    <w:rsid w:val="004921F7"/>
    <w:rsid w:val="004933CF"/>
    <w:rsid w:val="0049377C"/>
    <w:rsid w:val="004949BD"/>
    <w:rsid w:val="004951B5"/>
    <w:rsid w:val="00495463"/>
    <w:rsid w:val="00495CE8"/>
    <w:rsid w:val="00495FA5"/>
    <w:rsid w:val="00496000"/>
    <w:rsid w:val="00496125"/>
    <w:rsid w:val="00496E80"/>
    <w:rsid w:val="00497401"/>
    <w:rsid w:val="004976BB"/>
    <w:rsid w:val="00497894"/>
    <w:rsid w:val="0049791D"/>
    <w:rsid w:val="004A0EA0"/>
    <w:rsid w:val="004A1614"/>
    <w:rsid w:val="004A161E"/>
    <w:rsid w:val="004A2142"/>
    <w:rsid w:val="004A223A"/>
    <w:rsid w:val="004A297B"/>
    <w:rsid w:val="004A2A23"/>
    <w:rsid w:val="004A3089"/>
    <w:rsid w:val="004A3411"/>
    <w:rsid w:val="004A35C8"/>
    <w:rsid w:val="004A45CA"/>
    <w:rsid w:val="004A514E"/>
    <w:rsid w:val="004A5DD7"/>
    <w:rsid w:val="004A6DE8"/>
    <w:rsid w:val="004A79E7"/>
    <w:rsid w:val="004B0363"/>
    <w:rsid w:val="004B09AE"/>
    <w:rsid w:val="004B0BDE"/>
    <w:rsid w:val="004B275C"/>
    <w:rsid w:val="004B3685"/>
    <w:rsid w:val="004B3E86"/>
    <w:rsid w:val="004B44DB"/>
    <w:rsid w:val="004B57A5"/>
    <w:rsid w:val="004B580E"/>
    <w:rsid w:val="004B67B9"/>
    <w:rsid w:val="004B6A0B"/>
    <w:rsid w:val="004B6C17"/>
    <w:rsid w:val="004B6FC9"/>
    <w:rsid w:val="004B7082"/>
    <w:rsid w:val="004B7BD9"/>
    <w:rsid w:val="004C0B59"/>
    <w:rsid w:val="004C0D6F"/>
    <w:rsid w:val="004C127F"/>
    <w:rsid w:val="004C31B0"/>
    <w:rsid w:val="004C332E"/>
    <w:rsid w:val="004C4CF7"/>
    <w:rsid w:val="004C534D"/>
    <w:rsid w:val="004C708B"/>
    <w:rsid w:val="004D0175"/>
    <w:rsid w:val="004D05C4"/>
    <w:rsid w:val="004D1433"/>
    <w:rsid w:val="004D1732"/>
    <w:rsid w:val="004D1BAD"/>
    <w:rsid w:val="004D27AD"/>
    <w:rsid w:val="004D296E"/>
    <w:rsid w:val="004D3C49"/>
    <w:rsid w:val="004D4223"/>
    <w:rsid w:val="004D5349"/>
    <w:rsid w:val="004D5617"/>
    <w:rsid w:val="004D575B"/>
    <w:rsid w:val="004D5AD9"/>
    <w:rsid w:val="004D6180"/>
    <w:rsid w:val="004D6EAE"/>
    <w:rsid w:val="004D7436"/>
    <w:rsid w:val="004E0288"/>
    <w:rsid w:val="004E0964"/>
    <w:rsid w:val="004E1A2F"/>
    <w:rsid w:val="004E240D"/>
    <w:rsid w:val="004E2535"/>
    <w:rsid w:val="004E517D"/>
    <w:rsid w:val="004E5966"/>
    <w:rsid w:val="004E5987"/>
    <w:rsid w:val="004E605E"/>
    <w:rsid w:val="004E63E1"/>
    <w:rsid w:val="004E6785"/>
    <w:rsid w:val="004E76BC"/>
    <w:rsid w:val="004F00CC"/>
    <w:rsid w:val="004F051D"/>
    <w:rsid w:val="004F0723"/>
    <w:rsid w:val="004F09C6"/>
    <w:rsid w:val="004F0E8E"/>
    <w:rsid w:val="004F34A6"/>
    <w:rsid w:val="004F3A5D"/>
    <w:rsid w:val="004F475E"/>
    <w:rsid w:val="004F4EF7"/>
    <w:rsid w:val="004F52B5"/>
    <w:rsid w:val="004F627F"/>
    <w:rsid w:val="004F6B5B"/>
    <w:rsid w:val="005002DD"/>
    <w:rsid w:val="00500C03"/>
    <w:rsid w:val="00500C49"/>
    <w:rsid w:val="00501049"/>
    <w:rsid w:val="00501086"/>
    <w:rsid w:val="00501B18"/>
    <w:rsid w:val="00502BD1"/>
    <w:rsid w:val="00502BE4"/>
    <w:rsid w:val="005046D7"/>
    <w:rsid w:val="005052D9"/>
    <w:rsid w:val="00505611"/>
    <w:rsid w:val="00506645"/>
    <w:rsid w:val="00507574"/>
    <w:rsid w:val="00510D6F"/>
    <w:rsid w:val="00510F0F"/>
    <w:rsid w:val="005113CA"/>
    <w:rsid w:val="005116BF"/>
    <w:rsid w:val="0051233F"/>
    <w:rsid w:val="005126D7"/>
    <w:rsid w:val="0051302F"/>
    <w:rsid w:val="00513061"/>
    <w:rsid w:val="005146D2"/>
    <w:rsid w:val="00514897"/>
    <w:rsid w:val="005157C5"/>
    <w:rsid w:val="00520144"/>
    <w:rsid w:val="00520325"/>
    <w:rsid w:val="00520539"/>
    <w:rsid w:val="005211D9"/>
    <w:rsid w:val="005217A4"/>
    <w:rsid w:val="00522E21"/>
    <w:rsid w:val="005254F6"/>
    <w:rsid w:val="005257D0"/>
    <w:rsid w:val="005258A8"/>
    <w:rsid w:val="00526BC4"/>
    <w:rsid w:val="005301D9"/>
    <w:rsid w:val="00530950"/>
    <w:rsid w:val="005317A2"/>
    <w:rsid w:val="00533345"/>
    <w:rsid w:val="00533379"/>
    <w:rsid w:val="00533B41"/>
    <w:rsid w:val="00533F12"/>
    <w:rsid w:val="0053692B"/>
    <w:rsid w:val="0053751A"/>
    <w:rsid w:val="0053767E"/>
    <w:rsid w:val="0053781B"/>
    <w:rsid w:val="00537CD2"/>
    <w:rsid w:val="00537DC0"/>
    <w:rsid w:val="00540031"/>
    <w:rsid w:val="0054083D"/>
    <w:rsid w:val="00540D44"/>
    <w:rsid w:val="00541A22"/>
    <w:rsid w:val="0054251B"/>
    <w:rsid w:val="00542DE9"/>
    <w:rsid w:val="00542F0F"/>
    <w:rsid w:val="00543854"/>
    <w:rsid w:val="00543B64"/>
    <w:rsid w:val="00543E08"/>
    <w:rsid w:val="00545E2B"/>
    <w:rsid w:val="0054602C"/>
    <w:rsid w:val="00546A36"/>
    <w:rsid w:val="00547007"/>
    <w:rsid w:val="00547B02"/>
    <w:rsid w:val="0055220D"/>
    <w:rsid w:val="00552A62"/>
    <w:rsid w:val="00552EA7"/>
    <w:rsid w:val="005545CD"/>
    <w:rsid w:val="0055474F"/>
    <w:rsid w:val="00554880"/>
    <w:rsid w:val="00554D4F"/>
    <w:rsid w:val="00556F62"/>
    <w:rsid w:val="00557818"/>
    <w:rsid w:val="00557828"/>
    <w:rsid w:val="00557DFE"/>
    <w:rsid w:val="0056165D"/>
    <w:rsid w:val="00561875"/>
    <w:rsid w:val="005673D3"/>
    <w:rsid w:val="00567B5B"/>
    <w:rsid w:val="0057079B"/>
    <w:rsid w:val="00571561"/>
    <w:rsid w:val="00571A28"/>
    <w:rsid w:val="00571DCB"/>
    <w:rsid w:val="00572A99"/>
    <w:rsid w:val="00572EBD"/>
    <w:rsid w:val="00573ECE"/>
    <w:rsid w:val="005747E1"/>
    <w:rsid w:val="00575630"/>
    <w:rsid w:val="00576643"/>
    <w:rsid w:val="00576B15"/>
    <w:rsid w:val="00576EC1"/>
    <w:rsid w:val="005772FF"/>
    <w:rsid w:val="005819FF"/>
    <w:rsid w:val="00584780"/>
    <w:rsid w:val="005855B8"/>
    <w:rsid w:val="00585B48"/>
    <w:rsid w:val="005861AE"/>
    <w:rsid w:val="005864A7"/>
    <w:rsid w:val="005864ED"/>
    <w:rsid w:val="0058664F"/>
    <w:rsid w:val="00586ADB"/>
    <w:rsid w:val="00586DD3"/>
    <w:rsid w:val="00587033"/>
    <w:rsid w:val="0058755F"/>
    <w:rsid w:val="005877CA"/>
    <w:rsid w:val="005904D0"/>
    <w:rsid w:val="005905A6"/>
    <w:rsid w:val="005906F4"/>
    <w:rsid w:val="005907BD"/>
    <w:rsid w:val="00590FF8"/>
    <w:rsid w:val="00592213"/>
    <w:rsid w:val="0059296E"/>
    <w:rsid w:val="00592CCA"/>
    <w:rsid w:val="00593142"/>
    <w:rsid w:val="00593219"/>
    <w:rsid w:val="00593D13"/>
    <w:rsid w:val="00594E5A"/>
    <w:rsid w:val="005A048B"/>
    <w:rsid w:val="005A053C"/>
    <w:rsid w:val="005A172A"/>
    <w:rsid w:val="005A1EE9"/>
    <w:rsid w:val="005A24C2"/>
    <w:rsid w:val="005A31E8"/>
    <w:rsid w:val="005A331F"/>
    <w:rsid w:val="005A3896"/>
    <w:rsid w:val="005A3D7B"/>
    <w:rsid w:val="005A42EF"/>
    <w:rsid w:val="005A4618"/>
    <w:rsid w:val="005A6333"/>
    <w:rsid w:val="005A6A6F"/>
    <w:rsid w:val="005A6B0B"/>
    <w:rsid w:val="005A74AA"/>
    <w:rsid w:val="005A7968"/>
    <w:rsid w:val="005B036A"/>
    <w:rsid w:val="005B06FD"/>
    <w:rsid w:val="005B1A57"/>
    <w:rsid w:val="005B36A2"/>
    <w:rsid w:val="005B3EFF"/>
    <w:rsid w:val="005B42C9"/>
    <w:rsid w:val="005B430A"/>
    <w:rsid w:val="005B46BA"/>
    <w:rsid w:val="005B4852"/>
    <w:rsid w:val="005B4C55"/>
    <w:rsid w:val="005B4E44"/>
    <w:rsid w:val="005B5E4A"/>
    <w:rsid w:val="005B64B9"/>
    <w:rsid w:val="005B67C5"/>
    <w:rsid w:val="005B7F25"/>
    <w:rsid w:val="005B7FF8"/>
    <w:rsid w:val="005C1571"/>
    <w:rsid w:val="005C1584"/>
    <w:rsid w:val="005C2046"/>
    <w:rsid w:val="005C3760"/>
    <w:rsid w:val="005C3914"/>
    <w:rsid w:val="005C48E1"/>
    <w:rsid w:val="005C51FB"/>
    <w:rsid w:val="005C70FB"/>
    <w:rsid w:val="005C7D84"/>
    <w:rsid w:val="005D090C"/>
    <w:rsid w:val="005D0C6A"/>
    <w:rsid w:val="005D1035"/>
    <w:rsid w:val="005D1FD7"/>
    <w:rsid w:val="005D2D34"/>
    <w:rsid w:val="005D2E63"/>
    <w:rsid w:val="005D3066"/>
    <w:rsid w:val="005D317B"/>
    <w:rsid w:val="005D4483"/>
    <w:rsid w:val="005D4FEF"/>
    <w:rsid w:val="005D54A3"/>
    <w:rsid w:val="005D5C7F"/>
    <w:rsid w:val="005D5CF7"/>
    <w:rsid w:val="005D62A3"/>
    <w:rsid w:val="005D7325"/>
    <w:rsid w:val="005D7913"/>
    <w:rsid w:val="005E1FDB"/>
    <w:rsid w:val="005E3614"/>
    <w:rsid w:val="005E3B49"/>
    <w:rsid w:val="005E3E70"/>
    <w:rsid w:val="005E3FF6"/>
    <w:rsid w:val="005E4A75"/>
    <w:rsid w:val="005E4DEC"/>
    <w:rsid w:val="005E772C"/>
    <w:rsid w:val="005F070D"/>
    <w:rsid w:val="005F08BF"/>
    <w:rsid w:val="005F1655"/>
    <w:rsid w:val="005F1A9A"/>
    <w:rsid w:val="005F26A3"/>
    <w:rsid w:val="005F5669"/>
    <w:rsid w:val="005F5ADB"/>
    <w:rsid w:val="005F5DCC"/>
    <w:rsid w:val="005F616B"/>
    <w:rsid w:val="00600B59"/>
    <w:rsid w:val="00601523"/>
    <w:rsid w:val="00602727"/>
    <w:rsid w:val="006027E5"/>
    <w:rsid w:val="00602954"/>
    <w:rsid w:val="00602F90"/>
    <w:rsid w:val="006046EF"/>
    <w:rsid w:val="00604716"/>
    <w:rsid w:val="006048A5"/>
    <w:rsid w:val="006053FE"/>
    <w:rsid w:val="00607871"/>
    <w:rsid w:val="006105F1"/>
    <w:rsid w:val="00610A1C"/>
    <w:rsid w:val="00611904"/>
    <w:rsid w:val="00612B87"/>
    <w:rsid w:val="00615A07"/>
    <w:rsid w:val="00617F46"/>
    <w:rsid w:val="0062040E"/>
    <w:rsid w:val="00620826"/>
    <w:rsid w:val="00620CE3"/>
    <w:rsid w:val="006212D4"/>
    <w:rsid w:val="0062358F"/>
    <w:rsid w:val="00623F91"/>
    <w:rsid w:val="00624530"/>
    <w:rsid w:val="006250A5"/>
    <w:rsid w:val="0062691F"/>
    <w:rsid w:val="00630452"/>
    <w:rsid w:val="0063060F"/>
    <w:rsid w:val="006308B6"/>
    <w:rsid w:val="00630F10"/>
    <w:rsid w:val="0063141A"/>
    <w:rsid w:val="00632522"/>
    <w:rsid w:val="00632568"/>
    <w:rsid w:val="006335F9"/>
    <w:rsid w:val="00633E51"/>
    <w:rsid w:val="0063484C"/>
    <w:rsid w:val="006353DE"/>
    <w:rsid w:val="006362EE"/>
    <w:rsid w:val="00637127"/>
    <w:rsid w:val="0064025F"/>
    <w:rsid w:val="00640CE3"/>
    <w:rsid w:val="00640D7C"/>
    <w:rsid w:val="00641E80"/>
    <w:rsid w:val="0064234B"/>
    <w:rsid w:val="00643952"/>
    <w:rsid w:val="006448E0"/>
    <w:rsid w:val="00645723"/>
    <w:rsid w:val="006468CA"/>
    <w:rsid w:val="00646994"/>
    <w:rsid w:val="00647072"/>
    <w:rsid w:val="0064713A"/>
    <w:rsid w:val="006474D1"/>
    <w:rsid w:val="00647EB1"/>
    <w:rsid w:val="00650853"/>
    <w:rsid w:val="00650D7B"/>
    <w:rsid w:val="00650D9C"/>
    <w:rsid w:val="006519FA"/>
    <w:rsid w:val="00651C64"/>
    <w:rsid w:val="00652B0C"/>
    <w:rsid w:val="00652EB8"/>
    <w:rsid w:val="00652ED6"/>
    <w:rsid w:val="006538FF"/>
    <w:rsid w:val="00653BD1"/>
    <w:rsid w:val="00653C73"/>
    <w:rsid w:val="00654584"/>
    <w:rsid w:val="006548AB"/>
    <w:rsid w:val="00654CEA"/>
    <w:rsid w:val="00654E69"/>
    <w:rsid w:val="00655D50"/>
    <w:rsid w:val="006561ED"/>
    <w:rsid w:val="00656519"/>
    <w:rsid w:val="00656567"/>
    <w:rsid w:val="00660AF3"/>
    <w:rsid w:val="00661D34"/>
    <w:rsid w:val="00663A1D"/>
    <w:rsid w:val="00663A59"/>
    <w:rsid w:val="00663BCF"/>
    <w:rsid w:val="006644D6"/>
    <w:rsid w:val="00665CE1"/>
    <w:rsid w:val="00665F36"/>
    <w:rsid w:val="00666931"/>
    <w:rsid w:val="00667B86"/>
    <w:rsid w:val="0067080D"/>
    <w:rsid w:val="00670896"/>
    <w:rsid w:val="006711A8"/>
    <w:rsid w:val="00672B0E"/>
    <w:rsid w:val="00673F5D"/>
    <w:rsid w:val="00674959"/>
    <w:rsid w:val="00674F43"/>
    <w:rsid w:val="00676353"/>
    <w:rsid w:val="00676940"/>
    <w:rsid w:val="00676B3B"/>
    <w:rsid w:val="00677171"/>
    <w:rsid w:val="006773DD"/>
    <w:rsid w:val="006811B4"/>
    <w:rsid w:val="006814AE"/>
    <w:rsid w:val="00682781"/>
    <w:rsid w:val="00682EE9"/>
    <w:rsid w:val="00684305"/>
    <w:rsid w:val="00684680"/>
    <w:rsid w:val="00685348"/>
    <w:rsid w:val="00685DE4"/>
    <w:rsid w:val="006864E5"/>
    <w:rsid w:val="00686638"/>
    <w:rsid w:val="00686C14"/>
    <w:rsid w:val="006870B5"/>
    <w:rsid w:val="00687227"/>
    <w:rsid w:val="006879C0"/>
    <w:rsid w:val="006879D4"/>
    <w:rsid w:val="00691934"/>
    <w:rsid w:val="00691E40"/>
    <w:rsid w:val="00692880"/>
    <w:rsid w:val="00692980"/>
    <w:rsid w:val="00692F5D"/>
    <w:rsid w:val="00693469"/>
    <w:rsid w:val="00693A26"/>
    <w:rsid w:val="00693BE2"/>
    <w:rsid w:val="00694039"/>
    <w:rsid w:val="0069406F"/>
    <w:rsid w:val="006946A1"/>
    <w:rsid w:val="00694917"/>
    <w:rsid w:val="00695C62"/>
    <w:rsid w:val="00695CFE"/>
    <w:rsid w:val="00696A4D"/>
    <w:rsid w:val="00697A02"/>
    <w:rsid w:val="00697A47"/>
    <w:rsid w:val="006A04DD"/>
    <w:rsid w:val="006A097B"/>
    <w:rsid w:val="006A1910"/>
    <w:rsid w:val="006A1BB7"/>
    <w:rsid w:val="006A1D82"/>
    <w:rsid w:val="006A22B2"/>
    <w:rsid w:val="006A2736"/>
    <w:rsid w:val="006A3C23"/>
    <w:rsid w:val="006A4F11"/>
    <w:rsid w:val="006A588F"/>
    <w:rsid w:val="006A7D7E"/>
    <w:rsid w:val="006B245C"/>
    <w:rsid w:val="006B27DB"/>
    <w:rsid w:val="006B297D"/>
    <w:rsid w:val="006B2FAE"/>
    <w:rsid w:val="006B5DDF"/>
    <w:rsid w:val="006B6A39"/>
    <w:rsid w:val="006B6A47"/>
    <w:rsid w:val="006B6E53"/>
    <w:rsid w:val="006B7C71"/>
    <w:rsid w:val="006B7D5D"/>
    <w:rsid w:val="006C07DE"/>
    <w:rsid w:val="006C1FA9"/>
    <w:rsid w:val="006C26EF"/>
    <w:rsid w:val="006C2E0D"/>
    <w:rsid w:val="006C3113"/>
    <w:rsid w:val="006C4269"/>
    <w:rsid w:val="006C50C6"/>
    <w:rsid w:val="006C51CD"/>
    <w:rsid w:val="006C64E7"/>
    <w:rsid w:val="006C69CE"/>
    <w:rsid w:val="006C6B83"/>
    <w:rsid w:val="006C7729"/>
    <w:rsid w:val="006C7CDD"/>
    <w:rsid w:val="006D16DC"/>
    <w:rsid w:val="006D1706"/>
    <w:rsid w:val="006D19A7"/>
    <w:rsid w:val="006D273B"/>
    <w:rsid w:val="006D2EE0"/>
    <w:rsid w:val="006D379C"/>
    <w:rsid w:val="006D38EA"/>
    <w:rsid w:val="006D45AF"/>
    <w:rsid w:val="006D53A5"/>
    <w:rsid w:val="006D5622"/>
    <w:rsid w:val="006D594E"/>
    <w:rsid w:val="006D5F49"/>
    <w:rsid w:val="006D5FDB"/>
    <w:rsid w:val="006D70EC"/>
    <w:rsid w:val="006E00BA"/>
    <w:rsid w:val="006E0421"/>
    <w:rsid w:val="006E0FD5"/>
    <w:rsid w:val="006E2509"/>
    <w:rsid w:val="006E2526"/>
    <w:rsid w:val="006E4162"/>
    <w:rsid w:val="006E5186"/>
    <w:rsid w:val="006E5427"/>
    <w:rsid w:val="006E5A46"/>
    <w:rsid w:val="006E7714"/>
    <w:rsid w:val="006E7B4B"/>
    <w:rsid w:val="006E7DAF"/>
    <w:rsid w:val="006E7DF1"/>
    <w:rsid w:val="006F0100"/>
    <w:rsid w:val="006F10CE"/>
    <w:rsid w:val="006F1CCA"/>
    <w:rsid w:val="006F1D92"/>
    <w:rsid w:val="006F2AB6"/>
    <w:rsid w:val="006F2B8C"/>
    <w:rsid w:val="006F399C"/>
    <w:rsid w:val="006F4FE6"/>
    <w:rsid w:val="006F5361"/>
    <w:rsid w:val="006F5916"/>
    <w:rsid w:val="006F5E26"/>
    <w:rsid w:val="006F706F"/>
    <w:rsid w:val="006F7085"/>
    <w:rsid w:val="006F7338"/>
    <w:rsid w:val="0070018A"/>
    <w:rsid w:val="007008BB"/>
    <w:rsid w:val="00700FBB"/>
    <w:rsid w:val="007012C7"/>
    <w:rsid w:val="0070218E"/>
    <w:rsid w:val="00702CC3"/>
    <w:rsid w:val="00703C4C"/>
    <w:rsid w:val="00703D5C"/>
    <w:rsid w:val="007043DD"/>
    <w:rsid w:val="00705027"/>
    <w:rsid w:val="0070533E"/>
    <w:rsid w:val="00706F4D"/>
    <w:rsid w:val="00707C46"/>
    <w:rsid w:val="0071039D"/>
    <w:rsid w:val="007103A2"/>
    <w:rsid w:val="007104BA"/>
    <w:rsid w:val="00711EDC"/>
    <w:rsid w:val="007126FC"/>
    <w:rsid w:val="007135C2"/>
    <w:rsid w:val="00713758"/>
    <w:rsid w:val="00714620"/>
    <w:rsid w:val="00714A02"/>
    <w:rsid w:val="00714A57"/>
    <w:rsid w:val="00714D38"/>
    <w:rsid w:val="00715B6B"/>
    <w:rsid w:val="00716598"/>
    <w:rsid w:val="00716F4A"/>
    <w:rsid w:val="007204D1"/>
    <w:rsid w:val="00721DA2"/>
    <w:rsid w:val="00721EEE"/>
    <w:rsid w:val="007223A8"/>
    <w:rsid w:val="0072267F"/>
    <w:rsid w:val="00723193"/>
    <w:rsid w:val="00723EE5"/>
    <w:rsid w:val="00725246"/>
    <w:rsid w:val="0072541A"/>
    <w:rsid w:val="00726017"/>
    <w:rsid w:val="0072768C"/>
    <w:rsid w:val="00730196"/>
    <w:rsid w:val="00730799"/>
    <w:rsid w:val="00730F8C"/>
    <w:rsid w:val="00731053"/>
    <w:rsid w:val="00731A53"/>
    <w:rsid w:val="00731DAA"/>
    <w:rsid w:val="0073255D"/>
    <w:rsid w:val="00732EA0"/>
    <w:rsid w:val="007338B8"/>
    <w:rsid w:val="00733C49"/>
    <w:rsid w:val="00733EF6"/>
    <w:rsid w:val="00734F89"/>
    <w:rsid w:val="0073537E"/>
    <w:rsid w:val="0073624A"/>
    <w:rsid w:val="007368AE"/>
    <w:rsid w:val="00736E1B"/>
    <w:rsid w:val="0073754E"/>
    <w:rsid w:val="0074082F"/>
    <w:rsid w:val="007416A8"/>
    <w:rsid w:val="00741AA6"/>
    <w:rsid w:val="00742359"/>
    <w:rsid w:val="0074269E"/>
    <w:rsid w:val="00743EFC"/>
    <w:rsid w:val="00743F03"/>
    <w:rsid w:val="00745BFB"/>
    <w:rsid w:val="0074620A"/>
    <w:rsid w:val="00747404"/>
    <w:rsid w:val="0074762E"/>
    <w:rsid w:val="00747E3B"/>
    <w:rsid w:val="007501D1"/>
    <w:rsid w:val="007504AD"/>
    <w:rsid w:val="00752316"/>
    <w:rsid w:val="0075269E"/>
    <w:rsid w:val="007544AC"/>
    <w:rsid w:val="00754E97"/>
    <w:rsid w:val="00755E7C"/>
    <w:rsid w:val="00756A6B"/>
    <w:rsid w:val="00757F73"/>
    <w:rsid w:val="00761158"/>
    <w:rsid w:val="00762F69"/>
    <w:rsid w:val="007642A4"/>
    <w:rsid w:val="00764B9C"/>
    <w:rsid w:val="00765110"/>
    <w:rsid w:val="007661FA"/>
    <w:rsid w:val="0076629C"/>
    <w:rsid w:val="00766E1A"/>
    <w:rsid w:val="007674C5"/>
    <w:rsid w:val="00767549"/>
    <w:rsid w:val="00767846"/>
    <w:rsid w:val="0077035F"/>
    <w:rsid w:val="00771EA5"/>
    <w:rsid w:val="00772F4A"/>
    <w:rsid w:val="00773D79"/>
    <w:rsid w:val="00775724"/>
    <w:rsid w:val="00775FF7"/>
    <w:rsid w:val="007763A8"/>
    <w:rsid w:val="00776D88"/>
    <w:rsid w:val="00777C41"/>
    <w:rsid w:val="00777FC0"/>
    <w:rsid w:val="00780C90"/>
    <w:rsid w:val="00780ED6"/>
    <w:rsid w:val="00781D70"/>
    <w:rsid w:val="00782128"/>
    <w:rsid w:val="007824F7"/>
    <w:rsid w:val="007826A2"/>
    <w:rsid w:val="00782A83"/>
    <w:rsid w:val="007842B0"/>
    <w:rsid w:val="00785138"/>
    <w:rsid w:val="00785182"/>
    <w:rsid w:val="007857CB"/>
    <w:rsid w:val="00785D30"/>
    <w:rsid w:val="00785E31"/>
    <w:rsid w:val="00785F01"/>
    <w:rsid w:val="00787229"/>
    <w:rsid w:val="00787D50"/>
    <w:rsid w:val="00790D46"/>
    <w:rsid w:val="00791578"/>
    <w:rsid w:val="00791B7A"/>
    <w:rsid w:val="00792C4C"/>
    <w:rsid w:val="00793539"/>
    <w:rsid w:val="0079376A"/>
    <w:rsid w:val="007940FC"/>
    <w:rsid w:val="007942A7"/>
    <w:rsid w:val="00794583"/>
    <w:rsid w:val="00794807"/>
    <w:rsid w:val="00794DA2"/>
    <w:rsid w:val="007952F2"/>
    <w:rsid w:val="007970F9"/>
    <w:rsid w:val="00797610"/>
    <w:rsid w:val="007A0440"/>
    <w:rsid w:val="007A162A"/>
    <w:rsid w:val="007A1F83"/>
    <w:rsid w:val="007A200F"/>
    <w:rsid w:val="007A2198"/>
    <w:rsid w:val="007A275E"/>
    <w:rsid w:val="007A3671"/>
    <w:rsid w:val="007A377A"/>
    <w:rsid w:val="007A3937"/>
    <w:rsid w:val="007A3EEC"/>
    <w:rsid w:val="007A4061"/>
    <w:rsid w:val="007A4959"/>
    <w:rsid w:val="007A4FE2"/>
    <w:rsid w:val="007A503D"/>
    <w:rsid w:val="007A52EC"/>
    <w:rsid w:val="007A543E"/>
    <w:rsid w:val="007A63C6"/>
    <w:rsid w:val="007A6973"/>
    <w:rsid w:val="007A6A81"/>
    <w:rsid w:val="007A6DDF"/>
    <w:rsid w:val="007A7341"/>
    <w:rsid w:val="007A76F1"/>
    <w:rsid w:val="007A7A04"/>
    <w:rsid w:val="007B0840"/>
    <w:rsid w:val="007B0E6E"/>
    <w:rsid w:val="007B182E"/>
    <w:rsid w:val="007B3F49"/>
    <w:rsid w:val="007B596C"/>
    <w:rsid w:val="007B6147"/>
    <w:rsid w:val="007B638A"/>
    <w:rsid w:val="007B715E"/>
    <w:rsid w:val="007C0546"/>
    <w:rsid w:val="007C2731"/>
    <w:rsid w:val="007C294B"/>
    <w:rsid w:val="007C3139"/>
    <w:rsid w:val="007C33AB"/>
    <w:rsid w:val="007C3594"/>
    <w:rsid w:val="007C3A76"/>
    <w:rsid w:val="007C4114"/>
    <w:rsid w:val="007C43F5"/>
    <w:rsid w:val="007C4B65"/>
    <w:rsid w:val="007C4BEC"/>
    <w:rsid w:val="007C51F0"/>
    <w:rsid w:val="007C666A"/>
    <w:rsid w:val="007C6A86"/>
    <w:rsid w:val="007C6B23"/>
    <w:rsid w:val="007C75C9"/>
    <w:rsid w:val="007C7A6F"/>
    <w:rsid w:val="007C7D37"/>
    <w:rsid w:val="007D0B7F"/>
    <w:rsid w:val="007D2440"/>
    <w:rsid w:val="007D2530"/>
    <w:rsid w:val="007D25AC"/>
    <w:rsid w:val="007D270A"/>
    <w:rsid w:val="007D28DD"/>
    <w:rsid w:val="007D2B11"/>
    <w:rsid w:val="007D3085"/>
    <w:rsid w:val="007D3E5D"/>
    <w:rsid w:val="007D49B1"/>
    <w:rsid w:val="007D570C"/>
    <w:rsid w:val="007D5A62"/>
    <w:rsid w:val="007D65B3"/>
    <w:rsid w:val="007D7F4F"/>
    <w:rsid w:val="007E03D2"/>
    <w:rsid w:val="007E09D2"/>
    <w:rsid w:val="007E0E14"/>
    <w:rsid w:val="007E0E62"/>
    <w:rsid w:val="007E0EB2"/>
    <w:rsid w:val="007E1D03"/>
    <w:rsid w:val="007E4377"/>
    <w:rsid w:val="007E53C3"/>
    <w:rsid w:val="007E58B1"/>
    <w:rsid w:val="007E5BD0"/>
    <w:rsid w:val="007E60BC"/>
    <w:rsid w:val="007E6106"/>
    <w:rsid w:val="007E7A00"/>
    <w:rsid w:val="007E7A53"/>
    <w:rsid w:val="007F00B6"/>
    <w:rsid w:val="007F09E3"/>
    <w:rsid w:val="007F1719"/>
    <w:rsid w:val="007F2A19"/>
    <w:rsid w:val="007F2CBB"/>
    <w:rsid w:val="007F3DEE"/>
    <w:rsid w:val="007F415E"/>
    <w:rsid w:val="007F55B1"/>
    <w:rsid w:val="007F56BF"/>
    <w:rsid w:val="007F58A8"/>
    <w:rsid w:val="007F6374"/>
    <w:rsid w:val="007F6AF4"/>
    <w:rsid w:val="007F7135"/>
    <w:rsid w:val="007F74DA"/>
    <w:rsid w:val="007F7630"/>
    <w:rsid w:val="0080246D"/>
    <w:rsid w:val="0080285B"/>
    <w:rsid w:val="00803973"/>
    <w:rsid w:val="00803EE4"/>
    <w:rsid w:val="008041CD"/>
    <w:rsid w:val="00804522"/>
    <w:rsid w:val="00805934"/>
    <w:rsid w:val="00806C79"/>
    <w:rsid w:val="008071A8"/>
    <w:rsid w:val="00810073"/>
    <w:rsid w:val="00811AC5"/>
    <w:rsid w:val="00812F7E"/>
    <w:rsid w:val="00812FA9"/>
    <w:rsid w:val="00813E76"/>
    <w:rsid w:val="00816665"/>
    <w:rsid w:val="00816706"/>
    <w:rsid w:val="00816C3B"/>
    <w:rsid w:val="008174B1"/>
    <w:rsid w:val="008178B0"/>
    <w:rsid w:val="008179A1"/>
    <w:rsid w:val="0082007A"/>
    <w:rsid w:val="00820B8D"/>
    <w:rsid w:val="00822057"/>
    <w:rsid w:val="00822B78"/>
    <w:rsid w:val="0082380D"/>
    <w:rsid w:val="0082438B"/>
    <w:rsid w:val="0082554F"/>
    <w:rsid w:val="00825FB0"/>
    <w:rsid w:val="0082770B"/>
    <w:rsid w:val="008301F5"/>
    <w:rsid w:val="00830640"/>
    <w:rsid w:val="00832B23"/>
    <w:rsid w:val="00832D1F"/>
    <w:rsid w:val="00833476"/>
    <w:rsid w:val="00833F32"/>
    <w:rsid w:val="0083557C"/>
    <w:rsid w:val="008359D9"/>
    <w:rsid w:val="00835FFB"/>
    <w:rsid w:val="008361EC"/>
    <w:rsid w:val="0083785F"/>
    <w:rsid w:val="00840F5D"/>
    <w:rsid w:val="008418DF"/>
    <w:rsid w:val="00841B89"/>
    <w:rsid w:val="0084205D"/>
    <w:rsid w:val="00842245"/>
    <w:rsid w:val="0084272A"/>
    <w:rsid w:val="00842DA7"/>
    <w:rsid w:val="00844CEF"/>
    <w:rsid w:val="008450A8"/>
    <w:rsid w:val="008451D3"/>
    <w:rsid w:val="00845693"/>
    <w:rsid w:val="00845CE0"/>
    <w:rsid w:val="00845D86"/>
    <w:rsid w:val="00846943"/>
    <w:rsid w:val="00846DC3"/>
    <w:rsid w:val="008517B8"/>
    <w:rsid w:val="00851871"/>
    <w:rsid w:val="00851A87"/>
    <w:rsid w:val="00851CC0"/>
    <w:rsid w:val="00851D6E"/>
    <w:rsid w:val="008526A0"/>
    <w:rsid w:val="00852F1A"/>
    <w:rsid w:val="00853360"/>
    <w:rsid w:val="00853E54"/>
    <w:rsid w:val="00854229"/>
    <w:rsid w:val="0085543B"/>
    <w:rsid w:val="00855AA8"/>
    <w:rsid w:val="00855ACB"/>
    <w:rsid w:val="0085645C"/>
    <w:rsid w:val="00856533"/>
    <w:rsid w:val="00856DB7"/>
    <w:rsid w:val="0085753A"/>
    <w:rsid w:val="008601FB"/>
    <w:rsid w:val="00860335"/>
    <w:rsid w:val="00860C39"/>
    <w:rsid w:val="00861189"/>
    <w:rsid w:val="00861462"/>
    <w:rsid w:val="008625A1"/>
    <w:rsid w:val="00862694"/>
    <w:rsid w:val="00863EF5"/>
    <w:rsid w:val="00863FD0"/>
    <w:rsid w:val="00865064"/>
    <w:rsid w:val="00866179"/>
    <w:rsid w:val="0086759A"/>
    <w:rsid w:val="008678D0"/>
    <w:rsid w:val="00870A45"/>
    <w:rsid w:val="00872018"/>
    <w:rsid w:val="00872583"/>
    <w:rsid w:val="00872B10"/>
    <w:rsid w:val="008737E7"/>
    <w:rsid w:val="00874612"/>
    <w:rsid w:val="00875AF5"/>
    <w:rsid w:val="00875CA7"/>
    <w:rsid w:val="00875FDD"/>
    <w:rsid w:val="008765B9"/>
    <w:rsid w:val="008765FD"/>
    <w:rsid w:val="00876852"/>
    <w:rsid w:val="00876A3D"/>
    <w:rsid w:val="00876AEE"/>
    <w:rsid w:val="0087735F"/>
    <w:rsid w:val="0087785B"/>
    <w:rsid w:val="00877DB0"/>
    <w:rsid w:val="00880857"/>
    <w:rsid w:val="0088126E"/>
    <w:rsid w:val="008814DD"/>
    <w:rsid w:val="008815E6"/>
    <w:rsid w:val="00882926"/>
    <w:rsid w:val="00882B34"/>
    <w:rsid w:val="00883004"/>
    <w:rsid w:val="008839DC"/>
    <w:rsid w:val="00883F25"/>
    <w:rsid w:val="008855A3"/>
    <w:rsid w:val="008857FD"/>
    <w:rsid w:val="00886133"/>
    <w:rsid w:val="008873FE"/>
    <w:rsid w:val="008920D3"/>
    <w:rsid w:val="008923A4"/>
    <w:rsid w:val="008927A9"/>
    <w:rsid w:val="008933C6"/>
    <w:rsid w:val="00893880"/>
    <w:rsid w:val="00893FAB"/>
    <w:rsid w:val="00894051"/>
    <w:rsid w:val="0089439A"/>
    <w:rsid w:val="0089577C"/>
    <w:rsid w:val="00897488"/>
    <w:rsid w:val="0089790D"/>
    <w:rsid w:val="008A08E1"/>
    <w:rsid w:val="008A118E"/>
    <w:rsid w:val="008A11AC"/>
    <w:rsid w:val="008A23DE"/>
    <w:rsid w:val="008A26DC"/>
    <w:rsid w:val="008A3439"/>
    <w:rsid w:val="008A3FCA"/>
    <w:rsid w:val="008A40D9"/>
    <w:rsid w:val="008A416C"/>
    <w:rsid w:val="008A4919"/>
    <w:rsid w:val="008A4B83"/>
    <w:rsid w:val="008A4F96"/>
    <w:rsid w:val="008A51E8"/>
    <w:rsid w:val="008A52D3"/>
    <w:rsid w:val="008A63DC"/>
    <w:rsid w:val="008B20A4"/>
    <w:rsid w:val="008B300A"/>
    <w:rsid w:val="008B4649"/>
    <w:rsid w:val="008B4768"/>
    <w:rsid w:val="008B4A1B"/>
    <w:rsid w:val="008B4D89"/>
    <w:rsid w:val="008B5157"/>
    <w:rsid w:val="008B66D4"/>
    <w:rsid w:val="008B7569"/>
    <w:rsid w:val="008B7E13"/>
    <w:rsid w:val="008C0A4C"/>
    <w:rsid w:val="008C1825"/>
    <w:rsid w:val="008C1BC5"/>
    <w:rsid w:val="008C2D15"/>
    <w:rsid w:val="008C2E1A"/>
    <w:rsid w:val="008C376C"/>
    <w:rsid w:val="008C4138"/>
    <w:rsid w:val="008C4C43"/>
    <w:rsid w:val="008C5291"/>
    <w:rsid w:val="008C5630"/>
    <w:rsid w:val="008C6181"/>
    <w:rsid w:val="008C67EA"/>
    <w:rsid w:val="008C6A7A"/>
    <w:rsid w:val="008C6E8F"/>
    <w:rsid w:val="008C6F5A"/>
    <w:rsid w:val="008C70AD"/>
    <w:rsid w:val="008C7A49"/>
    <w:rsid w:val="008C7C08"/>
    <w:rsid w:val="008C7C61"/>
    <w:rsid w:val="008D044A"/>
    <w:rsid w:val="008D0525"/>
    <w:rsid w:val="008D2087"/>
    <w:rsid w:val="008D2256"/>
    <w:rsid w:val="008D2762"/>
    <w:rsid w:val="008D3ECC"/>
    <w:rsid w:val="008D43A5"/>
    <w:rsid w:val="008D453A"/>
    <w:rsid w:val="008D590F"/>
    <w:rsid w:val="008D61C2"/>
    <w:rsid w:val="008D650D"/>
    <w:rsid w:val="008D66AD"/>
    <w:rsid w:val="008E2364"/>
    <w:rsid w:val="008E2768"/>
    <w:rsid w:val="008E2BC0"/>
    <w:rsid w:val="008E3C30"/>
    <w:rsid w:val="008E468D"/>
    <w:rsid w:val="008E4884"/>
    <w:rsid w:val="008E6A9F"/>
    <w:rsid w:val="008E72AC"/>
    <w:rsid w:val="008E7B40"/>
    <w:rsid w:val="008E7BCF"/>
    <w:rsid w:val="008E7FE5"/>
    <w:rsid w:val="008F00F9"/>
    <w:rsid w:val="008F0230"/>
    <w:rsid w:val="008F0533"/>
    <w:rsid w:val="008F07DE"/>
    <w:rsid w:val="008F1030"/>
    <w:rsid w:val="008F1A1D"/>
    <w:rsid w:val="008F2013"/>
    <w:rsid w:val="008F2628"/>
    <w:rsid w:val="008F3B30"/>
    <w:rsid w:val="008F3C27"/>
    <w:rsid w:val="008F57EE"/>
    <w:rsid w:val="008F6569"/>
    <w:rsid w:val="008F681C"/>
    <w:rsid w:val="008F6AFA"/>
    <w:rsid w:val="008F785C"/>
    <w:rsid w:val="00901615"/>
    <w:rsid w:val="00901902"/>
    <w:rsid w:val="00902C52"/>
    <w:rsid w:val="00902D74"/>
    <w:rsid w:val="00903205"/>
    <w:rsid w:val="00903DE2"/>
    <w:rsid w:val="00903E8A"/>
    <w:rsid w:val="0090516E"/>
    <w:rsid w:val="00905AC7"/>
    <w:rsid w:val="00905B3C"/>
    <w:rsid w:val="00906020"/>
    <w:rsid w:val="00907978"/>
    <w:rsid w:val="0091063F"/>
    <w:rsid w:val="00910927"/>
    <w:rsid w:val="00911014"/>
    <w:rsid w:val="009119EA"/>
    <w:rsid w:val="00911AD7"/>
    <w:rsid w:val="00912CF2"/>
    <w:rsid w:val="009133D9"/>
    <w:rsid w:val="00913981"/>
    <w:rsid w:val="009147BE"/>
    <w:rsid w:val="009147F1"/>
    <w:rsid w:val="00914FFF"/>
    <w:rsid w:val="0091589A"/>
    <w:rsid w:val="00917946"/>
    <w:rsid w:val="00923BDB"/>
    <w:rsid w:val="009246EF"/>
    <w:rsid w:val="00925917"/>
    <w:rsid w:val="00926309"/>
    <w:rsid w:val="00926A1E"/>
    <w:rsid w:val="00927B7D"/>
    <w:rsid w:val="00927C2C"/>
    <w:rsid w:val="00931323"/>
    <w:rsid w:val="009349EC"/>
    <w:rsid w:val="009350E6"/>
    <w:rsid w:val="00935758"/>
    <w:rsid w:val="009375EE"/>
    <w:rsid w:val="0093777B"/>
    <w:rsid w:val="00940385"/>
    <w:rsid w:val="009403F7"/>
    <w:rsid w:val="00940576"/>
    <w:rsid w:val="009412FE"/>
    <w:rsid w:val="00941A1C"/>
    <w:rsid w:val="00942921"/>
    <w:rsid w:val="009432DD"/>
    <w:rsid w:val="009434E9"/>
    <w:rsid w:val="00943962"/>
    <w:rsid w:val="00945135"/>
    <w:rsid w:val="0094582F"/>
    <w:rsid w:val="00945CC0"/>
    <w:rsid w:val="00946296"/>
    <w:rsid w:val="00946F52"/>
    <w:rsid w:val="00947846"/>
    <w:rsid w:val="00947F82"/>
    <w:rsid w:val="0095069B"/>
    <w:rsid w:val="00951E72"/>
    <w:rsid w:val="009525A2"/>
    <w:rsid w:val="00952DBF"/>
    <w:rsid w:val="009534FC"/>
    <w:rsid w:val="00954275"/>
    <w:rsid w:val="00954A0E"/>
    <w:rsid w:val="009550C7"/>
    <w:rsid w:val="0095545B"/>
    <w:rsid w:val="00957C51"/>
    <w:rsid w:val="00960499"/>
    <w:rsid w:val="00960AC7"/>
    <w:rsid w:val="00960E82"/>
    <w:rsid w:val="009610DB"/>
    <w:rsid w:val="009612BF"/>
    <w:rsid w:val="00961483"/>
    <w:rsid w:val="00961A23"/>
    <w:rsid w:val="009630E6"/>
    <w:rsid w:val="00963F06"/>
    <w:rsid w:val="0096463C"/>
    <w:rsid w:val="00964BEC"/>
    <w:rsid w:val="009653E0"/>
    <w:rsid w:val="00965732"/>
    <w:rsid w:val="00966649"/>
    <w:rsid w:val="00966AFE"/>
    <w:rsid w:val="009679A7"/>
    <w:rsid w:val="00970164"/>
    <w:rsid w:val="00970ED3"/>
    <w:rsid w:val="00972778"/>
    <w:rsid w:val="0097281E"/>
    <w:rsid w:val="0097294E"/>
    <w:rsid w:val="00972E89"/>
    <w:rsid w:val="00973931"/>
    <w:rsid w:val="00973E67"/>
    <w:rsid w:val="00975490"/>
    <w:rsid w:val="00975AB9"/>
    <w:rsid w:val="00976605"/>
    <w:rsid w:val="009769EE"/>
    <w:rsid w:val="00976B0D"/>
    <w:rsid w:val="0097713C"/>
    <w:rsid w:val="009774E9"/>
    <w:rsid w:val="00980ABA"/>
    <w:rsid w:val="00980C07"/>
    <w:rsid w:val="00981837"/>
    <w:rsid w:val="00981873"/>
    <w:rsid w:val="00982F9A"/>
    <w:rsid w:val="00984E0B"/>
    <w:rsid w:val="00985898"/>
    <w:rsid w:val="00986C79"/>
    <w:rsid w:val="00990713"/>
    <w:rsid w:val="00990CBC"/>
    <w:rsid w:val="00992AC5"/>
    <w:rsid w:val="00995231"/>
    <w:rsid w:val="00997281"/>
    <w:rsid w:val="009977D5"/>
    <w:rsid w:val="009A05F9"/>
    <w:rsid w:val="009A07B0"/>
    <w:rsid w:val="009A1F2E"/>
    <w:rsid w:val="009A25B2"/>
    <w:rsid w:val="009A2923"/>
    <w:rsid w:val="009A4EAB"/>
    <w:rsid w:val="009A51FB"/>
    <w:rsid w:val="009A58D3"/>
    <w:rsid w:val="009A59E5"/>
    <w:rsid w:val="009A7368"/>
    <w:rsid w:val="009B0E01"/>
    <w:rsid w:val="009B149E"/>
    <w:rsid w:val="009B15A6"/>
    <w:rsid w:val="009B1F86"/>
    <w:rsid w:val="009B2030"/>
    <w:rsid w:val="009B2F96"/>
    <w:rsid w:val="009B4435"/>
    <w:rsid w:val="009B5965"/>
    <w:rsid w:val="009B66B6"/>
    <w:rsid w:val="009B6EDB"/>
    <w:rsid w:val="009B6F66"/>
    <w:rsid w:val="009B702E"/>
    <w:rsid w:val="009B798D"/>
    <w:rsid w:val="009B7ADF"/>
    <w:rsid w:val="009B7B12"/>
    <w:rsid w:val="009C0058"/>
    <w:rsid w:val="009C007C"/>
    <w:rsid w:val="009C076E"/>
    <w:rsid w:val="009C084B"/>
    <w:rsid w:val="009C09E2"/>
    <w:rsid w:val="009C202D"/>
    <w:rsid w:val="009C20F2"/>
    <w:rsid w:val="009C2C73"/>
    <w:rsid w:val="009C3257"/>
    <w:rsid w:val="009C348A"/>
    <w:rsid w:val="009C3952"/>
    <w:rsid w:val="009C48E3"/>
    <w:rsid w:val="009C4D25"/>
    <w:rsid w:val="009C51F0"/>
    <w:rsid w:val="009C562C"/>
    <w:rsid w:val="009C6075"/>
    <w:rsid w:val="009C78DF"/>
    <w:rsid w:val="009D0784"/>
    <w:rsid w:val="009D07D2"/>
    <w:rsid w:val="009D0D23"/>
    <w:rsid w:val="009D1155"/>
    <w:rsid w:val="009D1165"/>
    <w:rsid w:val="009D1721"/>
    <w:rsid w:val="009D192E"/>
    <w:rsid w:val="009D197D"/>
    <w:rsid w:val="009D19E6"/>
    <w:rsid w:val="009D221F"/>
    <w:rsid w:val="009D24D8"/>
    <w:rsid w:val="009D2E47"/>
    <w:rsid w:val="009D343B"/>
    <w:rsid w:val="009D34D4"/>
    <w:rsid w:val="009D3B57"/>
    <w:rsid w:val="009D49C1"/>
    <w:rsid w:val="009D58FA"/>
    <w:rsid w:val="009D5D19"/>
    <w:rsid w:val="009D688F"/>
    <w:rsid w:val="009D7012"/>
    <w:rsid w:val="009D70CA"/>
    <w:rsid w:val="009D7434"/>
    <w:rsid w:val="009D7457"/>
    <w:rsid w:val="009D7823"/>
    <w:rsid w:val="009D7F31"/>
    <w:rsid w:val="009E031B"/>
    <w:rsid w:val="009E187D"/>
    <w:rsid w:val="009E234A"/>
    <w:rsid w:val="009E2518"/>
    <w:rsid w:val="009E2525"/>
    <w:rsid w:val="009E2F7B"/>
    <w:rsid w:val="009E3290"/>
    <w:rsid w:val="009E353F"/>
    <w:rsid w:val="009E41A0"/>
    <w:rsid w:val="009E4F38"/>
    <w:rsid w:val="009E659C"/>
    <w:rsid w:val="009E670D"/>
    <w:rsid w:val="009E6CC5"/>
    <w:rsid w:val="009E7A29"/>
    <w:rsid w:val="009E7E51"/>
    <w:rsid w:val="009F0DFE"/>
    <w:rsid w:val="009F0F69"/>
    <w:rsid w:val="009F1786"/>
    <w:rsid w:val="009F1D34"/>
    <w:rsid w:val="009F3041"/>
    <w:rsid w:val="009F33BC"/>
    <w:rsid w:val="009F411E"/>
    <w:rsid w:val="009F4E48"/>
    <w:rsid w:val="009F5431"/>
    <w:rsid w:val="009F5CF7"/>
    <w:rsid w:val="009F7631"/>
    <w:rsid w:val="009F796C"/>
    <w:rsid w:val="009F7E8B"/>
    <w:rsid w:val="00A015DC"/>
    <w:rsid w:val="00A02216"/>
    <w:rsid w:val="00A02473"/>
    <w:rsid w:val="00A0360E"/>
    <w:rsid w:val="00A0376B"/>
    <w:rsid w:val="00A03B06"/>
    <w:rsid w:val="00A03DD0"/>
    <w:rsid w:val="00A03E25"/>
    <w:rsid w:val="00A03E60"/>
    <w:rsid w:val="00A046B6"/>
    <w:rsid w:val="00A04916"/>
    <w:rsid w:val="00A05769"/>
    <w:rsid w:val="00A05F99"/>
    <w:rsid w:val="00A063B4"/>
    <w:rsid w:val="00A10000"/>
    <w:rsid w:val="00A105CE"/>
    <w:rsid w:val="00A108F8"/>
    <w:rsid w:val="00A10A6E"/>
    <w:rsid w:val="00A11DA6"/>
    <w:rsid w:val="00A127A8"/>
    <w:rsid w:val="00A132E4"/>
    <w:rsid w:val="00A135F0"/>
    <w:rsid w:val="00A139F7"/>
    <w:rsid w:val="00A154BF"/>
    <w:rsid w:val="00A15B22"/>
    <w:rsid w:val="00A15B80"/>
    <w:rsid w:val="00A15D23"/>
    <w:rsid w:val="00A15F09"/>
    <w:rsid w:val="00A16593"/>
    <w:rsid w:val="00A17190"/>
    <w:rsid w:val="00A17C4B"/>
    <w:rsid w:val="00A2106D"/>
    <w:rsid w:val="00A2159F"/>
    <w:rsid w:val="00A215BC"/>
    <w:rsid w:val="00A21B7E"/>
    <w:rsid w:val="00A221C2"/>
    <w:rsid w:val="00A222F4"/>
    <w:rsid w:val="00A240E9"/>
    <w:rsid w:val="00A243B1"/>
    <w:rsid w:val="00A2502A"/>
    <w:rsid w:val="00A25BC2"/>
    <w:rsid w:val="00A266F6"/>
    <w:rsid w:val="00A26813"/>
    <w:rsid w:val="00A26D0E"/>
    <w:rsid w:val="00A26F12"/>
    <w:rsid w:val="00A270A6"/>
    <w:rsid w:val="00A27A2A"/>
    <w:rsid w:val="00A27C2A"/>
    <w:rsid w:val="00A27DD4"/>
    <w:rsid w:val="00A30EEA"/>
    <w:rsid w:val="00A31744"/>
    <w:rsid w:val="00A322B8"/>
    <w:rsid w:val="00A3321F"/>
    <w:rsid w:val="00A334AA"/>
    <w:rsid w:val="00A33514"/>
    <w:rsid w:val="00A349CF"/>
    <w:rsid w:val="00A34ADA"/>
    <w:rsid w:val="00A353D4"/>
    <w:rsid w:val="00A360AA"/>
    <w:rsid w:val="00A36BC3"/>
    <w:rsid w:val="00A37AAD"/>
    <w:rsid w:val="00A407EB"/>
    <w:rsid w:val="00A41BFB"/>
    <w:rsid w:val="00A42086"/>
    <w:rsid w:val="00A43E3C"/>
    <w:rsid w:val="00A450AF"/>
    <w:rsid w:val="00A45163"/>
    <w:rsid w:val="00A453E4"/>
    <w:rsid w:val="00A468DF"/>
    <w:rsid w:val="00A46B26"/>
    <w:rsid w:val="00A46B9F"/>
    <w:rsid w:val="00A50189"/>
    <w:rsid w:val="00A50632"/>
    <w:rsid w:val="00A5136C"/>
    <w:rsid w:val="00A514C6"/>
    <w:rsid w:val="00A519AB"/>
    <w:rsid w:val="00A5213B"/>
    <w:rsid w:val="00A52A35"/>
    <w:rsid w:val="00A5332E"/>
    <w:rsid w:val="00A53A44"/>
    <w:rsid w:val="00A54F21"/>
    <w:rsid w:val="00A5513A"/>
    <w:rsid w:val="00A55E64"/>
    <w:rsid w:val="00A56778"/>
    <w:rsid w:val="00A56DE2"/>
    <w:rsid w:val="00A57BDC"/>
    <w:rsid w:val="00A60C66"/>
    <w:rsid w:val="00A61391"/>
    <w:rsid w:val="00A61B7B"/>
    <w:rsid w:val="00A623A7"/>
    <w:rsid w:val="00A635B6"/>
    <w:rsid w:val="00A63AA2"/>
    <w:rsid w:val="00A63F48"/>
    <w:rsid w:val="00A655E2"/>
    <w:rsid w:val="00A65B3F"/>
    <w:rsid w:val="00A667A6"/>
    <w:rsid w:val="00A67A26"/>
    <w:rsid w:val="00A70AE0"/>
    <w:rsid w:val="00A70E34"/>
    <w:rsid w:val="00A711FF"/>
    <w:rsid w:val="00A7130C"/>
    <w:rsid w:val="00A7183D"/>
    <w:rsid w:val="00A72235"/>
    <w:rsid w:val="00A726CC"/>
    <w:rsid w:val="00A72829"/>
    <w:rsid w:val="00A730FF"/>
    <w:rsid w:val="00A73177"/>
    <w:rsid w:val="00A735F9"/>
    <w:rsid w:val="00A7360A"/>
    <w:rsid w:val="00A7438F"/>
    <w:rsid w:val="00A746D1"/>
    <w:rsid w:val="00A75127"/>
    <w:rsid w:val="00A754BB"/>
    <w:rsid w:val="00A77DB0"/>
    <w:rsid w:val="00A80466"/>
    <w:rsid w:val="00A808AB"/>
    <w:rsid w:val="00A80AE5"/>
    <w:rsid w:val="00A831A2"/>
    <w:rsid w:val="00A83A49"/>
    <w:rsid w:val="00A83D1A"/>
    <w:rsid w:val="00A84B13"/>
    <w:rsid w:val="00A850DF"/>
    <w:rsid w:val="00A85DF2"/>
    <w:rsid w:val="00A9056A"/>
    <w:rsid w:val="00A9064B"/>
    <w:rsid w:val="00A90866"/>
    <w:rsid w:val="00A90B86"/>
    <w:rsid w:val="00A91E52"/>
    <w:rsid w:val="00A92082"/>
    <w:rsid w:val="00A922BB"/>
    <w:rsid w:val="00A92A43"/>
    <w:rsid w:val="00A92D73"/>
    <w:rsid w:val="00A94D49"/>
    <w:rsid w:val="00A950E9"/>
    <w:rsid w:val="00A95488"/>
    <w:rsid w:val="00A96295"/>
    <w:rsid w:val="00A966B6"/>
    <w:rsid w:val="00A96D8D"/>
    <w:rsid w:val="00A97483"/>
    <w:rsid w:val="00A9791E"/>
    <w:rsid w:val="00AA02F0"/>
    <w:rsid w:val="00AA02F7"/>
    <w:rsid w:val="00AA05B1"/>
    <w:rsid w:val="00AA060E"/>
    <w:rsid w:val="00AA1060"/>
    <w:rsid w:val="00AA2938"/>
    <w:rsid w:val="00AA3265"/>
    <w:rsid w:val="00AA33B5"/>
    <w:rsid w:val="00AA4288"/>
    <w:rsid w:val="00AA4704"/>
    <w:rsid w:val="00AA52C1"/>
    <w:rsid w:val="00AA6976"/>
    <w:rsid w:val="00AA6D04"/>
    <w:rsid w:val="00AB06FE"/>
    <w:rsid w:val="00AB1C67"/>
    <w:rsid w:val="00AB1F11"/>
    <w:rsid w:val="00AB2589"/>
    <w:rsid w:val="00AB42F2"/>
    <w:rsid w:val="00AB439B"/>
    <w:rsid w:val="00AB573F"/>
    <w:rsid w:val="00AB5FDC"/>
    <w:rsid w:val="00AB6426"/>
    <w:rsid w:val="00AC02BA"/>
    <w:rsid w:val="00AC07C4"/>
    <w:rsid w:val="00AC0BEF"/>
    <w:rsid w:val="00AC1782"/>
    <w:rsid w:val="00AC2481"/>
    <w:rsid w:val="00AC5392"/>
    <w:rsid w:val="00AC59E7"/>
    <w:rsid w:val="00AC5C2C"/>
    <w:rsid w:val="00AC661E"/>
    <w:rsid w:val="00AC66E0"/>
    <w:rsid w:val="00AC6AA0"/>
    <w:rsid w:val="00AC71EF"/>
    <w:rsid w:val="00AC7710"/>
    <w:rsid w:val="00AD09CA"/>
    <w:rsid w:val="00AD140A"/>
    <w:rsid w:val="00AD1A62"/>
    <w:rsid w:val="00AD1B31"/>
    <w:rsid w:val="00AD1B92"/>
    <w:rsid w:val="00AD370E"/>
    <w:rsid w:val="00AD3E93"/>
    <w:rsid w:val="00AD5F69"/>
    <w:rsid w:val="00AD6968"/>
    <w:rsid w:val="00AD6E84"/>
    <w:rsid w:val="00AD73AD"/>
    <w:rsid w:val="00AE17C3"/>
    <w:rsid w:val="00AE1FD0"/>
    <w:rsid w:val="00AE661E"/>
    <w:rsid w:val="00AE6897"/>
    <w:rsid w:val="00AE6CB2"/>
    <w:rsid w:val="00AE766C"/>
    <w:rsid w:val="00AE7948"/>
    <w:rsid w:val="00AF015F"/>
    <w:rsid w:val="00AF16F7"/>
    <w:rsid w:val="00AF20FA"/>
    <w:rsid w:val="00AF235E"/>
    <w:rsid w:val="00AF27C3"/>
    <w:rsid w:val="00AF2F07"/>
    <w:rsid w:val="00AF3349"/>
    <w:rsid w:val="00AF3A45"/>
    <w:rsid w:val="00AF3C4B"/>
    <w:rsid w:val="00AF3EA2"/>
    <w:rsid w:val="00AF41FD"/>
    <w:rsid w:val="00AF4B51"/>
    <w:rsid w:val="00AF6F75"/>
    <w:rsid w:val="00AF7502"/>
    <w:rsid w:val="00B0001C"/>
    <w:rsid w:val="00B002B3"/>
    <w:rsid w:val="00B00459"/>
    <w:rsid w:val="00B00E68"/>
    <w:rsid w:val="00B011BD"/>
    <w:rsid w:val="00B02C39"/>
    <w:rsid w:val="00B036AF"/>
    <w:rsid w:val="00B0380C"/>
    <w:rsid w:val="00B05BB5"/>
    <w:rsid w:val="00B0618F"/>
    <w:rsid w:val="00B065C0"/>
    <w:rsid w:val="00B117DA"/>
    <w:rsid w:val="00B119D2"/>
    <w:rsid w:val="00B11E9B"/>
    <w:rsid w:val="00B12207"/>
    <w:rsid w:val="00B128C0"/>
    <w:rsid w:val="00B131A0"/>
    <w:rsid w:val="00B133A7"/>
    <w:rsid w:val="00B1451D"/>
    <w:rsid w:val="00B160AC"/>
    <w:rsid w:val="00B16F67"/>
    <w:rsid w:val="00B178D7"/>
    <w:rsid w:val="00B204E4"/>
    <w:rsid w:val="00B218DD"/>
    <w:rsid w:val="00B2197D"/>
    <w:rsid w:val="00B22039"/>
    <w:rsid w:val="00B23C09"/>
    <w:rsid w:val="00B242E0"/>
    <w:rsid w:val="00B25553"/>
    <w:rsid w:val="00B25838"/>
    <w:rsid w:val="00B26B44"/>
    <w:rsid w:val="00B26BE0"/>
    <w:rsid w:val="00B26C95"/>
    <w:rsid w:val="00B27056"/>
    <w:rsid w:val="00B272AA"/>
    <w:rsid w:val="00B27A3B"/>
    <w:rsid w:val="00B27B7B"/>
    <w:rsid w:val="00B30B09"/>
    <w:rsid w:val="00B31652"/>
    <w:rsid w:val="00B316A6"/>
    <w:rsid w:val="00B3216A"/>
    <w:rsid w:val="00B326A8"/>
    <w:rsid w:val="00B32B23"/>
    <w:rsid w:val="00B33567"/>
    <w:rsid w:val="00B355EA"/>
    <w:rsid w:val="00B36B55"/>
    <w:rsid w:val="00B378DD"/>
    <w:rsid w:val="00B37E70"/>
    <w:rsid w:val="00B40C05"/>
    <w:rsid w:val="00B41965"/>
    <w:rsid w:val="00B421AB"/>
    <w:rsid w:val="00B42CAD"/>
    <w:rsid w:val="00B43AF2"/>
    <w:rsid w:val="00B44BC1"/>
    <w:rsid w:val="00B44F8E"/>
    <w:rsid w:val="00B4594E"/>
    <w:rsid w:val="00B45EA1"/>
    <w:rsid w:val="00B46164"/>
    <w:rsid w:val="00B46313"/>
    <w:rsid w:val="00B46882"/>
    <w:rsid w:val="00B46B0F"/>
    <w:rsid w:val="00B46FE3"/>
    <w:rsid w:val="00B47AE1"/>
    <w:rsid w:val="00B47F89"/>
    <w:rsid w:val="00B50285"/>
    <w:rsid w:val="00B50E25"/>
    <w:rsid w:val="00B51A8E"/>
    <w:rsid w:val="00B51BF8"/>
    <w:rsid w:val="00B53821"/>
    <w:rsid w:val="00B53DDE"/>
    <w:rsid w:val="00B5408C"/>
    <w:rsid w:val="00B54963"/>
    <w:rsid w:val="00B566FE"/>
    <w:rsid w:val="00B5753B"/>
    <w:rsid w:val="00B60D7F"/>
    <w:rsid w:val="00B60EED"/>
    <w:rsid w:val="00B61E24"/>
    <w:rsid w:val="00B62DDF"/>
    <w:rsid w:val="00B63708"/>
    <w:rsid w:val="00B64824"/>
    <w:rsid w:val="00B651FA"/>
    <w:rsid w:val="00B6585E"/>
    <w:rsid w:val="00B658D7"/>
    <w:rsid w:val="00B66C1C"/>
    <w:rsid w:val="00B67CDE"/>
    <w:rsid w:val="00B71BCD"/>
    <w:rsid w:val="00B71E0A"/>
    <w:rsid w:val="00B72B0D"/>
    <w:rsid w:val="00B746AD"/>
    <w:rsid w:val="00B76823"/>
    <w:rsid w:val="00B80946"/>
    <w:rsid w:val="00B81DE1"/>
    <w:rsid w:val="00B8273E"/>
    <w:rsid w:val="00B82CFE"/>
    <w:rsid w:val="00B8315E"/>
    <w:rsid w:val="00B838E3"/>
    <w:rsid w:val="00B84481"/>
    <w:rsid w:val="00B84BB8"/>
    <w:rsid w:val="00B84F44"/>
    <w:rsid w:val="00B8504F"/>
    <w:rsid w:val="00B8508F"/>
    <w:rsid w:val="00B864A4"/>
    <w:rsid w:val="00B9179E"/>
    <w:rsid w:val="00B9202F"/>
    <w:rsid w:val="00B9210F"/>
    <w:rsid w:val="00B92222"/>
    <w:rsid w:val="00B92BB8"/>
    <w:rsid w:val="00B94B94"/>
    <w:rsid w:val="00B94EE5"/>
    <w:rsid w:val="00B95669"/>
    <w:rsid w:val="00B95842"/>
    <w:rsid w:val="00B95BF1"/>
    <w:rsid w:val="00B95F3B"/>
    <w:rsid w:val="00B96B08"/>
    <w:rsid w:val="00B96D8C"/>
    <w:rsid w:val="00B97A2B"/>
    <w:rsid w:val="00B97EA7"/>
    <w:rsid w:val="00BA1097"/>
    <w:rsid w:val="00BA12CF"/>
    <w:rsid w:val="00BA156A"/>
    <w:rsid w:val="00BA1740"/>
    <w:rsid w:val="00BA2797"/>
    <w:rsid w:val="00BA2C6D"/>
    <w:rsid w:val="00BA2F01"/>
    <w:rsid w:val="00BA2F51"/>
    <w:rsid w:val="00BA38A2"/>
    <w:rsid w:val="00BA5AFA"/>
    <w:rsid w:val="00BA5E2D"/>
    <w:rsid w:val="00BA6210"/>
    <w:rsid w:val="00BA689F"/>
    <w:rsid w:val="00BA6EFD"/>
    <w:rsid w:val="00BA7092"/>
    <w:rsid w:val="00BA7109"/>
    <w:rsid w:val="00BA745D"/>
    <w:rsid w:val="00BA7C51"/>
    <w:rsid w:val="00BB0268"/>
    <w:rsid w:val="00BB0D25"/>
    <w:rsid w:val="00BB1FB8"/>
    <w:rsid w:val="00BB2030"/>
    <w:rsid w:val="00BB2EB4"/>
    <w:rsid w:val="00BB322D"/>
    <w:rsid w:val="00BB32B1"/>
    <w:rsid w:val="00BB6FB4"/>
    <w:rsid w:val="00BB735F"/>
    <w:rsid w:val="00BC13FA"/>
    <w:rsid w:val="00BC143E"/>
    <w:rsid w:val="00BC1D81"/>
    <w:rsid w:val="00BC2569"/>
    <w:rsid w:val="00BC2943"/>
    <w:rsid w:val="00BC2B0D"/>
    <w:rsid w:val="00BC2C52"/>
    <w:rsid w:val="00BC2D72"/>
    <w:rsid w:val="00BC3B57"/>
    <w:rsid w:val="00BC3BB4"/>
    <w:rsid w:val="00BC49CF"/>
    <w:rsid w:val="00BC49E3"/>
    <w:rsid w:val="00BC5994"/>
    <w:rsid w:val="00BC710D"/>
    <w:rsid w:val="00BD00F4"/>
    <w:rsid w:val="00BD03E8"/>
    <w:rsid w:val="00BD06B9"/>
    <w:rsid w:val="00BD3463"/>
    <w:rsid w:val="00BD39C9"/>
    <w:rsid w:val="00BD5B34"/>
    <w:rsid w:val="00BD5B70"/>
    <w:rsid w:val="00BD63EE"/>
    <w:rsid w:val="00BD67FA"/>
    <w:rsid w:val="00BD6B9F"/>
    <w:rsid w:val="00BD6DC1"/>
    <w:rsid w:val="00BE0660"/>
    <w:rsid w:val="00BE0CBC"/>
    <w:rsid w:val="00BE18FF"/>
    <w:rsid w:val="00BE1CE3"/>
    <w:rsid w:val="00BE2DC9"/>
    <w:rsid w:val="00BE37BE"/>
    <w:rsid w:val="00BE3A4B"/>
    <w:rsid w:val="00BE3AF8"/>
    <w:rsid w:val="00BE3F17"/>
    <w:rsid w:val="00BE4238"/>
    <w:rsid w:val="00BE54B1"/>
    <w:rsid w:val="00BE5A79"/>
    <w:rsid w:val="00BE5ADE"/>
    <w:rsid w:val="00BE77E4"/>
    <w:rsid w:val="00BE7C53"/>
    <w:rsid w:val="00BE7F5B"/>
    <w:rsid w:val="00BE7F97"/>
    <w:rsid w:val="00BF11A5"/>
    <w:rsid w:val="00BF1214"/>
    <w:rsid w:val="00BF375A"/>
    <w:rsid w:val="00BF4257"/>
    <w:rsid w:val="00BF5721"/>
    <w:rsid w:val="00BF5F8B"/>
    <w:rsid w:val="00BF60DC"/>
    <w:rsid w:val="00BF6A93"/>
    <w:rsid w:val="00BF6CA5"/>
    <w:rsid w:val="00C00186"/>
    <w:rsid w:val="00C00335"/>
    <w:rsid w:val="00C01F2E"/>
    <w:rsid w:val="00C025A2"/>
    <w:rsid w:val="00C025BB"/>
    <w:rsid w:val="00C02C3D"/>
    <w:rsid w:val="00C02DAA"/>
    <w:rsid w:val="00C05DA5"/>
    <w:rsid w:val="00C06710"/>
    <w:rsid w:val="00C06C08"/>
    <w:rsid w:val="00C072C0"/>
    <w:rsid w:val="00C10043"/>
    <w:rsid w:val="00C1006F"/>
    <w:rsid w:val="00C1055D"/>
    <w:rsid w:val="00C10A52"/>
    <w:rsid w:val="00C1343C"/>
    <w:rsid w:val="00C13856"/>
    <w:rsid w:val="00C147D4"/>
    <w:rsid w:val="00C152D2"/>
    <w:rsid w:val="00C152F7"/>
    <w:rsid w:val="00C154BB"/>
    <w:rsid w:val="00C15C0A"/>
    <w:rsid w:val="00C15DFB"/>
    <w:rsid w:val="00C15F00"/>
    <w:rsid w:val="00C16E21"/>
    <w:rsid w:val="00C17266"/>
    <w:rsid w:val="00C172CC"/>
    <w:rsid w:val="00C1796C"/>
    <w:rsid w:val="00C201A1"/>
    <w:rsid w:val="00C204F7"/>
    <w:rsid w:val="00C20CEE"/>
    <w:rsid w:val="00C20E82"/>
    <w:rsid w:val="00C2269D"/>
    <w:rsid w:val="00C229E1"/>
    <w:rsid w:val="00C23083"/>
    <w:rsid w:val="00C23E47"/>
    <w:rsid w:val="00C24415"/>
    <w:rsid w:val="00C24498"/>
    <w:rsid w:val="00C264CD"/>
    <w:rsid w:val="00C26E6F"/>
    <w:rsid w:val="00C27BA8"/>
    <w:rsid w:val="00C310AF"/>
    <w:rsid w:val="00C31AF0"/>
    <w:rsid w:val="00C31F47"/>
    <w:rsid w:val="00C32415"/>
    <w:rsid w:val="00C339DB"/>
    <w:rsid w:val="00C3408A"/>
    <w:rsid w:val="00C34660"/>
    <w:rsid w:val="00C348F5"/>
    <w:rsid w:val="00C34B8A"/>
    <w:rsid w:val="00C3507D"/>
    <w:rsid w:val="00C35108"/>
    <w:rsid w:val="00C379C0"/>
    <w:rsid w:val="00C402FD"/>
    <w:rsid w:val="00C4192E"/>
    <w:rsid w:val="00C42CEE"/>
    <w:rsid w:val="00C438E8"/>
    <w:rsid w:val="00C43AB4"/>
    <w:rsid w:val="00C43CEF"/>
    <w:rsid w:val="00C44160"/>
    <w:rsid w:val="00C4519B"/>
    <w:rsid w:val="00C454B9"/>
    <w:rsid w:val="00C454CD"/>
    <w:rsid w:val="00C460C0"/>
    <w:rsid w:val="00C47206"/>
    <w:rsid w:val="00C47720"/>
    <w:rsid w:val="00C47B98"/>
    <w:rsid w:val="00C503D7"/>
    <w:rsid w:val="00C516EB"/>
    <w:rsid w:val="00C51A96"/>
    <w:rsid w:val="00C51B35"/>
    <w:rsid w:val="00C51F29"/>
    <w:rsid w:val="00C5231B"/>
    <w:rsid w:val="00C52790"/>
    <w:rsid w:val="00C54222"/>
    <w:rsid w:val="00C54AEC"/>
    <w:rsid w:val="00C54B18"/>
    <w:rsid w:val="00C568B3"/>
    <w:rsid w:val="00C56C96"/>
    <w:rsid w:val="00C603AE"/>
    <w:rsid w:val="00C6076C"/>
    <w:rsid w:val="00C617A9"/>
    <w:rsid w:val="00C6246F"/>
    <w:rsid w:val="00C62CBB"/>
    <w:rsid w:val="00C62D0B"/>
    <w:rsid w:val="00C63779"/>
    <w:rsid w:val="00C63C06"/>
    <w:rsid w:val="00C64857"/>
    <w:rsid w:val="00C64CAD"/>
    <w:rsid w:val="00C660EB"/>
    <w:rsid w:val="00C66242"/>
    <w:rsid w:val="00C66417"/>
    <w:rsid w:val="00C6691B"/>
    <w:rsid w:val="00C67357"/>
    <w:rsid w:val="00C6741D"/>
    <w:rsid w:val="00C67F4D"/>
    <w:rsid w:val="00C70713"/>
    <w:rsid w:val="00C70B1A"/>
    <w:rsid w:val="00C70E40"/>
    <w:rsid w:val="00C729FB"/>
    <w:rsid w:val="00C72A5F"/>
    <w:rsid w:val="00C7361A"/>
    <w:rsid w:val="00C74D60"/>
    <w:rsid w:val="00C75F1D"/>
    <w:rsid w:val="00C764F2"/>
    <w:rsid w:val="00C76A03"/>
    <w:rsid w:val="00C80428"/>
    <w:rsid w:val="00C81C4A"/>
    <w:rsid w:val="00C82493"/>
    <w:rsid w:val="00C85BF3"/>
    <w:rsid w:val="00C86093"/>
    <w:rsid w:val="00C86235"/>
    <w:rsid w:val="00C86A8F"/>
    <w:rsid w:val="00C86CD2"/>
    <w:rsid w:val="00C86EE4"/>
    <w:rsid w:val="00C86FF1"/>
    <w:rsid w:val="00C87ECD"/>
    <w:rsid w:val="00C900B3"/>
    <w:rsid w:val="00C919D8"/>
    <w:rsid w:val="00C91BD1"/>
    <w:rsid w:val="00C9260D"/>
    <w:rsid w:val="00C926A9"/>
    <w:rsid w:val="00C92B15"/>
    <w:rsid w:val="00C92D0E"/>
    <w:rsid w:val="00C92D77"/>
    <w:rsid w:val="00C93933"/>
    <w:rsid w:val="00C93A59"/>
    <w:rsid w:val="00C93AB1"/>
    <w:rsid w:val="00C9466D"/>
    <w:rsid w:val="00C946D1"/>
    <w:rsid w:val="00C9582F"/>
    <w:rsid w:val="00C95856"/>
    <w:rsid w:val="00C96367"/>
    <w:rsid w:val="00C97672"/>
    <w:rsid w:val="00CA009E"/>
    <w:rsid w:val="00CA099C"/>
    <w:rsid w:val="00CA146F"/>
    <w:rsid w:val="00CA1908"/>
    <w:rsid w:val="00CA2F52"/>
    <w:rsid w:val="00CA3748"/>
    <w:rsid w:val="00CA3957"/>
    <w:rsid w:val="00CA46E5"/>
    <w:rsid w:val="00CA487C"/>
    <w:rsid w:val="00CA48A2"/>
    <w:rsid w:val="00CA5B89"/>
    <w:rsid w:val="00CA5B99"/>
    <w:rsid w:val="00CA5BF9"/>
    <w:rsid w:val="00CA62AD"/>
    <w:rsid w:val="00CA6727"/>
    <w:rsid w:val="00CA6C6F"/>
    <w:rsid w:val="00CA6F2C"/>
    <w:rsid w:val="00CA702D"/>
    <w:rsid w:val="00CA7865"/>
    <w:rsid w:val="00CA7F27"/>
    <w:rsid w:val="00CB021D"/>
    <w:rsid w:val="00CB06E7"/>
    <w:rsid w:val="00CB076B"/>
    <w:rsid w:val="00CB0E56"/>
    <w:rsid w:val="00CB1303"/>
    <w:rsid w:val="00CB1DE2"/>
    <w:rsid w:val="00CB1F10"/>
    <w:rsid w:val="00CB3097"/>
    <w:rsid w:val="00CB52B4"/>
    <w:rsid w:val="00CB5F9E"/>
    <w:rsid w:val="00CB60E3"/>
    <w:rsid w:val="00CB61AD"/>
    <w:rsid w:val="00CB62DF"/>
    <w:rsid w:val="00CB6E54"/>
    <w:rsid w:val="00CB7068"/>
    <w:rsid w:val="00CC0B81"/>
    <w:rsid w:val="00CC177D"/>
    <w:rsid w:val="00CC18EF"/>
    <w:rsid w:val="00CC1C7F"/>
    <w:rsid w:val="00CC329C"/>
    <w:rsid w:val="00CC374E"/>
    <w:rsid w:val="00CC3F2C"/>
    <w:rsid w:val="00CC4E14"/>
    <w:rsid w:val="00CC55BC"/>
    <w:rsid w:val="00CC5FFC"/>
    <w:rsid w:val="00CC639C"/>
    <w:rsid w:val="00CC63C8"/>
    <w:rsid w:val="00CC794F"/>
    <w:rsid w:val="00CC79C5"/>
    <w:rsid w:val="00CD0E81"/>
    <w:rsid w:val="00CD11BD"/>
    <w:rsid w:val="00CD25DB"/>
    <w:rsid w:val="00CD2C49"/>
    <w:rsid w:val="00CD403F"/>
    <w:rsid w:val="00CD4746"/>
    <w:rsid w:val="00CD4A7D"/>
    <w:rsid w:val="00CD4AF4"/>
    <w:rsid w:val="00CD60A8"/>
    <w:rsid w:val="00CD6199"/>
    <w:rsid w:val="00CD671B"/>
    <w:rsid w:val="00CD68C0"/>
    <w:rsid w:val="00CD7A83"/>
    <w:rsid w:val="00CE0FC5"/>
    <w:rsid w:val="00CE1B45"/>
    <w:rsid w:val="00CE23AC"/>
    <w:rsid w:val="00CE24C2"/>
    <w:rsid w:val="00CE2DA7"/>
    <w:rsid w:val="00CE37E3"/>
    <w:rsid w:val="00CE3F04"/>
    <w:rsid w:val="00CE43FB"/>
    <w:rsid w:val="00CE4571"/>
    <w:rsid w:val="00CE466A"/>
    <w:rsid w:val="00CE4672"/>
    <w:rsid w:val="00CE4C7F"/>
    <w:rsid w:val="00CE5C9C"/>
    <w:rsid w:val="00CE6B39"/>
    <w:rsid w:val="00CE6C36"/>
    <w:rsid w:val="00CE6F50"/>
    <w:rsid w:val="00CF39FB"/>
    <w:rsid w:val="00CF41B3"/>
    <w:rsid w:val="00CF4D4F"/>
    <w:rsid w:val="00CF5D30"/>
    <w:rsid w:val="00CF6059"/>
    <w:rsid w:val="00CF6718"/>
    <w:rsid w:val="00CF7529"/>
    <w:rsid w:val="00CF76DB"/>
    <w:rsid w:val="00D0021E"/>
    <w:rsid w:val="00D0028C"/>
    <w:rsid w:val="00D01066"/>
    <w:rsid w:val="00D0150E"/>
    <w:rsid w:val="00D01B1B"/>
    <w:rsid w:val="00D02D6E"/>
    <w:rsid w:val="00D056C0"/>
    <w:rsid w:val="00D06725"/>
    <w:rsid w:val="00D07221"/>
    <w:rsid w:val="00D10A67"/>
    <w:rsid w:val="00D11B4D"/>
    <w:rsid w:val="00D11E40"/>
    <w:rsid w:val="00D135AE"/>
    <w:rsid w:val="00D13DB7"/>
    <w:rsid w:val="00D14AF6"/>
    <w:rsid w:val="00D14DE9"/>
    <w:rsid w:val="00D17633"/>
    <w:rsid w:val="00D204A2"/>
    <w:rsid w:val="00D2066B"/>
    <w:rsid w:val="00D214C1"/>
    <w:rsid w:val="00D21CF8"/>
    <w:rsid w:val="00D2243E"/>
    <w:rsid w:val="00D22B08"/>
    <w:rsid w:val="00D22FBA"/>
    <w:rsid w:val="00D2303B"/>
    <w:rsid w:val="00D230C8"/>
    <w:rsid w:val="00D2382A"/>
    <w:rsid w:val="00D2398B"/>
    <w:rsid w:val="00D246CC"/>
    <w:rsid w:val="00D246F8"/>
    <w:rsid w:val="00D25F41"/>
    <w:rsid w:val="00D262DC"/>
    <w:rsid w:val="00D26E4B"/>
    <w:rsid w:val="00D26E58"/>
    <w:rsid w:val="00D272D8"/>
    <w:rsid w:val="00D2779C"/>
    <w:rsid w:val="00D30C6C"/>
    <w:rsid w:val="00D30DB2"/>
    <w:rsid w:val="00D3297A"/>
    <w:rsid w:val="00D34122"/>
    <w:rsid w:val="00D362AE"/>
    <w:rsid w:val="00D362E2"/>
    <w:rsid w:val="00D367CC"/>
    <w:rsid w:val="00D36C1F"/>
    <w:rsid w:val="00D37FF4"/>
    <w:rsid w:val="00D4010B"/>
    <w:rsid w:val="00D419AB"/>
    <w:rsid w:val="00D423AA"/>
    <w:rsid w:val="00D42648"/>
    <w:rsid w:val="00D42A99"/>
    <w:rsid w:val="00D435E4"/>
    <w:rsid w:val="00D43632"/>
    <w:rsid w:val="00D4481D"/>
    <w:rsid w:val="00D45A75"/>
    <w:rsid w:val="00D4740F"/>
    <w:rsid w:val="00D47464"/>
    <w:rsid w:val="00D50A7E"/>
    <w:rsid w:val="00D50D48"/>
    <w:rsid w:val="00D51B13"/>
    <w:rsid w:val="00D52A8F"/>
    <w:rsid w:val="00D52EA9"/>
    <w:rsid w:val="00D53CDC"/>
    <w:rsid w:val="00D53E47"/>
    <w:rsid w:val="00D54220"/>
    <w:rsid w:val="00D549EE"/>
    <w:rsid w:val="00D55BD2"/>
    <w:rsid w:val="00D56E44"/>
    <w:rsid w:val="00D572AD"/>
    <w:rsid w:val="00D60064"/>
    <w:rsid w:val="00D6097F"/>
    <w:rsid w:val="00D61416"/>
    <w:rsid w:val="00D619FA"/>
    <w:rsid w:val="00D62623"/>
    <w:rsid w:val="00D63E7A"/>
    <w:rsid w:val="00D6422B"/>
    <w:rsid w:val="00D64563"/>
    <w:rsid w:val="00D64850"/>
    <w:rsid w:val="00D6576A"/>
    <w:rsid w:val="00D65ADB"/>
    <w:rsid w:val="00D66204"/>
    <w:rsid w:val="00D67661"/>
    <w:rsid w:val="00D67E84"/>
    <w:rsid w:val="00D70265"/>
    <w:rsid w:val="00D71A3C"/>
    <w:rsid w:val="00D71FF3"/>
    <w:rsid w:val="00D723CC"/>
    <w:rsid w:val="00D727F4"/>
    <w:rsid w:val="00D72C08"/>
    <w:rsid w:val="00D7449E"/>
    <w:rsid w:val="00D74B8B"/>
    <w:rsid w:val="00D74F13"/>
    <w:rsid w:val="00D74F7B"/>
    <w:rsid w:val="00D756C1"/>
    <w:rsid w:val="00D75798"/>
    <w:rsid w:val="00D759FA"/>
    <w:rsid w:val="00D76599"/>
    <w:rsid w:val="00D76A31"/>
    <w:rsid w:val="00D77405"/>
    <w:rsid w:val="00D80CFF"/>
    <w:rsid w:val="00D814F5"/>
    <w:rsid w:val="00D82818"/>
    <w:rsid w:val="00D83D8F"/>
    <w:rsid w:val="00D83ECB"/>
    <w:rsid w:val="00D84943"/>
    <w:rsid w:val="00D851B9"/>
    <w:rsid w:val="00D85581"/>
    <w:rsid w:val="00D87627"/>
    <w:rsid w:val="00D87E34"/>
    <w:rsid w:val="00D909B7"/>
    <w:rsid w:val="00D916DF"/>
    <w:rsid w:val="00D91946"/>
    <w:rsid w:val="00D927DD"/>
    <w:rsid w:val="00D933FD"/>
    <w:rsid w:val="00D934C3"/>
    <w:rsid w:val="00D94421"/>
    <w:rsid w:val="00D945B7"/>
    <w:rsid w:val="00D947C7"/>
    <w:rsid w:val="00D94A2E"/>
    <w:rsid w:val="00D95FB9"/>
    <w:rsid w:val="00D96B62"/>
    <w:rsid w:val="00D97071"/>
    <w:rsid w:val="00D972B1"/>
    <w:rsid w:val="00D97620"/>
    <w:rsid w:val="00DA0E2C"/>
    <w:rsid w:val="00DA1301"/>
    <w:rsid w:val="00DA185C"/>
    <w:rsid w:val="00DA2270"/>
    <w:rsid w:val="00DA232A"/>
    <w:rsid w:val="00DA2869"/>
    <w:rsid w:val="00DA3666"/>
    <w:rsid w:val="00DA3D7B"/>
    <w:rsid w:val="00DA42B6"/>
    <w:rsid w:val="00DA4607"/>
    <w:rsid w:val="00DA47D0"/>
    <w:rsid w:val="00DA5861"/>
    <w:rsid w:val="00DB14AF"/>
    <w:rsid w:val="00DB1656"/>
    <w:rsid w:val="00DB1AFA"/>
    <w:rsid w:val="00DB2803"/>
    <w:rsid w:val="00DB2EB3"/>
    <w:rsid w:val="00DB3A5F"/>
    <w:rsid w:val="00DB40F8"/>
    <w:rsid w:val="00DB5145"/>
    <w:rsid w:val="00DB5BC4"/>
    <w:rsid w:val="00DB6111"/>
    <w:rsid w:val="00DB6B26"/>
    <w:rsid w:val="00DC04F9"/>
    <w:rsid w:val="00DC0601"/>
    <w:rsid w:val="00DC0700"/>
    <w:rsid w:val="00DC0A39"/>
    <w:rsid w:val="00DC0E1D"/>
    <w:rsid w:val="00DC12C1"/>
    <w:rsid w:val="00DC1435"/>
    <w:rsid w:val="00DC1A47"/>
    <w:rsid w:val="00DC2481"/>
    <w:rsid w:val="00DC31C8"/>
    <w:rsid w:val="00DC46D9"/>
    <w:rsid w:val="00DC4D00"/>
    <w:rsid w:val="00DC4ED1"/>
    <w:rsid w:val="00DC5A3B"/>
    <w:rsid w:val="00DC5EF9"/>
    <w:rsid w:val="00DC6553"/>
    <w:rsid w:val="00DC71CB"/>
    <w:rsid w:val="00DC748A"/>
    <w:rsid w:val="00DC76BE"/>
    <w:rsid w:val="00DC7968"/>
    <w:rsid w:val="00DD1597"/>
    <w:rsid w:val="00DD2A22"/>
    <w:rsid w:val="00DD36BD"/>
    <w:rsid w:val="00DD4CBA"/>
    <w:rsid w:val="00DD55C0"/>
    <w:rsid w:val="00DD565F"/>
    <w:rsid w:val="00DD5A44"/>
    <w:rsid w:val="00DD6065"/>
    <w:rsid w:val="00DD61EB"/>
    <w:rsid w:val="00DD6D1A"/>
    <w:rsid w:val="00DD77C7"/>
    <w:rsid w:val="00DE00E9"/>
    <w:rsid w:val="00DE1F57"/>
    <w:rsid w:val="00DE3100"/>
    <w:rsid w:val="00DE3535"/>
    <w:rsid w:val="00DE3A57"/>
    <w:rsid w:val="00DE5624"/>
    <w:rsid w:val="00DE652D"/>
    <w:rsid w:val="00DE67F2"/>
    <w:rsid w:val="00DE7556"/>
    <w:rsid w:val="00DE77BD"/>
    <w:rsid w:val="00DF0382"/>
    <w:rsid w:val="00DF11EC"/>
    <w:rsid w:val="00DF1502"/>
    <w:rsid w:val="00DF2622"/>
    <w:rsid w:val="00DF29CA"/>
    <w:rsid w:val="00DF4CF3"/>
    <w:rsid w:val="00DF74EF"/>
    <w:rsid w:val="00DF7B35"/>
    <w:rsid w:val="00E001DB"/>
    <w:rsid w:val="00E00DF5"/>
    <w:rsid w:val="00E00F73"/>
    <w:rsid w:val="00E01BB1"/>
    <w:rsid w:val="00E021CB"/>
    <w:rsid w:val="00E049EF"/>
    <w:rsid w:val="00E04FE2"/>
    <w:rsid w:val="00E04FF6"/>
    <w:rsid w:val="00E050DB"/>
    <w:rsid w:val="00E054BF"/>
    <w:rsid w:val="00E05531"/>
    <w:rsid w:val="00E057AF"/>
    <w:rsid w:val="00E058B5"/>
    <w:rsid w:val="00E05F9F"/>
    <w:rsid w:val="00E06B39"/>
    <w:rsid w:val="00E07187"/>
    <w:rsid w:val="00E07BB2"/>
    <w:rsid w:val="00E11649"/>
    <w:rsid w:val="00E11781"/>
    <w:rsid w:val="00E11A26"/>
    <w:rsid w:val="00E11DA4"/>
    <w:rsid w:val="00E12DE3"/>
    <w:rsid w:val="00E12E19"/>
    <w:rsid w:val="00E12F2C"/>
    <w:rsid w:val="00E13313"/>
    <w:rsid w:val="00E13587"/>
    <w:rsid w:val="00E135E6"/>
    <w:rsid w:val="00E13DD7"/>
    <w:rsid w:val="00E13F27"/>
    <w:rsid w:val="00E14185"/>
    <w:rsid w:val="00E145EF"/>
    <w:rsid w:val="00E14688"/>
    <w:rsid w:val="00E14C4A"/>
    <w:rsid w:val="00E15BB3"/>
    <w:rsid w:val="00E16385"/>
    <w:rsid w:val="00E205F2"/>
    <w:rsid w:val="00E21043"/>
    <w:rsid w:val="00E21239"/>
    <w:rsid w:val="00E2135F"/>
    <w:rsid w:val="00E21ACE"/>
    <w:rsid w:val="00E229B8"/>
    <w:rsid w:val="00E234E4"/>
    <w:rsid w:val="00E238BD"/>
    <w:rsid w:val="00E23A28"/>
    <w:rsid w:val="00E24F23"/>
    <w:rsid w:val="00E24F31"/>
    <w:rsid w:val="00E25395"/>
    <w:rsid w:val="00E25802"/>
    <w:rsid w:val="00E25F52"/>
    <w:rsid w:val="00E30A4F"/>
    <w:rsid w:val="00E30C4D"/>
    <w:rsid w:val="00E3257C"/>
    <w:rsid w:val="00E32CA1"/>
    <w:rsid w:val="00E341BD"/>
    <w:rsid w:val="00E34458"/>
    <w:rsid w:val="00E34A5D"/>
    <w:rsid w:val="00E378B4"/>
    <w:rsid w:val="00E37BB0"/>
    <w:rsid w:val="00E402B4"/>
    <w:rsid w:val="00E406B5"/>
    <w:rsid w:val="00E41582"/>
    <w:rsid w:val="00E41C01"/>
    <w:rsid w:val="00E42F3D"/>
    <w:rsid w:val="00E42FC4"/>
    <w:rsid w:val="00E4396A"/>
    <w:rsid w:val="00E43D2B"/>
    <w:rsid w:val="00E44537"/>
    <w:rsid w:val="00E4477C"/>
    <w:rsid w:val="00E453E1"/>
    <w:rsid w:val="00E45845"/>
    <w:rsid w:val="00E45DA9"/>
    <w:rsid w:val="00E4731E"/>
    <w:rsid w:val="00E476FE"/>
    <w:rsid w:val="00E47B42"/>
    <w:rsid w:val="00E5048C"/>
    <w:rsid w:val="00E5049D"/>
    <w:rsid w:val="00E50508"/>
    <w:rsid w:val="00E50DE4"/>
    <w:rsid w:val="00E5190A"/>
    <w:rsid w:val="00E519C2"/>
    <w:rsid w:val="00E5244B"/>
    <w:rsid w:val="00E52616"/>
    <w:rsid w:val="00E52AA6"/>
    <w:rsid w:val="00E54AAA"/>
    <w:rsid w:val="00E566DD"/>
    <w:rsid w:val="00E56E82"/>
    <w:rsid w:val="00E5760F"/>
    <w:rsid w:val="00E57DDD"/>
    <w:rsid w:val="00E6037B"/>
    <w:rsid w:val="00E6046D"/>
    <w:rsid w:val="00E60FC0"/>
    <w:rsid w:val="00E62EF2"/>
    <w:rsid w:val="00E63B79"/>
    <w:rsid w:val="00E64025"/>
    <w:rsid w:val="00E648B3"/>
    <w:rsid w:val="00E64D58"/>
    <w:rsid w:val="00E65479"/>
    <w:rsid w:val="00E65FF6"/>
    <w:rsid w:val="00E6606A"/>
    <w:rsid w:val="00E660DD"/>
    <w:rsid w:val="00E66290"/>
    <w:rsid w:val="00E66A63"/>
    <w:rsid w:val="00E70265"/>
    <w:rsid w:val="00E722C4"/>
    <w:rsid w:val="00E73D11"/>
    <w:rsid w:val="00E74609"/>
    <w:rsid w:val="00E751E2"/>
    <w:rsid w:val="00E754DB"/>
    <w:rsid w:val="00E75A78"/>
    <w:rsid w:val="00E76230"/>
    <w:rsid w:val="00E762C9"/>
    <w:rsid w:val="00E76619"/>
    <w:rsid w:val="00E767C1"/>
    <w:rsid w:val="00E76949"/>
    <w:rsid w:val="00E771CF"/>
    <w:rsid w:val="00E77988"/>
    <w:rsid w:val="00E77D4F"/>
    <w:rsid w:val="00E77F06"/>
    <w:rsid w:val="00E80075"/>
    <w:rsid w:val="00E801FB"/>
    <w:rsid w:val="00E805A7"/>
    <w:rsid w:val="00E8095F"/>
    <w:rsid w:val="00E8198C"/>
    <w:rsid w:val="00E81A94"/>
    <w:rsid w:val="00E8533B"/>
    <w:rsid w:val="00E85738"/>
    <w:rsid w:val="00E85910"/>
    <w:rsid w:val="00E85CEB"/>
    <w:rsid w:val="00E87943"/>
    <w:rsid w:val="00E907BE"/>
    <w:rsid w:val="00E90FDA"/>
    <w:rsid w:val="00E91FA2"/>
    <w:rsid w:val="00E9221E"/>
    <w:rsid w:val="00E926BB"/>
    <w:rsid w:val="00E92732"/>
    <w:rsid w:val="00E94290"/>
    <w:rsid w:val="00E94670"/>
    <w:rsid w:val="00E94D6A"/>
    <w:rsid w:val="00E95089"/>
    <w:rsid w:val="00E951F8"/>
    <w:rsid w:val="00E97676"/>
    <w:rsid w:val="00EA0FAD"/>
    <w:rsid w:val="00EA1921"/>
    <w:rsid w:val="00EA2806"/>
    <w:rsid w:val="00EA2C8E"/>
    <w:rsid w:val="00EA31D7"/>
    <w:rsid w:val="00EA3E54"/>
    <w:rsid w:val="00EA3E95"/>
    <w:rsid w:val="00EA47AE"/>
    <w:rsid w:val="00EA4F6E"/>
    <w:rsid w:val="00EA5D3B"/>
    <w:rsid w:val="00EA5F4D"/>
    <w:rsid w:val="00EA7525"/>
    <w:rsid w:val="00EA77D8"/>
    <w:rsid w:val="00EA7936"/>
    <w:rsid w:val="00EA7B43"/>
    <w:rsid w:val="00EA7C44"/>
    <w:rsid w:val="00EB0C02"/>
    <w:rsid w:val="00EB1066"/>
    <w:rsid w:val="00EB1C29"/>
    <w:rsid w:val="00EB3042"/>
    <w:rsid w:val="00EB33A3"/>
    <w:rsid w:val="00EB63F6"/>
    <w:rsid w:val="00EC28BA"/>
    <w:rsid w:val="00EC2A3D"/>
    <w:rsid w:val="00EC336F"/>
    <w:rsid w:val="00EC3995"/>
    <w:rsid w:val="00EC478B"/>
    <w:rsid w:val="00EC5033"/>
    <w:rsid w:val="00EC55FE"/>
    <w:rsid w:val="00EC5A4B"/>
    <w:rsid w:val="00EC5F48"/>
    <w:rsid w:val="00EC7278"/>
    <w:rsid w:val="00EC749A"/>
    <w:rsid w:val="00EC793C"/>
    <w:rsid w:val="00ED0AEA"/>
    <w:rsid w:val="00ED0BE1"/>
    <w:rsid w:val="00ED1E3F"/>
    <w:rsid w:val="00ED1FCF"/>
    <w:rsid w:val="00ED2B5B"/>
    <w:rsid w:val="00ED338B"/>
    <w:rsid w:val="00ED352F"/>
    <w:rsid w:val="00ED3AC9"/>
    <w:rsid w:val="00ED40D8"/>
    <w:rsid w:val="00ED4C3B"/>
    <w:rsid w:val="00ED4FE0"/>
    <w:rsid w:val="00ED5179"/>
    <w:rsid w:val="00ED65CB"/>
    <w:rsid w:val="00ED6658"/>
    <w:rsid w:val="00ED7698"/>
    <w:rsid w:val="00ED7BBF"/>
    <w:rsid w:val="00EE0AEE"/>
    <w:rsid w:val="00EE0B4F"/>
    <w:rsid w:val="00EE113C"/>
    <w:rsid w:val="00EE2814"/>
    <w:rsid w:val="00EE4250"/>
    <w:rsid w:val="00EE4553"/>
    <w:rsid w:val="00EE51E9"/>
    <w:rsid w:val="00EE5ED5"/>
    <w:rsid w:val="00EE5F18"/>
    <w:rsid w:val="00EE6444"/>
    <w:rsid w:val="00EE6A60"/>
    <w:rsid w:val="00EE7B1B"/>
    <w:rsid w:val="00EF0095"/>
    <w:rsid w:val="00EF0F5D"/>
    <w:rsid w:val="00EF1022"/>
    <w:rsid w:val="00EF1906"/>
    <w:rsid w:val="00EF326A"/>
    <w:rsid w:val="00EF39AD"/>
    <w:rsid w:val="00EF5442"/>
    <w:rsid w:val="00EF634E"/>
    <w:rsid w:val="00EF6856"/>
    <w:rsid w:val="00EF71C9"/>
    <w:rsid w:val="00EF789B"/>
    <w:rsid w:val="00EF7D58"/>
    <w:rsid w:val="00F0022D"/>
    <w:rsid w:val="00F00B9F"/>
    <w:rsid w:val="00F00CBD"/>
    <w:rsid w:val="00F011D7"/>
    <w:rsid w:val="00F018BF"/>
    <w:rsid w:val="00F02179"/>
    <w:rsid w:val="00F02DE2"/>
    <w:rsid w:val="00F02F60"/>
    <w:rsid w:val="00F02F70"/>
    <w:rsid w:val="00F032BB"/>
    <w:rsid w:val="00F036B9"/>
    <w:rsid w:val="00F04CA9"/>
    <w:rsid w:val="00F04EB1"/>
    <w:rsid w:val="00F069A2"/>
    <w:rsid w:val="00F071F5"/>
    <w:rsid w:val="00F106C4"/>
    <w:rsid w:val="00F10C6B"/>
    <w:rsid w:val="00F11AA3"/>
    <w:rsid w:val="00F12321"/>
    <w:rsid w:val="00F128F1"/>
    <w:rsid w:val="00F12CBD"/>
    <w:rsid w:val="00F13742"/>
    <w:rsid w:val="00F137B6"/>
    <w:rsid w:val="00F16688"/>
    <w:rsid w:val="00F16E72"/>
    <w:rsid w:val="00F2059E"/>
    <w:rsid w:val="00F2095C"/>
    <w:rsid w:val="00F21015"/>
    <w:rsid w:val="00F216D8"/>
    <w:rsid w:val="00F21CEF"/>
    <w:rsid w:val="00F21EF2"/>
    <w:rsid w:val="00F220F8"/>
    <w:rsid w:val="00F22257"/>
    <w:rsid w:val="00F22998"/>
    <w:rsid w:val="00F232A4"/>
    <w:rsid w:val="00F23564"/>
    <w:rsid w:val="00F23AA8"/>
    <w:rsid w:val="00F23D6D"/>
    <w:rsid w:val="00F23EDD"/>
    <w:rsid w:val="00F2415C"/>
    <w:rsid w:val="00F24958"/>
    <w:rsid w:val="00F256A1"/>
    <w:rsid w:val="00F25A94"/>
    <w:rsid w:val="00F25F70"/>
    <w:rsid w:val="00F269B3"/>
    <w:rsid w:val="00F27E7F"/>
    <w:rsid w:val="00F30038"/>
    <w:rsid w:val="00F30520"/>
    <w:rsid w:val="00F30BC8"/>
    <w:rsid w:val="00F32257"/>
    <w:rsid w:val="00F32585"/>
    <w:rsid w:val="00F3354B"/>
    <w:rsid w:val="00F33794"/>
    <w:rsid w:val="00F33EA7"/>
    <w:rsid w:val="00F343D8"/>
    <w:rsid w:val="00F347B1"/>
    <w:rsid w:val="00F34DD1"/>
    <w:rsid w:val="00F37293"/>
    <w:rsid w:val="00F37A95"/>
    <w:rsid w:val="00F4236E"/>
    <w:rsid w:val="00F42391"/>
    <w:rsid w:val="00F4266A"/>
    <w:rsid w:val="00F4272F"/>
    <w:rsid w:val="00F42F46"/>
    <w:rsid w:val="00F43397"/>
    <w:rsid w:val="00F439D8"/>
    <w:rsid w:val="00F43CE9"/>
    <w:rsid w:val="00F445E0"/>
    <w:rsid w:val="00F44CB5"/>
    <w:rsid w:val="00F45790"/>
    <w:rsid w:val="00F45916"/>
    <w:rsid w:val="00F47217"/>
    <w:rsid w:val="00F47DAA"/>
    <w:rsid w:val="00F50111"/>
    <w:rsid w:val="00F50BBB"/>
    <w:rsid w:val="00F513BC"/>
    <w:rsid w:val="00F517A9"/>
    <w:rsid w:val="00F52C25"/>
    <w:rsid w:val="00F531AA"/>
    <w:rsid w:val="00F53FA6"/>
    <w:rsid w:val="00F547BF"/>
    <w:rsid w:val="00F54B46"/>
    <w:rsid w:val="00F56DD9"/>
    <w:rsid w:val="00F6032C"/>
    <w:rsid w:val="00F6067F"/>
    <w:rsid w:val="00F606C9"/>
    <w:rsid w:val="00F607B1"/>
    <w:rsid w:val="00F612BF"/>
    <w:rsid w:val="00F619FE"/>
    <w:rsid w:val="00F62B91"/>
    <w:rsid w:val="00F62DE5"/>
    <w:rsid w:val="00F6385C"/>
    <w:rsid w:val="00F63EB2"/>
    <w:rsid w:val="00F6421F"/>
    <w:rsid w:val="00F64C7D"/>
    <w:rsid w:val="00F64E71"/>
    <w:rsid w:val="00F65884"/>
    <w:rsid w:val="00F65E29"/>
    <w:rsid w:val="00F66965"/>
    <w:rsid w:val="00F67B8B"/>
    <w:rsid w:val="00F67FC0"/>
    <w:rsid w:val="00F70125"/>
    <w:rsid w:val="00F70A1E"/>
    <w:rsid w:val="00F70C9E"/>
    <w:rsid w:val="00F7412A"/>
    <w:rsid w:val="00F744CD"/>
    <w:rsid w:val="00F746F4"/>
    <w:rsid w:val="00F75059"/>
    <w:rsid w:val="00F75142"/>
    <w:rsid w:val="00F76207"/>
    <w:rsid w:val="00F80C57"/>
    <w:rsid w:val="00F81506"/>
    <w:rsid w:val="00F82905"/>
    <w:rsid w:val="00F82BD8"/>
    <w:rsid w:val="00F82DE7"/>
    <w:rsid w:val="00F83F9E"/>
    <w:rsid w:val="00F84A59"/>
    <w:rsid w:val="00F86929"/>
    <w:rsid w:val="00F87DD0"/>
    <w:rsid w:val="00F87E8A"/>
    <w:rsid w:val="00F9189E"/>
    <w:rsid w:val="00F92CF4"/>
    <w:rsid w:val="00F933D3"/>
    <w:rsid w:val="00F938B7"/>
    <w:rsid w:val="00F942FC"/>
    <w:rsid w:val="00F97329"/>
    <w:rsid w:val="00FA0017"/>
    <w:rsid w:val="00FA064F"/>
    <w:rsid w:val="00FA0906"/>
    <w:rsid w:val="00FA210E"/>
    <w:rsid w:val="00FA21FC"/>
    <w:rsid w:val="00FA3A53"/>
    <w:rsid w:val="00FA3B0F"/>
    <w:rsid w:val="00FA4339"/>
    <w:rsid w:val="00FA43FE"/>
    <w:rsid w:val="00FA4545"/>
    <w:rsid w:val="00FA4AAA"/>
    <w:rsid w:val="00FA6205"/>
    <w:rsid w:val="00FA6A56"/>
    <w:rsid w:val="00FA7152"/>
    <w:rsid w:val="00FB1E73"/>
    <w:rsid w:val="00FB339F"/>
    <w:rsid w:val="00FB4874"/>
    <w:rsid w:val="00FB522B"/>
    <w:rsid w:val="00FB63D0"/>
    <w:rsid w:val="00FB76E6"/>
    <w:rsid w:val="00FC020F"/>
    <w:rsid w:val="00FC02B1"/>
    <w:rsid w:val="00FC0560"/>
    <w:rsid w:val="00FC14E0"/>
    <w:rsid w:val="00FC1D64"/>
    <w:rsid w:val="00FC2E9A"/>
    <w:rsid w:val="00FC37C4"/>
    <w:rsid w:val="00FC518D"/>
    <w:rsid w:val="00FC685D"/>
    <w:rsid w:val="00FD1A5D"/>
    <w:rsid w:val="00FD22B5"/>
    <w:rsid w:val="00FD2B81"/>
    <w:rsid w:val="00FD3385"/>
    <w:rsid w:val="00FD3800"/>
    <w:rsid w:val="00FD56C3"/>
    <w:rsid w:val="00FD58F1"/>
    <w:rsid w:val="00FD639E"/>
    <w:rsid w:val="00FD75A7"/>
    <w:rsid w:val="00FD7995"/>
    <w:rsid w:val="00FD7BAB"/>
    <w:rsid w:val="00FD7D27"/>
    <w:rsid w:val="00FE0CA2"/>
    <w:rsid w:val="00FE115E"/>
    <w:rsid w:val="00FE141B"/>
    <w:rsid w:val="00FE17C9"/>
    <w:rsid w:val="00FE286D"/>
    <w:rsid w:val="00FE2E94"/>
    <w:rsid w:val="00FE3DF8"/>
    <w:rsid w:val="00FE4099"/>
    <w:rsid w:val="00FE423E"/>
    <w:rsid w:val="00FE42D3"/>
    <w:rsid w:val="00FE4A9A"/>
    <w:rsid w:val="00FE4DA6"/>
    <w:rsid w:val="00FE4FA7"/>
    <w:rsid w:val="00FE67F9"/>
    <w:rsid w:val="00FE6E8A"/>
    <w:rsid w:val="00FE7F2E"/>
    <w:rsid w:val="00FF06CF"/>
    <w:rsid w:val="00FF07D5"/>
    <w:rsid w:val="00FF0BB7"/>
    <w:rsid w:val="00FF11A1"/>
    <w:rsid w:val="00FF1590"/>
    <w:rsid w:val="00FF1CE4"/>
    <w:rsid w:val="00FF2026"/>
    <w:rsid w:val="00FF2FE9"/>
    <w:rsid w:val="00FF31AA"/>
    <w:rsid w:val="00FF34FB"/>
    <w:rsid w:val="00FF3F9F"/>
    <w:rsid w:val="00FF445D"/>
    <w:rsid w:val="00FF4E18"/>
    <w:rsid w:val="00FF57D6"/>
    <w:rsid w:val="00FF5FD1"/>
    <w:rsid w:val="00FF75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803CE"/>
  <w14:defaultImageDpi w14:val="32767"/>
  <w15:chartTrackingRefBased/>
  <w15:docId w15:val="{EEAF141A-9ED2-0C47-A171-78BE1CE2F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13313"/>
    <w:rPr>
      <w:rFonts w:ascii="Times New Roman" w:eastAsia="Times New Roman" w:hAnsi="Times New Roman" w:cs="Times New Roman"/>
      <w:lang w:eastAsia="ru-RU"/>
    </w:rPr>
  </w:style>
  <w:style w:type="paragraph" w:styleId="1">
    <w:name w:val="heading 1"/>
    <w:basedOn w:val="a"/>
    <w:next w:val="a"/>
    <w:link w:val="10"/>
    <w:uiPriority w:val="9"/>
    <w:qFormat/>
    <w:rsid w:val="00BC2569"/>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link w:val="20"/>
    <w:uiPriority w:val="9"/>
    <w:qFormat/>
    <w:rsid w:val="007F2A19"/>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C919D8"/>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ПАРАГРАФ"/>
    <w:basedOn w:val="a"/>
    <w:link w:val="a4"/>
    <w:uiPriority w:val="34"/>
    <w:qFormat/>
    <w:rsid w:val="00B3216A"/>
    <w:pPr>
      <w:spacing w:after="200" w:line="276" w:lineRule="auto"/>
      <w:ind w:left="720"/>
      <w:contextualSpacing/>
    </w:pPr>
    <w:rPr>
      <w:rFonts w:ascii="Calibri" w:eastAsia="Calibri" w:hAnsi="Calibri"/>
      <w:sz w:val="22"/>
      <w:szCs w:val="22"/>
      <w:lang w:eastAsia="en-US"/>
    </w:rPr>
  </w:style>
  <w:style w:type="paragraph" w:styleId="a5">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
    <w:basedOn w:val="a"/>
    <w:link w:val="a6"/>
    <w:uiPriority w:val="99"/>
    <w:unhideWhenUsed/>
    <w:qFormat/>
    <w:rsid w:val="000C747C"/>
    <w:pPr>
      <w:spacing w:before="100" w:beforeAutospacing="1" w:after="100" w:afterAutospacing="1"/>
    </w:pPr>
  </w:style>
  <w:style w:type="paragraph" w:styleId="a7">
    <w:name w:val="No Spacing"/>
    <w:uiPriority w:val="1"/>
    <w:qFormat/>
    <w:rsid w:val="007F2A19"/>
    <w:rPr>
      <w:rFonts w:ascii="Times New Roman" w:eastAsia="Times New Roman" w:hAnsi="Times New Roman" w:cs="Times New Roman"/>
      <w:lang w:eastAsia="ru-RU"/>
    </w:rPr>
  </w:style>
  <w:style w:type="character" w:customStyle="1" w:styleId="20">
    <w:name w:val="Заголовок 2 Знак"/>
    <w:basedOn w:val="a0"/>
    <w:link w:val="2"/>
    <w:uiPriority w:val="9"/>
    <w:rsid w:val="007F2A19"/>
    <w:rPr>
      <w:rFonts w:ascii="Times New Roman" w:eastAsia="Times New Roman" w:hAnsi="Times New Roman" w:cs="Times New Roman"/>
      <w:b/>
      <w:bCs/>
      <w:sz w:val="36"/>
      <w:szCs w:val="36"/>
      <w:lang w:eastAsia="ru-RU"/>
    </w:rPr>
  </w:style>
  <w:style w:type="character" w:styleId="a8">
    <w:name w:val="Hyperlink"/>
    <w:basedOn w:val="a0"/>
    <w:uiPriority w:val="99"/>
    <w:unhideWhenUsed/>
    <w:rsid w:val="003055EC"/>
    <w:rPr>
      <w:color w:val="0000FF"/>
      <w:u w:val="single"/>
    </w:rPr>
  </w:style>
  <w:style w:type="paragraph" w:styleId="HTML">
    <w:name w:val="HTML Preformatted"/>
    <w:basedOn w:val="a"/>
    <w:link w:val="HTML0"/>
    <w:uiPriority w:val="99"/>
    <w:unhideWhenUsed/>
    <w:rsid w:val="0056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rPr>
  </w:style>
  <w:style w:type="character" w:customStyle="1" w:styleId="HTML0">
    <w:name w:val="Стандартный HTML Знак"/>
    <w:basedOn w:val="a0"/>
    <w:link w:val="HTML"/>
    <w:uiPriority w:val="99"/>
    <w:rsid w:val="00561875"/>
    <w:rPr>
      <w:rFonts w:ascii="Courier New" w:eastAsia="Times New Roman" w:hAnsi="Courier New" w:cs="Courier New"/>
      <w:lang w:eastAsia="ru-RU"/>
    </w:rPr>
  </w:style>
  <w:style w:type="table" w:styleId="a9">
    <w:name w:val="Table Grid"/>
    <w:basedOn w:val="a1"/>
    <w:uiPriority w:val="59"/>
    <w:rsid w:val="00561875"/>
    <w:pPr>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52633"/>
    <w:pPr>
      <w:tabs>
        <w:tab w:val="center" w:pos="4677"/>
        <w:tab w:val="right" w:pos="9355"/>
      </w:tabs>
    </w:pPr>
    <w:rPr>
      <w:b/>
      <w:bCs/>
      <w:sz w:val="28"/>
      <w:szCs w:val="28"/>
    </w:rPr>
  </w:style>
  <w:style w:type="character" w:customStyle="1" w:styleId="ab">
    <w:name w:val="Верхний колонтитул Знак"/>
    <w:basedOn w:val="a0"/>
    <w:link w:val="aa"/>
    <w:uiPriority w:val="99"/>
    <w:rsid w:val="00352633"/>
    <w:rPr>
      <w:rFonts w:ascii="Times New Roman" w:eastAsia="Times New Roman" w:hAnsi="Times New Roman" w:cs="Times New Roman"/>
      <w:b/>
      <w:bCs/>
      <w:sz w:val="28"/>
      <w:szCs w:val="28"/>
      <w:lang w:eastAsia="ru-RU"/>
    </w:rPr>
  </w:style>
  <w:style w:type="paragraph" w:styleId="ac">
    <w:name w:val="footer"/>
    <w:basedOn w:val="a"/>
    <w:link w:val="ad"/>
    <w:uiPriority w:val="99"/>
    <w:unhideWhenUsed/>
    <w:rsid w:val="00352633"/>
    <w:pPr>
      <w:tabs>
        <w:tab w:val="center" w:pos="4677"/>
        <w:tab w:val="right" w:pos="9355"/>
      </w:tabs>
    </w:pPr>
    <w:rPr>
      <w:b/>
      <w:bCs/>
      <w:sz w:val="28"/>
      <w:szCs w:val="28"/>
    </w:rPr>
  </w:style>
  <w:style w:type="character" w:customStyle="1" w:styleId="ad">
    <w:name w:val="Нижний колонтитул Знак"/>
    <w:basedOn w:val="a0"/>
    <w:link w:val="ac"/>
    <w:uiPriority w:val="99"/>
    <w:rsid w:val="00352633"/>
    <w:rPr>
      <w:rFonts w:ascii="Times New Roman" w:eastAsia="Times New Roman" w:hAnsi="Times New Roman" w:cs="Times New Roman"/>
      <w:b/>
      <w:bCs/>
      <w:sz w:val="28"/>
      <w:szCs w:val="28"/>
      <w:lang w:eastAsia="ru-RU"/>
    </w:rPr>
  </w:style>
  <w:style w:type="character" w:styleId="ae">
    <w:name w:val="FollowedHyperlink"/>
    <w:basedOn w:val="a0"/>
    <w:uiPriority w:val="99"/>
    <w:semiHidden/>
    <w:unhideWhenUsed/>
    <w:rsid w:val="00391431"/>
    <w:rPr>
      <w:color w:val="954F72" w:themeColor="followedHyperlink"/>
      <w:u w:val="single"/>
    </w:rPr>
  </w:style>
  <w:style w:type="character" w:customStyle="1" w:styleId="apple-converted-space">
    <w:name w:val="apple-converted-space"/>
    <w:basedOn w:val="a0"/>
    <w:rsid w:val="002D55CD"/>
  </w:style>
  <w:style w:type="character" w:customStyle="1" w:styleId="word">
    <w:name w:val="word"/>
    <w:basedOn w:val="a0"/>
    <w:rsid w:val="00F547BF"/>
  </w:style>
  <w:style w:type="character" w:customStyle="1" w:styleId="spelle">
    <w:name w:val="spelle"/>
    <w:basedOn w:val="a0"/>
    <w:rsid w:val="00EA2C8E"/>
  </w:style>
  <w:style w:type="paragraph" w:styleId="af">
    <w:name w:val="Body Text"/>
    <w:basedOn w:val="a"/>
    <w:link w:val="af0"/>
    <w:uiPriority w:val="99"/>
    <w:unhideWhenUsed/>
    <w:rsid w:val="00EA2C8E"/>
    <w:pPr>
      <w:spacing w:before="100" w:beforeAutospacing="1" w:after="100" w:afterAutospacing="1"/>
    </w:pPr>
  </w:style>
  <w:style w:type="character" w:customStyle="1" w:styleId="af0">
    <w:name w:val="Основной текст Знак"/>
    <w:basedOn w:val="a0"/>
    <w:link w:val="af"/>
    <w:uiPriority w:val="99"/>
    <w:rsid w:val="00EA2C8E"/>
    <w:rPr>
      <w:rFonts w:ascii="Times New Roman" w:eastAsia="Times New Roman" w:hAnsi="Times New Roman" w:cs="Times New Roman"/>
      <w:lang w:eastAsia="ru-RU"/>
    </w:rPr>
  </w:style>
  <w:style w:type="character" w:customStyle="1" w:styleId="grame">
    <w:name w:val="grame"/>
    <w:basedOn w:val="a0"/>
    <w:rsid w:val="004D575B"/>
  </w:style>
  <w:style w:type="character" w:styleId="af1">
    <w:name w:val="Emphasis"/>
    <w:basedOn w:val="a0"/>
    <w:uiPriority w:val="20"/>
    <w:qFormat/>
    <w:rsid w:val="00650853"/>
    <w:rPr>
      <w:i/>
      <w:iCs/>
    </w:rPr>
  </w:style>
  <w:style w:type="character" w:customStyle="1" w:styleId="Footnote">
    <w:name w:val="Footnote_"/>
    <w:basedOn w:val="a0"/>
    <w:rsid w:val="00E52616"/>
    <w:rPr>
      <w:rFonts w:ascii="Times New Roman" w:eastAsia="Times New Roman" w:hAnsi="Times New Roman" w:cs="Times New Roman"/>
      <w:b w:val="0"/>
      <w:bCs w:val="0"/>
      <w:i w:val="0"/>
      <w:iCs w:val="0"/>
      <w:smallCaps w:val="0"/>
      <w:strike w:val="0"/>
      <w:sz w:val="13"/>
      <w:szCs w:val="13"/>
      <w:u w:val="none"/>
    </w:rPr>
  </w:style>
  <w:style w:type="character" w:customStyle="1" w:styleId="FootnoteItalic">
    <w:name w:val="Footnote + Italic"/>
    <w:basedOn w:val="Footnote"/>
    <w:rsid w:val="00E52616"/>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Footnote2">
    <w:name w:val="Footnote (2)_"/>
    <w:basedOn w:val="a0"/>
    <w:link w:val="Footnote20"/>
    <w:rsid w:val="00E52616"/>
    <w:rPr>
      <w:rFonts w:ascii="Times New Roman" w:eastAsia="Times New Roman" w:hAnsi="Times New Roman" w:cs="Times New Roman"/>
      <w:i/>
      <w:iCs/>
      <w:sz w:val="13"/>
      <w:szCs w:val="13"/>
      <w:shd w:val="clear" w:color="auto" w:fill="FFFFFF"/>
    </w:rPr>
  </w:style>
  <w:style w:type="character" w:customStyle="1" w:styleId="Footnote2NotItalic">
    <w:name w:val="Footnote (2) + Not Italic"/>
    <w:basedOn w:val="Footnote2"/>
    <w:rsid w:val="00E52616"/>
    <w:rPr>
      <w:rFonts w:ascii="Times New Roman" w:eastAsia="Times New Roman" w:hAnsi="Times New Roman" w:cs="Times New Roman"/>
      <w:i/>
      <w:iCs/>
      <w:color w:val="000000"/>
      <w:w w:val="100"/>
      <w:position w:val="0"/>
      <w:sz w:val="13"/>
      <w:szCs w:val="13"/>
      <w:shd w:val="clear" w:color="auto" w:fill="FFFFFF"/>
      <w:lang w:val="en-US" w:eastAsia="en-US" w:bidi="en-US"/>
    </w:rPr>
  </w:style>
  <w:style w:type="character" w:customStyle="1" w:styleId="Footnote0">
    <w:name w:val="Footnote"/>
    <w:basedOn w:val="Footnote"/>
    <w:rsid w:val="00E52616"/>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en-US" w:eastAsia="en-US" w:bidi="en-US"/>
    </w:rPr>
  </w:style>
  <w:style w:type="character" w:customStyle="1" w:styleId="Footnote28ptNotItalic">
    <w:name w:val="Footnote (2) + 8 pt;Not Italic"/>
    <w:basedOn w:val="Footnote2"/>
    <w:rsid w:val="00E52616"/>
    <w:rPr>
      <w:rFonts w:ascii="Times New Roman" w:eastAsia="Times New Roman" w:hAnsi="Times New Roman" w:cs="Times New Roman"/>
      <w:i/>
      <w:iCs/>
      <w:color w:val="000000"/>
      <w:w w:val="100"/>
      <w:position w:val="0"/>
      <w:sz w:val="16"/>
      <w:szCs w:val="16"/>
      <w:u w:val="single"/>
      <w:shd w:val="clear" w:color="auto" w:fill="FFFFFF"/>
      <w:lang w:val="en-US" w:eastAsia="en-US" w:bidi="en-US"/>
    </w:rPr>
  </w:style>
  <w:style w:type="character" w:customStyle="1" w:styleId="Bodytext2">
    <w:name w:val="Body text (2)_"/>
    <w:basedOn w:val="a0"/>
    <w:link w:val="Bodytext20"/>
    <w:rsid w:val="00E52616"/>
    <w:rPr>
      <w:rFonts w:ascii="Times New Roman" w:eastAsia="Times New Roman" w:hAnsi="Times New Roman" w:cs="Times New Roman"/>
      <w:sz w:val="16"/>
      <w:szCs w:val="16"/>
      <w:shd w:val="clear" w:color="auto" w:fill="FFFFFF"/>
    </w:rPr>
  </w:style>
  <w:style w:type="character" w:customStyle="1" w:styleId="Bodytext2Italic">
    <w:name w:val="Body text (2) + Italic"/>
    <w:basedOn w:val="Bodytext2"/>
    <w:rsid w:val="00E52616"/>
    <w:rPr>
      <w:rFonts w:ascii="Times New Roman" w:eastAsia="Times New Roman" w:hAnsi="Times New Roman" w:cs="Times New Roman"/>
      <w:i/>
      <w:iCs/>
      <w:color w:val="000000"/>
      <w:spacing w:val="0"/>
      <w:w w:val="100"/>
      <w:position w:val="0"/>
      <w:sz w:val="16"/>
      <w:szCs w:val="16"/>
      <w:shd w:val="clear" w:color="auto" w:fill="FFFFFF"/>
      <w:lang w:val="en-US" w:eastAsia="en-US" w:bidi="en-US"/>
    </w:rPr>
  </w:style>
  <w:style w:type="paragraph" w:customStyle="1" w:styleId="Footnote20">
    <w:name w:val="Footnote (2)"/>
    <w:basedOn w:val="a"/>
    <w:link w:val="Footnote2"/>
    <w:rsid w:val="00E52616"/>
    <w:pPr>
      <w:widowControl w:val="0"/>
      <w:shd w:val="clear" w:color="auto" w:fill="FFFFFF"/>
      <w:spacing w:line="165" w:lineRule="exact"/>
      <w:jc w:val="both"/>
    </w:pPr>
    <w:rPr>
      <w:i/>
      <w:iCs/>
      <w:sz w:val="13"/>
      <w:szCs w:val="13"/>
      <w:lang w:eastAsia="en-US"/>
    </w:rPr>
  </w:style>
  <w:style w:type="paragraph" w:customStyle="1" w:styleId="Bodytext20">
    <w:name w:val="Body text (2)"/>
    <w:basedOn w:val="a"/>
    <w:link w:val="Bodytext2"/>
    <w:rsid w:val="00E52616"/>
    <w:pPr>
      <w:widowControl w:val="0"/>
      <w:shd w:val="clear" w:color="auto" w:fill="FFFFFF"/>
      <w:spacing w:after="60" w:line="393" w:lineRule="exact"/>
      <w:ind w:hanging="320"/>
      <w:jc w:val="both"/>
    </w:pPr>
    <w:rPr>
      <w:sz w:val="16"/>
      <w:szCs w:val="16"/>
      <w:lang w:eastAsia="en-US"/>
    </w:rPr>
  </w:style>
  <w:style w:type="character" w:customStyle="1" w:styleId="FootnoteCalibriBold">
    <w:name w:val="Footnote + Calibri;Bold"/>
    <w:basedOn w:val="Footnote"/>
    <w:rsid w:val="00DA2869"/>
    <w:rPr>
      <w:rFonts w:ascii="Calibri" w:eastAsia="Calibri" w:hAnsi="Calibri" w:cs="Calibri"/>
      <w:b/>
      <w:bCs/>
      <w:i w:val="0"/>
      <w:iCs w:val="0"/>
      <w:smallCaps w:val="0"/>
      <w:strike w:val="0"/>
      <w:color w:val="000000"/>
      <w:spacing w:val="0"/>
      <w:w w:val="100"/>
      <w:position w:val="0"/>
      <w:sz w:val="13"/>
      <w:szCs w:val="13"/>
      <w:u w:val="none"/>
      <w:lang w:val="en-US" w:eastAsia="en-US" w:bidi="en-US"/>
    </w:rPr>
  </w:style>
  <w:style w:type="character" w:customStyle="1" w:styleId="Footnote3">
    <w:name w:val="Footnote (3)_"/>
    <w:basedOn w:val="a0"/>
    <w:rsid w:val="00DA2869"/>
    <w:rPr>
      <w:rFonts w:ascii="Calibri" w:eastAsia="Calibri" w:hAnsi="Calibri" w:cs="Calibri"/>
      <w:b/>
      <w:bCs/>
      <w:i w:val="0"/>
      <w:iCs w:val="0"/>
      <w:smallCaps w:val="0"/>
      <w:strike w:val="0"/>
      <w:sz w:val="13"/>
      <w:szCs w:val="13"/>
      <w:u w:val="none"/>
    </w:rPr>
  </w:style>
  <w:style w:type="character" w:customStyle="1" w:styleId="Footnote30">
    <w:name w:val="Footnote (3)"/>
    <w:basedOn w:val="Footnote3"/>
    <w:rsid w:val="00DA2869"/>
    <w:rPr>
      <w:rFonts w:ascii="Calibri" w:eastAsia="Calibri" w:hAnsi="Calibri" w:cs="Calibri"/>
      <w:b/>
      <w:bCs/>
      <w:i w:val="0"/>
      <w:iCs w:val="0"/>
      <w:smallCaps w:val="0"/>
      <w:strike w:val="0"/>
      <w:color w:val="000000"/>
      <w:spacing w:val="0"/>
      <w:w w:val="100"/>
      <w:position w:val="0"/>
      <w:sz w:val="13"/>
      <w:szCs w:val="13"/>
      <w:u w:val="single"/>
      <w:lang w:val="en-US" w:eastAsia="en-US" w:bidi="en-US"/>
    </w:rPr>
  </w:style>
  <w:style w:type="character" w:customStyle="1" w:styleId="Footnote4">
    <w:name w:val="Footnote (4)_"/>
    <w:basedOn w:val="a0"/>
    <w:link w:val="Footnote40"/>
    <w:rsid w:val="00DA2869"/>
    <w:rPr>
      <w:rFonts w:ascii="Times New Roman" w:eastAsia="Times New Roman" w:hAnsi="Times New Roman" w:cs="Times New Roman"/>
      <w:sz w:val="10"/>
      <w:szCs w:val="10"/>
      <w:shd w:val="clear" w:color="auto" w:fill="FFFFFF"/>
    </w:rPr>
  </w:style>
  <w:style w:type="character" w:customStyle="1" w:styleId="Footnote4SmallCaps">
    <w:name w:val="Footnote (4) + Small Caps"/>
    <w:basedOn w:val="Footnote4"/>
    <w:rsid w:val="00DA2869"/>
    <w:rPr>
      <w:rFonts w:ascii="Times New Roman" w:eastAsia="Times New Roman" w:hAnsi="Times New Roman" w:cs="Times New Roman"/>
      <w:smallCaps/>
      <w:color w:val="000000"/>
      <w:spacing w:val="0"/>
      <w:w w:val="100"/>
      <w:position w:val="0"/>
      <w:sz w:val="10"/>
      <w:szCs w:val="10"/>
      <w:shd w:val="clear" w:color="auto" w:fill="FFFFFF"/>
      <w:lang w:val="en-US" w:eastAsia="en-US" w:bidi="en-US"/>
    </w:rPr>
  </w:style>
  <w:style w:type="character" w:customStyle="1" w:styleId="Footnote4ItalicSpacing0pt">
    <w:name w:val="Footnote (4) + Italic;Spacing 0 pt"/>
    <w:basedOn w:val="Footnote4"/>
    <w:rsid w:val="00DA2869"/>
    <w:rPr>
      <w:rFonts w:ascii="Times New Roman" w:eastAsia="Times New Roman" w:hAnsi="Times New Roman" w:cs="Times New Roman"/>
      <w:i/>
      <w:iCs/>
      <w:color w:val="000000"/>
      <w:spacing w:val="-10"/>
      <w:w w:val="100"/>
      <w:position w:val="0"/>
      <w:sz w:val="10"/>
      <w:szCs w:val="10"/>
      <w:shd w:val="clear" w:color="auto" w:fill="FFFFFF"/>
      <w:lang w:val="en-US" w:eastAsia="en-US" w:bidi="en-US"/>
    </w:rPr>
  </w:style>
  <w:style w:type="character" w:customStyle="1" w:styleId="Footnote5">
    <w:name w:val="Footnote (5)_"/>
    <w:basedOn w:val="a0"/>
    <w:link w:val="Footnote50"/>
    <w:rsid w:val="00DA2869"/>
    <w:rPr>
      <w:rFonts w:ascii="Times New Roman" w:eastAsia="Times New Roman" w:hAnsi="Times New Roman" w:cs="Times New Roman"/>
      <w:sz w:val="15"/>
      <w:szCs w:val="15"/>
      <w:shd w:val="clear" w:color="auto" w:fill="FFFFFF"/>
    </w:rPr>
  </w:style>
  <w:style w:type="character" w:customStyle="1" w:styleId="Footnote5Spacing5pt">
    <w:name w:val="Footnote (5) + Spacing 5 pt"/>
    <w:basedOn w:val="Footnote5"/>
    <w:rsid w:val="00DA2869"/>
    <w:rPr>
      <w:rFonts w:ascii="Times New Roman" w:eastAsia="Times New Roman" w:hAnsi="Times New Roman" w:cs="Times New Roman"/>
      <w:color w:val="000000"/>
      <w:spacing w:val="100"/>
      <w:w w:val="100"/>
      <w:position w:val="0"/>
      <w:sz w:val="15"/>
      <w:szCs w:val="15"/>
      <w:shd w:val="clear" w:color="auto" w:fill="FFFFFF"/>
      <w:lang w:val="en-US" w:eastAsia="en-US" w:bidi="en-US"/>
    </w:rPr>
  </w:style>
  <w:style w:type="character" w:customStyle="1" w:styleId="Footnote5ItalicSmallCaps">
    <w:name w:val="Footnote (5) + Italic;Small Caps"/>
    <w:basedOn w:val="Footnote5"/>
    <w:rsid w:val="00DA2869"/>
    <w:rPr>
      <w:rFonts w:ascii="Times New Roman" w:eastAsia="Times New Roman" w:hAnsi="Times New Roman" w:cs="Times New Roman"/>
      <w:i/>
      <w:iCs/>
      <w:smallCaps/>
      <w:color w:val="000000"/>
      <w:spacing w:val="0"/>
      <w:w w:val="100"/>
      <w:position w:val="0"/>
      <w:sz w:val="15"/>
      <w:szCs w:val="15"/>
      <w:shd w:val="clear" w:color="auto" w:fill="FFFFFF"/>
      <w:lang w:val="en-US" w:eastAsia="en-US" w:bidi="en-US"/>
    </w:rPr>
  </w:style>
  <w:style w:type="character" w:customStyle="1" w:styleId="Footnote5SmallCaps">
    <w:name w:val="Footnote (5) + Small Caps"/>
    <w:basedOn w:val="Footnote5"/>
    <w:rsid w:val="00DA2869"/>
    <w:rPr>
      <w:rFonts w:ascii="Times New Roman" w:eastAsia="Times New Roman" w:hAnsi="Times New Roman" w:cs="Times New Roman"/>
      <w:smallCaps/>
      <w:color w:val="000000"/>
      <w:spacing w:val="0"/>
      <w:w w:val="100"/>
      <w:position w:val="0"/>
      <w:sz w:val="15"/>
      <w:szCs w:val="15"/>
      <w:shd w:val="clear" w:color="auto" w:fill="FFFFFF"/>
      <w:lang w:val="ru-RU" w:eastAsia="ru-RU" w:bidi="ru-RU"/>
    </w:rPr>
  </w:style>
  <w:style w:type="paragraph" w:customStyle="1" w:styleId="Footnote40">
    <w:name w:val="Footnote (4)"/>
    <w:basedOn w:val="a"/>
    <w:link w:val="Footnote4"/>
    <w:rsid w:val="00DA2869"/>
    <w:pPr>
      <w:widowControl w:val="0"/>
      <w:shd w:val="clear" w:color="auto" w:fill="FFFFFF"/>
      <w:spacing w:line="0" w:lineRule="atLeast"/>
      <w:jc w:val="both"/>
    </w:pPr>
    <w:rPr>
      <w:sz w:val="10"/>
      <w:szCs w:val="10"/>
      <w:lang w:eastAsia="en-US"/>
    </w:rPr>
  </w:style>
  <w:style w:type="paragraph" w:customStyle="1" w:styleId="Footnote50">
    <w:name w:val="Footnote (5)"/>
    <w:basedOn w:val="a"/>
    <w:link w:val="Footnote5"/>
    <w:rsid w:val="00DA2869"/>
    <w:pPr>
      <w:widowControl w:val="0"/>
      <w:shd w:val="clear" w:color="auto" w:fill="FFFFFF"/>
      <w:spacing w:line="185" w:lineRule="exact"/>
      <w:jc w:val="both"/>
    </w:pPr>
    <w:rPr>
      <w:sz w:val="15"/>
      <w:szCs w:val="15"/>
      <w:lang w:eastAsia="en-US"/>
    </w:rPr>
  </w:style>
  <w:style w:type="character" w:styleId="af2">
    <w:name w:val="Placeholder Text"/>
    <w:basedOn w:val="a0"/>
    <w:uiPriority w:val="99"/>
    <w:semiHidden/>
    <w:rsid w:val="00157CE4"/>
    <w:rPr>
      <w:color w:val="808080"/>
    </w:rPr>
  </w:style>
  <w:style w:type="character" w:customStyle="1" w:styleId="11">
    <w:name w:val="Неразрешенное упоминание1"/>
    <w:basedOn w:val="a0"/>
    <w:uiPriority w:val="99"/>
    <w:rsid w:val="003072F2"/>
    <w:rPr>
      <w:color w:val="605E5C"/>
      <w:shd w:val="clear" w:color="auto" w:fill="E1DFDD"/>
    </w:rPr>
  </w:style>
  <w:style w:type="paragraph" w:styleId="af3">
    <w:name w:val="caption"/>
    <w:basedOn w:val="a"/>
    <w:next w:val="a"/>
    <w:uiPriority w:val="35"/>
    <w:unhideWhenUsed/>
    <w:qFormat/>
    <w:rsid w:val="00E94290"/>
    <w:pPr>
      <w:spacing w:after="200"/>
    </w:pPr>
    <w:rPr>
      <w:i/>
      <w:iCs/>
      <w:color w:val="44546A" w:themeColor="text2"/>
      <w:sz w:val="18"/>
      <w:szCs w:val="18"/>
    </w:rPr>
  </w:style>
  <w:style w:type="paragraph" w:customStyle="1" w:styleId="figurecaption">
    <w:name w:val="figure caption"/>
    <w:rsid w:val="00E2135F"/>
    <w:pPr>
      <w:numPr>
        <w:numId w:val="4"/>
      </w:numPr>
      <w:tabs>
        <w:tab w:val="left" w:pos="533"/>
      </w:tabs>
      <w:spacing w:before="80" w:after="200"/>
      <w:ind w:left="0" w:firstLine="0"/>
      <w:jc w:val="both"/>
    </w:pPr>
    <w:rPr>
      <w:rFonts w:ascii="Times New Roman" w:eastAsia="Times New Roman" w:hAnsi="Times New Roman" w:cs="Times New Roman"/>
      <w:noProof/>
      <w:sz w:val="16"/>
      <w:szCs w:val="16"/>
      <w:lang w:val="en-US"/>
    </w:rPr>
  </w:style>
  <w:style w:type="paragraph" w:customStyle="1" w:styleId="tablecolhead">
    <w:name w:val="table col head"/>
    <w:basedOn w:val="a"/>
    <w:uiPriority w:val="99"/>
    <w:rsid w:val="00E2135F"/>
    <w:pPr>
      <w:jc w:val="center"/>
    </w:pPr>
    <w:rPr>
      <w:b/>
      <w:bCs/>
      <w:sz w:val="16"/>
      <w:szCs w:val="16"/>
      <w:lang w:val="en-US" w:eastAsia="en-US"/>
    </w:rPr>
  </w:style>
  <w:style w:type="paragraph" w:customStyle="1" w:styleId="tablecopy">
    <w:name w:val="table copy"/>
    <w:uiPriority w:val="99"/>
    <w:rsid w:val="00E2135F"/>
    <w:pPr>
      <w:jc w:val="both"/>
    </w:pPr>
    <w:rPr>
      <w:rFonts w:ascii="Times New Roman" w:eastAsia="Times New Roman" w:hAnsi="Times New Roman" w:cs="Times New Roman"/>
      <w:noProof/>
      <w:sz w:val="16"/>
      <w:szCs w:val="16"/>
      <w:lang w:val="en-US"/>
    </w:rPr>
  </w:style>
  <w:style w:type="character" w:styleId="af4">
    <w:name w:val="footnote reference"/>
    <w:basedOn w:val="a0"/>
    <w:uiPriority w:val="99"/>
    <w:semiHidden/>
    <w:unhideWhenUsed/>
    <w:rsid w:val="00A7183D"/>
    <w:rPr>
      <w:vertAlign w:val="superscript"/>
    </w:rPr>
  </w:style>
  <w:style w:type="character" w:styleId="af5">
    <w:name w:val="Strong"/>
    <w:basedOn w:val="a0"/>
    <w:uiPriority w:val="22"/>
    <w:qFormat/>
    <w:rsid w:val="00A53A44"/>
    <w:rPr>
      <w:b/>
      <w:bCs/>
    </w:rPr>
  </w:style>
  <w:style w:type="character" w:customStyle="1" w:styleId="30">
    <w:name w:val="Заголовок 3 Знак"/>
    <w:basedOn w:val="a0"/>
    <w:link w:val="3"/>
    <w:uiPriority w:val="9"/>
    <w:rsid w:val="00C919D8"/>
    <w:rPr>
      <w:rFonts w:asciiTheme="majorHAnsi" w:eastAsiaTheme="majorEastAsia" w:hAnsiTheme="majorHAnsi" w:cstheme="majorBidi"/>
      <w:color w:val="1F3763" w:themeColor="accent1" w:themeShade="7F"/>
      <w:lang w:eastAsia="ru-RU"/>
    </w:rPr>
  </w:style>
  <w:style w:type="character" w:customStyle="1" w:styleId="mntl-sc-block-subheadingtext">
    <w:name w:val="mntl-sc-block-subheading__text"/>
    <w:basedOn w:val="a0"/>
    <w:rsid w:val="00C919D8"/>
  </w:style>
  <w:style w:type="character" w:customStyle="1" w:styleId="10">
    <w:name w:val="Заголовок 1 Знак"/>
    <w:basedOn w:val="a0"/>
    <w:link w:val="1"/>
    <w:uiPriority w:val="9"/>
    <w:rsid w:val="00BC2569"/>
    <w:rPr>
      <w:rFonts w:asciiTheme="majorHAnsi" w:eastAsiaTheme="majorEastAsia" w:hAnsiTheme="majorHAnsi" w:cstheme="majorBidi"/>
      <w:color w:val="2F5496" w:themeColor="accent1" w:themeShade="BF"/>
      <w:sz w:val="32"/>
      <w:szCs w:val="32"/>
    </w:rPr>
  </w:style>
  <w:style w:type="paragraph" w:customStyle="1" w:styleId="MP">
    <w:name w:val="M P"/>
    <w:basedOn w:val="a"/>
    <w:link w:val="MPChar"/>
    <w:autoRedefine/>
    <w:qFormat/>
    <w:rsid w:val="00FF0BB7"/>
    <w:pPr>
      <w:autoSpaceDE w:val="0"/>
      <w:autoSpaceDN w:val="0"/>
      <w:adjustRightInd w:val="0"/>
      <w:spacing w:afterLines="200" w:after="480" w:line="360" w:lineRule="auto"/>
      <w:jc w:val="both"/>
    </w:pPr>
    <w:rPr>
      <w:rFonts w:asciiTheme="majorBidi" w:eastAsia="MS PMincho" w:hAnsiTheme="majorBidi" w:cstheme="majorBidi"/>
      <w:noProof/>
      <w:color w:val="000000"/>
      <w:lang w:val="en-US" w:eastAsia="en-US"/>
    </w:rPr>
  </w:style>
  <w:style w:type="character" w:customStyle="1" w:styleId="MPChar">
    <w:name w:val="M P Char"/>
    <w:basedOn w:val="a0"/>
    <w:link w:val="MP"/>
    <w:rsid w:val="00FF0BB7"/>
    <w:rPr>
      <w:rFonts w:asciiTheme="majorBidi" w:eastAsia="MS PMincho" w:hAnsiTheme="majorBidi" w:cstheme="majorBidi"/>
      <w:noProof/>
      <w:color w:val="000000"/>
      <w:lang w:val="en-US"/>
    </w:rPr>
  </w:style>
  <w:style w:type="character" w:customStyle="1" w:styleId="a6">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5"/>
    <w:uiPriority w:val="99"/>
    <w:locked/>
    <w:rsid w:val="00F517A9"/>
    <w:rPr>
      <w:rFonts w:ascii="Times New Roman" w:eastAsia="Times New Roman" w:hAnsi="Times New Roman" w:cs="Times New Roman"/>
      <w:lang w:eastAsia="ru-RU"/>
    </w:rPr>
  </w:style>
  <w:style w:type="character" w:customStyle="1" w:styleId="a4">
    <w:name w:val="Абзац списка Знак"/>
    <w:aliases w:val="маркированный Знак,ПАРАГРАФ Знак"/>
    <w:link w:val="a3"/>
    <w:uiPriority w:val="34"/>
    <w:rsid w:val="00F517A9"/>
    <w:rPr>
      <w:rFonts w:ascii="Calibri" w:eastAsia="Calibri" w:hAnsi="Calibri" w:cs="Times New Roman"/>
      <w:sz w:val="22"/>
      <w:szCs w:val="22"/>
    </w:rPr>
  </w:style>
  <w:style w:type="character" w:customStyle="1" w:styleId="res">
    <w:name w:val="res"/>
    <w:basedOn w:val="a0"/>
    <w:rsid w:val="005D7913"/>
  </w:style>
  <w:style w:type="paragraph" w:customStyle="1" w:styleId="12">
    <w:name w:val="Стиль1"/>
    <w:basedOn w:val="1"/>
    <w:link w:val="13"/>
    <w:qFormat/>
    <w:rsid w:val="00A34ADA"/>
    <w:pPr>
      <w:jc w:val="center"/>
    </w:pPr>
    <w:rPr>
      <w:rFonts w:ascii="Times New Roman" w:hAnsi="Times New Roman" w:cs="Times New Roman"/>
      <w:b/>
      <w:color w:val="auto"/>
      <w:sz w:val="28"/>
      <w:szCs w:val="28"/>
      <w:lang w:eastAsia="ru-RU"/>
    </w:rPr>
  </w:style>
  <w:style w:type="character" w:customStyle="1" w:styleId="13">
    <w:name w:val="Стиль1 Знак"/>
    <w:basedOn w:val="a0"/>
    <w:link w:val="12"/>
    <w:rsid w:val="00A34ADA"/>
    <w:rPr>
      <w:rFonts w:ascii="Times New Roman" w:eastAsiaTheme="majorEastAsia" w:hAnsi="Times New Roman" w:cs="Times New Roman"/>
      <w:b/>
      <w:sz w:val="28"/>
      <w:szCs w:val="28"/>
      <w:lang w:eastAsia="ru-RU"/>
    </w:rPr>
  </w:style>
  <w:style w:type="character" w:styleId="af6">
    <w:name w:val="annotation reference"/>
    <w:basedOn w:val="a0"/>
    <w:uiPriority w:val="99"/>
    <w:semiHidden/>
    <w:unhideWhenUsed/>
    <w:rsid w:val="00A34ADA"/>
    <w:rPr>
      <w:sz w:val="16"/>
      <w:szCs w:val="16"/>
    </w:rPr>
  </w:style>
  <w:style w:type="paragraph" w:styleId="af7">
    <w:name w:val="annotation text"/>
    <w:basedOn w:val="a"/>
    <w:link w:val="af8"/>
    <w:uiPriority w:val="99"/>
    <w:unhideWhenUsed/>
    <w:rsid w:val="00A34ADA"/>
    <w:pPr>
      <w:spacing w:after="200"/>
    </w:pPr>
    <w:rPr>
      <w:rFonts w:asciiTheme="minorHAnsi" w:eastAsiaTheme="minorEastAsia" w:hAnsiTheme="minorHAnsi" w:cstheme="minorBidi"/>
      <w:sz w:val="20"/>
      <w:szCs w:val="20"/>
    </w:rPr>
  </w:style>
  <w:style w:type="character" w:customStyle="1" w:styleId="af8">
    <w:name w:val="Текст примечания Знак"/>
    <w:basedOn w:val="a0"/>
    <w:link w:val="af7"/>
    <w:uiPriority w:val="99"/>
    <w:rsid w:val="00A34ADA"/>
    <w:rPr>
      <w:rFonts w:eastAsiaTheme="minorEastAsia"/>
      <w:sz w:val="20"/>
      <w:szCs w:val="20"/>
      <w:lang w:eastAsia="ru-RU"/>
    </w:rPr>
  </w:style>
  <w:style w:type="paragraph" w:styleId="af9">
    <w:name w:val="Balloon Text"/>
    <w:basedOn w:val="a"/>
    <w:link w:val="afa"/>
    <w:uiPriority w:val="99"/>
    <w:semiHidden/>
    <w:unhideWhenUsed/>
    <w:rsid w:val="00A34ADA"/>
    <w:rPr>
      <w:sz w:val="18"/>
      <w:szCs w:val="18"/>
    </w:rPr>
  </w:style>
  <w:style w:type="character" w:customStyle="1" w:styleId="afa">
    <w:name w:val="Текст выноски Знак"/>
    <w:basedOn w:val="a0"/>
    <w:link w:val="af9"/>
    <w:uiPriority w:val="99"/>
    <w:semiHidden/>
    <w:rsid w:val="00A34ADA"/>
    <w:rPr>
      <w:rFonts w:ascii="Times New Roman" w:eastAsia="Times New Roman" w:hAnsi="Times New Roman" w:cs="Times New Roman"/>
      <w:sz w:val="18"/>
      <w:szCs w:val="18"/>
      <w:lang w:eastAsia="ru-RU"/>
    </w:rPr>
  </w:style>
  <w:style w:type="paragraph" w:customStyle="1" w:styleId="21">
    <w:name w:val="Стиль2"/>
    <w:basedOn w:val="1"/>
    <w:link w:val="22"/>
    <w:qFormat/>
    <w:rsid w:val="005A1EE9"/>
    <w:pPr>
      <w:ind w:firstLine="567"/>
      <w:jc w:val="both"/>
    </w:pPr>
    <w:rPr>
      <w:rFonts w:ascii="Times New Roman" w:hAnsi="Times New Roman" w:cs="Times New Roman"/>
      <w:b/>
      <w:sz w:val="28"/>
      <w:szCs w:val="28"/>
      <w:lang w:eastAsia="ru-RU"/>
    </w:rPr>
  </w:style>
  <w:style w:type="paragraph" w:customStyle="1" w:styleId="31">
    <w:name w:val="Стиль3"/>
    <w:basedOn w:val="2"/>
    <w:link w:val="32"/>
    <w:qFormat/>
    <w:rsid w:val="005A1EE9"/>
    <w:pPr>
      <w:keepNext/>
      <w:keepLines/>
      <w:spacing w:before="40" w:beforeAutospacing="0" w:after="0" w:afterAutospacing="0"/>
      <w:ind w:firstLine="567"/>
      <w:jc w:val="both"/>
    </w:pPr>
    <w:rPr>
      <w:rFonts w:eastAsiaTheme="majorEastAsia"/>
      <w:bCs w:val="0"/>
      <w:sz w:val="28"/>
      <w:szCs w:val="28"/>
    </w:rPr>
  </w:style>
  <w:style w:type="character" w:customStyle="1" w:styleId="22">
    <w:name w:val="Стиль2 Знак"/>
    <w:basedOn w:val="10"/>
    <w:link w:val="21"/>
    <w:rsid w:val="005A1EE9"/>
    <w:rPr>
      <w:rFonts w:ascii="Times New Roman" w:eastAsiaTheme="majorEastAsia" w:hAnsi="Times New Roman" w:cs="Times New Roman"/>
      <w:b/>
      <w:color w:val="2F5496" w:themeColor="accent1" w:themeShade="BF"/>
      <w:sz w:val="28"/>
      <w:szCs w:val="28"/>
      <w:lang w:eastAsia="ru-RU"/>
    </w:rPr>
  </w:style>
  <w:style w:type="character" w:customStyle="1" w:styleId="32">
    <w:name w:val="Стиль3 Знак"/>
    <w:basedOn w:val="20"/>
    <w:link w:val="31"/>
    <w:rsid w:val="005A1EE9"/>
    <w:rPr>
      <w:rFonts w:ascii="Times New Roman" w:eastAsiaTheme="majorEastAsia" w:hAnsi="Times New Roman" w:cs="Times New Roman"/>
      <w:b/>
      <w:bCs w:val="0"/>
      <w:sz w:val="28"/>
      <w:szCs w:val="28"/>
      <w:lang w:eastAsia="ru-RU"/>
    </w:rPr>
  </w:style>
  <w:style w:type="character" w:styleId="afb">
    <w:name w:val="page number"/>
    <w:basedOn w:val="a0"/>
    <w:uiPriority w:val="99"/>
    <w:semiHidden/>
    <w:unhideWhenUsed/>
    <w:rsid w:val="009147F1"/>
  </w:style>
  <w:style w:type="table" w:styleId="4">
    <w:name w:val="Plain Table 4"/>
    <w:basedOn w:val="a1"/>
    <w:uiPriority w:val="44"/>
    <w:rsid w:val="0006636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3">
    <w:name w:val="Plain Table 3"/>
    <w:basedOn w:val="a1"/>
    <w:uiPriority w:val="43"/>
    <w:rsid w:val="0006636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c">
    <w:name w:val="TOC Heading"/>
    <w:basedOn w:val="1"/>
    <w:next w:val="a"/>
    <w:uiPriority w:val="39"/>
    <w:unhideWhenUsed/>
    <w:qFormat/>
    <w:rsid w:val="00D549EE"/>
    <w:pPr>
      <w:spacing w:before="480" w:line="276" w:lineRule="auto"/>
      <w:outlineLvl w:val="9"/>
    </w:pPr>
    <w:rPr>
      <w:b/>
      <w:bCs/>
      <w:sz w:val="28"/>
      <w:szCs w:val="28"/>
      <w:lang w:val="en-US"/>
    </w:rPr>
  </w:style>
  <w:style w:type="paragraph" w:styleId="14">
    <w:name w:val="toc 1"/>
    <w:basedOn w:val="a"/>
    <w:next w:val="a"/>
    <w:autoRedefine/>
    <w:uiPriority w:val="39"/>
    <w:unhideWhenUsed/>
    <w:rsid w:val="00D549EE"/>
    <w:pPr>
      <w:spacing w:before="120"/>
    </w:pPr>
    <w:rPr>
      <w:rFonts w:asciiTheme="minorHAnsi" w:eastAsiaTheme="minorEastAsia" w:hAnsiTheme="minorHAnsi" w:cstheme="minorBidi"/>
      <w:b/>
      <w:bCs/>
      <w:i/>
      <w:iCs/>
      <w:lang w:val="en-US" w:eastAsia="zh-CN"/>
    </w:rPr>
  </w:style>
  <w:style w:type="paragraph" w:customStyle="1" w:styleId="Body">
    <w:name w:val="Body"/>
    <w:rsid w:val="00D549EE"/>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ru-RU"/>
      <w14:textOutline w14:w="0" w14:cap="flat" w14:cmpd="sng" w14:algn="ctr">
        <w14:noFill/>
        <w14:prstDash w14:val="solid"/>
        <w14:bevel/>
      </w14:textOutline>
    </w:rPr>
  </w:style>
  <w:style w:type="numbering" w:customStyle="1" w:styleId="Numbered">
    <w:name w:val="Numbered"/>
    <w:rsid w:val="00D549EE"/>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0358">
      <w:bodyDiv w:val="1"/>
      <w:marLeft w:val="0"/>
      <w:marRight w:val="0"/>
      <w:marTop w:val="0"/>
      <w:marBottom w:val="0"/>
      <w:divBdr>
        <w:top w:val="none" w:sz="0" w:space="0" w:color="auto"/>
        <w:left w:val="none" w:sz="0" w:space="0" w:color="auto"/>
        <w:bottom w:val="none" w:sz="0" w:space="0" w:color="auto"/>
        <w:right w:val="none" w:sz="0" w:space="0" w:color="auto"/>
      </w:divBdr>
      <w:divsChild>
        <w:div w:id="276180098">
          <w:marLeft w:val="0"/>
          <w:marRight w:val="0"/>
          <w:marTop w:val="0"/>
          <w:marBottom w:val="0"/>
          <w:divBdr>
            <w:top w:val="none" w:sz="0" w:space="0" w:color="auto"/>
            <w:left w:val="none" w:sz="0" w:space="0" w:color="auto"/>
            <w:bottom w:val="none" w:sz="0" w:space="0" w:color="auto"/>
            <w:right w:val="none" w:sz="0" w:space="0" w:color="auto"/>
          </w:divBdr>
          <w:divsChild>
            <w:div w:id="1239559515">
              <w:marLeft w:val="0"/>
              <w:marRight w:val="0"/>
              <w:marTop w:val="0"/>
              <w:marBottom w:val="0"/>
              <w:divBdr>
                <w:top w:val="none" w:sz="0" w:space="0" w:color="auto"/>
                <w:left w:val="none" w:sz="0" w:space="0" w:color="auto"/>
                <w:bottom w:val="none" w:sz="0" w:space="0" w:color="auto"/>
                <w:right w:val="none" w:sz="0" w:space="0" w:color="auto"/>
              </w:divBdr>
              <w:divsChild>
                <w:div w:id="9190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845">
      <w:bodyDiv w:val="1"/>
      <w:marLeft w:val="0"/>
      <w:marRight w:val="0"/>
      <w:marTop w:val="0"/>
      <w:marBottom w:val="0"/>
      <w:divBdr>
        <w:top w:val="none" w:sz="0" w:space="0" w:color="auto"/>
        <w:left w:val="none" w:sz="0" w:space="0" w:color="auto"/>
        <w:bottom w:val="none" w:sz="0" w:space="0" w:color="auto"/>
        <w:right w:val="none" w:sz="0" w:space="0" w:color="auto"/>
      </w:divBdr>
      <w:divsChild>
        <w:div w:id="530000418">
          <w:marLeft w:val="0"/>
          <w:marRight w:val="0"/>
          <w:marTop w:val="0"/>
          <w:marBottom w:val="0"/>
          <w:divBdr>
            <w:top w:val="none" w:sz="0" w:space="0" w:color="auto"/>
            <w:left w:val="none" w:sz="0" w:space="0" w:color="auto"/>
            <w:bottom w:val="none" w:sz="0" w:space="0" w:color="auto"/>
            <w:right w:val="none" w:sz="0" w:space="0" w:color="auto"/>
          </w:divBdr>
          <w:divsChild>
            <w:div w:id="1274093134">
              <w:marLeft w:val="0"/>
              <w:marRight w:val="0"/>
              <w:marTop w:val="0"/>
              <w:marBottom w:val="0"/>
              <w:divBdr>
                <w:top w:val="none" w:sz="0" w:space="0" w:color="auto"/>
                <w:left w:val="none" w:sz="0" w:space="0" w:color="auto"/>
                <w:bottom w:val="none" w:sz="0" w:space="0" w:color="auto"/>
                <w:right w:val="none" w:sz="0" w:space="0" w:color="auto"/>
              </w:divBdr>
              <w:divsChild>
                <w:div w:id="217665607">
                  <w:marLeft w:val="0"/>
                  <w:marRight w:val="0"/>
                  <w:marTop w:val="0"/>
                  <w:marBottom w:val="0"/>
                  <w:divBdr>
                    <w:top w:val="none" w:sz="0" w:space="0" w:color="auto"/>
                    <w:left w:val="none" w:sz="0" w:space="0" w:color="auto"/>
                    <w:bottom w:val="none" w:sz="0" w:space="0" w:color="auto"/>
                    <w:right w:val="none" w:sz="0" w:space="0" w:color="auto"/>
                  </w:divBdr>
                  <w:divsChild>
                    <w:div w:id="18678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2420">
      <w:bodyDiv w:val="1"/>
      <w:marLeft w:val="0"/>
      <w:marRight w:val="0"/>
      <w:marTop w:val="0"/>
      <w:marBottom w:val="0"/>
      <w:divBdr>
        <w:top w:val="none" w:sz="0" w:space="0" w:color="auto"/>
        <w:left w:val="none" w:sz="0" w:space="0" w:color="auto"/>
        <w:bottom w:val="none" w:sz="0" w:space="0" w:color="auto"/>
        <w:right w:val="none" w:sz="0" w:space="0" w:color="auto"/>
      </w:divBdr>
      <w:divsChild>
        <w:div w:id="1718969875">
          <w:marLeft w:val="0"/>
          <w:marRight w:val="0"/>
          <w:marTop w:val="0"/>
          <w:marBottom w:val="0"/>
          <w:divBdr>
            <w:top w:val="none" w:sz="0" w:space="0" w:color="auto"/>
            <w:left w:val="none" w:sz="0" w:space="0" w:color="auto"/>
            <w:bottom w:val="none" w:sz="0" w:space="0" w:color="auto"/>
            <w:right w:val="none" w:sz="0" w:space="0" w:color="auto"/>
          </w:divBdr>
          <w:divsChild>
            <w:div w:id="1473061890">
              <w:marLeft w:val="0"/>
              <w:marRight w:val="0"/>
              <w:marTop w:val="0"/>
              <w:marBottom w:val="0"/>
              <w:divBdr>
                <w:top w:val="none" w:sz="0" w:space="0" w:color="auto"/>
                <w:left w:val="none" w:sz="0" w:space="0" w:color="auto"/>
                <w:bottom w:val="none" w:sz="0" w:space="0" w:color="auto"/>
                <w:right w:val="none" w:sz="0" w:space="0" w:color="auto"/>
              </w:divBdr>
              <w:divsChild>
                <w:div w:id="21001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2336">
      <w:bodyDiv w:val="1"/>
      <w:marLeft w:val="0"/>
      <w:marRight w:val="0"/>
      <w:marTop w:val="0"/>
      <w:marBottom w:val="0"/>
      <w:divBdr>
        <w:top w:val="none" w:sz="0" w:space="0" w:color="auto"/>
        <w:left w:val="none" w:sz="0" w:space="0" w:color="auto"/>
        <w:bottom w:val="none" w:sz="0" w:space="0" w:color="auto"/>
        <w:right w:val="none" w:sz="0" w:space="0" w:color="auto"/>
      </w:divBdr>
    </w:div>
    <w:div w:id="27412151">
      <w:bodyDiv w:val="1"/>
      <w:marLeft w:val="0"/>
      <w:marRight w:val="0"/>
      <w:marTop w:val="0"/>
      <w:marBottom w:val="0"/>
      <w:divBdr>
        <w:top w:val="none" w:sz="0" w:space="0" w:color="auto"/>
        <w:left w:val="none" w:sz="0" w:space="0" w:color="auto"/>
        <w:bottom w:val="none" w:sz="0" w:space="0" w:color="auto"/>
        <w:right w:val="none" w:sz="0" w:space="0" w:color="auto"/>
      </w:divBdr>
    </w:div>
    <w:div w:id="34431920">
      <w:bodyDiv w:val="1"/>
      <w:marLeft w:val="0"/>
      <w:marRight w:val="0"/>
      <w:marTop w:val="0"/>
      <w:marBottom w:val="0"/>
      <w:divBdr>
        <w:top w:val="none" w:sz="0" w:space="0" w:color="auto"/>
        <w:left w:val="none" w:sz="0" w:space="0" w:color="auto"/>
        <w:bottom w:val="none" w:sz="0" w:space="0" w:color="auto"/>
        <w:right w:val="none" w:sz="0" w:space="0" w:color="auto"/>
      </w:divBdr>
      <w:divsChild>
        <w:div w:id="1668627390">
          <w:marLeft w:val="0"/>
          <w:marRight w:val="0"/>
          <w:marTop w:val="0"/>
          <w:marBottom w:val="0"/>
          <w:divBdr>
            <w:top w:val="none" w:sz="0" w:space="0" w:color="auto"/>
            <w:left w:val="none" w:sz="0" w:space="0" w:color="auto"/>
            <w:bottom w:val="none" w:sz="0" w:space="0" w:color="auto"/>
            <w:right w:val="none" w:sz="0" w:space="0" w:color="auto"/>
          </w:divBdr>
          <w:divsChild>
            <w:div w:id="1778060435">
              <w:marLeft w:val="0"/>
              <w:marRight w:val="0"/>
              <w:marTop w:val="0"/>
              <w:marBottom w:val="0"/>
              <w:divBdr>
                <w:top w:val="none" w:sz="0" w:space="0" w:color="auto"/>
                <w:left w:val="none" w:sz="0" w:space="0" w:color="auto"/>
                <w:bottom w:val="none" w:sz="0" w:space="0" w:color="auto"/>
                <w:right w:val="none" w:sz="0" w:space="0" w:color="auto"/>
              </w:divBdr>
              <w:divsChild>
                <w:div w:id="7429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6252">
      <w:bodyDiv w:val="1"/>
      <w:marLeft w:val="0"/>
      <w:marRight w:val="0"/>
      <w:marTop w:val="0"/>
      <w:marBottom w:val="0"/>
      <w:divBdr>
        <w:top w:val="none" w:sz="0" w:space="0" w:color="auto"/>
        <w:left w:val="none" w:sz="0" w:space="0" w:color="auto"/>
        <w:bottom w:val="none" w:sz="0" w:space="0" w:color="auto"/>
        <w:right w:val="none" w:sz="0" w:space="0" w:color="auto"/>
      </w:divBdr>
    </w:div>
    <w:div w:id="38941990">
      <w:bodyDiv w:val="1"/>
      <w:marLeft w:val="0"/>
      <w:marRight w:val="0"/>
      <w:marTop w:val="0"/>
      <w:marBottom w:val="0"/>
      <w:divBdr>
        <w:top w:val="none" w:sz="0" w:space="0" w:color="auto"/>
        <w:left w:val="none" w:sz="0" w:space="0" w:color="auto"/>
        <w:bottom w:val="none" w:sz="0" w:space="0" w:color="auto"/>
        <w:right w:val="none" w:sz="0" w:space="0" w:color="auto"/>
      </w:divBdr>
      <w:divsChild>
        <w:div w:id="1754204557">
          <w:marLeft w:val="0"/>
          <w:marRight w:val="0"/>
          <w:marTop w:val="0"/>
          <w:marBottom w:val="0"/>
          <w:divBdr>
            <w:top w:val="none" w:sz="0" w:space="0" w:color="auto"/>
            <w:left w:val="none" w:sz="0" w:space="0" w:color="auto"/>
            <w:bottom w:val="none" w:sz="0" w:space="0" w:color="auto"/>
            <w:right w:val="none" w:sz="0" w:space="0" w:color="auto"/>
          </w:divBdr>
          <w:divsChild>
            <w:div w:id="343285651">
              <w:marLeft w:val="0"/>
              <w:marRight w:val="0"/>
              <w:marTop w:val="0"/>
              <w:marBottom w:val="0"/>
              <w:divBdr>
                <w:top w:val="none" w:sz="0" w:space="0" w:color="auto"/>
                <w:left w:val="none" w:sz="0" w:space="0" w:color="auto"/>
                <w:bottom w:val="none" w:sz="0" w:space="0" w:color="auto"/>
                <w:right w:val="none" w:sz="0" w:space="0" w:color="auto"/>
              </w:divBdr>
              <w:divsChild>
                <w:div w:id="21150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723">
      <w:bodyDiv w:val="1"/>
      <w:marLeft w:val="0"/>
      <w:marRight w:val="0"/>
      <w:marTop w:val="0"/>
      <w:marBottom w:val="0"/>
      <w:divBdr>
        <w:top w:val="none" w:sz="0" w:space="0" w:color="auto"/>
        <w:left w:val="none" w:sz="0" w:space="0" w:color="auto"/>
        <w:bottom w:val="none" w:sz="0" w:space="0" w:color="auto"/>
        <w:right w:val="none" w:sz="0" w:space="0" w:color="auto"/>
      </w:divBdr>
      <w:divsChild>
        <w:div w:id="1532691933">
          <w:marLeft w:val="0"/>
          <w:marRight w:val="0"/>
          <w:marTop w:val="0"/>
          <w:marBottom w:val="0"/>
          <w:divBdr>
            <w:top w:val="none" w:sz="0" w:space="0" w:color="auto"/>
            <w:left w:val="none" w:sz="0" w:space="0" w:color="auto"/>
            <w:bottom w:val="none" w:sz="0" w:space="0" w:color="auto"/>
            <w:right w:val="none" w:sz="0" w:space="0" w:color="auto"/>
          </w:divBdr>
          <w:divsChild>
            <w:div w:id="47539806">
              <w:marLeft w:val="0"/>
              <w:marRight w:val="0"/>
              <w:marTop w:val="0"/>
              <w:marBottom w:val="0"/>
              <w:divBdr>
                <w:top w:val="none" w:sz="0" w:space="0" w:color="auto"/>
                <w:left w:val="none" w:sz="0" w:space="0" w:color="auto"/>
                <w:bottom w:val="none" w:sz="0" w:space="0" w:color="auto"/>
                <w:right w:val="none" w:sz="0" w:space="0" w:color="auto"/>
              </w:divBdr>
              <w:divsChild>
                <w:div w:id="1920363961">
                  <w:marLeft w:val="0"/>
                  <w:marRight w:val="0"/>
                  <w:marTop w:val="0"/>
                  <w:marBottom w:val="0"/>
                  <w:divBdr>
                    <w:top w:val="none" w:sz="0" w:space="0" w:color="auto"/>
                    <w:left w:val="none" w:sz="0" w:space="0" w:color="auto"/>
                    <w:bottom w:val="none" w:sz="0" w:space="0" w:color="auto"/>
                    <w:right w:val="none" w:sz="0" w:space="0" w:color="auto"/>
                  </w:divBdr>
                  <w:divsChild>
                    <w:div w:id="8474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948">
      <w:bodyDiv w:val="1"/>
      <w:marLeft w:val="0"/>
      <w:marRight w:val="0"/>
      <w:marTop w:val="0"/>
      <w:marBottom w:val="0"/>
      <w:divBdr>
        <w:top w:val="none" w:sz="0" w:space="0" w:color="auto"/>
        <w:left w:val="none" w:sz="0" w:space="0" w:color="auto"/>
        <w:bottom w:val="none" w:sz="0" w:space="0" w:color="auto"/>
        <w:right w:val="none" w:sz="0" w:space="0" w:color="auto"/>
      </w:divBdr>
    </w:div>
    <w:div w:id="50547212">
      <w:bodyDiv w:val="1"/>
      <w:marLeft w:val="0"/>
      <w:marRight w:val="0"/>
      <w:marTop w:val="0"/>
      <w:marBottom w:val="0"/>
      <w:divBdr>
        <w:top w:val="none" w:sz="0" w:space="0" w:color="auto"/>
        <w:left w:val="none" w:sz="0" w:space="0" w:color="auto"/>
        <w:bottom w:val="none" w:sz="0" w:space="0" w:color="auto"/>
        <w:right w:val="none" w:sz="0" w:space="0" w:color="auto"/>
      </w:divBdr>
      <w:divsChild>
        <w:div w:id="144591510">
          <w:marLeft w:val="0"/>
          <w:marRight w:val="0"/>
          <w:marTop w:val="0"/>
          <w:marBottom w:val="0"/>
          <w:divBdr>
            <w:top w:val="none" w:sz="0" w:space="0" w:color="auto"/>
            <w:left w:val="none" w:sz="0" w:space="0" w:color="auto"/>
            <w:bottom w:val="none" w:sz="0" w:space="0" w:color="auto"/>
            <w:right w:val="none" w:sz="0" w:space="0" w:color="auto"/>
          </w:divBdr>
          <w:divsChild>
            <w:div w:id="1720743481">
              <w:marLeft w:val="0"/>
              <w:marRight w:val="0"/>
              <w:marTop w:val="0"/>
              <w:marBottom w:val="0"/>
              <w:divBdr>
                <w:top w:val="none" w:sz="0" w:space="0" w:color="auto"/>
                <w:left w:val="none" w:sz="0" w:space="0" w:color="auto"/>
                <w:bottom w:val="none" w:sz="0" w:space="0" w:color="auto"/>
                <w:right w:val="none" w:sz="0" w:space="0" w:color="auto"/>
              </w:divBdr>
              <w:divsChild>
                <w:div w:id="20509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966">
      <w:bodyDiv w:val="1"/>
      <w:marLeft w:val="0"/>
      <w:marRight w:val="0"/>
      <w:marTop w:val="0"/>
      <w:marBottom w:val="0"/>
      <w:divBdr>
        <w:top w:val="none" w:sz="0" w:space="0" w:color="auto"/>
        <w:left w:val="none" w:sz="0" w:space="0" w:color="auto"/>
        <w:bottom w:val="none" w:sz="0" w:space="0" w:color="auto"/>
        <w:right w:val="none" w:sz="0" w:space="0" w:color="auto"/>
      </w:divBdr>
    </w:div>
    <w:div w:id="61684156">
      <w:bodyDiv w:val="1"/>
      <w:marLeft w:val="0"/>
      <w:marRight w:val="0"/>
      <w:marTop w:val="0"/>
      <w:marBottom w:val="0"/>
      <w:divBdr>
        <w:top w:val="none" w:sz="0" w:space="0" w:color="auto"/>
        <w:left w:val="none" w:sz="0" w:space="0" w:color="auto"/>
        <w:bottom w:val="none" w:sz="0" w:space="0" w:color="auto"/>
        <w:right w:val="none" w:sz="0" w:space="0" w:color="auto"/>
      </w:divBdr>
      <w:divsChild>
        <w:div w:id="323437423">
          <w:marLeft w:val="0"/>
          <w:marRight w:val="0"/>
          <w:marTop w:val="0"/>
          <w:marBottom w:val="0"/>
          <w:divBdr>
            <w:top w:val="none" w:sz="0" w:space="0" w:color="auto"/>
            <w:left w:val="none" w:sz="0" w:space="0" w:color="auto"/>
            <w:bottom w:val="none" w:sz="0" w:space="0" w:color="auto"/>
            <w:right w:val="none" w:sz="0" w:space="0" w:color="auto"/>
          </w:divBdr>
          <w:divsChild>
            <w:div w:id="159198358">
              <w:marLeft w:val="0"/>
              <w:marRight w:val="0"/>
              <w:marTop w:val="0"/>
              <w:marBottom w:val="0"/>
              <w:divBdr>
                <w:top w:val="none" w:sz="0" w:space="0" w:color="auto"/>
                <w:left w:val="none" w:sz="0" w:space="0" w:color="auto"/>
                <w:bottom w:val="none" w:sz="0" w:space="0" w:color="auto"/>
                <w:right w:val="none" w:sz="0" w:space="0" w:color="auto"/>
              </w:divBdr>
              <w:divsChild>
                <w:div w:id="16494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7750">
      <w:bodyDiv w:val="1"/>
      <w:marLeft w:val="0"/>
      <w:marRight w:val="0"/>
      <w:marTop w:val="0"/>
      <w:marBottom w:val="0"/>
      <w:divBdr>
        <w:top w:val="none" w:sz="0" w:space="0" w:color="auto"/>
        <w:left w:val="none" w:sz="0" w:space="0" w:color="auto"/>
        <w:bottom w:val="none" w:sz="0" w:space="0" w:color="auto"/>
        <w:right w:val="none" w:sz="0" w:space="0" w:color="auto"/>
      </w:divBdr>
    </w:div>
    <w:div w:id="73939783">
      <w:bodyDiv w:val="1"/>
      <w:marLeft w:val="0"/>
      <w:marRight w:val="0"/>
      <w:marTop w:val="0"/>
      <w:marBottom w:val="0"/>
      <w:divBdr>
        <w:top w:val="none" w:sz="0" w:space="0" w:color="auto"/>
        <w:left w:val="none" w:sz="0" w:space="0" w:color="auto"/>
        <w:bottom w:val="none" w:sz="0" w:space="0" w:color="auto"/>
        <w:right w:val="none" w:sz="0" w:space="0" w:color="auto"/>
      </w:divBdr>
      <w:divsChild>
        <w:div w:id="1447114602">
          <w:marLeft w:val="0"/>
          <w:marRight w:val="0"/>
          <w:marTop w:val="0"/>
          <w:marBottom w:val="0"/>
          <w:divBdr>
            <w:top w:val="none" w:sz="0" w:space="0" w:color="auto"/>
            <w:left w:val="none" w:sz="0" w:space="0" w:color="auto"/>
            <w:bottom w:val="none" w:sz="0" w:space="0" w:color="auto"/>
            <w:right w:val="none" w:sz="0" w:space="0" w:color="auto"/>
          </w:divBdr>
          <w:divsChild>
            <w:div w:id="1521115785">
              <w:marLeft w:val="0"/>
              <w:marRight w:val="0"/>
              <w:marTop w:val="0"/>
              <w:marBottom w:val="0"/>
              <w:divBdr>
                <w:top w:val="none" w:sz="0" w:space="0" w:color="auto"/>
                <w:left w:val="none" w:sz="0" w:space="0" w:color="auto"/>
                <w:bottom w:val="none" w:sz="0" w:space="0" w:color="auto"/>
                <w:right w:val="none" w:sz="0" w:space="0" w:color="auto"/>
              </w:divBdr>
              <w:divsChild>
                <w:div w:id="13091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3679">
      <w:bodyDiv w:val="1"/>
      <w:marLeft w:val="0"/>
      <w:marRight w:val="0"/>
      <w:marTop w:val="0"/>
      <w:marBottom w:val="0"/>
      <w:divBdr>
        <w:top w:val="none" w:sz="0" w:space="0" w:color="auto"/>
        <w:left w:val="none" w:sz="0" w:space="0" w:color="auto"/>
        <w:bottom w:val="none" w:sz="0" w:space="0" w:color="auto"/>
        <w:right w:val="none" w:sz="0" w:space="0" w:color="auto"/>
      </w:divBdr>
      <w:divsChild>
        <w:div w:id="1580871203">
          <w:marLeft w:val="0"/>
          <w:marRight w:val="0"/>
          <w:marTop w:val="0"/>
          <w:marBottom w:val="0"/>
          <w:divBdr>
            <w:top w:val="none" w:sz="0" w:space="0" w:color="auto"/>
            <w:left w:val="none" w:sz="0" w:space="0" w:color="auto"/>
            <w:bottom w:val="none" w:sz="0" w:space="0" w:color="auto"/>
            <w:right w:val="none" w:sz="0" w:space="0" w:color="auto"/>
          </w:divBdr>
          <w:divsChild>
            <w:div w:id="1428311965">
              <w:marLeft w:val="0"/>
              <w:marRight w:val="0"/>
              <w:marTop w:val="0"/>
              <w:marBottom w:val="0"/>
              <w:divBdr>
                <w:top w:val="none" w:sz="0" w:space="0" w:color="auto"/>
                <w:left w:val="none" w:sz="0" w:space="0" w:color="auto"/>
                <w:bottom w:val="none" w:sz="0" w:space="0" w:color="auto"/>
                <w:right w:val="none" w:sz="0" w:space="0" w:color="auto"/>
              </w:divBdr>
              <w:divsChild>
                <w:div w:id="1682271025">
                  <w:marLeft w:val="0"/>
                  <w:marRight w:val="0"/>
                  <w:marTop w:val="0"/>
                  <w:marBottom w:val="0"/>
                  <w:divBdr>
                    <w:top w:val="none" w:sz="0" w:space="0" w:color="auto"/>
                    <w:left w:val="none" w:sz="0" w:space="0" w:color="auto"/>
                    <w:bottom w:val="none" w:sz="0" w:space="0" w:color="auto"/>
                    <w:right w:val="none" w:sz="0" w:space="0" w:color="auto"/>
                  </w:divBdr>
                  <w:divsChild>
                    <w:div w:id="16873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4917">
      <w:bodyDiv w:val="1"/>
      <w:marLeft w:val="0"/>
      <w:marRight w:val="0"/>
      <w:marTop w:val="0"/>
      <w:marBottom w:val="0"/>
      <w:divBdr>
        <w:top w:val="none" w:sz="0" w:space="0" w:color="auto"/>
        <w:left w:val="none" w:sz="0" w:space="0" w:color="auto"/>
        <w:bottom w:val="none" w:sz="0" w:space="0" w:color="auto"/>
        <w:right w:val="none" w:sz="0" w:space="0" w:color="auto"/>
      </w:divBdr>
      <w:divsChild>
        <w:div w:id="356539549">
          <w:marLeft w:val="0"/>
          <w:marRight w:val="0"/>
          <w:marTop w:val="0"/>
          <w:marBottom w:val="0"/>
          <w:divBdr>
            <w:top w:val="none" w:sz="0" w:space="0" w:color="auto"/>
            <w:left w:val="none" w:sz="0" w:space="0" w:color="auto"/>
            <w:bottom w:val="none" w:sz="0" w:space="0" w:color="auto"/>
            <w:right w:val="none" w:sz="0" w:space="0" w:color="auto"/>
          </w:divBdr>
          <w:divsChild>
            <w:div w:id="1237712963">
              <w:marLeft w:val="0"/>
              <w:marRight w:val="0"/>
              <w:marTop w:val="0"/>
              <w:marBottom w:val="0"/>
              <w:divBdr>
                <w:top w:val="none" w:sz="0" w:space="0" w:color="auto"/>
                <w:left w:val="none" w:sz="0" w:space="0" w:color="auto"/>
                <w:bottom w:val="none" w:sz="0" w:space="0" w:color="auto"/>
                <w:right w:val="none" w:sz="0" w:space="0" w:color="auto"/>
              </w:divBdr>
              <w:divsChild>
                <w:div w:id="1988436246">
                  <w:marLeft w:val="0"/>
                  <w:marRight w:val="0"/>
                  <w:marTop w:val="0"/>
                  <w:marBottom w:val="0"/>
                  <w:divBdr>
                    <w:top w:val="none" w:sz="0" w:space="0" w:color="auto"/>
                    <w:left w:val="none" w:sz="0" w:space="0" w:color="auto"/>
                    <w:bottom w:val="none" w:sz="0" w:space="0" w:color="auto"/>
                    <w:right w:val="none" w:sz="0" w:space="0" w:color="auto"/>
                  </w:divBdr>
                  <w:divsChild>
                    <w:div w:id="44684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05129">
      <w:bodyDiv w:val="1"/>
      <w:marLeft w:val="0"/>
      <w:marRight w:val="0"/>
      <w:marTop w:val="0"/>
      <w:marBottom w:val="0"/>
      <w:divBdr>
        <w:top w:val="none" w:sz="0" w:space="0" w:color="auto"/>
        <w:left w:val="none" w:sz="0" w:space="0" w:color="auto"/>
        <w:bottom w:val="none" w:sz="0" w:space="0" w:color="auto"/>
        <w:right w:val="none" w:sz="0" w:space="0" w:color="auto"/>
      </w:divBdr>
      <w:divsChild>
        <w:div w:id="1406948141">
          <w:marLeft w:val="0"/>
          <w:marRight w:val="0"/>
          <w:marTop w:val="0"/>
          <w:marBottom w:val="0"/>
          <w:divBdr>
            <w:top w:val="none" w:sz="0" w:space="0" w:color="auto"/>
            <w:left w:val="none" w:sz="0" w:space="0" w:color="auto"/>
            <w:bottom w:val="none" w:sz="0" w:space="0" w:color="auto"/>
            <w:right w:val="none" w:sz="0" w:space="0" w:color="auto"/>
          </w:divBdr>
          <w:divsChild>
            <w:div w:id="1697610486">
              <w:marLeft w:val="0"/>
              <w:marRight w:val="0"/>
              <w:marTop w:val="0"/>
              <w:marBottom w:val="0"/>
              <w:divBdr>
                <w:top w:val="none" w:sz="0" w:space="0" w:color="auto"/>
                <w:left w:val="none" w:sz="0" w:space="0" w:color="auto"/>
                <w:bottom w:val="none" w:sz="0" w:space="0" w:color="auto"/>
                <w:right w:val="none" w:sz="0" w:space="0" w:color="auto"/>
              </w:divBdr>
              <w:divsChild>
                <w:div w:id="1571648246">
                  <w:marLeft w:val="0"/>
                  <w:marRight w:val="0"/>
                  <w:marTop w:val="0"/>
                  <w:marBottom w:val="0"/>
                  <w:divBdr>
                    <w:top w:val="none" w:sz="0" w:space="0" w:color="auto"/>
                    <w:left w:val="none" w:sz="0" w:space="0" w:color="auto"/>
                    <w:bottom w:val="none" w:sz="0" w:space="0" w:color="auto"/>
                    <w:right w:val="none" w:sz="0" w:space="0" w:color="auto"/>
                  </w:divBdr>
                  <w:divsChild>
                    <w:div w:id="21057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4262">
      <w:bodyDiv w:val="1"/>
      <w:marLeft w:val="0"/>
      <w:marRight w:val="0"/>
      <w:marTop w:val="0"/>
      <w:marBottom w:val="0"/>
      <w:divBdr>
        <w:top w:val="none" w:sz="0" w:space="0" w:color="auto"/>
        <w:left w:val="none" w:sz="0" w:space="0" w:color="auto"/>
        <w:bottom w:val="none" w:sz="0" w:space="0" w:color="auto"/>
        <w:right w:val="none" w:sz="0" w:space="0" w:color="auto"/>
      </w:divBdr>
    </w:div>
    <w:div w:id="93720098">
      <w:bodyDiv w:val="1"/>
      <w:marLeft w:val="0"/>
      <w:marRight w:val="0"/>
      <w:marTop w:val="0"/>
      <w:marBottom w:val="0"/>
      <w:divBdr>
        <w:top w:val="none" w:sz="0" w:space="0" w:color="auto"/>
        <w:left w:val="none" w:sz="0" w:space="0" w:color="auto"/>
        <w:bottom w:val="none" w:sz="0" w:space="0" w:color="auto"/>
        <w:right w:val="none" w:sz="0" w:space="0" w:color="auto"/>
      </w:divBdr>
      <w:divsChild>
        <w:div w:id="978920971">
          <w:marLeft w:val="0"/>
          <w:marRight w:val="0"/>
          <w:marTop w:val="0"/>
          <w:marBottom w:val="0"/>
          <w:divBdr>
            <w:top w:val="none" w:sz="0" w:space="0" w:color="auto"/>
            <w:left w:val="none" w:sz="0" w:space="0" w:color="auto"/>
            <w:bottom w:val="none" w:sz="0" w:space="0" w:color="auto"/>
            <w:right w:val="none" w:sz="0" w:space="0" w:color="auto"/>
          </w:divBdr>
          <w:divsChild>
            <w:div w:id="808673442">
              <w:marLeft w:val="0"/>
              <w:marRight w:val="0"/>
              <w:marTop w:val="0"/>
              <w:marBottom w:val="0"/>
              <w:divBdr>
                <w:top w:val="none" w:sz="0" w:space="0" w:color="auto"/>
                <w:left w:val="none" w:sz="0" w:space="0" w:color="auto"/>
                <w:bottom w:val="none" w:sz="0" w:space="0" w:color="auto"/>
                <w:right w:val="none" w:sz="0" w:space="0" w:color="auto"/>
              </w:divBdr>
              <w:divsChild>
                <w:div w:id="904101788">
                  <w:marLeft w:val="0"/>
                  <w:marRight w:val="0"/>
                  <w:marTop w:val="0"/>
                  <w:marBottom w:val="0"/>
                  <w:divBdr>
                    <w:top w:val="none" w:sz="0" w:space="0" w:color="auto"/>
                    <w:left w:val="none" w:sz="0" w:space="0" w:color="auto"/>
                    <w:bottom w:val="none" w:sz="0" w:space="0" w:color="auto"/>
                    <w:right w:val="none" w:sz="0" w:space="0" w:color="auto"/>
                  </w:divBdr>
                  <w:divsChild>
                    <w:div w:id="547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0424">
      <w:bodyDiv w:val="1"/>
      <w:marLeft w:val="0"/>
      <w:marRight w:val="0"/>
      <w:marTop w:val="0"/>
      <w:marBottom w:val="0"/>
      <w:divBdr>
        <w:top w:val="none" w:sz="0" w:space="0" w:color="auto"/>
        <w:left w:val="none" w:sz="0" w:space="0" w:color="auto"/>
        <w:bottom w:val="none" w:sz="0" w:space="0" w:color="auto"/>
        <w:right w:val="none" w:sz="0" w:space="0" w:color="auto"/>
      </w:divBdr>
      <w:divsChild>
        <w:div w:id="96408604">
          <w:marLeft w:val="0"/>
          <w:marRight w:val="0"/>
          <w:marTop w:val="0"/>
          <w:marBottom w:val="0"/>
          <w:divBdr>
            <w:top w:val="none" w:sz="0" w:space="0" w:color="auto"/>
            <w:left w:val="none" w:sz="0" w:space="0" w:color="auto"/>
            <w:bottom w:val="none" w:sz="0" w:space="0" w:color="auto"/>
            <w:right w:val="none" w:sz="0" w:space="0" w:color="auto"/>
          </w:divBdr>
          <w:divsChild>
            <w:div w:id="1851599084">
              <w:marLeft w:val="0"/>
              <w:marRight w:val="0"/>
              <w:marTop w:val="0"/>
              <w:marBottom w:val="0"/>
              <w:divBdr>
                <w:top w:val="none" w:sz="0" w:space="0" w:color="auto"/>
                <w:left w:val="none" w:sz="0" w:space="0" w:color="auto"/>
                <w:bottom w:val="none" w:sz="0" w:space="0" w:color="auto"/>
                <w:right w:val="none" w:sz="0" w:space="0" w:color="auto"/>
              </w:divBdr>
              <w:divsChild>
                <w:div w:id="5371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1814">
      <w:bodyDiv w:val="1"/>
      <w:marLeft w:val="0"/>
      <w:marRight w:val="0"/>
      <w:marTop w:val="0"/>
      <w:marBottom w:val="0"/>
      <w:divBdr>
        <w:top w:val="none" w:sz="0" w:space="0" w:color="auto"/>
        <w:left w:val="none" w:sz="0" w:space="0" w:color="auto"/>
        <w:bottom w:val="none" w:sz="0" w:space="0" w:color="auto"/>
        <w:right w:val="none" w:sz="0" w:space="0" w:color="auto"/>
      </w:divBdr>
      <w:divsChild>
        <w:div w:id="1014573536">
          <w:marLeft w:val="0"/>
          <w:marRight w:val="0"/>
          <w:marTop w:val="0"/>
          <w:marBottom w:val="0"/>
          <w:divBdr>
            <w:top w:val="none" w:sz="0" w:space="0" w:color="auto"/>
            <w:left w:val="none" w:sz="0" w:space="0" w:color="auto"/>
            <w:bottom w:val="none" w:sz="0" w:space="0" w:color="auto"/>
            <w:right w:val="none" w:sz="0" w:space="0" w:color="auto"/>
          </w:divBdr>
          <w:divsChild>
            <w:div w:id="1879507109">
              <w:marLeft w:val="0"/>
              <w:marRight w:val="0"/>
              <w:marTop w:val="0"/>
              <w:marBottom w:val="0"/>
              <w:divBdr>
                <w:top w:val="none" w:sz="0" w:space="0" w:color="auto"/>
                <w:left w:val="none" w:sz="0" w:space="0" w:color="auto"/>
                <w:bottom w:val="none" w:sz="0" w:space="0" w:color="auto"/>
                <w:right w:val="none" w:sz="0" w:space="0" w:color="auto"/>
              </w:divBdr>
              <w:divsChild>
                <w:div w:id="1995525452">
                  <w:marLeft w:val="0"/>
                  <w:marRight w:val="0"/>
                  <w:marTop w:val="0"/>
                  <w:marBottom w:val="0"/>
                  <w:divBdr>
                    <w:top w:val="none" w:sz="0" w:space="0" w:color="auto"/>
                    <w:left w:val="none" w:sz="0" w:space="0" w:color="auto"/>
                    <w:bottom w:val="none" w:sz="0" w:space="0" w:color="auto"/>
                    <w:right w:val="none" w:sz="0" w:space="0" w:color="auto"/>
                  </w:divBdr>
                  <w:divsChild>
                    <w:div w:id="15613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3461">
      <w:bodyDiv w:val="1"/>
      <w:marLeft w:val="0"/>
      <w:marRight w:val="0"/>
      <w:marTop w:val="0"/>
      <w:marBottom w:val="0"/>
      <w:divBdr>
        <w:top w:val="none" w:sz="0" w:space="0" w:color="auto"/>
        <w:left w:val="none" w:sz="0" w:space="0" w:color="auto"/>
        <w:bottom w:val="none" w:sz="0" w:space="0" w:color="auto"/>
        <w:right w:val="none" w:sz="0" w:space="0" w:color="auto"/>
      </w:divBdr>
      <w:divsChild>
        <w:div w:id="513960100">
          <w:marLeft w:val="0"/>
          <w:marRight w:val="0"/>
          <w:marTop w:val="0"/>
          <w:marBottom w:val="0"/>
          <w:divBdr>
            <w:top w:val="none" w:sz="0" w:space="0" w:color="auto"/>
            <w:left w:val="none" w:sz="0" w:space="0" w:color="auto"/>
            <w:bottom w:val="none" w:sz="0" w:space="0" w:color="auto"/>
            <w:right w:val="none" w:sz="0" w:space="0" w:color="auto"/>
          </w:divBdr>
          <w:divsChild>
            <w:div w:id="1589390026">
              <w:marLeft w:val="0"/>
              <w:marRight w:val="0"/>
              <w:marTop w:val="0"/>
              <w:marBottom w:val="0"/>
              <w:divBdr>
                <w:top w:val="none" w:sz="0" w:space="0" w:color="auto"/>
                <w:left w:val="none" w:sz="0" w:space="0" w:color="auto"/>
                <w:bottom w:val="none" w:sz="0" w:space="0" w:color="auto"/>
                <w:right w:val="none" w:sz="0" w:space="0" w:color="auto"/>
              </w:divBdr>
              <w:divsChild>
                <w:div w:id="5870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11208">
      <w:bodyDiv w:val="1"/>
      <w:marLeft w:val="0"/>
      <w:marRight w:val="0"/>
      <w:marTop w:val="0"/>
      <w:marBottom w:val="0"/>
      <w:divBdr>
        <w:top w:val="none" w:sz="0" w:space="0" w:color="auto"/>
        <w:left w:val="none" w:sz="0" w:space="0" w:color="auto"/>
        <w:bottom w:val="none" w:sz="0" w:space="0" w:color="auto"/>
        <w:right w:val="none" w:sz="0" w:space="0" w:color="auto"/>
      </w:divBdr>
      <w:divsChild>
        <w:div w:id="778257543">
          <w:marLeft w:val="0"/>
          <w:marRight w:val="0"/>
          <w:marTop w:val="0"/>
          <w:marBottom w:val="0"/>
          <w:divBdr>
            <w:top w:val="none" w:sz="0" w:space="0" w:color="auto"/>
            <w:left w:val="none" w:sz="0" w:space="0" w:color="auto"/>
            <w:bottom w:val="none" w:sz="0" w:space="0" w:color="auto"/>
            <w:right w:val="none" w:sz="0" w:space="0" w:color="auto"/>
          </w:divBdr>
          <w:divsChild>
            <w:div w:id="566694020">
              <w:marLeft w:val="0"/>
              <w:marRight w:val="0"/>
              <w:marTop w:val="0"/>
              <w:marBottom w:val="0"/>
              <w:divBdr>
                <w:top w:val="none" w:sz="0" w:space="0" w:color="auto"/>
                <w:left w:val="none" w:sz="0" w:space="0" w:color="auto"/>
                <w:bottom w:val="none" w:sz="0" w:space="0" w:color="auto"/>
                <w:right w:val="none" w:sz="0" w:space="0" w:color="auto"/>
              </w:divBdr>
              <w:divsChild>
                <w:div w:id="9515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2056">
      <w:bodyDiv w:val="1"/>
      <w:marLeft w:val="0"/>
      <w:marRight w:val="0"/>
      <w:marTop w:val="0"/>
      <w:marBottom w:val="0"/>
      <w:divBdr>
        <w:top w:val="none" w:sz="0" w:space="0" w:color="auto"/>
        <w:left w:val="none" w:sz="0" w:space="0" w:color="auto"/>
        <w:bottom w:val="none" w:sz="0" w:space="0" w:color="auto"/>
        <w:right w:val="none" w:sz="0" w:space="0" w:color="auto"/>
      </w:divBdr>
      <w:divsChild>
        <w:div w:id="374307325">
          <w:marLeft w:val="0"/>
          <w:marRight w:val="0"/>
          <w:marTop w:val="0"/>
          <w:marBottom w:val="0"/>
          <w:divBdr>
            <w:top w:val="none" w:sz="0" w:space="0" w:color="auto"/>
            <w:left w:val="none" w:sz="0" w:space="0" w:color="auto"/>
            <w:bottom w:val="none" w:sz="0" w:space="0" w:color="auto"/>
            <w:right w:val="none" w:sz="0" w:space="0" w:color="auto"/>
          </w:divBdr>
          <w:divsChild>
            <w:div w:id="440955285">
              <w:marLeft w:val="0"/>
              <w:marRight w:val="0"/>
              <w:marTop w:val="0"/>
              <w:marBottom w:val="0"/>
              <w:divBdr>
                <w:top w:val="none" w:sz="0" w:space="0" w:color="auto"/>
                <w:left w:val="none" w:sz="0" w:space="0" w:color="auto"/>
                <w:bottom w:val="none" w:sz="0" w:space="0" w:color="auto"/>
                <w:right w:val="none" w:sz="0" w:space="0" w:color="auto"/>
              </w:divBdr>
              <w:divsChild>
                <w:div w:id="853498810">
                  <w:marLeft w:val="0"/>
                  <w:marRight w:val="0"/>
                  <w:marTop w:val="0"/>
                  <w:marBottom w:val="0"/>
                  <w:divBdr>
                    <w:top w:val="none" w:sz="0" w:space="0" w:color="auto"/>
                    <w:left w:val="none" w:sz="0" w:space="0" w:color="auto"/>
                    <w:bottom w:val="none" w:sz="0" w:space="0" w:color="auto"/>
                    <w:right w:val="none" w:sz="0" w:space="0" w:color="auto"/>
                  </w:divBdr>
                  <w:divsChild>
                    <w:div w:id="9288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45515">
      <w:bodyDiv w:val="1"/>
      <w:marLeft w:val="0"/>
      <w:marRight w:val="0"/>
      <w:marTop w:val="0"/>
      <w:marBottom w:val="0"/>
      <w:divBdr>
        <w:top w:val="none" w:sz="0" w:space="0" w:color="auto"/>
        <w:left w:val="none" w:sz="0" w:space="0" w:color="auto"/>
        <w:bottom w:val="none" w:sz="0" w:space="0" w:color="auto"/>
        <w:right w:val="none" w:sz="0" w:space="0" w:color="auto"/>
      </w:divBdr>
      <w:divsChild>
        <w:div w:id="1837574557">
          <w:marLeft w:val="0"/>
          <w:marRight w:val="0"/>
          <w:marTop w:val="0"/>
          <w:marBottom w:val="0"/>
          <w:divBdr>
            <w:top w:val="none" w:sz="0" w:space="0" w:color="auto"/>
            <w:left w:val="none" w:sz="0" w:space="0" w:color="auto"/>
            <w:bottom w:val="none" w:sz="0" w:space="0" w:color="auto"/>
            <w:right w:val="none" w:sz="0" w:space="0" w:color="auto"/>
          </w:divBdr>
          <w:divsChild>
            <w:div w:id="615722484">
              <w:marLeft w:val="0"/>
              <w:marRight w:val="0"/>
              <w:marTop w:val="0"/>
              <w:marBottom w:val="0"/>
              <w:divBdr>
                <w:top w:val="none" w:sz="0" w:space="0" w:color="auto"/>
                <w:left w:val="none" w:sz="0" w:space="0" w:color="auto"/>
                <w:bottom w:val="none" w:sz="0" w:space="0" w:color="auto"/>
                <w:right w:val="none" w:sz="0" w:space="0" w:color="auto"/>
              </w:divBdr>
              <w:divsChild>
                <w:div w:id="16761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7560">
      <w:bodyDiv w:val="1"/>
      <w:marLeft w:val="0"/>
      <w:marRight w:val="0"/>
      <w:marTop w:val="0"/>
      <w:marBottom w:val="0"/>
      <w:divBdr>
        <w:top w:val="none" w:sz="0" w:space="0" w:color="auto"/>
        <w:left w:val="none" w:sz="0" w:space="0" w:color="auto"/>
        <w:bottom w:val="none" w:sz="0" w:space="0" w:color="auto"/>
        <w:right w:val="none" w:sz="0" w:space="0" w:color="auto"/>
      </w:divBdr>
    </w:div>
    <w:div w:id="124740172">
      <w:bodyDiv w:val="1"/>
      <w:marLeft w:val="0"/>
      <w:marRight w:val="0"/>
      <w:marTop w:val="0"/>
      <w:marBottom w:val="0"/>
      <w:divBdr>
        <w:top w:val="none" w:sz="0" w:space="0" w:color="auto"/>
        <w:left w:val="none" w:sz="0" w:space="0" w:color="auto"/>
        <w:bottom w:val="none" w:sz="0" w:space="0" w:color="auto"/>
        <w:right w:val="none" w:sz="0" w:space="0" w:color="auto"/>
      </w:divBdr>
      <w:divsChild>
        <w:div w:id="829325288">
          <w:marLeft w:val="0"/>
          <w:marRight w:val="0"/>
          <w:marTop w:val="0"/>
          <w:marBottom w:val="0"/>
          <w:divBdr>
            <w:top w:val="none" w:sz="0" w:space="0" w:color="auto"/>
            <w:left w:val="none" w:sz="0" w:space="0" w:color="auto"/>
            <w:bottom w:val="none" w:sz="0" w:space="0" w:color="auto"/>
            <w:right w:val="none" w:sz="0" w:space="0" w:color="auto"/>
          </w:divBdr>
          <w:divsChild>
            <w:div w:id="1408188485">
              <w:marLeft w:val="0"/>
              <w:marRight w:val="0"/>
              <w:marTop w:val="0"/>
              <w:marBottom w:val="0"/>
              <w:divBdr>
                <w:top w:val="none" w:sz="0" w:space="0" w:color="auto"/>
                <w:left w:val="none" w:sz="0" w:space="0" w:color="auto"/>
                <w:bottom w:val="none" w:sz="0" w:space="0" w:color="auto"/>
                <w:right w:val="none" w:sz="0" w:space="0" w:color="auto"/>
              </w:divBdr>
              <w:divsChild>
                <w:div w:id="1105341091">
                  <w:marLeft w:val="0"/>
                  <w:marRight w:val="0"/>
                  <w:marTop w:val="0"/>
                  <w:marBottom w:val="0"/>
                  <w:divBdr>
                    <w:top w:val="none" w:sz="0" w:space="0" w:color="auto"/>
                    <w:left w:val="none" w:sz="0" w:space="0" w:color="auto"/>
                    <w:bottom w:val="none" w:sz="0" w:space="0" w:color="auto"/>
                    <w:right w:val="none" w:sz="0" w:space="0" w:color="auto"/>
                  </w:divBdr>
                  <w:divsChild>
                    <w:div w:id="15800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0095">
      <w:bodyDiv w:val="1"/>
      <w:marLeft w:val="0"/>
      <w:marRight w:val="0"/>
      <w:marTop w:val="0"/>
      <w:marBottom w:val="0"/>
      <w:divBdr>
        <w:top w:val="none" w:sz="0" w:space="0" w:color="auto"/>
        <w:left w:val="none" w:sz="0" w:space="0" w:color="auto"/>
        <w:bottom w:val="none" w:sz="0" w:space="0" w:color="auto"/>
        <w:right w:val="none" w:sz="0" w:space="0" w:color="auto"/>
      </w:divBdr>
    </w:div>
    <w:div w:id="127405765">
      <w:bodyDiv w:val="1"/>
      <w:marLeft w:val="0"/>
      <w:marRight w:val="0"/>
      <w:marTop w:val="0"/>
      <w:marBottom w:val="0"/>
      <w:divBdr>
        <w:top w:val="none" w:sz="0" w:space="0" w:color="auto"/>
        <w:left w:val="none" w:sz="0" w:space="0" w:color="auto"/>
        <w:bottom w:val="none" w:sz="0" w:space="0" w:color="auto"/>
        <w:right w:val="none" w:sz="0" w:space="0" w:color="auto"/>
      </w:divBdr>
      <w:divsChild>
        <w:div w:id="1716348512">
          <w:marLeft w:val="0"/>
          <w:marRight w:val="0"/>
          <w:marTop w:val="0"/>
          <w:marBottom w:val="0"/>
          <w:divBdr>
            <w:top w:val="none" w:sz="0" w:space="0" w:color="auto"/>
            <w:left w:val="none" w:sz="0" w:space="0" w:color="auto"/>
            <w:bottom w:val="none" w:sz="0" w:space="0" w:color="auto"/>
            <w:right w:val="none" w:sz="0" w:space="0" w:color="auto"/>
          </w:divBdr>
          <w:divsChild>
            <w:div w:id="1729524947">
              <w:marLeft w:val="0"/>
              <w:marRight w:val="0"/>
              <w:marTop w:val="0"/>
              <w:marBottom w:val="0"/>
              <w:divBdr>
                <w:top w:val="none" w:sz="0" w:space="0" w:color="auto"/>
                <w:left w:val="none" w:sz="0" w:space="0" w:color="auto"/>
                <w:bottom w:val="none" w:sz="0" w:space="0" w:color="auto"/>
                <w:right w:val="none" w:sz="0" w:space="0" w:color="auto"/>
              </w:divBdr>
              <w:divsChild>
                <w:div w:id="784929609">
                  <w:marLeft w:val="0"/>
                  <w:marRight w:val="0"/>
                  <w:marTop w:val="0"/>
                  <w:marBottom w:val="0"/>
                  <w:divBdr>
                    <w:top w:val="none" w:sz="0" w:space="0" w:color="auto"/>
                    <w:left w:val="none" w:sz="0" w:space="0" w:color="auto"/>
                    <w:bottom w:val="none" w:sz="0" w:space="0" w:color="auto"/>
                    <w:right w:val="none" w:sz="0" w:space="0" w:color="auto"/>
                  </w:divBdr>
                  <w:divsChild>
                    <w:div w:id="21365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14715">
      <w:bodyDiv w:val="1"/>
      <w:marLeft w:val="0"/>
      <w:marRight w:val="0"/>
      <w:marTop w:val="0"/>
      <w:marBottom w:val="0"/>
      <w:divBdr>
        <w:top w:val="none" w:sz="0" w:space="0" w:color="auto"/>
        <w:left w:val="none" w:sz="0" w:space="0" w:color="auto"/>
        <w:bottom w:val="none" w:sz="0" w:space="0" w:color="auto"/>
        <w:right w:val="none" w:sz="0" w:space="0" w:color="auto"/>
      </w:divBdr>
      <w:divsChild>
        <w:div w:id="1761639496">
          <w:marLeft w:val="0"/>
          <w:marRight w:val="0"/>
          <w:marTop w:val="0"/>
          <w:marBottom w:val="0"/>
          <w:divBdr>
            <w:top w:val="none" w:sz="0" w:space="0" w:color="auto"/>
            <w:left w:val="none" w:sz="0" w:space="0" w:color="auto"/>
            <w:bottom w:val="none" w:sz="0" w:space="0" w:color="auto"/>
            <w:right w:val="none" w:sz="0" w:space="0" w:color="auto"/>
          </w:divBdr>
          <w:divsChild>
            <w:div w:id="1799953890">
              <w:marLeft w:val="0"/>
              <w:marRight w:val="0"/>
              <w:marTop w:val="0"/>
              <w:marBottom w:val="0"/>
              <w:divBdr>
                <w:top w:val="none" w:sz="0" w:space="0" w:color="auto"/>
                <w:left w:val="none" w:sz="0" w:space="0" w:color="auto"/>
                <w:bottom w:val="none" w:sz="0" w:space="0" w:color="auto"/>
                <w:right w:val="none" w:sz="0" w:space="0" w:color="auto"/>
              </w:divBdr>
              <w:divsChild>
                <w:div w:id="16516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455">
      <w:bodyDiv w:val="1"/>
      <w:marLeft w:val="0"/>
      <w:marRight w:val="0"/>
      <w:marTop w:val="0"/>
      <w:marBottom w:val="0"/>
      <w:divBdr>
        <w:top w:val="none" w:sz="0" w:space="0" w:color="auto"/>
        <w:left w:val="none" w:sz="0" w:space="0" w:color="auto"/>
        <w:bottom w:val="none" w:sz="0" w:space="0" w:color="auto"/>
        <w:right w:val="none" w:sz="0" w:space="0" w:color="auto"/>
      </w:divBdr>
      <w:divsChild>
        <w:div w:id="462231590">
          <w:marLeft w:val="0"/>
          <w:marRight w:val="0"/>
          <w:marTop w:val="0"/>
          <w:marBottom w:val="0"/>
          <w:divBdr>
            <w:top w:val="none" w:sz="0" w:space="0" w:color="auto"/>
            <w:left w:val="none" w:sz="0" w:space="0" w:color="auto"/>
            <w:bottom w:val="none" w:sz="0" w:space="0" w:color="auto"/>
            <w:right w:val="none" w:sz="0" w:space="0" w:color="auto"/>
          </w:divBdr>
          <w:divsChild>
            <w:div w:id="1562212945">
              <w:marLeft w:val="0"/>
              <w:marRight w:val="0"/>
              <w:marTop w:val="0"/>
              <w:marBottom w:val="0"/>
              <w:divBdr>
                <w:top w:val="none" w:sz="0" w:space="0" w:color="auto"/>
                <w:left w:val="none" w:sz="0" w:space="0" w:color="auto"/>
                <w:bottom w:val="none" w:sz="0" w:space="0" w:color="auto"/>
                <w:right w:val="none" w:sz="0" w:space="0" w:color="auto"/>
              </w:divBdr>
              <w:divsChild>
                <w:div w:id="892011512">
                  <w:marLeft w:val="0"/>
                  <w:marRight w:val="0"/>
                  <w:marTop w:val="0"/>
                  <w:marBottom w:val="0"/>
                  <w:divBdr>
                    <w:top w:val="none" w:sz="0" w:space="0" w:color="auto"/>
                    <w:left w:val="none" w:sz="0" w:space="0" w:color="auto"/>
                    <w:bottom w:val="none" w:sz="0" w:space="0" w:color="auto"/>
                    <w:right w:val="none" w:sz="0" w:space="0" w:color="auto"/>
                  </w:divBdr>
                  <w:divsChild>
                    <w:div w:id="20833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7921">
      <w:bodyDiv w:val="1"/>
      <w:marLeft w:val="0"/>
      <w:marRight w:val="0"/>
      <w:marTop w:val="0"/>
      <w:marBottom w:val="0"/>
      <w:divBdr>
        <w:top w:val="none" w:sz="0" w:space="0" w:color="auto"/>
        <w:left w:val="none" w:sz="0" w:space="0" w:color="auto"/>
        <w:bottom w:val="none" w:sz="0" w:space="0" w:color="auto"/>
        <w:right w:val="none" w:sz="0" w:space="0" w:color="auto"/>
      </w:divBdr>
      <w:divsChild>
        <w:div w:id="1787770590">
          <w:marLeft w:val="0"/>
          <w:marRight w:val="0"/>
          <w:marTop w:val="0"/>
          <w:marBottom w:val="0"/>
          <w:divBdr>
            <w:top w:val="none" w:sz="0" w:space="0" w:color="auto"/>
            <w:left w:val="none" w:sz="0" w:space="0" w:color="auto"/>
            <w:bottom w:val="none" w:sz="0" w:space="0" w:color="auto"/>
            <w:right w:val="none" w:sz="0" w:space="0" w:color="auto"/>
          </w:divBdr>
          <w:divsChild>
            <w:div w:id="1797874414">
              <w:marLeft w:val="0"/>
              <w:marRight w:val="0"/>
              <w:marTop w:val="0"/>
              <w:marBottom w:val="0"/>
              <w:divBdr>
                <w:top w:val="none" w:sz="0" w:space="0" w:color="auto"/>
                <w:left w:val="none" w:sz="0" w:space="0" w:color="auto"/>
                <w:bottom w:val="none" w:sz="0" w:space="0" w:color="auto"/>
                <w:right w:val="none" w:sz="0" w:space="0" w:color="auto"/>
              </w:divBdr>
              <w:divsChild>
                <w:div w:id="1038161587">
                  <w:marLeft w:val="0"/>
                  <w:marRight w:val="0"/>
                  <w:marTop w:val="0"/>
                  <w:marBottom w:val="0"/>
                  <w:divBdr>
                    <w:top w:val="none" w:sz="0" w:space="0" w:color="auto"/>
                    <w:left w:val="none" w:sz="0" w:space="0" w:color="auto"/>
                    <w:bottom w:val="none" w:sz="0" w:space="0" w:color="auto"/>
                    <w:right w:val="none" w:sz="0" w:space="0" w:color="auto"/>
                  </w:divBdr>
                  <w:divsChild>
                    <w:div w:id="5556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9517">
      <w:bodyDiv w:val="1"/>
      <w:marLeft w:val="0"/>
      <w:marRight w:val="0"/>
      <w:marTop w:val="0"/>
      <w:marBottom w:val="0"/>
      <w:divBdr>
        <w:top w:val="none" w:sz="0" w:space="0" w:color="auto"/>
        <w:left w:val="none" w:sz="0" w:space="0" w:color="auto"/>
        <w:bottom w:val="none" w:sz="0" w:space="0" w:color="auto"/>
        <w:right w:val="none" w:sz="0" w:space="0" w:color="auto"/>
      </w:divBdr>
      <w:divsChild>
        <w:div w:id="907378420">
          <w:marLeft w:val="0"/>
          <w:marRight w:val="0"/>
          <w:marTop w:val="0"/>
          <w:marBottom w:val="0"/>
          <w:divBdr>
            <w:top w:val="none" w:sz="0" w:space="0" w:color="auto"/>
            <w:left w:val="none" w:sz="0" w:space="0" w:color="auto"/>
            <w:bottom w:val="none" w:sz="0" w:space="0" w:color="auto"/>
            <w:right w:val="none" w:sz="0" w:space="0" w:color="auto"/>
          </w:divBdr>
          <w:divsChild>
            <w:div w:id="1930697267">
              <w:marLeft w:val="0"/>
              <w:marRight w:val="0"/>
              <w:marTop w:val="0"/>
              <w:marBottom w:val="0"/>
              <w:divBdr>
                <w:top w:val="none" w:sz="0" w:space="0" w:color="auto"/>
                <w:left w:val="none" w:sz="0" w:space="0" w:color="auto"/>
                <w:bottom w:val="none" w:sz="0" w:space="0" w:color="auto"/>
                <w:right w:val="none" w:sz="0" w:space="0" w:color="auto"/>
              </w:divBdr>
              <w:divsChild>
                <w:div w:id="7942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3943">
      <w:bodyDiv w:val="1"/>
      <w:marLeft w:val="0"/>
      <w:marRight w:val="0"/>
      <w:marTop w:val="0"/>
      <w:marBottom w:val="0"/>
      <w:divBdr>
        <w:top w:val="none" w:sz="0" w:space="0" w:color="auto"/>
        <w:left w:val="none" w:sz="0" w:space="0" w:color="auto"/>
        <w:bottom w:val="none" w:sz="0" w:space="0" w:color="auto"/>
        <w:right w:val="none" w:sz="0" w:space="0" w:color="auto"/>
      </w:divBdr>
      <w:divsChild>
        <w:div w:id="1077871780">
          <w:marLeft w:val="0"/>
          <w:marRight w:val="0"/>
          <w:marTop w:val="0"/>
          <w:marBottom w:val="0"/>
          <w:divBdr>
            <w:top w:val="none" w:sz="0" w:space="0" w:color="auto"/>
            <w:left w:val="none" w:sz="0" w:space="0" w:color="auto"/>
            <w:bottom w:val="none" w:sz="0" w:space="0" w:color="auto"/>
            <w:right w:val="none" w:sz="0" w:space="0" w:color="auto"/>
          </w:divBdr>
          <w:divsChild>
            <w:div w:id="1092701248">
              <w:marLeft w:val="0"/>
              <w:marRight w:val="0"/>
              <w:marTop w:val="0"/>
              <w:marBottom w:val="0"/>
              <w:divBdr>
                <w:top w:val="none" w:sz="0" w:space="0" w:color="auto"/>
                <w:left w:val="none" w:sz="0" w:space="0" w:color="auto"/>
                <w:bottom w:val="none" w:sz="0" w:space="0" w:color="auto"/>
                <w:right w:val="none" w:sz="0" w:space="0" w:color="auto"/>
              </w:divBdr>
              <w:divsChild>
                <w:div w:id="1011637690">
                  <w:marLeft w:val="0"/>
                  <w:marRight w:val="0"/>
                  <w:marTop w:val="0"/>
                  <w:marBottom w:val="0"/>
                  <w:divBdr>
                    <w:top w:val="none" w:sz="0" w:space="0" w:color="auto"/>
                    <w:left w:val="none" w:sz="0" w:space="0" w:color="auto"/>
                    <w:bottom w:val="none" w:sz="0" w:space="0" w:color="auto"/>
                    <w:right w:val="none" w:sz="0" w:space="0" w:color="auto"/>
                  </w:divBdr>
                  <w:divsChild>
                    <w:div w:id="4933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2970">
      <w:bodyDiv w:val="1"/>
      <w:marLeft w:val="0"/>
      <w:marRight w:val="0"/>
      <w:marTop w:val="0"/>
      <w:marBottom w:val="0"/>
      <w:divBdr>
        <w:top w:val="none" w:sz="0" w:space="0" w:color="auto"/>
        <w:left w:val="none" w:sz="0" w:space="0" w:color="auto"/>
        <w:bottom w:val="none" w:sz="0" w:space="0" w:color="auto"/>
        <w:right w:val="none" w:sz="0" w:space="0" w:color="auto"/>
      </w:divBdr>
      <w:divsChild>
        <w:div w:id="2106025851">
          <w:marLeft w:val="0"/>
          <w:marRight w:val="0"/>
          <w:marTop w:val="0"/>
          <w:marBottom w:val="0"/>
          <w:divBdr>
            <w:top w:val="none" w:sz="0" w:space="0" w:color="auto"/>
            <w:left w:val="none" w:sz="0" w:space="0" w:color="auto"/>
            <w:bottom w:val="none" w:sz="0" w:space="0" w:color="auto"/>
            <w:right w:val="none" w:sz="0" w:space="0" w:color="auto"/>
          </w:divBdr>
          <w:divsChild>
            <w:div w:id="1890678866">
              <w:marLeft w:val="0"/>
              <w:marRight w:val="0"/>
              <w:marTop w:val="0"/>
              <w:marBottom w:val="0"/>
              <w:divBdr>
                <w:top w:val="none" w:sz="0" w:space="0" w:color="auto"/>
                <w:left w:val="none" w:sz="0" w:space="0" w:color="auto"/>
                <w:bottom w:val="none" w:sz="0" w:space="0" w:color="auto"/>
                <w:right w:val="none" w:sz="0" w:space="0" w:color="auto"/>
              </w:divBdr>
              <w:divsChild>
                <w:div w:id="1317107566">
                  <w:marLeft w:val="0"/>
                  <w:marRight w:val="0"/>
                  <w:marTop w:val="0"/>
                  <w:marBottom w:val="0"/>
                  <w:divBdr>
                    <w:top w:val="none" w:sz="0" w:space="0" w:color="auto"/>
                    <w:left w:val="none" w:sz="0" w:space="0" w:color="auto"/>
                    <w:bottom w:val="none" w:sz="0" w:space="0" w:color="auto"/>
                    <w:right w:val="none" w:sz="0" w:space="0" w:color="auto"/>
                  </w:divBdr>
                  <w:divsChild>
                    <w:div w:id="17491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91658">
      <w:bodyDiv w:val="1"/>
      <w:marLeft w:val="0"/>
      <w:marRight w:val="0"/>
      <w:marTop w:val="0"/>
      <w:marBottom w:val="0"/>
      <w:divBdr>
        <w:top w:val="none" w:sz="0" w:space="0" w:color="auto"/>
        <w:left w:val="none" w:sz="0" w:space="0" w:color="auto"/>
        <w:bottom w:val="none" w:sz="0" w:space="0" w:color="auto"/>
        <w:right w:val="none" w:sz="0" w:space="0" w:color="auto"/>
      </w:divBdr>
    </w:div>
    <w:div w:id="147328349">
      <w:bodyDiv w:val="1"/>
      <w:marLeft w:val="0"/>
      <w:marRight w:val="0"/>
      <w:marTop w:val="0"/>
      <w:marBottom w:val="0"/>
      <w:divBdr>
        <w:top w:val="none" w:sz="0" w:space="0" w:color="auto"/>
        <w:left w:val="none" w:sz="0" w:space="0" w:color="auto"/>
        <w:bottom w:val="none" w:sz="0" w:space="0" w:color="auto"/>
        <w:right w:val="none" w:sz="0" w:space="0" w:color="auto"/>
      </w:divBdr>
      <w:divsChild>
        <w:div w:id="737050253">
          <w:marLeft w:val="547"/>
          <w:marRight w:val="0"/>
          <w:marTop w:val="0"/>
          <w:marBottom w:val="0"/>
          <w:divBdr>
            <w:top w:val="none" w:sz="0" w:space="0" w:color="auto"/>
            <w:left w:val="none" w:sz="0" w:space="0" w:color="auto"/>
            <w:bottom w:val="none" w:sz="0" w:space="0" w:color="auto"/>
            <w:right w:val="none" w:sz="0" w:space="0" w:color="auto"/>
          </w:divBdr>
        </w:div>
      </w:divsChild>
    </w:div>
    <w:div w:id="158890962">
      <w:bodyDiv w:val="1"/>
      <w:marLeft w:val="0"/>
      <w:marRight w:val="0"/>
      <w:marTop w:val="0"/>
      <w:marBottom w:val="0"/>
      <w:divBdr>
        <w:top w:val="none" w:sz="0" w:space="0" w:color="auto"/>
        <w:left w:val="none" w:sz="0" w:space="0" w:color="auto"/>
        <w:bottom w:val="none" w:sz="0" w:space="0" w:color="auto"/>
        <w:right w:val="none" w:sz="0" w:space="0" w:color="auto"/>
      </w:divBdr>
      <w:divsChild>
        <w:div w:id="981811268">
          <w:marLeft w:val="0"/>
          <w:marRight w:val="0"/>
          <w:marTop w:val="0"/>
          <w:marBottom w:val="0"/>
          <w:divBdr>
            <w:top w:val="none" w:sz="0" w:space="0" w:color="auto"/>
            <w:left w:val="none" w:sz="0" w:space="0" w:color="auto"/>
            <w:bottom w:val="none" w:sz="0" w:space="0" w:color="auto"/>
            <w:right w:val="none" w:sz="0" w:space="0" w:color="auto"/>
          </w:divBdr>
          <w:divsChild>
            <w:div w:id="1879973244">
              <w:marLeft w:val="0"/>
              <w:marRight w:val="0"/>
              <w:marTop w:val="0"/>
              <w:marBottom w:val="0"/>
              <w:divBdr>
                <w:top w:val="none" w:sz="0" w:space="0" w:color="auto"/>
                <w:left w:val="none" w:sz="0" w:space="0" w:color="auto"/>
                <w:bottom w:val="none" w:sz="0" w:space="0" w:color="auto"/>
                <w:right w:val="none" w:sz="0" w:space="0" w:color="auto"/>
              </w:divBdr>
              <w:divsChild>
                <w:div w:id="582759864">
                  <w:marLeft w:val="0"/>
                  <w:marRight w:val="0"/>
                  <w:marTop w:val="0"/>
                  <w:marBottom w:val="0"/>
                  <w:divBdr>
                    <w:top w:val="none" w:sz="0" w:space="0" w:color="auto"/>
                    <w:left w:val="none" w:sz="0" w:space="0" w:color="auto"/>
                    <w:bottom w:val="none" w:sz="0" w:space="0" w:color="auto"/>
                    <w:right w:val="none" w:sz="0" w:space="0" w:color="auto"/>
                  </w:divBdr>
                  <w:divsChild>
                    <w:div w:id="2029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26026">
      <w:bodyDiv w:val="1"/>
      <w:marLeft w:val="0"/>
      <w:marRight w:val="0"/>
      <w:marTop w:val="0"/>
      <w:marBottom w:val="0"/>
      <w:divBdr>
        <w:top w:val="none" w:sz="0" w:space="0" w:color="auto"/>
        <w:left w:val="none" w:sz="0" w:space="0" w:color="auto"/>
        <w:bottom w:val="none" w:sz="0" w:space="0" w:color="auto"/>
        <w:right w:val="none" w:sz="0" w:space="0" w:color="auto"/>
      </w:divBdr>
      <w:divsChild>
        <w:div w:id="619267811">
          <w:marLeft w:val="0"/>
          <w:marRight w:val="0"/>
          <w:marTop w:val="0"/>
          <w:marBottom w:val="0"/>
          <w:divBdr>
            <w:top w:val="none" w:sz="0" w:space="0" w:color="auto"/>
            <w:left w:val="none" w:sz="0" w:space="0" w:color="auto"/>
            <w:bottom w:val="none" w:sz="0" w:space="0" w:color="auto"/>
            <w:right w:val="none" w:sz="0" w:space="0" w:color="auto"/>
          </w:divBdr>
          <w:divsChild>
            <w:div w:id="1393458452">
              <w:marLeft w:val="0"/>
              <w:marRight w:val="0"/>
              <w:marTop w:val="0"/>
              <w:marBottom w:val="0"/>
              <w:divBdr>
                <w:top w:val="none" w:sz="0" w:space="0" w:color="auto"/>
                <w:left w:val="none" w:sz="0" w:space="0" w:color="auto"/>
                <w:bottom w:val="none" w:sz="0" w:space="0" w:color="auto"/>
                <w:right w:val="none" w:sz="0" w:space="0" w:color="auto"/>
              </w:divBdr>
              <w:divsChild>
                <w:div w:id="1476218104">
                  <w:marLeft w:val="0"/>
                  <w:marRight w:val="0"/>
                  <w:marTop w:val="0"/>
                  <w:marBottom w:val="0"/>
                  <w:divBdr>
                    <w:top w:val="none" w:sz="0" w:space="0" w:color="auto"/>
                    <w:left w:val="none" w:sz="0" w:space="0" w:color="auto"/>
                    <w:bottom w:val="none" w:sz="0" w:space="0" w:color="auto"/>
                    <w:right w:val="none" w:sz="0" w:space="0" w:color="auto"/>
                  </w:divBdr>
                  <w:divsChild>
                    <w:div w:id="10260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1679">
      <w:bodyDiv w:val="1"/>
      <w:marLeft w:val="0"/>
      <w:marRight w:val="0"/>
      <w:marTop w:val="0"/>
      <w:marBottom w:val="0"/>
      <w:divBdr>
        <w:top w:val="none" w:sz="0" w:space="0" w:color="auto"/>
        <w:left w:val="none" w:sz="0" w:space="0" w:color="auto"/>
        <w:bottom w:val="none" w:sz="0" w:space="0" w:color="auto"/>
        <w:right w:val="none" w:sz="0" w:space="0" w:color="auto"/>
      </w:divBdr>
      <w:divsChild>
        <w:div w:id="1982734872">
          <w:marLeft w:val="0"/>
          <w:marRight w:val="0"/>
          <w:marTop w:val="0"/>
          <w:marBottom w:val="0"/>
          <w:divBdr>
            <w:top w:val="none" w:sz="0" w:space="0" w:color="auto"/>
            <w:left w:val="none" w:sz="0" w:space="0" w:color="auto"/>
            <w:bottom w:val="none" w:sz="0" w:space="0" w:color="auto"/>
            <w:right w:val="none" w:sz="0" w:space="0" w:color="auto"/>
          </w:divBdr>
          <w:divsChild>
            <w:div w:id="1454131228">
              <w:marLeft w:val="0"/>
              <w:marRight w:val="0"/>
              <w:marTop w:val="0"/>
              <w:marBottom w:val="0"/>
              <w:divBdr>
                <w:top w:val="none" w:sz="0" w:space="0" w:color="auto"/>
                <w:left w:val="none" w:sz="0" w:space="0" w:color="auto"/>
                <w:bottom w:val="none" w:sz="0" w:space="0" w:color="auto"/>
                <w:right w:val="none" w:sz="0" w:space="0" w:color="auto"/>
              </w:divBdr>
              <w:divsChild>
                <w:div w:id="1588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5080">
      <w:bodyDiv w:val="1"/>
      <w:marLeft w:val="0"/>
      <w:marRight w:val="0"/>
      <w:marTop w:val="0"/>
      <w:marBottom w:val="0"/>
      <w:divBdr>
        <w:top w:val="none" w:sz="0" w:space="0" w:color="auto"/>
        <w:left w:val="none" w:sz="0" w:space="0" w:color="auto"/>
        <w:bottom w:val="none" w:sz="0" w:space="0" w:color="auto"/>
        <w:right w:val="none" w:sz="0" w:space="0" w:color="auto"/>
      </w:divBdr>
    </w:div>
    <w:div w:id="182287511">
      <w:bodyDiv w:val="1"/>
      <w:marLeft w:val="0"/>
      <w:marRight w:val="0"/>
      <w:marTop w:val="0"/>
      <w:marBottom w:val="0"/>
      <w:divBdr>
        <w:top w:val="none" w:sz="0" w:space="0" w:color="auto"/>
        <w:left w:val="none" w:sz="0" w:space="0" w:color="auto"/>
        <w:bottom w:val="none" w:sz="0" w:space="0" w:color="auto"/>
        <w:right w:val="none" w:sz="0" w:space="0" w:color="auto"/>
      </w:divBdr>
      <w:divsChild>
        <w:div w:id="1559167940">
          <w:marLeft w:val="0"/>
          <w:marRight w:val="0"/>
          <w:marTop w:val="0"/>
          <w:marBottom w:val="0"/>
          <w:divBdr>
            <w:top w:val="none" w:sz="0" w:space="0" w:color="auto"/>
            <w:left w:val="none" w:sz="0" w:space="0" w:color="auto"/>
            <w:bottom w:val="none" w:sz="0" w:space="0" w:color="auto"/>
            <w:right w:val="none" w:sz="0" w:space="0" w:color="auto"/>
          </w:divBdr>
          <w:divsChild>
            <w:div w:id="262542203">
              <w:marLeft w:val="0"/>
              <w:marRight w:val="0"/>
              <w:marTop w:val="0"/>
              <w:marBottom w:val="0"/>
              <w:divBdr>
                <w:top w:val="none" w:sz="0" w:space="0" w:color="auto"/>
                <w:left w:val="none" w:sz="0" w:space="0" w:color="auto"/>
                <w:bottom w:val="none" w:sz="0" w:space="0" w:color="auto"/>
                <w:right w:val="none" w:sz="0" w:space="0" w:color="auto"/>
              </w:divBdr>
              <w:divsChild>
                <w:div w:id="17827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8799">
      <w:bodyDiv w:val="1"/>
      <w:marLeft w:val="0"/>
      <w:marRight w:val="0"/>
      <w:marTop w:val="0"/>
      <w:marBottom w:val="0"/>
      <w:divBdr>
        <w:top w:val="none" w:sz="0" w:space="0" w:color="auto"/>
        <w:left w:val="none" w:sz="0" w:space="0" w:color="auto"/>
        <w:bottom w:val="none" w:sz="0" w:space="0" w:color="auto"/>
        <w:right w:val="none" w:sz="0" w:space="0" w:color="auto"/>
      </w:divBdr>
      <w:divsChild>
        <w:div w:id="1934703754">
          <w:marLeft w:val="0"/>
          <w:marRight w:val="0"/>
          <w:marTop w:val="0"/>
          <w:marBottom w:val="0"/>
          <w:divBdr>
            <w:top w:val="none" w:sz="0" w:space="0" w:color="auto"/>
            <w:left w:val="none" w:sz="0" w:space="0" w:color="auto"/>
            <w:bottom w:val="none" w:sz="0" w:space="0" w:color="auto"/>
            <w:right w:val="none" w:sz="0" w:space="0" w:color="auto"/>
          </w:divBdr>
          <w:divsChild>
            <w:div w:id="262762093">
              <w:marLeft w:val="0"/>
              <w:marRight w:val="0"/>
              <w:marTop w:val="0"/>
              <w:marBottom w:val="0"/>
              <w:divBdr>
                <w:top w:val="none" w:sz="0" w:space="0" w:color="auto"/>
                <w:left w:val="none" w:sz="0" w:space="0" w:color="auto"/>
                <w:bottom w:val="none" w:sz="0" w:space="0" w:color="auto"/>
                <w:right w:val="none" w:sz="0" w:space="0" w:color="auto"/>
              </w:divBdr>
              <w:divsChild>
                <w:div w:id="8564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374">
      <w:bodyDiv w:val="1"/>
      <w:marLeft w:val="0"/>
      <w:marRight w:val="0"/>
      <w:marTop w:val="0"/>
      <w:marBottom w:val="0"/>
      <w:divBdr>
        <w:top w:val="none" w:sz="0" w:space="0" w:color="auto"/>
        <w:left w:val="none" w:sz="0" w:space="0" w:color="auto"/>
        <w:bottom w:val="none" w:sz="0" w:space="0" w:color="auto"/>
        <w:right w:val="none" w:sz="0" w:space="0" w:color="auto"/>
      </w:divBdr>
      <w:divsChild>
        <w:div w:id="593325534">
          <w:marLeft w:val="0"/>
          <w:marRight w:val="0"/>
          <w:marTop w:val="0"/>
          <w:marBottom w:val="0"/>
          <w:divBdr>
            <w:top w:val="none" w:sz="0" w:space="0" w:color="auto"/>
            <w:left w:val="none" w:sz="0" w:space="0" w:color="auto"/>
            <w:bottom w:val="none" w:sz="0" w:space="0" w:color="auto"/>
            <w:right w:val="none" w:sz="0" w:space="0" w:color="auto"/>
          </w:divBdr>
          <w:divsChild>
            <w:div w:id="1496335552">
              <w:marLeft w:val="0"/>
              <w:marRight w:val="0"/>
              <w:marTop w:val="0"/>
              <w:marBottom w:val="0"/>
              <w:divBdr>
                <w:top w:val="none" w:sz="0" w:space="0" w:color="auto"/>
                <w:left w:val="none" w:sz="0" w:space="0" w:color="auto"/>
                <w:bottom w:val="none" w:sz="0" w:space="0" w:color="auto"/>
                <w:right w:val="none" w:sz="0" w:space="0" w:color="auto"/>
              </w:divBdr>
              <w:divsChild>
                <w:div w:id="566258774">
                  <w:marLeft w:val="0"/>
                  <w:marRight w:val="0"/>
                  <w:marTop w:val="0"/>
                  <w:marBottom w:val="0"/>
                  <w:divBdr>
                    <w:top w:val="none" w:sz="0" w:space="0" w:color="auto"/>
                    <w:left w:val="none" w:sz="0" w:space="0" w:color="auto"/>
                    <w:bottom w:val="none" w:sz="0" w:space="0" w:color="auto"/>
                    <w:right w:val="none" w:sz="0" w:space="0" w:color="auto"/>
                  </w:divBdr>
                  <w:divsChild>
                    <w:div w:id="19789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50363">
      <w:bodyDiv w:val="1"/>
      <w:marLeft w:val="0"/>
      <w:marRight w:val="0"/>
      <w:marTop w:val="0"/>
      <w:marBottom w:val="0"/>
      <w:divBdr>
        <w:top w:val="none" w:sz="0" w:space="0" w:color="auto"/>
        <w:left w:val="none" w:sz="0" w:space="0" w:color="auto"/>
        <w:bottom w:val="none" w:sz="0" w:space="0" w:color="auto"/>
        <w:right w:val="none" w:sz="0" w:space="0" w:color="auto"/>
      </w:divBdr>
      <w:divsChild>
        <w:div w:id="142083556">
          <w:marLeft w:val="0"/>
          <w:marRight w:val="0"/>
          <w:marTop w:val="0"/>
          <w:marBottom w:val="0"/>
          <w:divBdr>
            <w:top w:val="none" w:sz="0" w:space="0" w:color="auto"/>
            <w:left w:val="none" w:sz="0" w:space="0" w:color="auto"/>
            <w:bottom w:val="none" w:sz="0" w:space="0" w:color="auto"/>
            <w:right w:val="none" w:sz="0" w:space="0" w:color="auto"/>
          </w:divBdr>
          <w:divsChild>
            <w:div w:id="373625694">
              <w:marLeft w:val="0"/>
              <w:marRight w:val="0"/>
              <w:marTop w:val="0"/>
              <w:marBottom w:val="0"/>
              <w:divBdr>
                <w:top w:val="none" w:sz="0" w:space="0" w:color="auto"/>
                <w:left w:val="none" w:sz="0" w:space="0" w:color="auto"/>
                <w:bottom w:val="none" w:sz="0" w:space="0" w:color="auto"/>
                <w:right w:val="none" w:sz="0" w:space="0" w:color="auto"/>
              </w:divBdr>
              <w:divsChild>
                <w:div w:id="1367178529">
                  <w:marLeft w:val="0"/>
                  <w:marRight w:val="0"/>
                  <w:marTop w:val="0"/>
                  <w:marBottom w:val="0"/>
                  <w:divBdr>
                    <w:top w:val="none" w:sz="0" w:space="0" w:color="auto"/>
                    <w:left w:val="none" w:sz="0" w:space="0" w:color="auto"/>
                    <w:bottom w:val="none" w:sz="0" w:space="0" w:color="auto"/>
                    <w:right w:val="none" w:sz="0" w:space="0" w:color="auto"/>
                  </w:divBdr>
                  <w:divsChild>
                    <w:div w:id="20193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730358">
      <w:bodyDiv w:val="1"/>
      <w:marLeft w:val="0"/>
      <w:marRight w:val="0"/>
      <w:marTop w:val="0"/>
      <w:marBottom w:val="0"/>
      <w:divBdr>
        <w:top w:val="none" w:sz="0" w:space="0" w:color="auto"/>
        <w:left w:val="none" w:sz="0" w:space="0" w:color="auto"/>
        <w:bottom w:val="none" w:sz="0" w:space="0" w:color="auto"/>
        <w:right w:val="none" w:sz="0" w:space="0" w:color="auto"/>
      </w:divBdr>
      <w:divsChild>
        <w:div w:id="1752120955">
          <w:marLeft w:val="0"/>
          <w:marRight w:val="0"/>
          <w:marTop w:val="0"/>
          <w:marBottom w:val="0"/>
          <w:divBdr>
            <w:top w:val="none" w:sz="0" w:space="0" w:color="auto"/>
            <w:left w:val="none" w:sz="0" w:space="0" w:color="auto"/>
            <w:bottom w:val="none" w:sz="0" w:space="0" w:color="auto"/>
            <w:right w:val="none" w:sz="0" w:space="0" w:color="auto"/>
          </w:divBdr>
          <w:divsChild>
            <w:div w:id="5445416">
              <w:marLeft w:val="0"/>
              <w:marRight w:val="0"/>
              <w:marTop w:val="0"/>
              <w:marBottom w:val="0"/>
              <w:divBdr>
                <w:top w:val="none" w:sz="0" w:space="0" w:color="auto"/>
                <w:left w:val="none" w:sz="0" w:space="0" w:color="auto"/>
                <w:bottom w:val="none" w:sz="0" w:space="0" w:color="auto"/>
                <w:right w:val="none" w:sz="0" w:space="0" w:color="auto"/>
              </w:divBdr>
              <w:divsChild>
                <w:div w:id="1961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95103">
      <w:bodyDiv w:val="1"/>
      <w:marLeft w:val="0"/>
      <w:marRight w:val="0"/>
      <w:marTop w:val="0"/>
      <w:marBottom w:val="0"/>
      <w:divBdr>
        <w:top w:val="none" w:sz="0" w:space="0" w:color="auto"/>
        <w:left w:val="none" w:sz="0" w:space="0" w:color="auto"/>
        <w:bottom w:val="none" w:sz="0" w:space="0" w:color="auto"/>
        <w:right w:val="none" w:sz="0" w:space="0" w:color="auto"/>
      </w:divBdr>
      <w:divsChild>
        <w:div w:id="1299527230">
          <w:marLeft w:val="547"/>
          <w:marRight w:val="0"/>
          <w:marTop w:val="0"/>
          <w:marBottom w:val="0"/>
          <w:divBdr>
            <w:top w:val="none" w:sz="0" w:space="0" w:color="auto"/>
            <w:left w:val="none" w:sz="0" w:space="0" w:color="auto"/>
            <w:bottom w:val="none" w:sz="0" w:space="0" w:color="auto"/>
            <w:right w:val="none" w:sz="0" w:space="0" w:color="auto"/>
          </w:divBdr>
        </w:div>
      </w:divsChild>
    </w:div>
    <w:div w:id="254095555">
      <w:bodyDiv w:val="1"/>
      <w:marLeft w:val="0"/>
      <w:marRight w:val="0"/>
      <w:marTop w:val="0"/>
      <w:marBottom w:val="0"/>
      <w:divBdr>
        <w:top w:val="none" w:sz="0" w:space="0" w:color="auto"/>
        <w:left w:val="none" w:sz="0" w:space="0" w:color="auto"/>
        <w:bottom w:val="none" w:sz="0" w:space="0" w:color="auto"/>
        <w:right w:val="none" w:sz="0" w:space="0" w:color="auto"/>
      </w:divBdr>
    </w:div>
    <w:div w:id="284388988">
      <w:bodyDiv w:val="1"/>
      <w:marLeft w:val="0"/>
      <w:marRight w:val="0"/>
      <w:marTop w:val="0"/>
      <w:marBottom w:val="0"/>
      <w:divBdr>
        <w:top w:val="none" w:sz="0" w:space="0" w:color="auto"/>
        <w:left w:val="none" w:sz="0" w:space="0" w:color="auto"/>
        <w:bottom w:val="none" w:sz="0" w:space="0" w:color="auto"/>
        <w:right w:val="none" w:sz="0" w:space="0" w:color="auto"/>
      </w:divBdr>
    </w:div>
    <w:div w:id="288051820">
      <w:bodyDiv w:val="1"/>
      <w:marLeft w:val="0"/>
      <w:marRight w:val="0"/>
      <w:marTop w:val="0"/>
      <w:marBottom w:val="0"/>
      <w:divBdr>
        <w:top w:val="none" w:sz="0" w:space="0" w:color="auto"/>
        <w:left w:val="none" w:sz="0" w:space="0" w:color="auto"/>
        <w:bottom w:val="none" w:sz="0" w:space="0" w:color="auto"/>
        <w:right w:val="none" w:sz="0" w:space="0" w:color="auto"/>
      </w:divBdr>
    </w:div>
    <w:div w:id="308247568">
      <w:bodyDiv w:val="1"/>
      <w:marLeft w:val="0"/>
      <w:marRight w:val="0"/>
      <w:marTop w:val="0"/>
      <w:marBottom w:val="0"/>
      <w:divBdr>
        <w:top w:val="none" w:sz="0" w:space="0" w:color="auto"/>
        <w:left w:val="none" w:sz="0" w:space="0" w:color="auto"/>
        <w:bottom w:val="none" w:sz="0" w:space="0" w:color="auto"/>
        <w:right w:val="none" w:sz="0" w:space="0" w:color="auto"/>
      </w:divBdr>
    </w:div>
    <w:div w:id="311523279">
      <w:bodyDiv w:val="1"/>
      <w:marLeft w:val="0"/>
      <w:marRight w:val="0"/>
      <w:marTop w:val="0"/>
      <w:marBottom w:val="0"/>
      <w:divBdr>
        <w:top w:val="none" w:sz="0" w:space="0" w:color="auto"/>
        <w:left w:val="none" w:sz="0" w:space="0" w:color="auto"/>
        <w:bottom w:val="none" w:sz="0" w:space="0" w:color="auto"/>
        <w:right w:val="none" w:sz="0" w:space="0" w:color="auto"/>
      </w:divBdr>
    </w:div>
    <w:div w:id="331959389">
      <w:bodyDiv w:val="1"/>
      <w:marLeft w:val="0"/>
      <w:marRight w:val="0"/>
      <w:marTop w:val="0"/>
      <w:marBottom w:val="0"/>
      <w:divBdr>
        <w:top w:val="none" w:sz="0" w:space="0" w:color="auto"/>
        <w:left w:val="none" w:sz="0" w:space="0" w:color="auto"/>
        <w:bottom w:val="none" w:sz="0" w:space="0" w:color="auto"/>
        <w:right w:val="none" w:sz="0" w:space="0" w:color="auto"/>
      </w:divBdr>
      <w:divsChild>
        <w:div w:id="1375157546">
          <w:marLeft w:val="0"/>
          <w:marRight w:val="0"/>
          <w:marTop w:val="0"/>
          <w:marBottom w:val="0"/>
          <w:divBdr>
            <w:top w:val="none" w:sz="0" w:space="0" w:color="auto"/>
            <w:left w:val="none" w:sz="0" w:space="0" w:color="auto"/>
            <w:bottom w:val="none" w:sz="0" w:space="0" w:color="auto"/>
            <w:right w:val="none" w:sz="0" w:space="0" w:color="auto"/>
          </w:divBdr>
          <w:divsChild>
            <w:div w:id="977078261">
              <w:marLeft w:val="0"/>
              <w:marRight w:val="0"/>
              <w:marTop w:val="0"/>
              <w:marBottom w:val="0"/>
              <w:divBdr>
                <w:top w:val="none" w:sz="0" w:space="0" w:color="auto"/>
                <w:left w:val="none" w:sz="0" w:space="0" w:color="auto"/>
                <w:bottom w:val="none" w:sz="0" w:space="0" w:color="auto"/>
                <w:right w:val="none" w:sz="0" w:space="0" w:color="auto"/>
              </w:divBdr>
              <w:divsChild>
                <w:div w:id="1553271120">
                  <w:marLeft w:val="0"/>
                  <w:marRight w:val="0"/>
                  <w:marTop w:val="0"/>
                  <w:marBottom w:val="0"/>
                  <w:divBdr>
                    <w:top w:val="none" w:sz="0" w:space="0" w:color="auto"/>
                    <w:left w:val="none" w:sz="0" w:space="0" w:color="auto"/>
                    <w:bottom w:val="none" w:sz="0" w:space="0" w:color="auto"/>
                    <w:right w:val="none" w:sz="0" w:space="0" w:color="auto"/>
                  </w:divBdr>
                  <w:divsChild>
                    <w:div w:id="5545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99146">
      <w:bodyDiv w:val="1"/>
      <w:marLeft w:val="0"/>
      <w:marRight w:val="0"/>
      <w:marTop w:val="0"/>
      <w:marBottom w:val="0"/>
      <w:divBdr>
        <w:top w:val="none" w:sz="0" w:space="0" w:color="auto"/>
        <w:left w:val="none" w:sz="0" w:space="0" w:color="auto"/>
        <w:bottom w:val="none" w:sz="0" w:space="0" w:color="auto"/>
        <w:right w:val="none" w:sz="0" w:space="0" w:color="auto"/>
      </w:divBdr>
      <w:divsChild>
        <w:div w:id="781193541">
          <w:marLeft w:val="0"/>
          <w:marRight w:val="0"/>
          <w:marTop w:val="0"/>
          <w:marBottom w:val="0"/>
          <w:divBdr>
            <w:top w:val="none" w:sz="0" w:space="0" w:color="auto"/>
            <w:left w:val="none" w:sz="0" w:space="0" w:color="auto"/>
            <w:bottom w:val="none" w:sz="0" w:space="0" w:color="auto"/>
            <w:right w:val="none" w:sz="0" w:space="0" w:color="auto"/>
          </w:divBdr>
          <w:divsChild>
            <w:div w:id="1735196806">
              <w:marLeft w:val="0"/>
              <w:marRight w:val="0"/>
              <w:marTop w:val="0"/>
              <w:marBottom w:val="0"/>
              <w:divBdr>
                <w:top w:val="none" w:sz="0" w:space="0" w:color="auto"/>
                <w:left w:val="none" w:sz="0" w:space="0" w:color="auto"/>
                <w:bottom w:val="none" w:sz="0" w:space="0" w:color="auto"/>
                <w:right w:val="none" w:sz="0" w:space="0" w:color="auto"/>
              </w:divBdr>
              <w:divsChild>
                <w:div w:id="801653077">
                  <w:marLeft w:val="0"/>
                  <w:marRight w:val="0"/>
                  <w:marTop w:val="0"/>
                  <w:marBottom w:val="0"/>
                  <w:divBdr>
                    <w:top w:val="none" w:sz="0" w:space="0" w:color="auto"/>
                    <w:left w:val="none" w:sz="0" w:space="0" w:color="auto"/>
                    <w:bottom w:val="none" w:sz="0" w:space="0" w:color="auto"/>
                    <w:right w:val="none" w:sz="0" w:space="0" w:color="auto"/>
                  </w:divBdr>
                  <w:divsChild>
                    <w:div w:id="16224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88959">
      <w:bodyDiv w:val="1"/>
      <w:marLeft w:val="0"/>
      <w:marRight w:val="0"/>
      <w:marTop w:val="0"/>
      <w:marBottom w:val="0"/>
      <w:divBdr>
        <w:top w:val="none" w:sz="0" w:space="0" w:color="auto"/>
        <w:left w:val="none" w:sz="0" w:space="0" w:color="auto"/>
        <w:bottom w:val="none" w:sz="0" w:space="0" w:color="auto"/>
        <w:right w:val="none" w:sz="0" w:space="0" w:color="auto"/>
      </w:divBdr>
      <w:divsChild>
        <w:div w:id="1526484661">
          <w:marLeft w:val="0"/>
          <w:marRight w:val="0"/>
          <w:marTop w:val="0"/>
          <w:marBottom w:val="0"/>
          <w:divBdr>
            <w:top w:val="none" w:sz="0" w:space="0" w:color="auto"/>
            <w:left w:val="none" w:sz="0" w:space="0" w:color="auto"/>
            <w:bottom w:val="none" w:sz="0" w:space="0" w:color="auto"/>
            <w:right w:val="none" w:sz="0" w:space="0" w:color="auto"/>
          </w:divBdr>
          <w:divsChild>
            <w:div w:id="1189638061">
              <w:marLeft w:val="0"/>
              <w:marRight w:val="0"/>
              <w:marTop w:val="0"/>
              <w:marBottom w:val="0"/>
              <w:divBdr>
                <w:top w:val="none" w:sz="0" w:space="0" w:color="auto"/>
                <w:left w:val="none" w:sz="0" w:space="0" w:color="auto"/>
                <w:bottom w:val="none" w:sz="0" w:space="0" w:color="auto"/>
                <w:right w:val="none" w:sz="0" w:space="0" w:color="auto"/>
              </w:divBdr>
              <w:divsChild>
                <w:div w:id="36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643311">
      <w:bodyDiv w:val="1"/>
      <w:marLeft w:val="0"/>
      <w:marRight w:val="0"/>
      <w:marTop w:val="0"/>
      <w:marBottom w:val="0"/>
      <w:divBdr>
        <w:top w:val="none" w:sz="0" w:space="0" w:color="auto"/>
        <w:left w:val="none" w:sz="0" w:space="0" w:color="auto"/>
        <w:bottom w:val="none" w:sz="0" w:space="0" w:color="auto"/>
        <w:right w:val="none" w:sz="0" w:space="0" w:color="auto"/>
      </w:divBdr>
      <w:divsChild>
        <w:div w:id="1951011461">
          <w:marLeft w:val="0"/>
          <w:marRight w:val="0"/>
          <w:marTop w:val="0"/>
          <w:marBottom w:val="0"/>
          <w:divBdr>
            <w:top w:val="none" w:sz="0" w:space="0" w:color="auto"/>
            <w:left w:val="none" w:sz="0" w:space="0" w:color="auto"/>
            <w:bottom w:val="none" w:sz="0" w:space="0" w:color="auto"/>
            <w:right w:val="none" w:sz="0" w:space="0" w:color="auto"/>
          </w:divBdr>
          <w:divsChild>
            <w:div w:id="2137479320">
              <w:marLeft w:val="0"/>
              <w:marRight w:val="0"/>
              <w:marTop w:val="0"/>
              <w:marBottom w:val="0"/>
              <w:divBdr>
                <w:top w:val="none" w:sz="0" w:space="0" w:color="auto"/>
                <w:left w:val="none" w:sz="0" w:space="0" w:color="auto"/>
                <w:bottom w:val="none" w:sz="0" w:space="0" w:color="auto"/>
                <w:right w:val="none" w:sz="0" w:space="0" w:color="auto"/>
              </w:divBdr>
              <w:divsChild>
                <w:div w:id="9366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77551">
      <w:bodyDiv w:val="1"/>
      <w:marLeft w:val="0"/>
      <w:marRight w:val="0"/>
      <w:marTop w:val="0"/>
      <w:marBottom w:val="0"/>
      <w:divBdr>
        <w:top w:val="none" w:sz="0" w:space="0" w:color="auto"/>
        <w:left w:val="none" w:sz="0" w:space="0" w:color="auto"/>
        <w:bottom w:val="none" w:sz="0" w:space="0" w:color="auto"/>
        <w:right w:val="none" w:sz="0" w:space="0" w:color="auto"/>
      </w:divBdr>
      <w:divsChild>
        <w:div w:id="64256166">
          <w:marLeft w:val="0"/>
          <w:marRight w:val="0"/>
          <w:marTop w:val="0"/>
          <w:marBottom w:val="0"/>
          <w:divBdr>
            <w:top w:val="none" w:sz="0" w:space="0" w:color="auto"/>
            <w:left w:val="none" w:sz="0" w:space="0" w:color="auto"/>
            <w:bottom w:val="none" w:sz="0" w:space="0" w:color="auto"/>
            <w:right w:val="none" w:sz="0" w:space="0" w:color="auto"/>
          </w:divBdr>
          <w:divsChild>
            <w:div w:id="798764495">
              <w:marLeft w:val="0"/>
              <w:marRight w:val="0"/>
              <w:marTop w:val="0"/>
              <w:marBottom w:val="0"/>
              <w:divBdr>
                <w:top w:val="none" w:sz="0" w:space="0" w:color="auto"/>
                <w:left w:val="none" w:sz="0" w:space="0" w:color="auto"/>
                <w:bottom w:val="none" w:sz="0" w:space="0" w:color="auto"/>
                <w:right w:val="none" w:sz="0" w:space="0" w:color="auto"/>
              </w:divBdr>
              <w:divsChild>
                <w:div w:id="11866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38963">
      <w:bodyDiv w:val="1"/>
      <w:marLeft w:val="0"/>
      <w:marRight w:val="0"/>
      <w:marTop w:val="0"/>
      <w:marBottom w:val="0"/>
      <w:divBdr>
        <w:top w:val="none" w:sz="0" w:space="0" w:color="auto"/>
        <w:left w:val="none" w:sz="0" w:space="0" w:color="auto"/>
        <w:bottom w:val="none" w:sz="0" w:space="0" w:color="auto"/>
        <w:right w:val="none" w:sz="0" w:space="0" w:color="auto"/>
      </w:divBdr>
      <w:divsChild>
        <w:div w:id="1675837922">
          <w:marLeft w:val="0"/>
          <w:marRight w:val="0"/>
          <w:marTop w:val="0"/>
          <w:marBottom w:val="0"/>
          <w:divBdr>
            <w:top w:val="none" w:sz="0" w:space="0" w:color="auto"/>
            <w:left w:val="none" w:sz="0" w:space="0" w:color="auto"/>
            <w:bottom w:val="none" w:sz="0" w:space="0" w:color="auto"/>
            <w:right w:val="none" w:sz="0" w:space="0" w:color="auto"/>
          </w:divBdr>
          <w:divsChild>
            <w:div w:id="854807834">
              <w:marLeft w:val="0"/>
              <w:marRight w:val="0"/>
              <w:marTop w:val="0"/>
              <w:marBottom w:val="0"/>
              <w:divBdr>
                <w:top w:val="none" w:sz="0" w:space="0" w:color="auto"/>
                <w:left w:val="none" w:sz="0" w:space="0" w:color="auto"/>
                <w:bottom w:val="none" w:sz="0" w:space="0" w:color="auto"/>
                <w:right w:val="none" w:sz="0" w:space="0" w:color="auto"/>
              </w:divBdr>
              <w:divsChild>
                <w:div w:id="2581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18772">
      <w:bodyDiv w:val="1"/>
      <w:marLeft w:val="0"/>
      <w:marRight w:val="0"/>
      <w:marTop w:val="0"/>
      <w:marBottom w:val="0"/>
      <w:divBdr>
        <w:top w:val="none" w:sz="0" w:space="0" w:color="auto"/>
        <w:left w:val="none" w:sz="0" w:space="0" w:color="auto"/>
        <w:bottom w:val="none" w:sz="0" w:space="0" w:color="auto"/>
        <w:right w:val="none" w:sz="0" w:space="0" w:color="auto"/>
      </w:divBdr>
      <w:divsChild>
        <w:div w:id="713045476">
          <w:marLeft w:val="0"/>
          <w:marRight w:val="0"/>
          <w:marTop w:val="0"/>
          <w:marBottom w:val="0"/>
          <w:divBdr>
            <w:top w:val="none" w:sz="0" w:space="0" w:color="auto"/>
            <w:left w:val="none" w:sz="0" w:space="0" w:color="auto"/>
            <w:bottom w:val="none" w:sz="0" w:space="0" w:color="auto"/>
            <w:right w:val="none" w:sz="0" w:space="0" w:color="auto"/>
          </w:divBdr>
          <w:divsChild>
            <w:div w:id="1275215974">
              <w:marLeft w:val="0"/>
              <w:marRight w:val="0"/>
              <w:marTop w:val="0"/>
              <w:marBottom w:val="0"/>
              <w:divBdr>
                <w:top w:val="none" w:sz="0" w:space="0" w:color="auto"/>
                <w:left w:val="none" w:sz="0" w:space="0" w:color="auto"/>
                <w:bottom w:val="none" w:sz="0" w:space="0" w:color="auto"/>
                <w:right w:val="none" w:sz="0" w:space="0" w:color="auto"/>
              </w:divBdr>
              <w:divsChild>
                <w:div w:id="47267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57925">
      <w:bodyDiv w:val="1"/>
      <w:marLeft w:val="0"/>
      <w:marRight w:val="0"/>
      <w:marTop w:val="0"/>
      <w:marBottom w:val="0"/>
      <w:divBdr>
        <w:top w:val="none" w:sz="0" w:space="0" w:color="auto"/>
        <w:left w:val="none" w:sz="0" w:space="0" w:color="auto"/>
        <w:bottom w:val="none" w:sz="0" w:space="0" w:color="auto"/>
        <w:right w:val="none" w:sz="0" w:space="0" w:color="auto"/>
      </w:divBdr>
    </w:div>
    <w:div w:id="364715295">
      <w:bodyDiv w:val="1"/>
      <w:marLeft w:val="0"/>
      <w:marRight w:val="0"/>
      <w:marTop w:val="0"/>
      <w:marBottom w:val="0"/>
      <w:divBdr>
        <w:top w:val="none" w:sz="0" w:space="0" w:color="auto"/>
        <w:left w:val="none" w:sz="0" w:space="0" w:color="auto"/>
        <w:bottom w:val="none" w:sz="0" w:space="0" w:color="auto"/>
        <w:right w:val="none" w:sz="0" w:space="0" w:color="auto"/>
      </w:divBdr>
      <w:divsChild>
        <w:div w:id="902522494">
          <w:marLeft w:val="547"/>
          <w:marRight w:val="0"/>
          <w:marTop w:val="0"/>
          <w:marBottom w:val="0"/>
          <w:divBdr>
            <w:top w:val="none" w:sz="0" w:space="0" w:color="auto"/>
            <w:left w:val="none" w:sz="0" w:space="0" w:color="auto"/>
            <w:bottom w:val="none" w:sz="0" w:space="0" w:color="auto"/>
            <w:right w:val="none" w:sz="0" w:space="0" w:color="auto"/>
          </w:divBdr>
        </w:div>
      </w:divsChild>
    </w:div>
    <w:div w:id="372269681">
      <w:bodyDiv w:val="1"/>
      <w:marLeft w:val="0"/>
      <w:marRight w:val="0"/>
      <w:marTop w:val="0"/>
      <w:marBottom w:val="0"/>
      <w:divBdr>
        <w:top w:val="none" w:sz="0" w:space="0" w:color="auto"/>
        <w:left w:val="none" w:sz="0" w:space="0" w:color="auto"/>
        <w:bottom w:val="none" w:sz="0" w:space="0" w:color="auto"/>
        <w:right w:val="none" w:sz="0" w:space="0" w:color="auto"/>
      </w:divBdr>
      <w:divsChild>
        <w:div w:id="793711654">
          <w:marLeft w:val="0"/>
          <w:marRight w:val="0"/>
          <w:marTop w:val="0"/>
          <w:marBottom w:val="0"/>
          <w:divBdr>
            <w:top w:val="none" w:sz="0" w:space="0" w:color="auto"/>
            <w:left w:val="none" w:sz="0" w:space="0" w:color="auto"/>
            <w:bottom w:val="none" w:sz="0" w:space="0" w:color="auto"/>
            <w:right w:val="none" w:sz="0" w:space="0" w:color="auto"/>
          </w:divBdr>
          <w:divsChild>
            <w:div w:id="2051148548">
              <w:marLeft w:val="0"/>
              <w:marRight w:val="0"/>
              <w:marTop w:val="0"/>
              <w:marBottom w:val="0"/>
              <w:divBdr>
                <w:top w:val="none" w:sz="0" w:space="0" w:color="auto"/>
                <w:left w:val="none" w:sz="0" w:space="0" w:color="auto"/>
                <w:bottom w:val="none" w:sz="0" w:space="0" w:color="auto"/>
                <w:right w:val="none" w:sz="0" w:space="0" w:color="auto"/>
              </w:divBdr>
              <w:divsChild>
                <w:div w:id="4592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1088">
      <w:bodyDiv w:val="1"/>
      <w:marLeft w:val="0"/>
      <w:marRight w:val="0"/>
      <w:marTop w:val="0"/>
      <w:marBottom w:val="0"/>
      <w:divBdr>
        <w:top w:val="none" w:sz="0" w:space="0" w:color="auto"/>
        <w:left w:val="none" w:sz="0" w:space="0" w:color="auto"/>
        <w:bottom w:val="none" w:sz="0" w:space="0" w:color="auto"/>
        <w:right w:val="none" w:sz="0" w:space="0" w:color="auto"/>
      </w:divBdr>
      <w:divsChild>
        <w:div w:id="708575800">
          <w:marLeft w:val="0"/>
          <w:marRight w:val="0"/>
          <w:marTop w:val="0"/>
          <w:marBottom w:val="0"/>
          <w:divBdr>
            <w:top w:val="none" w:sz="0" w:space="0" w:color="auto"/>
            <w:left w:val="none" w:sz="0" w:space="0" w:color="auto"/>
            <w:bottom w:val="none" w:sz="0" w:space="0" w:color="auto"/>
            <w:right w:val="none" w:sz="0" w:space="0" w:color="auto"/>
          </w:divBdr>
          <w:divsChild>
            <w:div w:id="1920868238">
              <w:marLeft w:val="0"/>
              <w:marRight w:val="0"/>
              <w:marTop w:val="0"/>
              <w:marBottom w:val="0"/>
              <w:divBdr>
                <w:top w:val="none" w:sz="0" w:space="0" w:color="auto"/>
                <w:left w:val="none" w:sz="0" w:space="0" w:color="auto"/>
                <w:bottom w:val="none" w:sz="0" w:space="0" w:color="auto"/>
                <w:right w:val="none" w:sz="0" w:space="0" w:color="auto"/>
              </w:divBdr>
              <w:divsChild>
                <w:div w:id="315765930">
                  <w:marLeft w:val="0"/>
                  <w:marRight w:val="0"/>
                  <w:marTop w:val="0"/>
                  <w:marBottom w:val="0"/>
                  <w:divBdr>
                    <w:top w:val="none" w:sz="0" w:space="0" w:color="auto"/>
                    <w:left w:val="none" w:sz="0" w:space="0" w:color="auto"/>
                    <w:bottom w:val="none" w:sz="0" w:space="0" w:color="auto"/>
                    <w:right w:val="none" w:sz="0" w:space="0" w:color="auto"/>
                  </w:divBdr>
                  <w:divsChild>
                    <w:div w:id="23647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92733">
      <w:bodyDiv w:val="1"/>
      <w:marLeft w:val="0"/>
      <w:marRight w:val="0"/>
      <w:marTop w:val="0"/>
      <w:marBottom w:val="0"/>
      <w:divBdr>
        <w:top w:val="none" w:sz="0" w:space="0" w:color="auto"/>
        <w:left w:val="none" w:sz="0" w:space="0" w:color="auto"/>
        <w:bottom w:val="none" w:sz="0" w:space="0" w:color="auto"/>
        <w:right w:val="none" w:sz="0" w:space="0" w:color="auto"/>
      </w:divBdr>
      <w:divsChild>
        <w:div w:id="311830248">
          <w:marLeft w:val="0"/>
          <w:marRight w:val="0"/>
          <w:marTop w:val="0"/>
          <w:marBottom w:val="0"/>
          <w:divBdr>
            <w:top w:val="none" w:sz="0" w:space="0" w:color="auto"/>
            <w:left w:val="none" w:sz="0" w:space="0" w:color="auto"/>
            <w:bottom w:val="none" w:sz="0" w:space="0" w:color="auto"/>
            <w:right w:val="none" w:sz="0" w:space="0" w:color="auto"/>
          </w:divBdr>
          <w:divsChild>
            <w:div w:id="494881150">
              <w:marLeft w:val="0"/>
              <w:marRight w:val="0"/>
              <w:marTop w:val="0"/>
              <w:marBottom w:val="0"/>
              <w:divBdr>
                <w:top w:val="none" w:sz="0" w:space="0" w:color="auto"/>
                <w:left w:val="none" w:sz="0" w:space="0" w:color="auto"/>
                <w:bottom w:val="none" w:sz="0" w:space="0" w:color="auto"/>
                <w:right w:val="none" w:sz="0" w:space="0" w:color="auto"/>
              </w:divBdr>
              <w:divsChild>
                <w:div w:id="640038549">
                  <w:marLeft w:val="0"/>
                  <w:marRight w:val="0"/>
                  <w:marTop w:val="0"/>
                  <w:marBottom w:val="0"/>
                  <w:divBdr>
                    <w:top w:val="none" w:sz="0" w:space="0" w:color="auto"/>
                    <w:left w:val="none" w:sz="0" w:space="0" w:color="auto"/>
                    <w:bottom w:val="none" w:sz="0" w:space="0" w:color="auto"/>
                    <w:right w:val="none" w:sz="0" w:space="0" w:color="auto"/>
                  </w:divBdr>
                  <w:divsChild>
                    <w:div w:id="11505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4990">
      <w:bodyDiv w:val="1"/>
      <w:marLeft w:val="0"/>
      <w:marRight w:val="0"/>
      <w:marTop w:val="0"/>
      <w:marBottom w:val="0"/>
      <w:divBdr>
        <w:top w:val="none" w:sz="0" w:space="0" w:color="auto"/>
        <w:left w:val="none" w:sz="0" w:space="0" w:color="auto"/>
        <w:bottom w:val="none" w:sz="0" w:space="0" w:color="auto"/>
        <w:right w:val="none" w:sz="0" w:space="0" w:color="auto"/>
      </w:divBdr>
    </w:div>
    <w:div w:id="402799008">
      <w:bodyDiv w:val="1"/>
      <w:marLeft w:val="0"/>
      <w:marRight w:val="0"/>
      <w:marTop w:val="0"/>
      <w:marBottom w:val="0"/>
      <w:divBdr>
        <w:top w:val="none" w:sz="0" w:space="0" w:color="auto"/>
        <w:left w:val="none" w:sz="0" w:space="0" w:color="auto"/>
        <w:bottom w:val="none" w:sz="0" w:space="0" w:color="auto"/>
        <w:right w:val="none" w:sz="0" w:space="0" w:color="auto"/>
      </w:divBdr>
    </w:div>
    <w:div w:id="405954799">
      <w:bodyDiv w:val="1"/>
      <w:marLeft w:val="0"/>
      <w:marRight w:val="0"/>
      <w:marTop w:val="0"/>
      <w:marBottom w:val="0"/>
      <w:divBdr>
        <w:top w:val="none" w:sz="0" w:space="0" w:color="auto"/>
        <w:left w:val="none" w:sz="0" w:space="0" w:color="auto"/>
        <w:bottom w:val="none" w:sz="0" w:space="0" w:color="auto"/>
        <w:right w:val="none" w:sz="0" w:space="0" w:color="auto"/>
      </w:divBdr>
      <w:divsChild>
        <w:div w:id="1252008179">
          <w:marLeft w:val="547"/>
          <w:marRight w:val="0"/>
          <w:marTop w:val="0"/>
          <w:marBottom w:val="0"/>
          <w:divBdr>
            <w:top w:val="none" w:sz="0" w:space="0" w:color="auto"/>
            <w:left w:val="none" w:sz="0" w:space="0" w:color="auto"/>
            <w:bottom w:val="none" w:sz="0" w:space="0" w:color="auto"/>
            <w:right w:val="none" w:sz="0" w:space="0" w:color="auto"/>
          </w:divBdr>
        </w:div>
      </w:divsChild>
    </w:div>
    <w:div w:id="407535610">
      <w:bodyDiv w:val="1"/>
      <w:marLeft w:val="0"/>
      <w:marRight w:val="0"/>
      <w:marTop w:val="0"/>
      <w:marBottom w:val="0"/>
      <w:divBdr>
        <w:top w:val="none" w:sz="0" w:space="0" w:color="auto"/>
        <w:left w:val="none" w:sz="0" w:space="0" w:color="auto"/>
        <w:bottom w:val="none" w:sz="0" w:space="0" w:color="auto"/>
        <w:right w:val="none" w:sz="0" w:space="0" w:color="auto"/>
      </w:divBdr>
    </w:div>
    <w:div w:id="408694365">
      <w:bodyDiv w:val="1"/>
      <w:marLeft w:val="0"/>
      <w:marRight w:val="0"/>
      <w:marTop w:val="0"/>
      <w:marBottom w:val="0"/>
      <w:divBdr>
        <w:top w:val="none" w:sz="0" w:space="0" w:color="auto"/>
        <w:left w:val="none" w:sz="0" w:space="0" w:color="auto"/>
        <w:bottom w:val="none" w:sz="0" w:space="0" w:color="auto"/>
        <w:right w:val="none" w:sz="0" w:space="0" w:color="auto"/>
      </w:divBdr>
      <w:divsChild>
        <w:div w:id="1289238239">
          <w:marLeft w:val="0"/>
          <w:marRight w:val="0"/>
          <w:marTop w:val="0"/>
          <w:marBottom w:val="0"/>
          <w:divBdr>
            <w:top w:val="none" w:sz="0" w:space="0" w:color="auto"/>
            <w:left w:val="none" w:sz="0" w:space="0" w:color="auto"/>
            <w:bottom w:val="none" w:sz="0" w:space="0" w:color="auto"/>
            <w:right w:val="none" w:sz="0" w:space="0" w:color="auto"/>
          </w:divBdr>
          <w:divsChild>
            <w:div w:id="917327616">
              <w:marLeft w:val="0"/>
              <w:marRight w:val="0"/>
              <w:marTop w:val="0"/>
              <w:marBottom w:val="0"/>
              <w:divBdr>
                <w:top w:val="none" w:sz="0" w:space="0" w:color="auto"/>
                <w:left w:val="none" w:sz="0" w:space="0" w:color="auto"/>
                <w:bottom w:val="none" w:sz="0" w:space="0" w:color="auto"/>
                <w:right w:val="none" w:sz="0" w:space="0" w:color="auto"/>
              </w:divBdr>
              <w:divsChild>
                <w:div w:id="20779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3832">
      <w:bodyDiv w:val="1"/>
      <w:marLeft w:val="0"/>
      <w:marRight w:val="0"/>
      <w:marTop w:val="0"/>
      <w:marBottom w:val="0"/>
      <w:divBdr>
        <w:top w:val="none" w:sz="0" w:space="0" w:color="auto"/>
        <w:left w:val="none" w:sz="0" w:space="0" w:color="auto"/>
        <w:bottom w:val="none" w:sz="0" w:space="0" w:color="auto"/>
        <w:right w:val="none" w:sz="0" w:space="0" w:color="auto"/>
      </w:divBdr>
      <w:divsChild>
        <w:div w:id="708604500">
          <w:marLeft w:val="547"/>
          <w:marRight w:val="0"/>
          <w:marTop w:val="0"/>
          <w:marBottom w:val="0"/>
          <w:divBdr>
            <w:top w:val="none" w:sz="0" w:space="0" w:color="auto"/>
            <w:left w:val="none" w:sz="0" w:space="0" w:color="auto"/>
            <w:bottom w:val="none" w:sz="0" w:space="0" w:color="auto"/>
            <w:right w:val="none" w:sz="0" w:space="0" w:color="auto"/>
          </w:divBdr>
        </w:div>
      </w:divsChild>
    </w:div>
    <w:div w:id="415830194">
      <w:bodyDiv w:val="1"/>
      <w:marLeft w:val="0"/>
      <w:marRight w:val="0"/>
      <w:marTop w:val="0"/>
      <w:marBottom w:val="0"/>
      <w:divBdr>
        <w:top w:val="none" w:sz="0" w:space="0" w:color="auto"/>
        <w:left w:val="none" w:sz="0" w:space="0" w:color="auto"/>
        <w:bottom w:val="none" w:sz="0" w:space="0" w:color="auto"/>
        <w:right w:val="none" w:sz="0" w:space="0" w:color="auto"/>
      </w:divBdr>
      <w:divsChild>
        <w:div w:id="1043401906">
          <w:marLeft w:val="0"/>
          <w:marRight w:val="0"/>
          <w:marTop w:val="0"/>
          <w:marBottom w:val="0"/>
          <w:divBdr>
            <w:top w:val="none" w:sz="0" w:space="0" w:color="auto"/>
            <w:left w:val="none" w:sz="0" w:space="0" w:color="auto"/>
            <w:bottom w:val="none" w:sz="0" w:space="0" w:color="auto"/>
            <w:right w:val="none" w:sz="0" w:space="0" w:color="auto"/>
          </w:divBdr>
          <w:divsChild>
            <w:div w:id="1231958822">
              <w:marLeft w:val="0"/>
              <w:marRight w:val="0"/>
              <w:marTop w:val="0"/>
              <w:marBottom w:val="0"/>
              <w:divBdr>
                <w:top w:val="none" w:sz="0" w:space="0" w:color="auto"/>
                <w:left w:val="none" w:sz="0" w:space="0" w:color="auto"/>
                <w:bottom w:val="none" w:sz="0" w:space="0" w:color="auto"/>
                <w:right w:val="none" w:sz="0" w:space="0" w:color="auto"/>
              </w:divBdr>
              <w:divsChild>
                <w:div w:id="4617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9271">
      <w:bodyDiv w:val="1"/>
      <w:marLeft w:val="0"/>
      <w:marRight w:val="0"/>
      <w:marTop w:val="0"/>
      <w:marBottom w:val="0"/>
      <w:divBdr>
        <w:top w:val="none" w:sz="0" w:space="0" w:color="auto"/>
        <w:left w:val="none" w:sz="0" w:space="0" w:color="auto"/>
        <w:bottom w:val="none" w:sz="0" w:space="0" w:color="auto"/>
        <w:right w:val="none" w:sz="0" w:space="0" w:color="auto"/>
      </w:divBdr>
    </w:div>
    <w:div w:id="419447388">
      <w:bodyDiv w:val="1"/>
      <w:marLeft w:val="0"/>
      <w:marRight w:val="0"/>
      <w:marTop w:val="0"/>
      <w:marBottom w:val="0"/>
      <w:divBdr>
        <w:top w:val="none" w:sz="0" w:space="0" w:color="auto"/>
        <w:left w:val="none" w:sz="0" w:space="0" w:color="auto"/>
        <w:bottom w:val="none" w:sz="0" w:space="0" w:color="auto"/>
        <w:right w:val="none" w:sz="0" w:space="0" w:color="auto"/>
      </w:divBdr>
      <w:divsChild>
        <w:div w:id="1275021144">
          <w:marLeft w:val="0"/>
          <w:marRight w:val="0"/>
          <w:marTop w:val="0"/>
          <w:marBottom w:val="0"/>
          <w:divBdr>
            <w:top w:val="none" w:sz="0" w:space="0" w:color="auto"/>
            <w:left w:val="none" w:sz="0" w:space="0" w:color="auto"/>
            <w:bottom w:val="none" w:sz="0" w:space="0" w:color="auto"/>
            <w:right w:val="none" w:sz="0" w:space="0" w:color="auto"/>
          </w:divBdr>
          <w:divsChild>
            <w:div w:id="164246006">
              <w:marLeft w:val="0"/>
              <w:marRight w:val="0"/>
              <w:marTop w:val="0"/>
              <w:marBottom w:val="0"/>
              <w:divBdr>
                <w:top w:val="none" w:sz="0" w:space="0" w:color="auto"/>
                <w:left w:val="none" w:sz="0" w:space="0" w:color="auto"/>
                <w:bottom w:val="none" w:sz="0" w:space="0" w:color="auto"/>
                <w:right w:val="none" w:sz="0" w:space="0" w:color="auto"/>
              </w:divBdr>
              <w:divsChild>
                <w:div w:id="2022126929">
                  <w:marLeft w:val="0"/>
                  <w:marRight w:val="0"/>
                  <w:marTop w:val="0"/>
                  <w:marBottom w:val="0"/>
                  <w:divBdr>
                    <w:top w:val="none" w:sz="0" w:space="0" w:color="auto"/>
                    <w:left w:val="none" w:sz="0" w:space="0" w:color="auto"/>
                    <w:bottom w:val="none" w:sz="0" w:space="0" w:color="auto"/>
                    <w:right w:val="none" w:sz="0" w:space="0" w:color="auto"/>
                  </w:divBdr>
                  <w:divsChild>
                    <w:div w:id="11828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840144">
      <w:bodyDiv w:val="1"/>
      <w:marLeft w:val="0"/>
      <w:marRight w:val="0"/>
      <w:marTop w:val="0"/>
      <w:marBottom w:val="0"/>
      <w:divBdr>
        <w:top w:val="none" w:sz="0" w:space="0" w:color="auto"/>
        <w:left w:val="none" w:sz="0" w:space="0" w:color="auto"/>
        <w:bottom w:val="none" w:sz="0" w:space="0" w:color="auto"/>
        <w:right w:val="none" w:sz="0" w:space="0" w:color="auto"/>
      </w:divBdr>
    </w:div>
    <w:div w:id="424574877">
      <w:bodyDiv w:val="1"/>
      <w:marLeft w:val="0"/>
      <w:marRight w:val="0"/>
      <w:marTop w:val="0"/>
      <w:marBottom w:val="0"/>
      <w:divBdr>
        <w:top w:val="none" w:sz="0" w:space="0" w:color="auto"/>
        <w:left w:val="none" w:sz="0" w:space="0" w:color="auto"/>
        <w:bottom w:val="none" w:sz="0" w:space="0" w:color="auto"/>
        <w:right w:val="none" w:sz="0" w:space="0" w:color="auto"/>
      </w:divBdr>
      <w:divsChild>
        <w:div w:id="1719353039">
          <w:marLeft w:val="0"/>
          <w:marRight w:val="0"/>
          <w:marTop w:val="0"/>
          <w:marBottom w:val="0"/>
          <w:divBdr>
            <w:top w:val="none" w:sz="0" w:space="0" w:color="auto"/>
            <w:left w:val="none" w:sz="0" w:space="0" w:color="auto"/>
            <w:bottom w:val="none" w:sz="0" w:space="0" w:color="auto"/>
            <w:right w:val="none" w:sz="0" w:space="0" w:color="auto"/>
          </w:divBdr>
          <w:divsChild>
            <w:div w:id="483469931">
              <w:marLeft w:val="0"/>
              <w:marRight w:val="0"/>
              <w:marTop w:val="0"/>
              <w:marBottom w:val="0"/>
              <w:divBdr>
                <w:top w:val="none" w:sz="0" w:space="0" w:color="auto"/>
                <w:left w:val="none" w:sz="0" w:space="0" w:color="auto"/>
                <w:bottom w:val="none" w:sz="0" w:space="0" w:color="auto"/>
                <w:right w:val="none" w:sz="0" w:space="0" w:color="auto"/>
              </w:divBdr>
              <w:divsChild>
                <w:div w:id="488637781">
                  <w:marLeft w:val="0"/>
                  <w:marRight w:val="0"/>
                  <w:marTop w:val="0"/>
                  <w:marBottom w:val="0"/>
                  <w:divBdr>
                    <w:top w:val="none" w:sz="0" w:space="0" w:color="auto"/>
                    <w:left w:val="none" w:sz="0" w:space="0" w:color="auto"/>
                    <w:bottom w:val="none" w:sz="0" w:space="0" w:color="auto"/>
                    <w:right w:val="none" w:sz="0" w:space="0" w:color="auto"/>
                  </w:divBdr>
                  <w:divsChild>
                    <w:div w:id="18316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4206">
      <w:bodyDiv w:val="1"/>
      <w:marLeft w:val="0"/>
      <w:marRight w:val="0"/>
      <w:marTop w:val="0"/>
      <w:marBottom w:val="0"/>
      <w:divBdr>
        <w:top w:val="none" w:sz="0" w:space="0" w:color="auto"/>
        <w:left w:val="none" w:sz="0" w:space="0" w:color="auto"/>
        <w:bottom w:val="none" w:sz="0" w:space="0" w:color="auto"/>
        <w:right w:val="none" w:sz="0" w:space="0" w:color="auto"/>
      </w:divBdr>
      <w:divsChild>
        <w:div w:id="1253780090">
          <w:marLeft w:val="0"/>
          <w:marRight w:val="0"/>
          <w:marTop w:val="0"/>
          <w:marBottom w:val="0"/>
          <w:divBdr>
            <w:top w:val="none" w:sz="0" w:space="0" w:color="auto"/>
            <w:left w:val="none" w:sz="0" w:space="0" w:color="auto"/>
            <w:bottom w:val="none" w:sz="0" w:space="0" w:color="auto"/>
            <w:right w:val="none" w:sz="0" w:space="0" w:color="auto"/>
          </w:divBdr>
          <w:divsChild>
            <w:div w:id="642008494">
              <w:marLeft w:val="0"/>
              <w:marRight w:val="0"/>
              <w:marTop w:val="0"/>
              <w:marBottom w:val="0"/>
              <w:divBdr>
                <w:top w:val="none" w:sz="0" w:space="0" w:color="auto"/>
                <w:left w:val="none" w:sz="0" w:space="0" w:color="auto"/>
                <w:bottom w:val="none" w:sz="0" w:space="0" w:color="auto"/>
                <w:right w:val="none" w:sz="0" w:space="0" w:color="auto"/>
              </w:divBdr>
              <w:divsChild>
                <w:div w:id="354308396">
                  <w:marLeft w:val="0"/>
                  <w:marRight w:val="0"/>
                  <w:marTop w:val="0"/>
                  <w:marBottom w:val="0"/>
                  <w:divBdr>
                    <w:top w:val="none" w:sz="0" w:space="0" w:color="auto"/>
                    <w:left w:val="none" w:sz="0" w:space="0" w:color="auto"/>
                    <w:bottom w:val="none" w:sz="0" w:space="0" w:color="auto"/>
                    <w:right w:val="none" w:sz="0" w:space="0" w:color="auto"/>
                  </w:divBdr>
                  <w:divsChild>
                    <w:div w:id="8474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052488">
      <w:bodyDiv w:val="1"/>
      <w:marLeft w:val="0"/>
      <w:marRight w:val="0"/>
      <w:marTop w:val="0"/>
      <w:marBottom w:val="0"/>
      <w:divBdr>
        <w:top w:val="none" w:sz="0" w:space="0" w:color="auto"/>
        <w:left w:val="none" w:sz="0" w:space="0" w:color="auto"/>
        <w:bottom w:val="none" w:sz="0" w:space="0" w:color="auto"/>
        <w:right w:val="none" w:sz="0" w:space="0" w:color="auto"/>
      </w:divBdr>
      <w:divsChild>
        <w:div w:id="1785079571">
          <w:marLeft w:val="547"/>
          <w:marRight w:val="0"/>
          <w:marTop w:val="0"/>
          <w:marBottom w:val="0"/>
          <w:divBdr>
            <w:top w:val="none" w:sz="0" w:space="0" w:color="auto"/>
            <w:left w:val="none" w:sz="0" w:space="0" w:color="auto"/>
            <w:bottom w:val="none" w:sz="0" w:space="0" w:color="auto"/>
            <w:right w:val="none" w:sz="0" w:space="0" w:color="auto"/>
          </w:divBdr>
        </w:div>
      </w:divsChild>
    </w:div>
    <w:div w:id="440222891">
      <w:bodyDiv w:val="1"/>
      <w:marLeft w:val="0"/>
      <w:marRight w:val="0"/>
      <w:marTop w:val="0"/>
      <w:marBottom w:val="0"/>
      <w:divBdr>
        <w:top w:val="none" w:sz="0" w:space="0" w:color="auto"/>
        <w:left w:val="none" w:sz="0" w:space="0" w:color="auto"/>
        <w:bottom w:val="none" w:sz="0" w:space="0" w:color="auto"/>
        <w:right w:val="none" w:sz="0" w:space="0" w:color="auto"/>
      </w:divBdr>
      <w:divsChild>
        <w:div w:id="949774661">
          <w:marLeft w:val="0"/>
          <w:marRight w:val="0"/>
          <w:marTop w:val="0"/>
          <w:marBottom w:val="0"/>
          <w:divBdr>
            <w:top w:val="none" w:sz="0" w:space="0" w:color="auto"/>
            <w:left w:val="none" w:sz="0" w:space="0" w:color="auto"/>
            <w:bottom w:val="none" w:sz="0" w:space="0" w:color="auto"/>
            <w:right w:val="none" w:sz="0" w:space="0" w:color="auto"/>
          </w:divBdr>
          <w:divsChild>
            <w:div w:id="1591694790">
              <w:marLeft w:val="0"/>
              <w:marRight w:val="0"/>
              <w:marTop w:val="0"/>
              <w:marBottom w:val="0"/>
              <w:divBdr>
                <w:top w:val="none" w:sz="0" w:space="0" w:color="auto"/>
                <w:left w:val="none" w:sz="0" w:space="0" w:color="auto"/>
                <w:bottom w:val="none" w:sz="0" w:space="0" w:color="auto"/>
                <w:right w:val="none" w:sz="0" w:space="0" w:color="auto"/>
              </w:divBdr>
              <w:divsChild>
                <w:div w:id="4551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3565">
      <w:bodyDiv w:val="1"/>
      <w:marLeft w:val="0"/>
      <w:marRight w:val="0"/>
      <w:marTop w:val="0"/>
      <w:marBottom w:val="0"/>
      <w:divBdr>
        <w:top w:val="none" w:sz="0" w:space="0" w:color="auto"/>
        <w:left w:val="none" w:sz="0" w:space="0" w:color="auto"/>
        <w:bottom w:val="none" w:sz="0" w:space="0" w:color="auto"/>
        <w:right w:val="none" w:sz="0" w:space="0" w:color="auto"/>
      </w:divBdr>
    </w:div>
    <w:div w:id="450586697">
      <w:bodyDiv w:val="1"/>
      <w:marLeft w:val="0"/>
      <w:marRight w:val="0"/>
      <w:marTop w:val="0"/>
      <w:marBottom w:val="0"/>
      <w:divBdr>
        <w:top w:val="none" w:sz="0" w:space="0" w:color="auto"/>
        <w:left w:val="none" w:sz="0" w:space="0" w:color="auto"/>
        <w:bottom w:val="none" w:sz="0" w:space="0" w:color="auto"/>
        <w:right w:val="none" w:sz="0" w:space="0" w:color="auto"/>
      </w:divBdr>
      <w:divsChild>
        <w:div w:id="1401710506">
          <w:marLeft w:val="0"/>
          <w:marRight w:val="0"/>
          <w:marTop w:val="0"/>
          <w:marBottom w:val="0"/>
          <w:divBdr>
            <w:top w:val="none" w:sz="0" w:space="0" w:color="auto"/>
            <w:left w:val="none" w:sz="0" w:space="0" w:color="auto"/>
            <w:bottom w:val="none" w:sz="0" w:space="0" w:color="auto"/>
            <w:right w:val="none" w:sz="0" w:space="0" w:color="auto"/>
          </w:divBdr>
          <w:divsChild>
            <w:div w:id="538206764">
              <w:marLeft w:val="0"/>
              <w:marRight w:val="0"/>
              <w:marTop w:val="0"/>
              <w:marBottom w:val="0"/>
              <w:divBdr>
                <w:top w:val="none" w:sz="0" w:space="0" w:color="auto"/>
                <w:left w:val="none" w:sz="0" w:space="0" w:color="auto"/>
                <w:bottom w:val="none" w:sz="0" w:space="0" w:color="auto"/>
                <w:right w:val="none" w:sz="0" w:space="0" w:color="auto"/>
              </w:divBdr>
              <w:divsChild>
                <w:div w:id="19688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6269">
      <w:bodyDiv w:val="1"/>
      <w:marLeft w:val="0"/>
      <w:marRight w:val="0"/>
      <w:marTop w:val="0"/>
      <w:marBottom w:val="0"/>
      <w:divBdr>
        <w:top w:val="none" w:sz="0" w:space="0" w:color="auto"/>
        <w:left w:val="none" w:sz="0" w:space="0" w:color="auto"/>
        <w:bottom w:val="none" w:sz="0" w:space="0" w:color="auto"/>
        <w:right w:val="none" w:sz="0" w:space="0" w:color="auto"/>
      </w:divBdr>
      <w:divsChild>
        <w:div w:id="1219781156">
          <w:marLeft w:val="0"/>
          <w:marRight w:val="0"/>
          <w:marTop w:val="0"/>
          <w:marBottom w:val="0"/>
          <w:divBdr>
            <w:top w:val="none" w:sz="0" w:space="0" w:color="auto"/>
            <w:left w:val="none" w:sz="0" w:space="0" w:color="auto"/>
            <w:bottom w:val="none" w:sz="0" w:space="0" w:color="auto"/>
            <w:right w:val="none" w:sz="0" w:space="0" w:color="auto"/>
          </w:divBdr>
          <w:divsChild>
            <w:div w:id="871069059">
              <w:marLeft w:val="0"/>
              <w:marRight w:val="0"/>
              <w:marTop w:val="0"/>
              <w:marBottom w:val="0"/>
              <w:divBdr>
                <w:top w:val="none" w:sz="0" w:space="0" w:color="auto"/>
                <w:left w:val="none" w:sz="0" w:space="0" w:color="auto"/>
                <w:bottom w:val="none" w:sz="0" w:space="0" w:color="auto"/>
                <w:right w:val="none" w:sz="0" w:space="0" w:color="auto"/>
              </w:divBdr>
              <w:divsChild>
                <w:div w:id="5942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08981">
      <w:bodyDiv w:val="1"/>
      <w:marLeft w:val="0"/>
      <w:marRight w:val="0"/>
      <w:marTop w:val="0"/>
      <w:marBottom w:val="0"/>
      <w:divBdr>
        <w:top w:val="none" w:sz="0" w:space="0" w:color="auto"/>
        <w:left w:val="none" w:sz="0" w:space="0" w:color="auto"/>
        <w:bottom w:val="none" w:sz="0" w:space="0" w:color="auto"/>
        <w:right w:val="none" w:sz="0" w:space="0" w:color="auto"/>
      </w:divBdr>
      <w:divsChild>
        <w:div w:id="1981570092">
          <w:marLeft w:val="0"/>
          <w:marRight w:val="0"/>
          <w:marTop w:val="0"/>
          <w:marBottom w:val="0"/>
          <w:divBdr>
            <w:top w:val="none" w:sz="0" w:space="0" w:color="auto"/>
            <w:left w:val="none" w:sz="0" w:space="0" w:color="auto"/>
            <w:bottom w:val="none" w:sz="0" w:space="0" w:color="auto"/>
            <w:right w:val="none" w:sz="0" w:space="0" w:color="auto"/>
          </w:divBdr>
          <w:divsChild>
            <w:div w:id="267078818">
              <w:marLeft w:val="0"/>
              <w:marRight w:val="0"/>
              <w:marTop w:val="0"/>
              <w:marBottom w:val="0"/>
              <w:divBdr>
                <w:top w:val="none" w:sz="0" w:space="0" w:color="auto"/>
                <w:left w:val="none" w:sz="0" w:space="0" w:color="auto"/>
                <w:bottom w:val="none" w:sz="0" w:space="0" w:color="auto"/>
                <w:right w:val="none" w:sz="0" w:space="0" w:color="auto"/>
              </w:divBdr>
              <w:divsChild>
                <w:div w:id="2495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9200">
      <w:bodyDiv w:val="1"/>
      <w:marLeft w:val="0"/>
      <w:marRight w:val="0"/>
      <w:marTop w:val="0"/>
      <w:marBottom w:val="0"/>
      <w:divBdr>
        <w:top w:val="none" w:sz="0" w:space="0" w:color="auto"/>
        <w:left w:val="none" w:sz="0" w:space="0" w:color="auto"/>
        <w:bottom w:val="none" w:sz="0" w:space="0" w:color="auto"/>
        <w:right w:val="none" w:sz="0" w:space="0" w:color="auto"/>
      </w:divBdr>
    </w:div>
    <w:div w:id="462306594">
      <w:bodyDiv w:val="1"/>
      <w:marLeft w:val="0"/>
      <w:marRight w:val="0"/>
      <w:marTop w:val="0"/>
      <w:marBottom w:val="0"/>
      <w:divBdr>
        <w:top w:val="none" w:sz="0" w:space="0" w:color="auto"/>
        <w:left w:val="none" w:sz="0" w:space="0" w:color="auto"/>
        <w:bottom w:val="none" w:sz="0" w:space="0" w:color="auto"/>
        <w:right w:val="none" w:sz="0" w:space="0" w:color="auto"/>
      </w:divBdr>
      <w:divsChild>
        <w:div w:id="1948612096">
          <w:marLeft w:val="0"/>
          <w:marRight w:val="0"/>
          <w:marTop w:val="0"/>
          <w:marBottom w:val="0"/>
          <w:divBdr>
            <w:top w:val="none" w:sz="0" w:space="0" w:color="auto"/>
            <w:left w:val="none" w:sz="0" w:space="0" w:color="auto"/>
            <w:bottom w:val="none" w:sz="0" w:space="0" w:color="auto"/>
            <w:right w:val="none" w:sz="0" w:space="0" w:color="auto"/>
          </w:divBdr>
          <w:divsChild>
            <w:div w:id="2125414978">
              <w:marLeft w:val="0"/>
              <w:marRight w:val="0"/>
              <w:marTop w:val="0"/>
              <w:marBottom w:val="0"/>
              <w:divBdr>
                <w:top w:val="none" w:sz="0" w:space="0" w:color="auto"/>
                <w:left w:val="none" w:sz="0" w:space="0" w:color="auto"/>
                <w:bottom w:val="none" w:sz="0" w:space="0" w:color="auto"/>
                <w:right w:val="none" w:sz="0" w:space="0" w:color="auto"/>
              </w:divBdr>
              <w:divsChild>
                <w:div w:id="16095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4939">
      <w:bodyDiv w:val="1"/>
      <w:marLeft w:val="0"/>
      <w:marRight w:val="0"/>
      <w:marTop w:val="0"/>
      <w:marBottom w:val="0"/>
      <w:divBdr>
        <w:top w:val="none" w:sz="0" w:space="0" w:color="auto"/>
        <w:left w:val="none" w:sz="0" w:space="0" w:color="auto"/>
        <w:bottom w:val="none" w:sz="0" w:space="0" w:color="auto"/>
        <w:right w:val="none" w:sz="0" w:space="0" w:color="auto"/>
      </w:divBdr>
    </w:div>
    <w:div w:id="466246086">
      <w:bodyDiv w:val="1"/>
      <w:marLeft w:val="0"/>
      <w:marRight w:val="0"/>
      <w:marTop w:val="0"/>
      <w:marBottom w:val="0"/>
      <w:divBdr>
        <w:top w:val="none" w:sz="0" w:space="0" w:color="auto"/>
        <w:left w:val="none" w:sz="0" w:space="0" w:color="auto"/>
        <w:bottom w:val="none" w:sz="0" w:space="0" w:color="auto"/>
        <w:right w:val="none" w:sz="0" w:space="0" w:color="auto"/>
      </w:divBdr>
      <w:divsChild>
        <w:div w:id="1001739010">
          <w:marLeft w:val="0"/>
          <w:marRight w:val="0"/>
          <w:marTop w:val="0"/>
          <w:marBottom w:val="0"/>
          <w:divBdr>
            <w:top w:val="none" w:sz="0" w:space="0" w:color="auto"/>
            <w:left w:val="none" w:sz="0" w:space="0" w:color="auto"/>
            <w:bottom w:val="none" w:sz="0" w:space="0" w:color="auto"/>
            <w:right w:val="none" w:sz="0" w:space="0" w:color="auto"/>
          </w:divBdr>
          <w:divsChild>
            <w:div w:id="10109094">
              <w:marLeft w:val="0"/>
              <w:marRight w:val="0"/>
              <w:marTop w:val="0"/>
              <w:marBottom w:val="0"/>
              <w:divBdr>
                <w:top w:val="none" w:sz="0" w:space="0" w:color="auto"/>
                <w:left w:val="none" w:sz="0" w:space="0" w:color="auto"/>
                <w:bottom w:val="none" w:sz="0" w:space="0" w:color="auto"/>
                <w:right w:val="none" w:sz="0" w:space="0" w:color="auto"/>
              </w:divBdr>
              <w:divsChild>
                <w:div w:id="12369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8619">
      <w:bodyDiv w:val="1"/>
      <w:marLeft w:val="0"/>
      <w:marRight w:val="0"/>
      <w:marTop w:val="0"/>
      <w:marBottom w:val="0"/>
      <w:divBdr>
        <w:top w:val="none" w:sz="0" w:space="0" w:color="auto"/>
        <w:left w:val="none" w:sz="0" w:space="0" w:color="auto"/>
        <w:bottom w:val="none" w:sz="0" w:space="0" w:color="auto"/>
        <w:right w:val="none" w:sz="0" w:space="0" w:color="auto"/>
      </w:divBdr>
      <w:divsChild>
        <w:div w:id="1620649370">
          <w:marLeft w:val="0"/>
          <w:marRight w:val="0"/>
          <w:marTop w:val="0"/>
          <w:marBottom w:val="0"/>
          <w:divBdr>
            <w:top w:val="none" w:sz="0" w:space="0" w:color="auto"/>
            <w:left w:val="none" w:sz="0" w:space="0" w:color="auto"/>
            <w:bottom w:val="none" w:sz="0" w:space="0" w:color="auto"/>
            <w:right w:val="none" w:sz="0" w:space="0" w:color="auto"/>
          </w:divBdr>
          <w:divsChild>
            <w:div w:id="1134785747">
              <w:marLeft w:val="0"/>
              <w:marRight w:val="0"/>
              <w:marTop w:val="0"/>
              <w:marBottom w:val="0"/>
              <w:divBdr>
                <w:top w:val="none" w:sz="0" w:space="0" w:color="auto"/>
                <w:left w:val="none" w:sz="0" w:space="0" w:color="auto"/>
                <w:bottom w:val="none" w:sz="0" w:space="0" w:color="auto"/>
                <w:right w:val="none" w:sz="0" w:space="0" w:color="auto"/>
              </w:divBdr>
              <w:divsChild>
                <w:div w:id="5938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7323">
      <w:bodyDiv w:val="1"/>
      <w:marLeft w:val="0"/>
      <w:marRight w:val="0"/>
      <w:marTop w:val="0"/>
      <w:marBottom w:val="0"/>
      <w:divBdr>
        <w:top w:val="none" w:sz="0" w:space="0" w:color="auto"/>
        <w:left w:val="none" w:sz="0" w:space="0" w:color="auto"/>
        <w:bottom w:val="none" w:sz="0" w:space="0" w:color="auto"/>
        <w:right w:val="none" w:sz="0" w:space="0" w:color="auto"/>
      </w:divBdr>
      <w:divsChild>
        <w:div w:id="1281916020">
          <w:marLeft w:val="0"/>
          <w:marRight w:val="0"/>
          <w:marTop w:val="0"/>
          <w:marBottom w:val="0"/>
          <w:divBdr>
            <w:top w:val="none" w:sz="0" w:space="0" w:color="auto"/>
            <w:left w:val="none" w:sz="0" w:space="0" w:color="auto"/>
            <w:bottom w:val="none" w:sz="0" w:space="0" w:color="auto"/>
            <w:right w:val="none" w:sz="0" w:space="0" w:color="auto"/>
          </w:divBdr>
          <w:divsChild>
            <w:div w:id="791556421">
              <w:marLeft w:val="0"/>
              <w:marRight w:val="0"/>
              <w:marTop w:val="0"/>
              <w:marBottom w:val="0"/>
              <w:divBdr>
                <w:top w:val="none" w:sz="0" w:space="0" w:color="auto"/>
                <w:left w:val="none" w:sz="0" w:space="0" w:color="auto"/>
                <w:bottom w:val="none" w:sz="0" w:space="0" w:color="auto"/>
                <w:right w:val="none" w:sz="0" w:space="0" w:color="auto"/>
              </w:divBdr>
              <w:divsChild>
                <w:div w:id="703561588">
                  <w:marLeft w:val="0"/>
                  <w:marRight w:val="0"/>
                  <w:marTop w:val="0"/>
                  <w:marBottom w:val="0"/>
                  <w:divBdr>
                    <w:top w:val="none" w:sz="0" w:space="0" w:color="auto"/>
                    <w:left w:val="none" w:sz="0" w:space="0" w:color="auto"/>
                    <w:bottom w:val="none" w:sz="0" w:space="0" w:color="auto"/>
                    <w:right w:val="none" w:sz="0" w:space="0" w:color="auto"/>
                  </w:divBdr>
                  <w:divsChild>
                    <w:div w:id="12111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332392">
      <w:bodyDiv w:val="1"/>
      <w:marLeft w:val="0"/>
      <w:marRight w:val="0"/>
      <w:marTop w:val="0"/>
      <w:marBottom w:val="0"/>
      <w:divBdr>
        <w:top w:val="none" w:sz="0" w:space="0" w:color="auto"/>
        <w:left w:val="none" w:sz="0" w:space="0" w:color="auto"/>
        <w:bottom w:val="none" w:sz="0" w:space="0" w:color="auto"/>
        <w:right w:val="none" w:sz="0" w:space="0" w:color="auto"/>
      </w:divBdr>
      <w:divsChild>
        <w:div w:id="1795176449">
          <w:marLeft w:val="0"/>
          <w:marRight w:val="0"/>
          <w:marTop w:val="0"/>
          <w:marBottom w:val="0"/>
          <w:divBdr>
            <w:top w:val="none" w:sz="0" w:space="0" w:color="auto"/>
            <w:left w:val="none" w:sz="0" w:space="0" w:color="auto"/>
            <w:bottom w:val="none" w:sz="0" w:space="0" w:color="auto"/>
            <w:right w:val="none" w:sz="0" w:space="0" w:color="auto"/>
          </w:divBdr>
          <w:divsChild>
            <w:div w:id="2058777384">
              <w:marLeft w:val="0"/>
              <w:marRight w:val="0"/>
              <w:marTop w:val="0"/>
              <w:marBottom w:val="0"/>
              <w:divBdr>
                <w:top w:val="none" w:sz="0" w:space="0" w:color="auto"/>
                <w:left w:val="none" w:sz="0" w:space="0" w:color="auto"/>
                <w:bottom w:val="none" w:sz="0" w:space="0" w:color="auto"/>
                <w:right w:val="none" w:sz="0" w:space="0" w:color="auto"/>
              </w:divBdr>
              <w:divsChild>
                <w:div w:id="282805683">
                  <w:marLeft w:val="0"/>
                  <w:marRight w:val="0"/>
                  <w:marTop w:val="0"/>
                  <w:marBottom w:val="0"/>
                  <w:divBdr>
                    <w:top w:val="none" w:sz="0" w:space="0" w:color="auto"/>
                    <w:left w:val="none" w:sz="0" w:space="0" w:color="auto"/>
                    <w:bottom w:val="none" w:sz="0" w:space="0" w:color="auto"/>
                    <w:right w:val="none" w:sz="0" w:space="0" w:color="auto"/>
                  </w:divBdr>
                  <w:divsChild>
                    <w:div w:id="15890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80398">
      <w:bodyDiv w:val="1"/>
      <w:marLeft w:val="0"/>
      <w:marRight w:val="0"/>
      <w:marTop w:val="0"/>
      <w:marBottom w:val="0"/>
      <w:divBdr>
        <w:top w:val="none" w:sz="0" w:space="0" w:color="auto"/>
        <w:left w:val="none" w:sz="0" w:space="0" w:color="auto"/>
        <w:bottom w:val="none" w:sz="0" w:space="0" w:color="auto"/>
        <w:right w:val="none" w:sz="0" w:space="0" w:color="auto"/>
      </w:divBdr>
      <w:divsChild>
        <w:div w:id="1620798679">
          <w:marLeft w:val="0"/>
          <w:marRight w:val="0"/>
          <w:marTop w:val="0"/>
          <w:marBottom w:val="0"/>
          <w:divBdr>
            <w:top w:val="none" w:sz="0" w:space="0" w:color="auto"/>
            <w:left w:val="none" w:sz="0" w:space="0" w:color="auto"/>
            <w:bottom w:val="none" w:sz="0" w:space="0" w:color="auto"/>
            <w:right w:val="none" w:sz="0" w:space="0" w:color="auto"/>
          </w:divBdr>
          <w:divsChild>
            <w:div w:id="862716987">
              <w:marLeft w:val="0"/>
              <w:marRight w:val="0"/>
              <w:marTop w:val="0"/>
              <w:marBottom w:val="0"/>
              <w:divBdr>
                <w:top w:val="none" w:sz="0" w:space="0" w:color="auto"/>
                <w:left w:val="none" w:sz="0" w:space="0" w:color="auto"/>
                <w:bottom w:val="none" w:sz="0" w:space="0" w:color="auto"/>
                <w:right w:val="none" w:sz="0" w:space="0" w:color="auto"/>
              </w:divBdr>
              <w:divsChild>
                <w:div w:id="1887990246">
                  <w:marLeft w:val="0"/>
                  <w:marRight w:val="0"/>
                  <w:marTop w:val="0"/>
                  <w:marBottom w:val="0"/>
                  <w:divBdr>
                    <w:top w:val="none" w:sz="0" w:space="0" w:color="auto"/>
                    <w:left w:val="none" w:sz="0" w:space="0" w:color="auto"/>
                    <w:bottom w:val="none" w:sz="0" w:space="0" w:color="auto"/>
                    <w:right w:val="none" w:sz="0" w:space="0" w:color="auto"/>
                  </w:divBdr>
                  <w:divsChild>
                    <w:div w:id="16373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519405">
      <w:bodyDiv w:val="1"/>
      <w:marLeft w:val="0"/>
      <w:marRight w:val="0"/>
      <w:marTop w:val="0"/>
      <w:marBottom w:val="0"/>
      <w:divBdr>
        <w:top w:val="none" w:sz="0" w:space="0" w:color="auto"/>
        <w:left w:val="none" w:sz="0" w:space="0" w:color="auto"/>
        <w:bottom w:val="none" w:sz="0" w:space="0" w:color="auto"/>
        <w:right w:val="none" w:sz="0" w:space="0" w:color="auto"/>
      </w:divBdr>
      <w:divsChild>
        <w:div w:id="265888678">
          <w:marLeft w:val="0"/>
          <w:marRight w:val="0"/>
          <w:marTop w:val="0"/>
          <w:marBottom w:val="0"/>
          <w:divBdr>
            <w:top w:val="none" w:sz="0" w:space="0" w:color="auto"/>
            <w:left w:val="none" w:sz="0" w:space="0" w:color="auto"/>
            <w:bottom w:val="none" w:sz="0" w:space="0" w:color="auto"/>
            <w:right w:val="none" w:sz="0" w:space="0" w:color="auto"/>
          </w:divBdr>
          <w:divsChild>
            <w:div w:id="937177585">
              <w:marLeft w:val="0"/>
              <w:marRight w:val="0"/>
              <w:marTop w:val="0"/>
              <w:marBottom w:val="0"/>
              <w:divBdr>
                <w:top w:val="none" w:sz="0" w:space="0" w:color="auto"/>
                <w:left w:val="none" w:sz="0" w:space="0" w:color="auto"/>
                <w:bottom w:val="none" w:sz="0" w:space="0" w:color="auto"/>
                <w:right w:val="none" w:sz="0" w:space="0" w:color="auto"/>
              </w:divBdr>
              <w:divsChild>
                <w:div w:id="9290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11994">
      <w:bodyDiv w:val="1"/>
      <w:marLeft w:val="0"/>
      <w:marRight w:val="0"/>
      <w:marTop w:val="0"/>
      <w:marBottom w:val="0"/>
      <w:divBdr>
        <w:top w:val="none" w:sz="0" w:space="0" w:color="auto"/>
        <w:left w:val="none" w:sz="0" w:space="0" w:color="auto"/>
        <w:bottom w:val="none" w:sz="0" w:space="0" w:color="auto"/>
        <w:right w:val="none" w:sz="0" w:space="0" w:color="auto"/>
      </w:divBdr>
      <w:divsChild>
        <w:div w:id="375860605">
          <w:marLeft w:val="0"/>
          <w:marRight w:val="0"/>
          <w:marTop w:val="0"/>
          <w:marBottom w:val="0"/>
          <w:divBdr>
            <w:top w:val="none" w:sz="0" w:space="0" w:color="auto"/>
            <w:left w:val="none" w:sz="0" w:space="0" w:color="auto"/>
            <w:bottom w:val="none" w:sz="0" w:space="0" w:color="auto"/>
            <w:right w:val="none" w:sz="0" w:space="0" w:color="auto"/>
          </w:divBdr>
          <w:divsChild>
            <w:div w:id="256256227">
              <w:marLeft w:val="0"/>
              <w:marRight w:val="0"/>
              <w:marTop w:val="0"/>
              <w:marBottom w:val="0"/>
              <w:divBdr>
                <w:top w:val="none" w:sz="0" w:space="0" w:color="auto"/>
                <w:left w:val="none" w:sz="0" w:space="0" w:color="auto"/>
                <w:bottom w:val="none" w:sz="0" w:space="0" w:color="auto"/>
                <w:right w:val="none" w:sz="0" w:space="0" w:color="auto"/>
              </w:divBdr>
              <w:divsChild>
                <w:div w:id="16896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20380">
      <w:bodyDiv w:val="1"/>
      <w:marLeft w:val="0"/>
      <w:marRight w:val="0"/>
      <w:marTop w:val="0"/>
      <w:marBottom w:val="0"/>
      <w:divBdr>
        <w:top w:val="none" w:sz="0" w:space="0" w:color="auto"/>
        <w:left w:val="none" w:sz="0" w:space="0" w:color="auto"/>
        <w:bottom w:val="none" w:sz="0" w:space="0" w:color="auto"/>
        <w:right w:val="none" w:sz="0" w:space="0" w:color="auto"/>
      </w:divBdr>
    </w:div>
    <w:div w:id="503669395">
      <w:bodyDiv w:val="1"/>
      <w:marLeft w:val="0"/>
      <w:marRight w:val="0"/>
      <w:marTop w:val="0"/>
      <w:marBottom w:val="0"/>
      <w:divBdr>
        <w:top w:val="none" w:sz="0" w:space="0" w:color="auto"/>
        <w:left w:val="none" w:sz="0" w:space="0" w:color="auto"/>
        <w:bottom w:val="none" w:sz="0" w:space="0" w:color="auto"/>
        <w:right w:val="none" w:sz="0" w:space="0" w:color="auto"/>
      </w:divBdr>
      <w:divsChild>
        <w:div w:id="340592264">
          <w:marLeft w:val="0"/>
          <w:marRight w:val="0"/>
          <w:marTop w:val="0"/>
          <w:marBottom w:val="0"/>
          <w:divBdr>
            <w:top w:val="none" w:sz="0" w:space="0" w:color="auto"/>
            <w:left w:val="none" w:sz="0" w:space="0" w:color="auto"/>
            <w:bottom w:val="none" w:sz="0" w:space="0" w:color="auto"/>
            <w:right w:val="none" w:sz="0" w:space="0" w:color="auto"/>
          </w:divBdr>
          <w:divsChild>
            <w:div w:id="1267346883">
              <w:marLeft w:val="0"/>
              <w:marRight w:val="0"/>
              <w:marTop w:val="0"/>
              <w:marBottom w:val="0"/>
              <w:divBdr>
                <w:top w:val="none" w:sz="0" w:space="0" w:color="auto"/>
                <w:left w:val="none" w:sz="0" w:space="0" w:color="auto"/>
                <w:bottom w:val="none" w:sz="0" w:space="0" w:color="auto"/>
                <w:right w:val="none" w:sz="0" w:space="0" w:color="auto"/>
              </w:divBdr>
              <w:divsChild>
                <w:div w:id="14286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00584">
      <w:bodyDiv w:val="1"/>
      <w:marLeft w:val="0"/>
      <w:marRight w:val="0"/>
      <w:marTop w:val="0"/>
      <w:marBottom w:val="0"/>
      <w:divBdr>
        <w:top w:val="none" w:sz="0" w:space="0" w:color="auto"/>
        <w:left w:val="none" w:sz="0" w:space="0" w:color="auto"/>
        <w:bottom w:val="none" w:sz="0" w:space="0" w:color="auto"/>
        <w:right w:val="none" w:sz="0" w:space="0" w:color="auto"/>
      </w:divBdr>
      <w:divsChild>
        <w:div w:id="168328138">
          <w:marLeft w:val="0"/>
          <w:marRight w:val="0"/>
          <w:marTop w:val="0"/>
          <w:marBottom w:val="0"/>
          <w:divBdr>
            <w:top w:val="none" w:sz="0" w:space="0" w:color="auto"/>
            <w:left w:val="none" w:sz="0" w:space="0" w:color="auto"/>
            <w:bottom w:val="none" w:sz="0" w:space="0" w:color="auto"/>
            <w:right w:val="none" w:sz="0" w:space="0" w:color="auto"/>
          </w:divBdr>
          <w:divsChild>
            <w:div w:id="1987079346">
              <w:marLeft w:val="0"/>
              <w:marRight w:val="0"/>
              <w:marTop w:val="0"/>
              <w:marBottom w:val="0"/>
              <w:divBdr>
                <w:top w:val="none" w:sz="0" w:space="0" w:color="auto"/>
                <w:left w:val="none" w:sz="0" w:space="0" w:color="auto"/>
                <w:bottom w:val="none" w:sz="0" w:space="0" w:color="auto"/>
                <w:right w:val="none" w:sz="0" w:space="0" w:color="auto"/>
              </w:divBdr>
              <w:divsChild>
                <w:div w:id="1419710656">
                  <w:marLeft w:val="0"/>
                  <w:marRight w:val="0"/>
                  <w:marTop w:val="0"/>
                  <w:marBottom w:val="0"/>
                  <w:divBdr>
                    <w:top w:val="none" w:sz="0" w:space="0" w:color="auto"/>
                    <w:left w:val="none" w:sz="0" w:space="0" w:color="auto"/>
                    <w:bottom w:val="none" w:sz="0" w:space="0" w:color="auto"/>
                    <w:right w:val="none" w:sz="0" w:space="0" w:color="auto"/>
                  </w:divBdr>
                  <w:divsChild>
                    <w:div w:id="729035605">
                      <w:marLeft w:val="0"/>
                      <w:marRight w:val="0"/>
                      <w:marTop w:val="0"/>
                      <w:marBottom w:val="0"/>
                      <w:divBdr>
                        <w:top w:val="none" w:sz="0" w:space="0" w:color="auto"/>
                        <w:left w:val="none" w:sz="0" w:space="0" w:color="auto"/>
                        <w:bottom w:val="none" w:sz="0" w:space="0" w:color="auto"/>
                        <w:right w:val="none" w:sz="0" w:space="0" w:color="auto"/>
                      </w:divBdr>
                    </w:div>
                  </w:divsChild>
                </w:div>
                <w:div w:id="2106029764">
                  <w:marLeft w:val="0"/>
                  <w:marRight w:val="0"/>
                  <w:marTop w:val="0"/>
                  <w:marBottom w:val="0"/>
                  <w:divBdr>
                    <w:top w:val="none" w:sz="0" w:space="0" w:color="auto"/>
                    <w:left w:val="none" w:sz="0" w:space="0" w:color="auto"/>
                    <w:bottom w:val="none" w:sz="0" w:space="0" w:color="auto"/>
                    <w:right w:val="none" w:sz="0" w:space="0" w:color="auto"/>
                  </w:divBdr>
                  <w:divsChild>
                    <w:div w:id="363486797">
                      <w:marLeft w:val="0"/>
                      <w:marRight w:val="0"/>
                      <w:marTop w:val="0"/>
                      <w:marBottom w:val="0"/>
                      <w:divBdr>
                        <w:top w:val="none" w:sz="0" w:space="0" w:color="auto"/>
                        <w:left w:val="none" w:sz="0" w:space="0" w:color="auto"/>
                        <w:bottom w:val="none" w:sz="0" w:space="0" w:color="auto"/>
                        <w:right w:val="none" w:sz="0" w:space="0" w:color="auto"/>
                      </w:divBdr>
                    </w:div>
                    <w:div w:id="7924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85128">
      <w:bodyDiv w:val="1"/>
      <w:marLeft w:val="0"/>
      <w:marRight w:val="0"/>
      <w:marTop w:val="0"/>
      <w:marBottom w:val="0"/>
      <w:divBdr>
        <w:top w:val="none" w:sz="0" w:space="0" w:color="auto"/>
        <w:left w:val="none" w:sz="0" w:space="0" w:color="auto"/>
        <w:bottom w:val="none" w:sz="0" w:space="0" w:color="auto"/>
        <w:right w:val="none" w:sz="0" w:space="0" w:color="auto"/>
      </w:divBdr>
    </w:div>
    <w:div w:id="529806307">
      <w:bodyDiv w:val="1"/>
      <w:marLeft w:val="0"/>
      <w:marRight w:val="0"/>
      <w:marTop w:val="0"/>
      <w:marBottom w:val="0"/>
      <w:divBdr>
        <w:top w:val="none" w:sz="0" w:space="0" w:color="auto"/>
        <w:left w:val="none" w:sz="0" w:space="0" w:color="auto"/>
        <w:bottom w:val="none" w:sz="0" w:space="0" w:color="auto"/>
        <w:right w:val="none" w:sz="0" w:space="0" w:color="auto"/>
      </w:divBdr>
      <w:divsChild>
        <w:div w:id="826945033">
          <w:marLeft w:val="0"/>
          <w:marRight w:val="0"/>
          <w:marTop w:val="0"/>
          <w:marBottom w:val="0"/>
          <w:divBdr>
            <w:top w:val="none" w:sz="0" w:space="0" w:color="auto"/>
            <w:left w:val="none" w:sz="0" w:space="0" w:color="auto"/>
            <w:bottom w:val="none" w:sz="0" w:space="0" w:color="auto"/>
            <w:right w:val="none" w:sz="0" w:space="0" w:color="auto"/>
          </w:divBdr>
          <w:divsChild>
            <w:div w:id="1077902299">
              <w:marLeft w:val="0"/>
              <w:marRight w:val="0"/>
              <w:marTop w:val="0"/>
              <w:marBottom w:val="0"/>
              <w:divBdr>
                <w:top w:val="none" w:sz="0" w:space="0" w:color="auto"/>
                <w:left w:val="none" w:sz="0" w:space="0" w:color="auto"/>
                <w:bottom w:val="none" w:sz="0" w:space="0" w:color="auto"/>
                <w:right w:val="none" w:sz="0" w:space="0" w:color="auto"/>
              </w:divBdr>
              <w:divsChild>
                <w:div w:id="3813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1277">
      <w:bodyDiv w:val="1"/>
      <w:marLeft w:val="0"/>
      <w:marRight w:val="0"/>
      <w:marTop w:val="0"/>
      <w:marBottom w:val="0"/>
      <w:divBdr>
        <w:top w:val="none" w:sz="0" w:space="0" w:color="auto"/>
        <w:left w:val="none" w:sz="0" w:space="0" w:color="auto"/>
        <w:bottom w:val="none" w:sz="0" w:space="0" w:color="auto"/>
        <w:right w:val="none" w:sz="0" w:space="0" w:color="auto"/>
      </w:divBdr>
      <w:divsChild>
        <w:div w:id="244846400">
          <w:marLeft w:val="0"/>
          <w:marRight w:val="0"/>
          <w:marTop w:val="0"/>
          <w:marBottom w:val="0"/>
          <w:divBdr>
            <w:top w:val="none" w:sz="0" w:space="0" w:color="auto"/>
            <w:left w:val="none" w:sz="0" w:space="0" w:color="auto"/>
            <w:bottom w:val="none" w:sz="0" w:space="0" w:color="auto"/>
            <w:right w:val="none" w:sz="0" w:space="0" w:color="auto"/>
          </w:divBdr>
          <w:divsChild>
            <w:div w:id="192034193">
              <w:marLeft w:val="0"/>
              <w:marRight w:val="0"/>
              <w:marTop w:val="0"/>
              <w:marBottom w:val="0"/>
              <w:divBdr>
                <w:top w:val="none" w:sz="0" w:space="0" w:color="auto"/>
                <w:left w:val="none" w:sz="0" w:space="0" w:color="auto"/>
                <w:bottom w:val="none" w:sz="0" w:space="0" w:color="auto"/>
                <w:right w:val="none" w:sz="0" w:space="0" w:color="auto"/>
              </w:divBdr>
              <w:divsChild>
                <w:div w:id="2105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12152">
      <w:bodyDiv w:val="1"/>
      <w:marLeft w:val="0"/>
      <w:marRight w:val="0"/>
      <w:marTop w:val="0"/>
      <w:marBottom w:val="0"/>
      <w:divBdr>
        <w:top w:val="none" w:sz="0" w:space="0" w:color="auto"/>
        <w:left w:val="none" w:sz="0" w:space="0" w:color="auto"/>
        <w:bottom w:val="none" w:sz="0" w:space="0" w:color="auto"/>
        <w:right w:val="none" w:sz="0" w:space="0" w:color="auto"/>
      </w:divBdr>
      <w:divsChild>
        <w:div w:id="1472946494">
          <w:marLeft w:val="0"/>
          <w:marRight w:val="0"/>
          <w:marTop w:val="0"/>
          <w:marBottom w:val="0"/>
          <w:divBdr>
            <w:top w:val="none" w:sz="0" w:space="0" w:color="auto"/>
            <w:left w:val="none" w:sz="0" w:space="0" w:color="auto"/>
            <w:bottom w:val="none" w:sz="0" w:space="0" w:color="auto"/>
            <w:right w:val="none" w:sz="0" w:space="0" w:color="auto"/>
          </w:divBdr>
          <w:divsChild>
            <w:div w:id="1606378582">
              <w:marLeft w:val="0"/>
              <w:marRight w:val="0"/>
              <w:marTop w:val="0"/>
              <w:marBottom w:val="0"/>
              <w:divBdr>
                <w:top w:val="none" w:sz="0" w:space="0" w:color="auto"/>
                <w:left w:val="none" w:sz="0" w:space="0" w:color="auto"/>
                <w:bottom w:val="none" w:sz="0" w:space="0" w:color="auto"/>
                <w:right w:val="none" w:sz="0" w:space="0" w:color="auto"/>
              </w:divBdr>
              <w:divsChild>
                <w:div w:id="13449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09213">
      <w:bodyDiv w:val="1"/>
      <w:marLeft w:val="0"/>
      <w:marRight w:val="0"/>
      <w:marTop w:val="0"/>
      <w:marBottom w:val="0"/>
      <w:divBdr>
        <w:top w:val="none" w:sz="0" w:space="0" w:color="auto"/>
        <w:left w:val="none" w:sz="0" w:space="0" w:color="auto"/>
        <w:bottom w:val="none" w:sz="0" w:space="0" w:color="auto"/>
        <w:right w:val="none" w:sz="0" w:space="0" w:color="auto"/>
      </w:divBdr>
      <w:divsChild>
        <w:div w:id="975911841">
          <w:marLeft w:val="0"/>
          <w:marRight w:val="0"/>
          <w:marTop w:val="0"/>
          <w:marBottom w:val="0"/>
          <w:divBdr>
            <w:top w:val="none" w:sz="0" w:space="0" w:color="auto"/>
            <w:left w:val="none" w:sz="0" w:space="0" w:color="auto"/>
            <w:bottom w:val="none" w:sz="0" w:space="0" w:color="auto"/>
            <w:right w:val="none" w:sz="0" w:space="0" w:color="auto"/>
          </w:divBdr>
          <w:divsChild>
            <w:div w:id="158471985">
              <w:marLeft w:val="0"/>
              <w:marRight w:val="0"/>
              <w:marTop w:val="0"/>
              <w:marBottom w:val="0"/>
              <w:divBdr>
                <w:top w:val="none" w:sz="0" w:space="0" w:color="auto"/>
                <w:left w:val="none" w:sz="0" w:space="0" w:color="auto"/>
                <w:bottom w:val="none" w:sz="0" w:space="0" w:color="auto"/>
                <w:right w:val="none" w:sz="0" w:space="0" w:color="auto"/>
              </w:divBdr>
              <w:divsChild>
                <w:div w:id="11474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844">
      <w:bodyDiv w:val="1"/>
      <w:marLeft w:val="0"/>
      <w:marRight w:val="0"/>
      <w:marTop w:val="0"/>
      <w:marBottom w:val="0"/>
      <w:divBdr>
        <w:top w:val="none" w:sz="0" w:space="0" w:color="auto"/>
        <w:left w:val="none" w:sz="0" w:space="0" w:color="auto"/>
        <w:bottom w:val="none" w:sz="0" w:space="0" w:color="auto"/>
        <w:right w:val="none" w:sz="0" w:space="0" w:color="auto"/>
      </w:divBdr>
    </w:div>
    <w:div w:id="543710197">
      <w:bodyDiv w:val="1"/>
      <w:marLeft w:val="0"/>
      <w:marRight w:val="0"/>
      <w:marTop w:val="0"/>
      <w:marBottom w:val="0"/>
      <w:divBdr>
        <w:top w:val="none" w:sz="0" w:space="0" w:color="auto"/>
        <w:left w:val="none" w:sz="0" w:space="0" w:color="auto"/>
        <w:bottom w:val="none" w:sz="0" w:space="0" w:color="auto"/>
        <w:right w:val="none" w:sz="0" w:space="0" w:color="auto"/>
      </w:divBdr>
      <w:divsChild>
        <w:div w:id="1477526820">
          <w:marLeft w:val="0"/>
          <w:marRight w:val="0"/>
          <w:marTop w:val="0"/>
          <w:marBottom w:val="0"/>
          <w:divBdr>
            <w:top w:val="none" w:sz="0" w:space="0" w:color="auto"/>
            <w:left w:val="none" w:sz="0" w:space="0" w:color="auto"/>
            <w:bottom w:val="none" w:sz="0" w:space="0" w:color="auto"/>
            <w:right w:val="none" w:sz="0" w:space="0" w:color="auto"/>
          </w:divBdr>
          <w:divsChild>
            <w:div w:id="545458132">
              <w:marLeft w:val="0"/>
              <w:marRight w:val="0"/>
              <w:marTop w:val="0"/>
              <w:marBottom w:val="0"/>
              <w:divBdr>
                <w:top w:val="none" w:sz="0" w:space="0" w:color="auto"/>
                <w:left w:val="none" w:sz="0" w:space="0" w:color="auto"/>
                <w:bottom w:val="none" w:sz="0" w:space="0" w:color="auto"/>
                <w:right w:val="none" w:sz="0" w:space="0" w:color="auto"/>
              </w:divBdr>
              <w:divsChild>
                <w:div w:id="21116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9021">
      <w:bodyDiv w:val="1"/>
      <w:marLeft w:val="0"/>
      <w:marRight w:val="0"/>
      <w:marTop w:val="0"/>
      <w:marBottom w:val="0"/>
      <w:divBdr>
        <w:top w:val="none" w:sz="0" w:space="0" w:color="auto"/>
        <w:left w:val="none" w:sz="0" w:space="0" w:color="auto"/>
        <w:bottom w:val="none" w:sz="0" w:space="0" w:color="auto"/>
        <w:right w:val="none" w:sz="0" w:space="0" w:color="auto"/>
      </w:divBdr>
    </w:div>
    <w:div w:id="553008291">
      <w:bodyDiv w:val="1"/>
      <w:marLeft w:val="0"/>
      <w:marRight w:val="0"/>
      <w:marTop w:val="0"/>
      <w:marBottom w:val="0"/>
      <w:divBdr>
        <w:top w:val="none" w:sz="0" w:space="0" w:color="auto"/>
        <w:left w:val="none" w:sz="0" w:space="0" w:color="auto"/>
        <w:bottom w:val="none" w:sz="0" w:space="0" w:color="auto"/>
        <w:right w:val="none" w:sz="0" w:space="0" w:color="auto"/>
      </w:divBdr>
      <w:divsChild>
        <w:div w:id="1799491996">
          <w:marLeft w:val="0"/>
          <w:marRight w:val="0"/>
          <w:marTop w:val="0"/>
          <w:marBottom w:val="0"/>
          <w:divBdr>
            <w:top w:val="none" w:sz="0" w:space="0" w:color="auto"/>
            <w:left w:val="none" w:sz="0" w:space="0" w:color="auto"/>
            <w:bottom w:val="none" w:sz="0" w:space="0" w:color="auto"/>
            <w:right w:val="none" w:sz="0" w:space="0" w:color="auto"/>
          </w:divBdr>
          <w:divsChild>
            <w:div w:id="1237741962">
              <w:marLeft w:val="0"/>
              <w:marRight w:val="0"/>
              <w:marTop w:val="0"/>
              <w:marBottom w:val="0"/>
              <w:divBdr>
                <w:top w:val="none" w:sz="0" w:space="0" w:color="auto"/>
                <w:left w:val="none" w:sz="0" w:space="0" w:color="auto"/>
                <w:bottom w:val="none" w:sz="0" w:space="0" w:color="auto"/>
                <w:right w:val="none" w:sz="0" w:space="0" w:color="auto"/>
              </w:divBdr>
              <w:divsChild>
                <w:div w:id="12396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20575">
      <w:bodyDiv w:val="1"/>
      <w:marLeft w:val="0"/>
      <w:marRight w:val="0"/>
      <w:marTop w:val="0"/>
      <w:marBottom w:val="0"/>
      <w:divBdr>
        <w:top w:val="none" w:sz="0" w:space="0" w:color="auto"/>
        <w:left w:val="none" w:sz="0" w:space="0" w:color="auto"/>
        <w:bottom w:val="none" w:sz="0" w:space="0" w:color="auto"/>
        <w:right w:val="none" w:sz="0" w:space="0" w:color="auto"/>
      </w:divBdr>
    </w:div>
    <w:div w:id="559054367">
      <w:bodyDiv w:val="1"/>
      <w:marLeft w:val="0"/>
      <w:marRight w:val="0"/>
      <w:marTop w:val="0"/>
      <w:marBottom w:val="0"/>
      <w:divBdr>
        <w:top w:val="none" w:sz="0" w:space="0" w:color="auto"/>
        <w:left w:val="none" w:sz="0" w:space="0" w:color="auto"/>
        <w:bottom w:val="none" w:sz="0" w:space="0" w:color="auto"/>
        <w:right w:val="none" w:sz="0" w:space="0" w:color="auto"/>
      </w:divBdr>
    </w:div>
    <w:div w:id="559485036">
      <w:bodyDiv w:val="1"/>
      <w:marLeft w:val="0"/>
      <w:marRight w:val="0"/>
      <w:marTop w:val="0"/>
      <w:marBottom w:val="0"/>
      <w:divBdr>
        <w:top w:val="none" w:sz="0" w:space="0" w:color="auto"/>
        <w:left w:val="none" w:sz="0" w:space="0" w:color="auto"/>
        <w:bottom w:val="none" w:sz="0" w:space="0" w:color="auto"/>
        <w:right w:val="none" w:sz="0" w:space="0" w:color="auto"/>
      </w:divBdr>
      <w:divsChild>
        <w:div w:id="2000501294">
          <w:marLeft w:val="0"/>
          <w:marRight w:val="0"/>
          <w:marTop w:val="0"/>
          <w:marBottom w:val="0"/>
          <w:divBdr>
            <w:top w:val="none" w:sz="0" w:space="0" w:color="auto"/>
            <w:left w:val="none" w:sz="0" w:space="0" w:color="auto"/>
            <w:bottom w:val="none" w:sz="0" w:space="0" w:color="auto"/>
            <w:right w:val="none" w:sz="0" w:space="0" w:color="auto"/>
          </w:divBdr>
          <w:divsChild>
            <w:div w:id="945499522">
              <w:marLeft w:val="0"/>
              <w:marRight w:val="0"/>
              <w:marTop w:val="0"/>
              <w:marBottom w:val="0"/>
              <w:divBdr>
                <w:top w:val="none" w:sz="0" w:space="0" w:color="auto"/>
                <w:left w:val="none" w:sz="0" w:space="0" w:color="auto"/>
                <w:bottom w:val="none" w:sz="0" w:space="0" w:color="auto"/>
                <w:right w:val="none" w:sz="0" w:space="0" w:color="auto"/>
              </w:divBdr>
              <w:divsChild>
                <w:div w:id="712466176">
                  <w:marLeft w:val="0"/>
                  <w:marRight w:val="0"/>
                  <w:marTop w:val="0"/>
                  <w:marBottom w:val="0"/>
                  <w:divBdr>
                    <w:top w:val="none" w:sz="0" w:space="0" w:color="auto"/>
                    <w:left w:val="none" w:sz="0" w:space="0" w:color="auto"/>
                    <w:bottom w:val="none" w:sz="0" w:space="0" w:color="auto"/>
                    <w:right w:val="none" w:sz="0" w:space="0" w:color="auto"/>
                  </w:divBdr>
                  <w:divsChild>
                    <w:div w:id="8144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953050">
      <w:bodyDiv w:val="1"/>
      <w:marLeft w:val="0"/>
      <w:marRight w:val="0"/>
      <w:marTop w:val="0"/>
      <w:marBottom w:val="0"/>
      <w:divBdr>
        <w:top w:val="none" w:sz="0" w:space="0" w:color="auto"/>
        <w:left w:val="none" w:sz="0" w:space="0" w:color="auto"/>
        <w:bottom w:val="none" w:sz="0" w:space="0" w:color="auto"/>
        <w:right w:val="none" w:sz="0" w:space="0" w:color="auto"/>
      </w:divBdr>
    </w:div>
    <w:div w:id="568224540">
      <w:bodyDiv w:val="1"/>
      <w:marLeft w:val="0"/>
      <w:marRight w:val="0"/>
      <w:marTop w:val="0"/>
      <w:marBottom w:val="0"/>
      <w:divBdr>
        <w:top w:val="none" w:sz="0" w:space="0" w:color="auto"/>
        <w:left w:val="none" w:sz="0" w:space="0" w:color="auto"/>
        <w:bottom w:val="none" w:sz="0" w:space="0" w:color="auto"/>
        <w:right w:val="none" w:sz="0" w:space="0" w:color="auto"/>
      </w:divBdr>
      <w:divsChild>
        <w:div w:id="1084642798">
          <w:marLeft w:val="0"/>
          <w:marRight w:val="0"/>
          <w:marTop w:val="0"/>
          <w:marBottom w:val="0"/>
          <w:divBdr>
            <w:top w:val="none" w:sz="0" w:space="0" w:color="auto"/>
            <w:left w:val="none" w:sz="0" w:space="0" w:color="auto"/>
            <w:bottom w:val="none" w:sz="0" w:space="0" w:color="auto"/>
            <w:right w:val="none" w:sz="0" w:space="0" w:color="auto"/>
          </w:divBdr>
          <w:divsChild>
            <w:div w:id="873927159">
              <w:marLeft w:val="0"/>
              <w:marRight w:val="0"/>
              <w:marTop w:val="0"/>
              <w:marBottom w:val="0"/>
              <w:divBdr>
                <w:top w:val="none" w:sz="0" w:space="0" w:color="auto"/>
                <w:left w:val="none" w:sz="0" w:space="0" w:color="auto"/>
                <w:bottom w:val="none" w:sz="0" w:space="0" w:color="auto"/>
                <w:right w:val="none" w:sz="0" w:space="0" w:color="auto"/>
              </w:divBdr>
              <w:divsChild>
                <w:div w:id="8332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49297">
      <w:bodyDiv w:val="1"/>
      <w:marLeft w:val="0"/>
      <w:marRight w:val="0"/>
      <w:marTop w:val="0"/>
      <w:marBottom w:val="0"/>
      <w:divBdr>
        <w:top w:val="none" w:sz="0" w:space="0" w:color="auto"/>
        <w:left w:val="none" w:sz="0" w:space="0" w:color="auto"/>
        <w:bottom w:val="none" w:sz="0" w:space="0" w:color="auto"/>
        <w:right w:val="none" w:sz="0" w:space="0" w:color="auto"/>
      </w:divBdr>
      <w:divsChild>
        <w:div w:id="611673176">
          <w:marLeft w:val="0"/>
          <w:marRight w:val="0"/>
          <w:marTop w:val="0"/>
          <w:marBottom w:val="0"/>
          <w:divBdr>
            <w:top w:val="none" w:sz="0" w:space="0" w:color="auto"/>
            <w:left w:val="none" w:sz="0" w:space="0" w:color="auto"/>
            <w:bottom w:val="none" w:sz="0" w:space="0" w:color="auto"/>
            <w:right w:val="none" w:sz="0" w:space="0" w:color="auto"/>
          </w:divBdr>
          <w:divsChild>
            <w:div w:id="983705707">
              <w:marLeft w:val="0"/>
              <w:marRight w:val="0"/>
              <w:marTop w:val="0"/>
              <w:marBottom w:val="0"/>
              <w:divBdr>
                <w:top w:val="none" w:sz="0" w:space="0" w:color="auto"/>
                <w:left w:val="none" w:sz="0" w:space="0" w:color="auto"/>
                <w:bottom w:val="none" w:sz="0" w:space="0" w:color="auto"/>
                <w:right w:val="none" w:sz="0" w:space="0" w:color="auto"/>
              </w:divBdr>
              <w:divsChild>
                <w:div w:id="14867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6050">
      <w:bodyDiv w:val="1"/>
      <w:marLeft w:val="0"/>
      <w:marRight w:val="0"/>
      <w:marTop w:val="0"/>
      <w:marBottom w:val="0"/>
      <w:divBdr>
        <w:top w:val="none" w:sz="0" w:space="0" w:color="auto"/>
        <w:left w:val="none" w:sz="0" w:space="0" w:color="auto"/>
        <w:bottom w:val="none" w:sz="0" w:space="0" w:color="auto"/>
        <w:right w:val="none" w:sz="0" w:space="0" w:color="auto"/>
      </w:divBdr>
      <w:divsChild>
        <w:div w:id="1051540512">
          <w:marLeft w:val="0"/>
          <w:marRight w:val="0"/>
          <w:marTop w:val="0"/>
          <w:marBottom w:val="0"/>
          <w:divBdr>
            <w:top w:val="none" w:sz="0" w:space="0" w:color="auto"/>
            <w:left w:val="none" w:sz="0" w:space="0" w:color="auto"/>
            <w:bottom w:val="none" w:sz="0" w:space="0" w:color="auto"/>
            <w:right w:val="none" w:sz="0" w:space="0" w:color="auto"/>
          </w:divBdr>
          <w:divsChild>
            <w:div w:id="594362964">
              <w:marLeft w:val="0"/>
              <w:marRight w:val="0"/>
              <w:marTop w:val="0"/>
              <w:marBottom w:val="0"/>
              <w:divBdr>
                <w:top w:val="none" w:sz="0" w:space="0" w:color="auto"/>
                <w:left w:val="none" w:sz="0" w:space="0" w:color="auto"/>
                <w:bottom w:val="none" w:sz="0" w:space="0" w:color="auto"/>
                <w:right w:val="none" w:sz="0" w:space="0" w:color="auto"/>
              </w:divBdr>
              <w:divsChild>
                <w:div w:id="13449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52198">
      <w:bodyDiv w:val="1"/>
      <w:marLeft w:val="0"/>
      <w:marRight w:val="0"/>
      <w:marTop w:val="0"/>
      <w:marBottom w:val="0"/>
      <w:divBdr>
        <w:top w:val="none" w:sz="0" w:space="0" w:color="auto"/>
        <w:left w:val="none" w:sz="0" w:space="0" w:color="auto"/>
        <w:bottom w:val="none" w:sz="0" w:space="0" w:color="auto"/>
        <w:right w:val="none" w:sz="0" w:space="0" w:color="auto"/>
      </w:divBdr>
      <w:divsChild>
        <w:div w:id="1905795278">
          <w:marLeft w:val="0"/>
          <w:marRight w:val="0"/>
          <w:marTop w:val="0"/>
          <w:marBottom w:val="0"/>
          <w:divBdr>
            <w:top w:val="none" w:sz="0" w:space="0" w:color="auto"/>
            <w:left w:val="none" w:sz="0" w:space="0" w:color="auto"/>
            <w:bottom w:val="none" w:sz="0" w:space="0" w:color="auto"/>
            <w:right w:val="none" w:sz="0" w:space="0" w:color="auto"/>
          </w:divBdr>
          <w:divsChild>
            <w:div w:id="1984583609">
              <w:marLeft w:val="0"/>
              <w:marRight w:val="0"/>
              <w:marTop w:val="0"/>
              <w:marBottom w:val="0"/>
              <w:divBdr>
                <w:top w:val="none" w:sz="0" w:space="0" w:color="auto"/>
                <w:left w:val="none" w:sz="0" w:space="0" w:color="auto"/>
                <w:bottom w:val="none" w:sz="0" w:space="0" w:color="auto"/>
                <w:right w:val="none" w:sz="0" w:space="0" w:color="auto"/>
              </w:divBdr>
              <w:divsChild>
                <w:div w:id="168586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64426">
      <w:bodyDiv w:val="1"/>
      <w:marLeft w:val="0"/>
      <w:marRight w:val="0"/>
      <w:marTop w:val="0"/>
      <w:marBottom w:val="0"/>
      <w:divBdr>
        <w:top w:val="none" w:sz="0" w:space="0" w:color="auto"/>
        <w:left w:val="none" w:sz="0" w:space="0" w:color="auto"/>
        <w:bottom w:val="none" w:sz="0" w:space="0" w:color="auto"/>
        <w:right w:val="none" w:sz="0" w:space="0" w:color="auto"/>
      </w:divBdr>
      <w:divsChild>
        <w:div w:id="1333534653">
          <w:marLeft w:val="0"/>
          <w:marRight w:val="0"/>
          <w:marTop w:val="0"/>
          <w:marBottom w:val="0"/>
          <w:divBdr>
            <w:top w:val="none" w:sz="0" w:space="0" w:color="auto"/>
            <w:left w:val="none" w:sz="0" w:space="0" w:color="auto"/>
            <w:bottom w:val="none" w:sz="0" w:space="0" w:color="auto"/>
            <w:right w:val="none" w:sz="0" w:space="0" w:color="auto"/>
          </w:divBdr>
          <w:divsChild>
            <w:div w:id="432360819">
              <w:marLeft w:val="0"/>
              <w:marRight w:val="0"/>
              <w:marTop w:val="0"/>
              <w:marBottom w:val="0"/>
              <w:divBdr>
                <w:top w:val="none" w:sz="0" w:space="0" w:color="auto"/>
                <w:left w:val="none" w:sz="0" w:space="0" w:color="auto"/>
                <w:bottom w:val="none" w:sz="0" w:space="0" w:color="auto"/>
                <w:right w:val="none" w:sz="0" w:space="0" w:color="auto"/>
              </w:divBdr>
              <w:divsChild>
                <w:div w:id="2145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2477">
      <w:bodyDiv w:val="1"/>
      <w:marLeft w:val="0"/>
      <w:marRight w:val="0"/>
      <w:marTop w:val="0"/>
      <w:marBottom w:val="0"/>
      <w:divBdr>
        <w:top w:val="none" w:sz="0" w:space="0" w:color="auto"/>
        <w:left w:val="none" w:sz="0" w:space="0" w:color="auto"/>
        <w:bottom w:val="none" w:sz="0" w:space="0" w:color="auto"/>
        <w:right w:val="none" w:sz="0" w:space="0" w:color="auto"/>
      </w:divBdr>
      <w:divsChild>
        <w:div w:id="675419138">
          <w:marLeft w:val="0"/>
          <w:marRight w:val="0"/>
          <w:marTop w:val="0"/>
          <w:marBottom w:val="0"/>
          <w:divBdr>
            <w:top w:val="none" w:sz="0" w:space="0" w:color="auto"/>
            <w:left w:val="none" w:sz="0" w:space="0" w:color="auto"/>
            <w:bottom w:val="none" w:sz="0" w:space="0" w:color="auto"/>
            <w:right w:val="none" w:sz="0" w:space="0" w:color="auto"/>
          </w:divBdr>
          <w:divsChild>
            <w:div w:id="2093424893">
              <w:marLeft w:val="0"/>
              <w:marRight w:val="0"/>
              <w:marTop w:val="0"/>
              <w:marBottom w:val="0"/>
              <w:divBdr>
                <w:top w:val="none" w:sz="0" w:space="0" w:color="auto"/>
                <w:left w:val="none" w:sz="0" w:space="0" w:color="auto"/>
                <w:bottom w:val="none" w:sz="0" w:space="0" w:color="auto"/>
                <w:right w:val="none" w:sz="0" w:space="0" w:color="auto"/>
              </w:divBdr>
              <w:divsChild>
                <w:div w:id="1576889478">
                  <w:marLeft w:val="0"/>
                  <w:marRight w:val="0"/>
                  <w:marTop w:val="0"/>
                  <w:marBottom w:val="0"/>
                  <w:divBdr>
                    <w:top w:val="none" w:sz="0" w:space="0" w:color="auto"/>
                    <w:left w:val="none" w:sz="0" w:space="0" w:color="auto"/>
                    <w:bottom w:val="none" w:sz="0" w:space="0" w:color="auto"/>
                    <w:right w:val="none" w:sz="0" w:space="0" w:color="auto"/>
                  </w:divBdr>
                  <w:divsChild>
                    <w:div w:id="1546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21298">
      <w:bodyDiv w:val="1"/>
      <w:marLeft w:val="0"/>
      <w:marRight w:val="0"/>
      <w:marTop w:val="0"/>
      <w:marBottom w:val="0"/>
      <w:divBdr>
        <w:top w:val="none" w:sz="0" w:space="0" w:color="auto"/>
        <w:left w:val="none" w:sz="0" w:space="0" w:color="auto"/>
        <w:bottom w:val="none" w:sz="0" w:space="0" w:color="auto"/>
        <w:right w:val="none" w:sz="0" w:space="0" w:color="auto"/>
      </w:divBdr>
      <w:divsChild>
        <w:div w:id="2006933084">
          <w:marLeft w:val="0"/>
          <w:marRight w:val="0"/>
          <w:marTop w:val="0"/>
          <w:marBottom w:val="0"/>
          <w:divBdr>
            <w:top w:val="none" w:sz="0" w:space="0" w:color="auto"/>
            <w:left w:val="none" w:sz="0" w:space="0" w:color="auto"/>
            <w:bottom w:val="none" w:sz="0" w:space="0" w:color="auto"/>
            <w:right w:val="none" w:sz="0" w:space="0" w:color="auto"/>
          </w:divBdr>
          <w:divsChild>
            <w:div w:id="1673023690">
              <w:marLeft w:val="0"/>
              <w:marRight w:val="0"/>
              <w:marTop w:val="0"/>
              <w:marBottom w:val="0"/>
              <w:divBdr>
                <w:top w:val="none" w:sz="0" w:space="0" w:color="auto"/>
                <w:left w:val="none" w:sz="0" w:space="0" w:color="auto"/>
                <w:bottom w:val="none" w:sz="0" w:space="0" w:color="auto"/>
                <w:right w:val="none" w:sz="0" w:space="0" w:color="auto"/>
              </w:divBdr>
              <w:divsChild>
                <w:div w:id="1201210044">
                  <w:marLeft w:val="0"/>
                  <w:marRight w:val="0"/>
                  <w:marTop w:val="0"/>
                  <w:marBottom w:val="0"/>
                  <w:divBdr>
                    <w:top w:val="none" w:sz="0" w:space="0" w:color="auto"/>
                    <w:left w:val="none" w:sz="0" w:space="0" w:color="auto"/>
                    <w:bottom w:val="none" w:sz="0" w:space="0" w:color="auto"/>
                    <w:right w:val="none" w:sz="0" w:space="0" w:color="auto"/>
                  </w:divBdr>
                  <w:divsChild>
                    <w:div w:id="16357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504965">
      <w:bodyDiv w:val="1"/>
      <w:marLeft w:val="0"/>
      <w:marRight w:val="0"/>
      <w:marTop w:val="0"/>
      <w:marBottom w:val="0"/>
      <w:divBdr>
        <w:top w:val="none" w:sz="0" w:space="0" w:color="auto"/>
        <w:left w:val="none" w:sz="0" w:space="0" w:color="auto"/>
        <w:bottom w:val="none" w:sz="0" w:space="0" w:color="auto"/>
        <w:right w:val="none" w:sz="0" w:space="0" w:color="auto"/>
      </w:divBdr>
    </w:div>
    <w:div w:id="626274573">
      <w:bodyDiv w:val="1"/>
      <w:marLeft w:val="0"/>
      <w:marRight w:val="0"/>
      <w:marTop w:val="0"/>
      <w:marBottom w:val="0"/>
      <w:divBdr>
        <w:top w:val="none" w:sz="0" w:space="0" w:color="auto"/>
        <w:left w:val="none" w:sz="0" w:space="0" w:color="auto"/>
        <w:bottom w:val="none" w:sz="0" w:space="0" w:color="auto"/>
        <w:right w:val="none" w:sz="0" w:space="0" w:color="auto"/>
      </w:divBdr>
    </w:div>
    <w:div w:id="630595833">
      <w:bodyDiv w:val="1"/>
      <w:marLeft w:val="0"/>
      <w:marRight w:val="0"/>
      <w:marTop w:val="0"/>
      <w:marBottom w:val="0"/>
      <w:divBdr>
        <w:top w:val="none" w:sz="0" w:space="0" w:color="auto"/>
        <w:left w:val="none" w:sz="0" w:space="0" w:color="auto"/>
        <w:bottom w:val="none" w:sz="0" w:space="0" w:color="auto"/>
        <w:right w:val="none" w:sz="0" w:space="0" w:color="auto"/>
      </w:divBdr>
    </w:div>
    <w:div w:id="632565107">
      <w:bodyDiv w:val="1"/>
      <w:marLeft w:val="0"/>
      <w:marRight w:val="0"/>
      <w:marTop w:val="0"/>
      <w:marBottom w:val="0"/>
      <w:divBdr>
        <w:top w:val="none" w:sz="0" w:space="0" w:color="auto"/>
        <w:left w:val="none" w:sz="0" w:space="0" w:color="auto"/>
        <w:bottom w:val="none" w:sz="0" w:space="0" w:color="auto"/>
        <w:right w:val="none" w:sz="0" w:space="0" w:color="auto"/>
      </w:divBdr>
    </w:div>
    <w:div w:id="634677234">
      <w:bodyDiv w:val="1"/>
      <w:marLeft w:val="0"/>
      <w:marRight w:val="0"/>
      <w:marTop w:val="0"/>
      <w:marBottom w:val="0"/>
      <w:divBdr>
        <w:top w:val="none" w:sz="0" w:space="0" w:color="auto"/>
        <w:left w:val="none" w:sz="0" w:space="0" w:color="auto"/>
        <w:bottom w:val="none" w:sz="0" w:space="0" w:color="auto"/>
        <w:right w:val="none" w:sz="0" w:space="0" w:color="auto"/>
      </w:divBdr>
      <w:divsChild>
        <w:div w:id="589049226">
          <w:marLeft w:val="0"/>
          <w:marRight w:val="0"/>
          <w:marTop w:val="0"/>
          <w:marBottom w:val="0"/>
          <w:divBdr>
            <w:top w:val="none" w:sz="0" w:space="0" w:color="auto"/>
            <w:left w:val="none" w:sz="0" w:space="0" w:color="auto"/>
            <w:bottom w:val="none" w:sz="0" w:space="0" w:color="auto"/>
            <w:right w:val="none" w:sz="0" w:space="0" w:color="auto"/>
          </w:divBdr>
          <w:divsChild>
            <w:div w:id="487093254">
              <w:marLeft w:val="0"/>
              <w:marRight w:val="0"/>
              <w:marTop w:val="0"/>
              <w:marBottom w:val="0"/>
              <w:divBdr>
                <w:top w:val="none" w:sz="0" w:space="0" w:color="auto"/>
                <w:left w:val="none" w:sz="0" w:space="0" w:color="auto"/>
                <w:bottom w:val="none" w:sz="0" w:space="0" w:color="auto"/>
                <w:right w:val="none" w:sz="0" w:space="0" w:color="auto"/>
              </w:divBdr>
              <w:divsChild>
                <w:div w:id="1159613299">
                  <w:marLeft w:val="0"/>
                  <w:marRight w:val="0"/>
                  <w:marTop w:val="0"/>
                  <w:marBottom w:val="0"/>
                  <w:divBdr>
                    <w:top w:val="none" w:sz="0" w:space="0" w:color="auto"/>
                    <w:left w:val="none" w:sz="0" w:space="0" w:color="auto"/>
                    <w:bottom w:val="none" w:sz="0" w:space="0" w:color="auto"/>
                    <w:right w:val="none" w:sz="0" w:space="0" w:color="auto"/>
                  </w:divBdr>
                  <w:divsChild>
                    <w:div w:id="13998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453177">
      <w:bodyDiv w:val="1"/>
      <w:marLeft w:val="0"/>
      <w:marRight w:val="0"/>
      <w:marTop w:val="0"/>
      <w:marBottom w:val="0"/>
      <w:divBdr>
        <w:top w:val="none" w:sz="0" w:space="0" w:color="auto"/>
        <w:left w:val="none" w:sz="0" w:space="0" w:color="auto"/>
        <w:bottom w:val="none" w:sz="0" w:space="0" w:color="auto"/>
        <w:right w:val="none" w:sz="0" w:space="0" w:color="auto"/>
      </w:divBdr>
    </w:div>
    <w:div w:id="637223839">
      <w:bodyDiv w:val="1"/>
      <w:marLeft w:val="0"/>
      <w:marRight w:val="0"/>
      <w:marTop w:val="0"/>
      <w:marBottom w:val="0"/>
      <w:divBdr>
        <w:top w:val="none" w:sz="0" w:space="0" w:color="auto"/>
        <w:left w:val="none" w:sz="0" w:space="0" w:color="auto"/>
        <w:bottom w:val="none" w:sz="0" w:space="0" w:color="auto"/>
        <w:right w:val="none" w:sz="0" w:space="0" w:color="auto"/>
      </w:divBdr>
    </w:div>
    <w:div w:id="641471564">
      <w:bodyDiv w:val="1"/>
      <w:marLeft w:val="0"/>
      <w:marRight w:val="0"/>
      <w:marTop w:val="0"/>
      <w:marBottom w:val="0"/>
      <w:divBdr>
        <w:top w:val="none" w:sz="0" w:space="0" w:color="auto"/>
        <w:left w:val="none" w:sz="0" w:space="0" w:color="auto"/>
        <w:bottom w:val="none" w:sz="0" w:space="0" w:color="auto"/>
        <w:right w:val="none" w:sz="0" w:space="0" w:color="auto"/>
      </w:divBdr>
      <w:divsChild>
        <w:div w:id="591933237">
          <w:marLeft w:val="0"/>
          <w:marRight w:val="0"/>
          <w:marTop w:val="0"/>
          <w:marBottom w:val="0"/>
          <w:divBdr>
            <w:top w:val="none" w:sz="0" w:space="0" w:color="auto"/>
            <w:left w:val="none" w:sz="0" w:space="0" w:color="auto"/>
            <w:bottom w:val="none" w:sz="0" w:space="0" w:color="auto"/>
            <w:right w:val="none" w:sz="0" w:space="0" w:color="auto"/>
          </w:divBdr>
          <w:divsChild>
            <w:div w:id="503514790">
              <w:marLeft w:val="0"/>
              <w:marRight w:val="0"/>
              <w:marTop w:val="0"/>
              <w:marBottom w:val="0"/>
              <w:divBdr>
                <w:top w:val="none" w:sz="0" w:space="0" w:color="auto"/>
                <w:left w:val="none" w:sz="0" w:space="0" w:color="auto"/>
                <w:bottom w:val="none" w:sz="0" w:space="0" w:color="auto"/>
                <w:right w:val="none" w:sz="0" w:space="0" w:color="auto"/>
              </w:divBdr>
              <w:divsChild>
                <w:div w:id="2119829061">
                  <w:marLeft w:val="0"/>
                  <w:marRight w:val="0"/>
                  <w:marTop w:val="0"/>
                  <w:marBottom w:val="0"/>
                  <w:divBdr>
                    <w:top w:val="none" w:sz="0" w:space="0" w:color="auto"/>
                    <w:left w:val="none" w:sz="0" w:space="0" w:color="auto"/>
                    <w:bottom w:val="none" w:sz="0" w:space="0" w:color="auto"/>
                    <w:right w:val="none" w:sz="0" w:space="0" w:color="auto"/>
                  </w:divBdr>
                  <w:divsChild>
                    <w:div w:id="2246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15546">
      <w:bodyDiv w:val="1"/>
      <w:marLeft w:val="0"/>
      <w:marRight w:val="0"/>
      <w:marTop w:val="0"/>
      <w:marBottom w:val="0"/>
      <w:divBdr>
        <w:top w:val="none" w:sz="0" w:space="0" w:color="auto"/>
        <w:left w:val="none" w:sz="0" w:space="0" w:color="auto"/>
        <w:bottom w:val="none" w:sz="0" w:space="0" w:color="auto"/>
        <w:right w:val="none" w:sz="0" w:space="0" w:color="auto"/>
      </w:divBdr>
      <w:divsChild>
        <w:div w:id="1940521421">
          <w:marLeft w:val="0"/>
          <w:marRight w:val="0"/>
          <w:marTop w:val="0"/>
          <w:marBottom w:val="0"/>
          <w:divBdr>
            <w:top w:val="none" w:sz="0" w:space="0" w:color="auto"/>
            <w:left w:val="none" w:sz="0" w:space="0" w:color="auto"/>
            <w:bottom w:val="none" w:sz="0" w:space="0" w:color="auto"/>
            <w:right w:val="none" w:sz="0" w:space="0" w:color="auto"/>
          </w:divBdr>
          <w:divsChild>
            <w:div w:id="721559771">
              <w:marLeft w:val="0"/>
              <w:marRight w:val="0"/>
              <w:marTop w:val="0"/>
              <w:marBottom w:val="0"/>
              <w:divBdr>
                <w:top w:val="none" w:sz="0" w:space="0" w:color="auto"/>
                <w:left w:val="none" w:sz="0" w:space="0" w:color="auto"/>
                <w:bottom w:val="none" w:sz="0" w:space="0" w:color="auto"/>
                <w:right w:val="none" w:sz="0" w:space="0" w:color="auto"/>
              </w:divBdr>
              <w:divsChild>
                <w:div w:id="159736710">
                  <w:marLeft w:val="0"/>
                  <w:marRight w:val="0"/>
                  <w:marTop w:val="0"/>
                  <w:marBottom w:val="0"/>
                  <w:divBdr>
                    <w:top w:val="none" w:sz="0" w:space="0" w:color="auto"/>
                    <w:left w:val="none" w:sz="0" w:space="0" w:color="auto"/>
                    <w:bottom w:val="none" w:sz="0" w:space="0" w:color="auto"/>
                    <w:right w:val="none" w:sz="0" w:space="0" w:color="auto"/>
                  </w:divBdr>
                  <w:divsChild>
                    <w:div w:id="4234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21553">
      <w:bodyDiv w:val="1"/>
      <w:marLeft w:val="0"/>
      <w:marRight w:val="0"/>
      <w:marTop w:val="0"/>
      <w:marBottom w:val="0"/>
      <w:divBdr>
        <w:top w:val="none" w:sz="0" w:space="0" w:color="auto"/>
        <w:left w:val="none" w:sz="0" w:space="0" w:color="auto"/>
        <w:bottom w:val="none" w:sz="0" w:space="0" w:color="auto"/>
        <w:right w:val="none" w:sz="0" w:space="0" w:color="auto"/>
      </w:divBdr>
      <w:divsChild>
        <w:div w:id="1806895472">
          <w:marLeft w:val="0"/>
          <w:marRight w:val="0"/>
          <w:marTop w:val="0"/>
          <w:marBottom w:val="0"/>
          <w:divBdr>
            <w:top w:val="none" w:sz="0" w:space="0" w:color="auto"/>
            <w:left w:val="none" w:sz="0" w:space="0" w:color="auto"/>
            <w:bottom w:val="none" w:sz="0" w:space="0" w:color="auto"/>
            <w:right w:val="none" w:sz="0" w:space="0" w:color="auto"/>
          </w:divBdr>
          <w:divsChild>
            <w:div w:id="851842539">
              <w:marLeft w:val="0"/>
              <w:marRight w:val="0"/>
              <w:marTop w:val="0"/>
              <w:marBottom w:val="0"/>
              <w:divBdr>
                <w:top w:val="none" w:sz="0" w:space="0" w:color="auto"/>
                <w:left w:val="none" w:sz="0" w:space="0" w:color="auto"/>
                <w:bottom w:val="none" w:sz="0" w:space="0" w:color="auto"/>
                <w:right w:val="none" w:sz="0" w:space="0" w:color="auto"/>
              </w:divBdr>
              <w:divsChild>
                <w:div w:id="8071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4200">
      <w:bodyDiv w:val="1"/>
      <w:marLeft w:val="0"/>
      <w:marRight w:val="0"/>
      <w:marTop w:val="0"/>
      <w:marBottom w:val="0"/>
      <w:divBdr>
        <w:top w:val="none" w:sz="0" w:space="0" w:color="auto"/>
        <w:left w:val="none" w:sz="0" w:space="0" w:color="auto"/>
        <w:bottom w:val="none" w:sz="0" w:space="0" w:color="auto"/>
        <w:right w:val="none" w:sz="0" w:space="0" w:color="auto"/>
      </w:divBdr>
      <w:divsChild>
        <w:div w:id="1214776408">
          <w:marLeft w:val="0"/>
          <w:marRight w:val="0"/>
          <w:marTop w:val="0"/>
          <w:marBottom w:val="0"/>
          <w:divBdr>
            <w:top w:val="none" w:sz="0" w:space="0" w:color="auto"/>
            <w:left w:val="none" w:sz="0" w:space="0" w:color="auto"/>
            <w:bottom w:val="none" w:sz="0" w:space="0" w:color="auto"/>
            <w:right w:val="none" w:sz="0" w:space="0" w:color="auto"/>
          </w:divBdr>
          <w:divsChild>
            <w:div w:id="1438793524">
              <w:marLeft w:val="0"/>
              <w:marRight w:val="0"/>
              <w:marTop w:val="0"/>
              <w:marBottom w:val="0"/>
              <w:divBdr>
                <w:top w:val="none" w:sz="0" w:space="0" w:color="auto"/>
                <w:left w:val="none" w:sz="0" w:space="0" w:color="auto"/>
                <w:bottom w:val="none" w:sz="0" w:space="0" w:color="auto"/>
                <w:right w:val="none" w:sz="0" w:space="0" w:color="auto"/>
              </w:divBdr>
              <w:divsChild>
                <w:div w:id="1343705923">
                  <w:marLeft w:val="0"/>
                  <w:marRight w:val="0"/>
                  <w:marTop w:val="0"/>
                  <w:marBottom w:val="0"/>
                  <w:divBdr>
                    <w:top w:val="none" w:sz="0" w:space="0" w:color="auto"/>
                    <w:left w:val="none" w:sz="0" w:space="0" w:color="auto"/>
                    <w:bottom w:val="none" w:sz="0" w:space="0" w:color="auto"/>
                    <w:right w:val="none" w:sz="0" w:space="0" w:color="auto"/>
                  </w:divBdr>
                  <w:divsChild>
                    <w:div w:id="1086918673">
                      <w:marLeft w:val="0"/>
                      <w:marRight w:val="0"/>
                      <w:marTop w:val="0"/>
                      <w:marBottom w:val="0"/>
                      <w:divBdr>
                        <w:top w:val="none" w:sz="0" w:space="0" w:color="auto"/>
                        <w:left w:val="none" w:sz="0" w:space="0" w:color="auto"/>
                        <w:bottom w:val="none" w:sz="0" w:space="0" w:color="auto"/>
                        <w:right w:val="none" w:sz="0" w:space="0" w:color="auto"/>
                      </w:divBdr>
                    </w:div>
                    <w:div w:id="18860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0181">
      <w:bodyDiv w:val="1"/>
      <w:marLeft w:val="0"/>
      <w:marRight w:val="0"/>
      <w:marTop w:val="0"/>
      <w:marBottom w:val="0"/>
      <w:divBdr>
        <w:top w:val="none" w:sz="0" w:space="0" w:color="auto"/>
        <w:left w:val="none" w:sz="0" w:space="0" w:color="auto"/>
        <w:bottom w:val="none" w:sz="0" w:space="0" w:color="auto"/>
        <w:right w:val="none" w:sz="0" w:space="0" w:color="auto"/>
      </w:divBdr>
      <w:divsChild>
        <w:div w:id="736513457">
          <w:marLeft w:val="547"/>
          <w:marRight w:val="0"/>
          <w:marTop w:val="0"/>
          <w:marBottom w:val="0"/>
          <w:divBdr>
            <w:top w:val="none" w:sz="0" w:space="0" w:color="auto"/>
            <w:left w:val="none" w:sz="0" w:space="0" w:color="auto"/>
            <w:bottom w:val="none" w:sz="0" w:space="0" w:color="auto"/>
            <w:right w:val="none" w:sz="0" w:space="0" w:color="auto"/>
          </w:divBdr>
        </w:div>
      </w:divsChild>
    </w:div>
    <w:div w:id="659969147">
      <w:bodyDiv w:val="1"/>
      <w:marLeft w:val="0"/>
      <w:marRight w:val="0"/>
      <w:marTop w:val="0"/>
      <w:marBottom w:val="0"/>
      <w:divBdr>
        <w:top w:val="none" w:sz="0" w:space="0" w:color="auto"/>
        <w:left w:val="none" w:sz="0" w:space="0" w:color="auto"/>
        <w:bottom w:val="none" w:sz="0" w:space="0" w:color="auto"/>
        <w:right w:val="none" w:sz="0" w:space="0" w:color="auto"/>
      </w:divBdr>
      <w:divsChild>
        <w:div w:id="1834486125">
          <w:marLeft w:val="0"/>
          <w:marRight w:val="0"/>
          <w:marTop w:val="0"/>
          <w:marBottom w:val="0"/>
          <w:divBdr>
            <w:top w:val="none" w:sz="0" w:space="0" w:color="auto"/>
            <w:left w:val="none" w:sz="0" w:space="0" w:color="auto"/>
            <w:bottom w:val="none" w:sz="0" w:space="0" w:color="auto"/>
            <w:right w:val="none" w:sz="0" w:space="0" w:color="auto"/>
          </w:divBdr>
          <w:divsChild>
            <w:div w:id="392971652">
              <w:marLeft w:val="0"/>
              <w:marRight w:val="0"/>
              <w:marTop w:val="0"/>
              <w:marBottom w:val="0"/>
              <w:divBdr>
                <w:top w:val="none" w:sz="0" w:space="0" w:color="auto"/>
                <w:left w:val="none" w:sz="0" w:space="0" w:color="auto"/>
                <w:bottom w:val="none" w:sz="0" w:space="0" w:color="auto"/>
                <w:right w:val="none" w:sz="0" w:space="0" w:color="auto"/>
              </w:divBdr>
              <w:divsChild>
                <w:div w:id="7680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7727">
      <w:bodyDiv w:val="1"/>
      <w:marLeft w:val="0"/>
      <w:marRight w:val="0"/>
      <w:marTop w:val="0"/>
      <w:marBottom w:val="0"/>
      <w:divBdr>
        <w:top w:val="none" w:sz="0" w:space="0" w:color="auto"/>
        <w:left w:val="none" w:sz="0" w:space="0" w:color="auto"/>
        <w:bottom w:val="none" w:sz="0" w:space="0" w:color="auto"/>
        <w:right w:val="none" w:sz="0" w:space="0" w:color="auto"/>
      </w:divBdr>
      <w:divsChild>
        <w:div w:id="1642419067">
          <w:marLeft w:val="0"/>
          <w:marRight w:val="0"/>
          <w:marTop w:val="0"/>
          <w:marBottom w:val="0"/>
          <w:divBdr>
            <w:top w:val="none" w:sz="0" w:space="0" w:color="auto"/>
            <w:left w:val="none" w:sz="0" w:space="0" w:color="auto"/>
            <w:bottom w:val="none" w:sz="0" w:space="0" w:color="auto"/>
            <w:right w:val="none" w:sz="0" w:space="0" w:color="auto"/>
          </w:divBdr>
          <w:divsChild>
            <w:div w:id="1918634464">
              <w:marLeft w:val="0"/>
              <w:marRight w:val="0"/>
              <w:marTop w:val="0"/>
              <w:marBottom w:val="0"/>
              <w:divBdr>
                <w:top w:val="none" w:sz="0" w:space="0" w:color="auto"/>
                <w:left w:val="none" w:sz="0" w:space="0" w:color="auto"/>
                <w:bottom w:val="none" w:sz="0" w:space="0" w:color="auto"/>
                <w:right w:val="none" w:sz="0" w:space="0" w:color="auto"/>
              </w:divBdr>
              <w:divsChild>
                <w:div w:id="2004776097">
                  <w:marLeft w:val="0"/>
                  <w:marRight w:val="0"/>
                  <w:marTop w:val="0"/>
                  <w:marBottom w:val="0"/>
                  <w:divBdr>
                    <w:top w:val="none" w:sz="0" w:space="0" w:color="auto"/>
                    <w:left w:val="none" w:sz="0" w:space="0" w:color="auto"/>
                    <w:bottom w:val="none" w:sz="0" w:space="0" w:color="auto"/>
                    <w:right w:val="none" w:sz="0" w:space="0" w:color="auto"/>
                  </w:divBdr>
                  <w:divsChild>
                    <w:div w:id="20107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3111">
      <w:bodyDiv w:val="1"/>
      <w:marLeft w:val="0"/>
      <w:marRight w:val="0"/>
      <w:marTop w:val="0"/>
      <w:marBottom w:val="0"/>
      <w:divBdr>
        <w:top w:val="none" w:sz="0" w:space="0" w:color="auto"/>
        <w:left w:val="none" w:sz="0" w:space="0" w:color="auto"/>
        <w:bottom w:val="none" w:sz="0" w:space="0" w:color="auto"/>
        <w:right w:val="none" w:sz="0" w:space="0" w:color="auto"/>
      </w:divBdr>
      <w:divsChild>
        <w:div w:id="506558787">
          <w:marLeft w:val="547"/>
          <w:marRight w:val="0"/>
          <w:marTop w:val="0"/>
          <w:marBottom w:val="0"/>
          <w:divBdr>
            <w:top w:val="none" w:sz="0" w:space="0" w:color="auto"/>
            <w:left w:val="none" w:sz="0" w:space="0" w:color="auto"/>
            <w:bottom w:val="none" w:sz="0" w:space="0" w:color="auto"/>
            <w:right w:val="none" w:sz="0" w:space="0" w:color="auto"/>
          </w:divBdr>
        </w:div>
      </w:divsChild>
    </w:div>
    <w:div w:id="672755399">
      <w:bodyDiv w:val="1"/>
      <w:marLeft w:val="0"/>
      <w:marRight w:val="0"/>
      <w:marTop w:val="0"/>
      <w:marBottom w:val="0"/>
      <w:divBdr>
        <w:top w:val="none" w:sz="0" w:space="0" w:color="auto"/>
        <w:left w:val="none" w:sz="0" w:space="0" w:color="auto"/>
        <w:bottom w:val="none" w:sz="0" w:space="0" w:color="auto"/>
        <w:right w:val="none" w:sz="0" w:space="0" w:color="auto"/>
      </w:divBdr>
    </w:div>
    <w:div w:id="683437509">
      <w:bodyDiv w:val="1"/>
      <w:marLeft w:val="0"/>
      <w:marRight w:val="0"/>
      <w:marTop w:val="0"/>
      <w:marBottom w:val="0"/>
      <w:divBdr>
        <w:top w:val="none" w:sz="0" w:space="0" w:color="auto"/>
        <w:left w:val="none" w:sz="0" w:space="0" w:color="auto"/>
        <w:bottom w:val="none" w:sz="0" w:space="0" w:color="auto"/>
        <w:right w:val="none" w:sz="0" w:space="0" w:color="auto"/>
      </w:divBdr>
    </w:div>
    <w:div w:id="683556070">
      <w:bodyDiv w:val="1"/>
      <w:marLeft w:val="0"/>
      <w:marRight w:val="0"/>
      <w:marTop w:val="0"/>
      <w:marBottom w:val="0"/>
      <w:divBdr>
        <w:top w:val="none" w:sz="0" w:space="0" w:color="auto"/>
        <w:left w:val="none" w:sz="0" w:space="0" w:color="auto"/>
        <w:bottom w:val="none" w:sz="0" w:space="0" w:color="auto"/>
        <w:right w:val="none" w:sz="0" w:space="0" w:color="auto"/>
      </w:divBdr>
      <w:divsChild>
        <w:div w:id="1875580043">
          <w:marLeft w:val="0"/>
          <w:marRight w:val="0"/>
          <w:marTop w:val="0"/>
          <w:marBottom w:val="0"/>
          <w:divBdr>
            <w:top w:val="none" w:sz="0" w:space="0" w:color="auto"/>
            <w:left w:val="none" w:sz="0" w:space="0" w:color="auto"/>
            <w:bottom w:val="none" w:sz="0" w:space="0" w:color="auto"/>
            <w:right w:val="none" w:sz="0" w:space="0" w:color="auto"/>
          </w:divBdr>
          <w:divsChild>
            <w:div w:id="740058339">
              <w:marLeft w:val="0"/>
              <w:marRight w:val="0"/>
              <w:marTop w:val="0"/>
              <w:marBottom w:val="0"/>
              <w:divBdr>
                <w:top w:val="none" w:sz="0" w:space="0" w:color="auto"/>
                <w:left w:val="none" w:sz="0" w:space="0" w:color="auto"/>
                <w:bottom w:val="none" w:sz="0" w:space="0" w:color="auto"/>
                <w:right w:val="none" w:sz="0" w:space="0" w:color="auto"/>
              </w:divBdr>
              <w:divsChild>
                <w:div w:id="419907023">
                  <w:marLeft w:val="0"/>
                  <w:marRight w:val="0"/>
                  <w:marTop w:val="0"/>
                  <w:marBottom w:val="0"/>
                  <w:divBdr>
                    <w:top w:val="none" w:sz="0" w:space="0" w:color="auto"/>
                    <w:left w:val="none" w:sz="0" w:space="0" w:color="auto"/>
                    <w:bottom w:val="none" w:sz="0" w:space="0" w:color="auto"/>
                    <w:right w:val="none" w:sz="0" w:space="0" w:color="auto"/>
                  </w:divBdr>
                  <w:divsChild>
                    <w:div w:id="10791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086668">
      <w:bodyDiv w:val="1"/>
      <w:marLeft w:val="0"/>
      <w:marRight w:val="0"/>
      <w:marTop w:val="0"/>
      <w:marBottom w:val="0"/>
      <w:divBdr>
        <w:top w:val="none" w:sz="0" w:space="0" w:color="auto"/>
        <w:left w:val="none" w:sz="0" w:space="0" w:color="auto"/>
        <w:bottom w:val="none" w:sz="0" w:space="0" w:color="auto"/>
        <w:right w:val="none" w:sz="0" w:space="0" w:color="auto"/>
      </w:divBdr>
    </w:div>
    <w:div w:id="696083683">
      <w:bodyDiv w:val="1"/>
      <w:marLeft w:val="0"/>
      <w:marRight w:val="0"/>
      <w:marTop w:val="0"/>
      <w:marBottom w:val="0"/>
      <w:divBdr>
        <w:top w:val="none" w:sz="0" w:space="0" w:color="auto"/>
        <w:left w:val="none" w:sz="0" w:space="0" w:color="auto"/>
        <w:bottom w:val="none" w:sz="0" w:space="0" w:color="auto"/>
        <w:right w:val="none" w:sz="0" w:space="0" w:color="auto"/>
      </w:divBdr>
      <w:divsChild>
        <w:div w:id="2030446956">
          <w:marLeft w:val="0"/>
          <w:marRight w:val="0"/>
          <w:marTop w:val="0"/>
          <w:marBottom w:val="0"/>
          <w:divBdr>
            <w:top w:val="none" w:sz="0" w:space="0" w:color="auto"/>
            <w:left w:val="none" w:sz="0" w:space="0" w:color="auto"/>
            <w:bottom w:val="none" w:sz="0" w:space="0" w:color="auto"/>
            <w:right w:val="none" w:sz="0" w:space="0" w:color="auto"/>
          </w:divBdr>
          <w:divsChild>
            <w:div w:id="2095055849">
              <w:marLeft w:val="0"/>
              <w:marRight w:val="0"/>
              <w:marTop w:val="0"/>
              <w:marBottom w:val="0"/>
              <w:divBdr>
                <w:top w:val="none" w:sz="0" w:space="0" w:color="auto"/>
                <w:left w:val="none" w:sz="0" w:space="0" w:color="auto"/>
                <w:bottom w:val="none" w:sz="0" w:space="0" w:color="auto"/>
                <w:right w:val="none" w:sz="0" w:space="0" w:color="auto"/>
              </w:divBdr>
              <w:divsChild>
                <w:div w:id="12225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3038">
      <w:bodyDiv w:val="1"/>
      <w:marLeft w:val="0"/>
      <w:marRight w:val="0"/>
      <w:marTop w:val="0"/>
      <w:marBottom w:val="0"/>
      <w:divBdr>
        <w:top w:val="none" w:sz="0" w:space="0" w:color="auto"/>
        <w:left w:val="none" w:sz="0" w:space="0" w:color="auto"/>
        <w:bottom w:val="none" w:sz="0" w:space="0" w:color="auto"/>
        <w:right w:val="none" w:sz="0" w:space="0" w:color="auto"/>
      </w:divBdr>
      <w:divsChild>
        <w:div w:id="590238276">
          <w:marLeft w:val="0"/>
          <w:marRight w:val="0"/>
          <w:marTop w:val="0"/>
          <w:marBottom w:val="0"/>
          <w:divBdr>
            <w:top w:val="none" w:sz="0" w:space="0" w:color="auto"/>
            <w:left w:val="none" w:sz="0" w:space="0" w:color="auto"/>
            <w:bottom w:val="none" w:sz="0" w:space="0" w:color="auto"/>
            <w:right w:val="none" w:sz="0" w:space="0" w:color="auto"/>
          </w:divBdr>
          <w:divsChild>
            <w:div w:id="344329284">
              <w:marLeft w:val="0"/>
              <w:marRight w:val="0"/>
              <w:marTop w:val="0"/>
              <w:marBottom w:val="0"/>
              <w:divBdr>
                <w:top w:val="none" w:sz="0" w:space="0" w:color="auto"/>
                <w:left w:val="none" w:sz="0" w:space="0" w:color="auto"/>
                <w:bottom w:val="none" w:sz="0" w:space="0" w:color="auto"/>
                <w:right w:val="none" w:sz="0" w:space="0" w:color="auto"/>
              </w:divBdr>
              <w:divsChild>
                <w:div w:id="17157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93475">
      <w:bodyDiv w:val="1"/>
      <w:marLeft w:val="0"/>
      <w:marRight w:val="0"/>
      <w:marTop w:val="0"/>
      <w:marBottom w:val="0"/>
      <w:divBdr>
        <w:top w:val="none" w:sz="0" w:space="0" w:color="auto"/>
        <w:left w:val="none" w:sz="0" w:space="0" w:color="auto"/>
        <w:bottom w:val="none" w:sz="0" w:space="0" w:color="auto"/>
        <w:right w:val="none" w:sz="0" w:space="0" w:color="auto"/>
      </w:divBdr>
    </w:div>
    <w:div w:id="714964943">
      <w:bodyDiv w:val="1"/>
      <w:marLeft w:val="0"/>
      <w:marRight w:val="0"/>
      <w:marTop w:val="0"/>
      <w:marBottom w:val="0"/>
      <w:divBdr>
        <w:top w:val="none" w:sz="0" w:space="0" w:color="auto"/>
        <w:left w:val="none" w:sz="0" w:space="0" w:color="auto"/>
        <w:bottom w:val="none" w:sz="0" w:space="0" w:color="auto"/>
        <w:right w:val="none" w:sz="0" w:space="0" w:color="auto"/>
      </w:divBdr>
      <w:divsChild>
        <w:div w:id="151145545">
          <w:marLeft w:val="0"/>
          <w:marRight w:val="0"/>
          <w:marTop w:val="0"/>
          <w:marBottom w:val="0"/>
          <w:divBdr>
            <w:top w:val="none" w:sz="0" w:space="0" w:color="auto"/>
            <w:left w:val="none" w:sz="0" w:space="0" w:color="auto"/>
            <w:bottom w:val="none" w:sz="0" w:space="0" w:color="auto"/>
            <w:right w:val="none" w:sz="0" w:space="0" w:color="auto"/>
          </w:divBdr>
          <w:divsChild>
            <w:div w:id="2041316382">
              <w:marLeft w:val="0"/>
              <w:marRight w:val="0"/>
              <w:marTop w:val="0"/>
              <w:marBottom w:val="0"/>
              <w:divBdr>
                <w:top w:val="none" w:sz="0" w:space="0" w:color="auto"/>
                <w:left w:val="none" w:sz="0" w:space="0" w:color="auto"/>
                <w:bottom w:val="none" w:sz="0" w:space="0" w:color="auto"/>
                <w:right w:val="none" w:sz="0" w:space="0" w:color="auto"/>
              </w:divBdr>
              <w:divsChild>
                <w:div w:id="260722043">
                  <w:marLeft w:val="0"/>
                  <w:marRight w:val="0"/>
                  <w:marTop w:val="0"/>
                  <w:marBottom w:val="0"/>
                  <w:divBdr>
                    <w:top w:val="none" w:sz="0" w:space="0" w:color="auto"/>
                    <w:left w:val="none" w:sz="0" w:space="0" w:color="auto"/>
                    <w:bottom w:val="none" w:sz="0" w:space="0" w:color="auto"/>
                    <w:right w:val="none" w:sz="0" w:space="0" w:color="auto"/>
                  </w:divBdr>
                  <w:divsChild>
                    <w:div w:id="286276926">
                      <w:marLeft w:val="0"/>
                      <w:marRight w:val="0"/>
                      <w:marTop w:val="0"/>
                      <w:marBottom w:val="0"/>
                      <w:divBdr>
                        <w:top w:val="none" w:sz="0" w:space="0" w:color="auto"/>
                        <w:left w:val="none" w:sz="0" w:space="0" w:color="auto"/>
                        <w:bottom w:val="none" w:sz="0" w:space="0" w:color="auto"/>
                        <w:right w:val="none" w:sz="0" w:space="0" w:color="auto"/>
                      </w:divBdr>
                    </w:div>
                    <w:div w:id="1826244413">
                      <w:marLeft w:val="0"/>
                      <w:marRight w:val="0"/>
                      <w:marTop w:val="0"/>
                      <w:marBottom w:val="0"/>
                      <w:divBdr>
                        <w:top w:val="none" w:sz="0" w:space="0" w:color="auto"/>
                        <w:left w:val="none" w:sz="0" w:space="0" w:color="auto"/>
                        <w:bottom w:val="none" w:sz="0" w:space="0" w:color="auto"/>
                        <w:right w:val="none" w:sz="0" w:space="0" w:color="auto"/>
                      </w:divBdr>
                    </w:div>
                  </w:divsChild>
                </w:div>
                <w:div w:id="567346042">
                  <w:marLeft w:val="0"/>
                  <w:marRight w:val="0"/>
                  <w:marTop w:val="0"/>
                  <w:marBottom w:val="0"/>
                  <w:divBdr>
                    <w:top w:val="none" w:sz="0" w:space="0" w:color="auto"/>
                    <w:left w:val="none" w:sz="0" w:space="0" w:color="auto"/>
                    <w:bottom w:val="none" w:sz="0" w:space="0" w:color="auto"/>
                    <w:right w:val="none" w:sz="0" w:space="0" w:color="auto"/>
                  </w:divBdr>
                  <w:divsChild>
                    <w:div w:id="1797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4150">
      <w:bodyDiv w:val="1"/>
      <w:marLeft w:val="0"/>
      <w:marRight w:val="0"/>
      <w:marTop w:val="0"/>
      <w:marBottom w:val="0"/>
      <w:divBdr>
        <w:top w:val="none" w:sz="0" w:space="0" w:color="auto"/>
        <w:left w:val="none" w:sz="0" w:space="0" w:color="auto"/>
        <w:bottom w:val="none" w:sz="0" w:space="0" w:color="auto"/>
        <w:right w:val="none" w:sz="0" w:space="0" w:color="auto"/>
      </w:divBdr>
      <w:divsChild>
        <w:div w:id="1254970361">
          <w:marLeft w:val="0"/>
          <w:marRight w:val="0"/>
          <w:marTop w:val="0"/>
          <w:marBottom w:val="0"/>
          <w:divBdr>
            <w:top w:val="none" w:sz="0" w:space="0" w:color="auto"/>
            <w:left w:val="none" w:sz="0" w:space="0" w:color="auto"/>
            <w:bottom w:val="none" w:sz="0" w:space="0" w:color="auto"/>
            <w:right w:val="none" w:sz="0" w:space="0" w:color="auto"/>
          </w:divBdr>
          <w:divsChild>
            <w:div w:id="1449396006">
              <w:marLeft w:val="0"/>
              <w:marRight w:val="0"/>
              <w:marTop w:val="0"/>
              <w:marBottom w:val="0"/>
              <w:divBdr>
                <w:top w:val="none" w:sz="0" w:space="0" w:color="auto"/>
                <w:left w:val="none" w:sz="0" w:space="0" w:color="auto"/>
                <w:bottom w:val="none" w:sz="0" w:space="0" w:color="auto"/>
                <w:right w:val="none" w:sz="0" w:space="0" w:color="auto"/>
              </w:divBdr>
              <w:divsChild>
                <w:div w:id="767431363">
                  <w:marLeft w:val="0"/>
                  <w:marRight w:val="0"/>
                  <w:marTop w:val="0"/>
                  <w:marBottom w:val="0"/>
                  <w:divBdr>
                    <w:top w:val="none" w:sz="0" w:space="0" w:color="auto"/>
                    <w:left w:val="none" w:sz="0" w:space="0" w:color="auto"/>
                    <w:bottom w:val="none" w:sz="0" w:space="0" w:color="auto"/>
                    <w:right w:val="none" w:sz="0" w:space="0" w:color="auto"/>
                  </w:divBdr>
                  <w:divsChild>
                    <w:div w:id="42869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2532">
      <w:bodyDiv w:val="1"/>
      <w:marLeft w:val="0"/>
      <w:marRight w:val="0"/>
      <w:marTop w:val="0"/>
      <w:marBottom w:val="0"/>
      <w:divBdr>
        <w:top w:val="none" w:sz="0" w:space="0" w:color="auto"/>
        <w:left w:val="none" w:sz="0" w:space="0" w:color="auto"/>
        <w:bottom w:val="none" w:sz="0" w:space="0" w:color="auto"/>
        <w:right w:val="none" w:sz="0" w:space="0" w:color="auto"/>
      </w:divBdr>
      <w:divsChild>
        <w:div w:id="1610626103">
          <w:marLeft w:val="0"/>
          <w:marRight w:val="0"/>
          <w:marTop w:val="0"/>
          <w:marBottom w:val="0"/>
          <w:divBdr>
            <w:top w:val="none" w:sz="0" w:space="0" w:color="auto"/>
            <w:left w:val="none" w:sz="0" w:space="0" w:color="auto"/>
            <w:bottom w:val="none" w:sz="0" w:space="0" w:color="auto"/>
            <w:right w:val="none" w:sz="0" w:space="0" w:color="auto"/>
          </w:divBdr>
          <w:divsChild>
            <w:div w:id="96949640">
              <w:marLeft w:val="0"/>
              <w:marRight w:val="0"/>
              <w:marTop w:val="0"/>
              <w:marBottom w:val="0"/>
              <w:divBdr>
                <w:top w:val="none" w:sz="0" w:space="0" w:color="auto"/>
                <w:left w:val="none" w:sz="0" w:space="0" w:color="auto"/>
                <w:bottom w:val="none" w:sz="0" w:space="0" w:color="auto"/>
                <w:right w:val="none" w:sz="0" w:space="0" w:color="auto"/>
              </w:divBdr>
              <w:divsChild>
                <w:div w:id="1536848497">
                  <w:marLeft w:val="0"/>
                  <w:marRight w:val="0"/>
                  <w:marTop w:val="0"/>
                  <w:marBottom w:val="0"/>
                  <w:divBdr>
                    <w:top w:val="none" w:sz="0" w:space="0" w:color="auto"/>
                    <w:left w:val="none" w:sz="0" w:space="0" w:color="auto"/>
                    <w:bottom w:val="none" w:sz="0" w:space="0" w:color="auto"/>
                    <w:right w:val="none" w:sz="0" w:space="0" w:color="auto"/>
                  </w:divBdr>
                  <w:divsChild>
                    <w:div w:id="43204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36535">
      <w:bodyDiv w:val="1"/>
      <w:marLeft w:val="0"/>
      <w:marRight w:val="0"/>
      <w:marTop w:val="0"/>
      <w:marBottom w:val="0"/>
      <w:divBdr>
        <w:top w:val="none" w:sz="0" w:space="0" w:color="auto"/>
        <w:left w:val="none" w:sz="0" w:space="0" w:color="auto"/>
        <w:bottom w:val="none" w:sz="0" w:space="0" w:color="auto"/>
        <w:right w:val="none" w:sz="0" w:space="0" w:color="auto"/>
      </w:divBdr>
    </w:div>
    <w:div w:id="731275693">
      <w:bodyDiv w:val="1"/>
      <w:marLeft w:val="0"/>
      <w:marRight w:val="0"/>
      <w:marTop w:val="0"/>
      <w:marBottom w:val="0"/>
      <w:divBdr>
        <w:top w:val="none" w:sz="0" w:space="0" w:color="auto"/>
        <w:left w:val="none" w:sz="0" w:space="0" w:color="auto"/>
        <w:bottom w:val="none" w:sz="0" w:space="0" w:color="auto"/>
        <w:right w:val="none" w:sz="0" w:space="0" w:color="auto"/>
      </w:divBdr>
      <w:divsChild>
        <w:div w:id="671493424">
          <w:marLeft w:val="0"/>
          <w:marRight w:val="0"/>
          <w:marTop w:val="0"/>
          <w:marBottom w:val="0"/>
          <w:divBdr>
            <w:top w:val="none" w:sz="0" w:space="0" w:color="auto"/>
            <w:left w:val="none" w:sz="0" w:space="0" w:color="auto"/>
            <w:bottom w:val="none" w:sz="0" w:space="0" w:color="auto"/>
            <w:right w:val="none" w:sz="0" w:space="0" w:color="auto"/>
          </w:divBdr>
          <w:divsChild>
            <w:div w:id="1168905061">
              <w:marLeft w:val="0"/>
              <w:marRight w:val="0"/>
              <w:marTop w:val="0"/>
              <w:marBottom w:val="0"/>
              <w:divBdr>
                <w:top w:val="none" w:sz="0" w:space="0" w:color="auto"/>
                <w:left w:val="none" w:sz="0" w:space="0" w:color="auto"/>
                <w:bottom w:val="none" w:sz="0" w:space="0" w:color="auto"/>
                <w:right w:val="none" w:sz="0" w:space="0" w:color="auto"/>
              </w:divBdr>
              <w:divsChild>
                <w:div w:id="1635254524">
                  <w:marLeft w:val="0"/>
                  <w:marRight w:val="0"/>
                  <w:marTop w:val="0"/>
                  <w:marBottom w:val="0"/>
                  <w:divBdr>
                    <w:top w:val="none" w:sz="0" w:space="0" w:color="auto"/>
                    <w:left w:val="none" w:sz="0" w:space="0" w:color="auto"/>
                    <w:bottom w:val="none" w:sz="0" w:space="0" w:color="auto"/>
                    <w:right w:val="none" w:sz="0" w:space="0" w:color="auto"/>
                  </w:divBdr>
                  <w:divsChild>
                    <w:div w:id="15312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00960">
      <w:bodyDiv w:val="1"/>
      <w:marLeft w:val="0"/>
      <w:marRight w:val="0"/>
      <w:marTop w:val="0"/>
      <w:marBottom w:val="0"/>
      <w:divBdr>
        <w:top w:val="none" w:sz="0" w:space="0" w:color="auto"/>
        <w:left w:val="none" w:sz="0" w:space="0" w:color="auto"/>
        <w:bottom w:val="none" w:sz="0" w:space="0" w:color="auto"/>
        <w:right w:val="none" w:sz="0" w:space="0" w:color="auto"/>
      </w:divBdr>
      <w:divsChild>
        <w:div w:id="989559040">
          <w:marLeft w:val="0"/>
          <w:marRight w:val="0"/>
          <w:marTop w:val="0"/>
          <w:marBottom w:val="0"/>
          <w:divBdr>
            <w:top w:val="none" w:sz="0" w:space="0" w:color="auto"/>
            <w:left w:val="none" w:sz="0" w:space="0" w:color="auto"/>
            <w:bottom w:val="none" w:sz="0" w:space="0" w:color="auto"/>
            <w:right w:val="none" w:sz="0" w:space="0" w:color="auto"/>
          </w:divBdr>
          <w:divsChild>
            <w:div w:id="159394297">
              <w:marLeft w:val="0"/>
              <w:marRight w:val="0"/>
              <w:marTop w:val="0"/>
              <w:marBottom w:val="0"/>
              <w:divBdr>
                <w:top w:val="none" w:sz="0" w:space="0" w:color="auto"/>
                <w:left w:val="none" w:sz="0" w:space="0" w:color="auto"/>
                <w:bottom w:val="none" w:sz="0" w:space="0" w:color="auto"/>
                <w:right w:val="none" w:sz="0" w:space="0" w:color="auto"/>
              </w:divBdr>
              <w:divsChild>
                <w:div w:id="1910575405">
                  <w:marLeft w:val="0"/>
                  <w:marRight w:val="0"/>
                  <w:marTop w:val="0"/>
                  <w:marBottom w:val="0"/>
                  <w:divBdr>
                    <w:top w:val="none" w:sz="0" w:space="0" w:color="auto"/>
                    <w:left w:val="none" w:sz="0" w:space="0" w:color="auto"/>
                    <w:bottom w:val="none" w:sz="0" w:space="0" w:color="auto"/>
                    <w:right w:val="none" w:sz="0" w:space="0" w:color="auto"/>
                  </w:divBdr>
                  <w:divsChild>
                    <w:div w:id="14898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48836">
      <w:bodyDiv w:val="1"/>
      <w:marLeft w:val="0"/>
      <w:marRight w:val="0"/>
      <w:marTop w:val="0"/>
      <w:marBottom w:val="0"/>
      <w:divBdr>
        <w:top w:val="none" w:sz="0" w:space="0" w:color="auto"/>
        <w:left w:val="none" w:sz="0" w:space="0" w:color="auto"/>
        <w:bottom w:val="none" w:sz="0" w:space="0" w:color="auto"/>
        <w:right w:val="none" w:sz="0" w:space="0" w:color="auto"/>
      </w:divBdr>
      <w:divsChild>
        <w:div w:id="1972319180">
          <w:marLeft w:val="0"/>
          <w:marRight w:val="0"/>
          <w:marTop w:val="0"/>
          <w:marBottom w:val="0"/>
          <w:divBdr>
            <w:top w:val="none" w:sz="0" w:space="0" w:color="auto"/>
            <w:left w:val="none" w:sz="0" w:space="0" w:color="auto"/>
            <w:bottom w:val="none" w:sz="0" w:space="0" w:color="auto"/>
            <w:right w:val="none" w:sz="0" w:space="0" w:color="auto"/>
          </w:divBdr>
          <w:divsChild>
            <w:div w:id="1882279321">
              <w:marLeft w:val="0"/>
              <w:marRight w:val="0"/>
              <w:marTop w:val="0"/>
              <w:marBottom w:val="0"/>
              <w:divBdr>
                <w:top w:val="none" w:sz="0" w:space="0" w:color="auto"/>
                <w:left w:val="none" w:sz="0" w:space="0" w:color="auto"/>
                <w:bottom w:val="none" w:sz="0" w:space="0" w:color="auto"/>
                <w:right w:val="none" w:sz="0" w:space="0" w:color="auto"/>
              </w:divBdr>
              <w:divsChild>
                <w:div w:id="16445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331887">
      <w:bodyDiv w:val="1"/>
      <w:marLeft w:val="0"/>
      <w:marRight w:val="0"/>
      <w:marTop w:val="0"/>
      <w:marBottom w:val="0"/>
      <w:divBdr>
        <w:top w:val="none" w:sz="0" w:space="0" w:color="auto"/>
        <w:left w:val="none" w:sz="0" w:space="0" w:color="auto"/>
        <w:bottom w:val="none" w:sz="0" w:space="0" w:color="auto"/>
        <w:right w:val="none" w:sz="0" w:space="0" w:color="auto"/>
      </w:divBdr>
    </w:div>
    <w:div w:id="744912821">
      <w:bodyDiv w:val="1"/>
      <w:marLeft w:val="0"/>
      <w:marRight w:val="0"/>
      <w:marTop w:val="0"/>
      <w:marBottom w:val="0"/>
      <w:divBdr>
        <w:top w:val="none" w:sz="0" w:space="0" w:color="auto"/>
        <w:left w:val="none" w:sz="0" w:space="0" w:color="auto"/>
        <w:bottom w:val="none" w:sz="0" w:space="0" w:color="auto"/>
        <w:right w:val="none" w:sz="0" w:space="0" w:color="auto"/>
      </w:divBdr>
    </w:div>
    <w:div w:id="763913836">
      <w:bodyDiv w:val="1"/>
      <w:marLeft w:val="0"/>
      <w:marRight w:val="0"/>
      <w:marTop w:val="0"/>
      <w:marBottom w:val="0"/>
      <w:divBdr>
        <w:top w:val="none" w:sz="0" w:space="0" w:color="auto"/>
        <w:left w:val="none" w:sz="0" w:space="0" w:color="auto"/>
        <w:bottom w:val="none" w:sz="0" w:space="0" w:color="auto"/>
        <w:right w:val="none" w:sz="0" w:space="0" w:color="auto"/>
      </w:divBdr>
      <w:divsChild>
        <w:div w:id="1389692646">
          <w:marLeft w:val="0"/>
          <w:marRight w:val="0"/>
          <w:marTop w:val="0"/>
          <w:marBottom w:val="0"/>
          <w:divBdr>
            <w:top w:val="none" w:sz="0" w:space="0" w:color="auto"/>
            <w:left w:val="none" w:sz="0" w:space="0" w:color="auto"/>
            <w:bottom w:val="none" w:sz="0" w:space="0" w:color="auto"/>
            <w:right w:val="none" w:sz="0" w:space="0" w:color="auto"/>
          </w:divBdr>
          <w:divsChild>
            <w:div w:id="444156401">
              <w:marLeft w:val="0"/>
              <w:marRight w:val="0"/>
              <w:marTop w:val="0"/>
              <w:marBottom w:val="0"/>
              <w:divBdr>
                <w:top w:val="none" w:sz="0" w:space="0" w:color="auto"/>
                <w:left w:val="none" w:sz="0" w:space="0" w:color="auto"/>
                <w:bottom w:val="none" w:sz="0" w:space="0" w:color="auto"/>
                <w:right w:val="none" w:sz="0" w:space="0" w:color="auto"/>
              </w:divBdr>
              <w:divsChild>
                <w:div w:id="17417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0322">
      <w:bodyDiv w:val="1"/>
      <w:marLeft w:val="0"/>
      <w:marRight w:val="0"/>
      <w:marTop w:val="0"/>
      <w:marBottom w:val="0"/>
      <w:divBdr>
        <w:top w:val="none" w:sz="0" w:space="0" w:color="auto"/>
        <w:left w:val="none" w:sz="0" w:space="0" w:color="auto"/>
        <w:bottom w:val="none" w:sz="0" w:space="0" w:color="auto"/>
        <w:right w:val="none" w:sz="0" w:space="0" w:color="auto"/>
      </w:divBdr>
    </w:div>
    <w:div w:id="775097623">
      <w:bodyDiv w:val="1"/>
      <w:marLeft w:val="0"/>
      <w:marRight w:val="0"/>
      <w:marTop w:val="0"/>
      <w:marBottom w:val="0"/>
      <w:divBdr>
        <w:top w:val="none" w:sz="0" w:space="0" w:color="auto"/>
        <w:left w:val="none" w:sz="0" w:space="0" w:color="auto"/>
        <w:bottom w:val="none" w:sz="0" w:space="0" w:color="auto"/>
        <w:right w:val="none" w:sz="0" w:space="0" w:color="auto"/>
      </w:divBdr>
      <w:divsChild>
        <w:div w:id="194316944">
          <w:marLeft w:val="0"/>
          <w:marRight w:val="0"/>
          <w:marTop w:val="0"/>
          <w:marBottom w:val="0"/>
          <w:divBdr>
            <w:top w:val="none" w:sz="0" w:space="0" w:color="auto"/>
            <w:left w:val="none" w:sz="0" w:space="0" w:color="auto"/>
            <w:bottom w:val="none" w:sz="0" w:space="0" w:color="auto"/>
            <w:right w:val="none" w:sz="0" w:space="0" w:color="auto"/>
          </w:divBdr>
          <w:divsChild>
            <w:div w:id="1793554364">
              <w:marLeft w:val="0"/>
              <w:marRight w:val="0"/>
              <w:marTop w:val="0"/>
              <w:marBottom w:val="0"/>
              <w:divBdr>
                <w:top w:val="none" w:sz="0" w:space="0" w:color="auto"/>
                <w:left w:val="none" w:sz="0" w:space="0" w:color="auto"/>
                <w:bottom w:val="none" w:sz="0" w:space="0" w:color="auto"/>
                <w:right w:val="none" w:sz="0" w:space="0" w:color="auto"/>
              </w:divBdr>
              <w:divsChild>
                <w:div w:id="11463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07118">
      <w:bodyDiv w:val="1"/>
      <w:marLeft w:val="0"/>
      <w:marRight w:val="0"/>
      <w:marTop w:val="0"/>
      <w:marBottom w:val="0"/>
      <w:divBdr>
        <w:top w:val="none" w:sz="0" w:space="0" w:color="auto"/>
        <w:left w:val="none" w:sz="0" w:space="0" w:color="auto"/>
        <w:bottom w:val="none" w:sz="0" w:space="0" w:color="auto"/>
        <w:right w:val="none" w:sz="0" w:space="0" w:color="auto"/>
      </w:divBdr>
      <w:divsChild>
        <w:div w:id="1080635583">
          <w:marLeft w:val="0"/>
          <w:marRight w:val="0"/>
          <w:marTop w:val="0"/>
          <w:marBottom w:val="0"/>
          <w:divBdr>
            <w:top w:val="none" w:sz="0" w:space="0" w:color="auto"/>
            <w:left w:val="none" w:sz="0" w:space="0" w:color="auto"/>
            <w:bottom w:val="none" w:sz="0" w:space="0" w:color="auto"/>
            <w:right w:val="none" w:sz="0" w:space="0" w:color="auto"/>
          </w:divBdr>
          <w:divsChild>
            <w:div w:id="830872823">
              <w:marLeft w:val="0"/>
              <w:marRight w:val="0"/>
              <w:marTop w:val="0"/>
              <w:marBottom w:val="0"/>
              <w:divBdr>
                <w:top w:val="none" w:sz="0" w:space="0" w:color="auto"/>
                <w:left w:val="none" w:sz="0" w:space="0" w:color="auto"/>
                <w:bottom w:val="none" w:sz="0" w:space="0" w:color="auto"/>
                <w:right w:val="none" w:sz="0" w:space="0" w:color="auto"/>
              </w:divBdr>
              <w:divsChild>
                <w:div w:id="3444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18806">
      <w:bodyDiv w:val="1"/>
      <w:marLeft w:val="0"/>
      <w:marRight w:val="0"/>
      <w:marTop w:val="0"/>
      <w:marBottom w:val="0"/>
      <w:divBdr>
        <w:top w:val="none" w:sz="0" w:space="0" w:color="auto"/>
        <w:left w:val="none" w:sz="0" w:space="0" w:color="auto"/>
        <w:bottom w:val="none" w:sz="0" w:space="0" w:color="auto"/>
        <w:right w:val="none" w:sz="0" w:space="0" w:color="auto"/>
      </w:divBdr>
      <w:divsChild>
        <w:div w:id="47654475">
          <w:marLeft w:val="547"/>
          <w:marRight w:val="0"/>
          <w:marTop w:val="0"/>
          <w:marBottom w:val="0"/>
          <w:divBdr>
            <w:top w:val="none" w:sz="0" w:space="0" w:color="auto"/>
            <w:left w:val="none" w:sz="0" w:space="0" w:color="auto"/>
            <w:bottom w:val="none" w:sz="0" w:space="0" w:color="auto"/>
            <w:right w:val="none" w:sz="0" w:space="0" w:color="auto"/>
          </w:divBdr>
        </w:div>
      </w:divsChild>
    </w:div>
    <w:div w:id="799692873">
      <w:bodyDiv w:val="1"/>
      <w:marLeft w:val="0"/>
      <w:marRight w:val="0"/>
      <w:marTop w:val="0"/>
      <w:marBottom w:val="0"/>
      <w:divBdr>
        <w:top w:val="none" w:sz="0" w:space="0" w:color="auto"/>
        <w:left w:val="none" w:sz="0" w:space="0" w:color="auto"/>
        <w:bottom w:val="none" w:sz="0" w:space="0" w:color="auto"/>
        <w:right w:val="none" w:sz="0" w:space="0" w:color="auto"/>
      </w:divBdr>
    </w:div>
    <w:div w:id="805204068">
      <w:bodyDiv w:val="1"/>
      <w:marLeft w:val="0"/>
      <w:marRight w:val="0"/>
      <w:marTop w:val="0"/>
      <w:marBottom w:val="0"/>
      <w:divBdr>
        <w:top w:val="none" w:sz="0" w:space="0" w:color="auto"/>
        <w:left w:val="none" w:sz="0" w:space="0" w:color="auto"/>
        <w:bottom w:val="none" w:sz="0" w:space="0" w:color="auto"/>
        <w:right w:val="none" w:sz="0" w:space="0" w:color="auto"/>
      </w:divBdr>
      <w:divsChild>
        <w:div w:id="163134569">
          <w:marLeft w:val="0"/>
          <w:marRight w:val="0"/>
          <w:marTop w:val="0"/>
          <w:marBottom w:val="0"/>
          <w:divBdr>
            <w:top w:val="none" w:sz="0" w:space="0" w:color="auto"/>
            <w:left w:val="none" w:sz="0" w:space="0" w:color="auto"/>
            <w:bottom w:val="none" w:sz="0" w:space="0" w:color="auto"/>
            <w:right w:val="none" w:sz="0" w:space="0" w:color="auto"/>
          </w:divBdr>
          <w:divsChild>
            <w:div w:id="400837337">
              <w:marLeft w:val="0"/>
              <w:marRight w:val="0"/>
              <w:marTop w:val="0"/>
              <w:marBottom w:val="0"/>
              <w:divBdr>
                <w:top w:val="none" w:sz="0" w:space="0" w:color="auto"/>
                <w:left w:val="none" w:sz="0" w:space="0" w:color="auto"/>
                <w:bottom w:val="none" w:sz="0" w:space="0" w:color="auto"/>
                <w:right w:val="none" w:sz="0" w:space="0" w:color="auto"/>
              </w:divBdr>
              <w:divsChild>
                <w:div w:id="11389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209">
      <w:bodyDiv w:val="1"/>
      <w:marLeft w:val="0"/>
      <w:marRight w:val="0"/>
      <w:marTop w:val="0"/>
      <w:marBottom w:val="0"/>
      <w:divBdr>
        <w:top w:val="none" w:sz="0" w:space="0" w:color="auto"/>
        <w:left w:val="none" w:sz="0" w:space="0" w:color="auto"/>
        <w:bottom w:val="none" w:sz="0" w:space="0" w:color="auto"/>
        <w:right w:val="none" w:sz="0" w:space="0" w:color="auto"/>
      </w:divBdr>
      <w:divsChild>
        <w:div w:id="301273394">
          <w:marLeft w:val="0"/>
          <w:marRight w:val="0"/>
          <w:marTop w:val="0"/>
          <w:marBottom w:val="0"/>
          <w:divBdr>
            <w:top w:val="none" w:sz="0" w:space="0" w:color="auto"/>
            <w:left w:val="none" w:sz="0" w:space="0" w:color="auto"/>
            <w:bottom w:val="none" w:sz="0" w:space="0" w:color="auto"/>
            <w:right w:val="none" w:sz="0" w:space="0" w:color="auto"/>
          </w:divBdr>
          <w:divsChild>
            <w:div w:id="1939216740">
              <w:marLeft w:val="0"/>
              <w:marRight w:val="0"/>
              <w:marTop w:val="0"/>
              <w:marBottom w:val="0"/>
              <w:divBdr>
                <w:top w:val="none" w:sz="0" w:space="0" w:color="auto"/>
                <w:left w:val="none" w:sz="0" w:space="0" w:color="auto"/>
                <w:bottom w:val="none" w:sz="0" w:space="0" w:color="auto"/>
                <w:right w:val="none" w:sz="0" w:space="0" w:color="auto"/>
              </w:divBdr>
              <w:divsChild>
                <w:div w:id="3611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142260">
      <w:bodyDiv w:val="1"/>
      <w:marLeft w:val="0"/>
      <w:marRight w:val="0"/>
      <w:marTop w:val="0"/>
      <w:marBottom w:val="0"/>
      <w:divBdr>
        <w:top w:val="none" w:sz="0" w:space="0" w:color="auto"/>
        <w:left w:val="none" w:sz="0" w:space="0" w:color="auto"/>
        <w:bottom w:val="none" w:sz="0" w:space="0" w:color="auto"/>
        <w:right w:val="none" w:sz="0" w:space="0" w:color="auto"/>
      </w:divBdr>
    </w:div>
    <w:div w:id="813833931">
      <w:bodyDiv w:val="1"/>
      <w:marLeft w:val="0"/>
      <w:marRight w:val="0"/>
      <w:marTop w:val="0"/>
      <w:marBottom w:val="0"/>
      <w:divBdr>
        <w:top w:val="none" w:sz="0" w:space="0" w:color="auto"/>
        <w:left w:val="none" w:sz="0" w:space="0" w:color="auto"/>
        <w:bottom w:val="none" w:sz="0" w:space="0" w:color="auto"/>
        <w:right w:val="none" w:sz="0" w:space="0" w:color="auto"/>
      </w:divBdr>
      <w:divsChild>
        <w:div w:id="1660189993">
          <w:marLeft w:val="0"/>
          <w:marRight w:val="0"/>
          <w:marTop w:val="0"/>
          <w:marBottom w:val="0"/>
          <w:divBdr>
            <w:top w:val="none" w:sz="0" w:space="0" w:color="auto"/>
            <w:left w:val="none" w:sz="0" w:space="0" w:color="auto"/>
            <w:bottom w:val="none" w:sz="0" w:space="0" w:color="auto"/>
            <w:right w:val="none" w:sz="0" w:space="0" w:color="auto"/>
          </w:divBdr>
          <w:divsChild>
            <w:div w:id="1118598718">
              <w:marLeft w:val="0"/>
              <w:marRight w:val="0"/>
              <w:marTop w:val="0"/>
              <w:marBottom w:val="0"/>
              <w:divBdr>
                <w:top w:val="none" w:sz="0" w:space="0" w:color="auto"/>
                <w:left w:val="none" w:sz="0" w:space="0" w:color="auto"/>
                <w:bottom w:val="none" w:sz="0" w:space="0" w:color="auto"/>
                <w:right w:val="none" w:sz="0" w:space="0" w:color="auto"/>
              </w:divBdr>
              <w:divsChild>
                <w:div w:id="1046485989">
                  <w:marLeft w:val="0"/>
                  <w:marRight w:val="0"/>
                  <w:marTop w:val="0"/>
                  <w:marBottom w:val="0"/>
                  <w:divBdr>
                    <w:top w:val="none" w:sz="0" w:space="0" w:color="auto"/>
                    <w:left w:val="none" w:sz="0" w:space="0" w:color="auto"/>
                    <w:bottom w:val="none" w:sz="0" w:space="0" w:color="auto"/>
                    <w:right w:val="none" w:sz="0" w:space="0" w:color="auto"/>
                  </w:divBdr>
                  <w:divsChild>
                    <w:div w:id="1591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5409">
      <w:bodyDiv w:val="1"/>
      <w:marLeft w:val="0"/>
      <w:marRight w:val="0"/>
      <w:marTop w:val="0"/>
      <w:marBottom w:val="0"/>
      <w:divBdr>
        <w:top w:val="none" w:sz="0" w:space="0" w:color="auto"/>
        <w:left w:val="none" w:sz="0" w:space="0" w:color="auto"/>
        <w:bottom w:val="none" w:sz="0" w:space="0" w:color="auto"/>
        <w:right w:val="none" w:sz="0" w:space="0" w:color="auto"/>
      </w:divBdr>
      <w:divsChild>
        <w:div w:id="253514242">
          <w:marLeft w:val="0"/>
          <w:marRight w:val="0"/>
          <w:marTop w:val="0"/>
          <w:marBottom w:val="0"/>
          <w:divBdr>
            <w:top w:val="none" w:sz="0" w:space="0" w:color="auto"/>
            <w:left w:val="none" w:sz="0" w:space="0" w:color="auto"/>
            <w:bottom w:val="none" w:sz="0" w:space="0" w:color="auto"/>
            <w:right w:val="none" w:sz="0" w:space="0" w:color="auto"/>
          </w:divBdr>
          <w:divsChild>
            <w:div w:id="349453757">
              <w:marLeft w:val="0"/>
              <w:marRight w:val="0"/>
              <w:marTop w:val="0"/>
              <w:marBottom w:val="0"/>
              <w:divBdr>
                <w:top w:val="none" w:sz="0" w:space="0" w:color="auto"/>
                <w:left w:val="none" w:sz="0" w:space="0" w:color="auto"/>
                <w:bottom w:val="none" w:sz="0" w:space="0" w:color="auto"/>
                <w:right w:val="none" w:sz="0" w:space="0" w:color="auto"/>
              </w:divBdr>
              <w:divsChild>
                <w:div w:id="73809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359891">
      <w:bodyDiv w:val="1"/>
      <w:marLeft w:val="0"/>
      <w:marRight w:val="0"/>
      <w:marTop w:val="0"/>
      <w:marBottom w:val="0"/>
      <w:divBdr>
        <w:top w:val="none" w:sz="0" w:space="0" w:color="auto"/>
        <w:left w:val="none" w:sz="0" w:space="0" w:color="auto"/>
        <w:bottom w:val="none" w:sz="0" w:space="0" w:color="auto"/>
        <w:right w:val="none" w:sz="0" w:space="0" w:color="auto"/>
      </w:divBdr>
      <w:divsChild>
        <w:div w:id="1247808474">
          <w:marLeft w:val="0"/>
          <w:marRight w:val="0"/>
          <w:marTop w:val="0"/>
          <w:marBottom w:val="0"/>
          <w:divBdr>
            <w:top w:val="none" w:sz="0" w:space="0" w:color="auto"/>
            <w:left w:val="none" w:sz="0" w:space="0" w:color="auto"/>
            <w:bottom w:val="none" w:sz="0" w:space="0" w:color="auto"/>
            <w:right w:val="none" w:sz="0" w:space="0" w:color="auto"/>
          </w:divBdr>
          <w:divsChild>
            <w:div w:id="79178473">
              <w:marLeft w:val="0"/>
              <w:marRight w:val="0"/>
              <w:marTop w:val="0"/>
              <w:marBottom w:val="0"/>
              <w:divBdr>
                <w:top w:val="none" w:sz="0" w:space="0" w:color="auto"/>
                <w:left w:val="none" w:sz="0" w:space="0" w:color="auto"/>
                <w:bottom w:val="none" w:sz="0" w:space="0" w:color="auto"/>
                <w:right w:val="none" w:sz="0" w:space="0" w:color="auto"/>
              </w:divBdr>
              <w:divsChild>
                <w:div w:id="1632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10437">
      <w:bodyDiv w:val="1"/>
      <w:marLeft w:val="0"/>
      <w:marRight w:val="0"/>
      <w:marTop w:val="0"/>
      <w:marBottom w:val="0"/>
      <w:divBdr>
        <w:top w:val="none" w:sz="0" w:space="0" w:color="auto"/>
        <w:left w:val="none" w:sz="0" w:space="0" w:color="auto"/>
        <w:bottom w:val="none" w:sz="0" w:space="0" w:color="auto"/>
        <w:right w:val="none" w:sz="0" w:space="0" w:color="auto"/>
      </w:divBdr>
    </w:div>
    <w:div w:id="830172473">
      <w:bodyDiv w:val="1"/>
      <w:marLeft w:val="0"/>
      <w:marRight w:val="0"/>
      <w:marTop w:val="0"/>
      <w:marBottom w:val="0"/>
      <w:divBdr>
        <w:top w:val="none" w:sz="0" w:space="0" w:color="auto"/>
        <w:left w:val="none" w:sz="0" w:space="0" w:color="auto"/>
        <w:bottom w:val="none" w:sz="0" w:space="0" w:color="auto"/>
        <w:right w:val="none" w:sz="0" w:space="0" w:color="auto"/>
      </w:divBdr>
      <w:divsChild>
        <w:div w:id="686521637">
          <w:marLeft w:val="0"/>
          <w:marRight w:val="0"/>
          <w:marTop w:val="0"/>
          <w:marBottom w:val="0"/>
          <w:divBdr>
            <w:top w:val="none" w:sz="0" w:space="0" w:color="auto"/>
            <w:left w:val="none" w:sz="0" w:space="0" w:color="auto"/>
            <w:bottom w:val="none" w:sz="0" w:space="0" w:color="auto"/>
            <w:right w:val="none" w:sz="0" w:space="0" w:color="auto"/>
          </w:divBdr>
          <w:divsChild>
            <w:div w:id="2063140685">
              <w:marLeft w:val="0"/>
              <w:marRight w:val="0"/>
              <w:marTop w:val="0"/>
              <w:marBottom w:val="0"/>
              <w:divBdr>
                <w:top w:val="none" w:sz="0" w:space="0" w:color="auto"/>
                <w:left w:val="none" w:sz="0" w:space="0" w:color="auto"/>
                <w:bottom w:val="none" w:sz="0" w:space="0" w:color="auto"/>
                <w:right w:val="none" w:sz="0" w:space="0" w:color="auto"/>
              </w:divBdr>
              <w:divsChild>
                <w:div w:id="1738086638">
                  <w:marLeft w:val="0"/>
                  <w:marRight w:val="0"/>
                  <w:marTop w:val="0"/>
                  <w:marBottom w:val="0"/>
                  <w:divBdr>
                    <w:top w:val="none" w:sz="0" w:space="0" w:color="auto"/>
                    <w:left w:val="none" w:sz="0" w:space="0" w:color="auto"/>
                    <w:bottom w:val="none" w:sz="0" w:space="0" w:color="auto"/>
                    <w:right w:val="none" w:sz="0" w:space="0" w:color="auto"/>
                  </w:divBdr>
                  <w:divsChild>
                    <w:div w:id="6515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2920">
      <w:bodyDiv w:val="1"/>
      <w:marLeft w:val="0"/>
      <w:marRight w:val="0"/>
      <w:marTop w:val="0"/>
      <w:marBottom w:val="0"/>
      <w:divBdr>
        <w:top w:val="none" w:sz="0" w:space="0" w:color="auto"/>
        <w:left w:val="none" w:sz="0" w:space="0" w:color="auto"/>
        <w:bottom w:val="none" w:sz="0" w:space="0" w:color="auto"/>
        <w:right w:val="none" w:sz="0" w:space="0" w:color="auto"/>
      </w:divBdr>
    </w:div>
    <w:div w:id="838469532">
      <w:bodyDiv w:val="1"/>
      <w:marLeft w:val="0"/>
      <w:marRight w:val="0"/>
      <w:marTop w:val="0"/>
      <w:marBottom w:val="0"/>
      <w:divBdr>
        <w:top w:val="none" w:sz="0" w:space="0" w:color="auto"/>
        <w:left w:val="none" w:sz="0" w:space="0" w:color="auto"/>
        <w:bottom w:val="none" w:sz="0" w:space="0" w:color="auto"/>
        <w:right w:val="none" w:sz="0" w:space="0" w:color="auto"/>
      </w:divBdr>
      <w:divsChild>
        <w:div w:id="1515457915">
          <w:marLeft w:val="0"/>
          <w:marRight w:val="0"/>
          <w:marTop w:val="0"/>
          <w:marBottom w:val="0"/>
          <w:divBdr>
            <w:top w:val="none" w:sz="0" w:space="0" w:color="auto"/>
            <w:left w:val="none" w:sz="0" w:space="0" w:color="auto"/>
            <w:bottom w:val="none" w:sz="0" w:space="0" w:color="auto"/>
            <w:right w:val="none" w:sz="0" w:space="0" w:color="auto"/>
          </w:divBdr>
          <w:divsChild>
            <w:div w:id="1583758366">
              <w:marLeft w:val="0"/>
              <w:marRight w:val="0"/>
              <w:marTop w:val="0"/>
              <w:marBottom w:val="0"/>
              <w:divBdr>
                <w:top w:val="none" w:sz="0" w:space="0" w:color="auto"/>
                <w:left w:val="none" w:sz="0" w:space="0" w:color="auto"/>
                <w:bottom w:val="none" w:sz="0" w:space="0" w:color="auto"/>
                <w:right w:val="none" w:sz="0" w:space="0" w:color="auto"/>
              </w:divBdr>
              <w:divsChild>
                <w:div w:id="1072896805">
                  <w:marLeft w:val="0"/>
                  <w:marRight w:val="0"/>
                  <w:marTop w:val="0"/>
                  <w:marBottom w:val="0"/>
                  <w:divBdr>
                    <w:top w:val="none" w:sz="0" w:space="0" w:color="auto"/>
                    <w:left w:val="none" w:sz="0" w:space="0" w:color="auto"/>
                    <w:bottom w:val="none" w:sz="0" w:space="0" w:color="auto"/>
                    <w:right w:val="none" w:sz="0" w:space="0" w:color="auto"/>
                  </w:divBdr>
                  <w:divsChild>
                    <w:div w:id="20039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97855">
      <w:bodyDiv w:val="1"/>
      <w:marLeft w:val="0"/>
      <w:marRight w:val="0"/>
      <w:marTop w:val="0"/>
      <w:marBottom w:val="0"/>
      <w:divBdr>
        <w:top w:val="none" w:sz="0" w:space="0" w:color="auto"/>
        <w:left w:val="none" w:sz="0" w:space="0" w:color="auto"/>
        <w:bottom w:val="none" w:sz="0" w:space="0" w:color="auto"/>
        <w:right w:val="none" w:sz="0" w:space="0" w:color="auto"/>
      </w:divBdr>
      <w:divsChild>
        <w:div w:id="1229461533">
          <w:marLeft w:val="0"/>
          <w:marRight w:val="0"/>
          <w:marTop w:val="0"/>
          <w:marBottom w:val="0"/>
          <w:divBdr>
            <w:top w:val="none" w:sz="0" w:space="0" w:color="auto"/>
            <w:left w:val="none" w:sz="0" w:space="0" w:color="auto"/>
            <w:bottom w:val="none" w:sz="0" w:space="0" w:color="auto"/>
            <w:right w:val="none" w:sz="0" w:space="0" w:color="auto"/>
          </w:divBdr>
          <w:divsChild>
            <w:div w:id="317347578">
              <w:marLeft w:val="0"/>
              <w:marRight w:val="0"/>
              <w:marTop w:val="0"/>
              <w:marBottom w:val="0"/>
              <w:divBdr>
                <w:top w:val="none" w:sz="0" w:space="0" w:color="auto"/>
                <w:left w:val="none" w:sz="0" w:space="0" w:color="auto"/>
                <w:bottom w:val="none" w:sz="0" w:space="0" w:color="auto"/>
                <w:right w:val="none" w:sz="0" w:space="0" w:color="auto"/>
              </w:divBdr>
              <w:divsChild>
                <w:div w:id="1065760145">
                  <w:marLeft w:val="0"/>
                  <w:marRight w:val="0"/>
                  <w:marTop w:val="0"/>
                  <w:marBottom w:val="0"/>
                  <w:divBdr>
                    <w:top w:val="none" w:sz="0" w:space="0" w:color="auto"/>
                    <w:left w:val="none" w:sz="0" w:space="0" w:color="auto"/>
                    <w:bottom w:val="none" w:sz="0" w:space="0" w:color="auto"/>
                    <w:right w:val="none" w:sz="0" w:space="0" w:color="auto"/>
                  </w:divBdr>
                  <w:divsChild>
                    <w:div w:id="15903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78952">
      <w:bodyDiv w:val="1"/>
      <w:marLeft w:val="0"/>
      <w:marRight w:val="0"/>
      <w:marTop w:val="0"/>
      <w:marBottom w:val="0"/>
      <w:divBdr>
        <w:top w:val="none" w:sz="0" w:space="0" w:color="auto"/>
        <w:left w:val="none" w:sz="0" w:space="0" w:color="auto"/>
        <w:bottom w:val="none" w:sz="0" w:space="0" w:color="auto"/>
        <w:right w:val="none" w:sz="0" w:space="0" w:color="auto"/>
      </w:divBdr>
    </w:div>
    <w:div w:id="847330929">
      <w:bodyDiv w:val="1"/>
      <w:marLeft w:val="0"/>
      <w:marRight w:val="0"/>
      <w:marTop w:val="0"/>
      <w:marBottom w:val="0"/>
      <w:divBdr>
        <w:top w:val="none" w:sz="0" w:space="0" w:color="auto"/>
        <w:left w:val="none" w:sz="0" w:space="0" w:color="auto"/>
        <w:bottom w:val="none" w:sz="0" w:space="0" w:color="auto"/>
        <w:right w:val="none" w:sz="0" w:space="0" w:color="auto"/>
      </w:divBdr>
      <w:divsChild>
        <w:div w:id="1155799266">
          <w:marLeft w:val="0"/>
          <w:marRight w:val="0"/>
          <w:marTop w:val="0"/>
          <w:marBottom w:val="0"/>
          <w:divBdr>
            <w:top w:val="none" w:sz="0" w:space="0" w:color="auto"/>
            <w:left w:val="none" w:sz="0" w:space="0" w:color="auto"/>
            <w:bottom w:val="none" w:sz="0" w:space="0" w:color="auto"/>
            <w:right w:val="none" w:sz="0" w:space="0" w:color="auto"/>
          </w:divBdr>
          <w:divsChild>
            <w:div w:id="149950700">
              <w:marLeft w:val="0"/>
              <w:marRight w:val="0"/>
              <w:marTop w:val="0"/>
              <w:marBottom w:val="0"/>
              <w:divBdr>
                <w:top w:val="none" w:sz="0" w:space="0" w:color="auto"/>
                <w:left w:val="none" w:sz="0" w:space="0" w:color="auto"/>
                <w:bottom w:val="none" w:sz="0" w:space="0" w:color="auto"/>
                <w:right w:val="none" w:sz="0" w:space="0" w:color="auto"/>
              </w:divBdr>
              <w:divsChild>
                <w:div w:id="761343289">
                  <w:marLeft w:val="0"/>
                  <w:marRight w:val="0"/>
                  <w:marTop w:val="0"/>
                  <w:marBottom w:val="0"/>
                  <w:divBdr>
                    <w:top w:val="none" w:sz="0" w:space="0" w:color="auto"/>
                    <w:left w:val="none" w:sz="0" w:space="0" w:color="auto"/>
                    <w:bottom w:val="none" w:sz="0" w:space="0" w:color="auto"/>
                    <w:right w:val="none" w:sz="0" w:space="0" w:color="auto"/>
                  </w:divBdr>
                  <w:divsChild>
                    <w:div w:id="17445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033633">
      <w:bodyDiv w:val="1"/>
      <w:marLeft w:val="0"/>
      <w:marRight w:val="0"/>
      <w:marTop w:val="0"/>
      <w:marBottom w:val="0"/>
      <w:divBdr>
        <w:top w:val="none" w:sz="0" w:space="0" w:color="auto"/>
        <w:left w:val="none" w:sz="0" w:space="0" w:color="auto"/>
        <w:bottom w:val="none" w:sz="0" w:space="0" w:color="auto"/>
        <w:right w:val="none" w:sz="0" w:space="0" w:color="auto"/>
      </w:divBdr>
      <w:divsChild>
        <w:div w:id="635378461">
          <w:marLeft w:val="0"/>
          <w:marRight w:val="0"/>
          <w:marTop w:val="0"/>
          <w:marBottom w:val="0"/>
          <w:divBdr>
            <w:top w:val="none" w:sz="0" w:space="0" w:color="auto"/>
            <w:left w:val="none" w:sz="0" w:space="0" w:color="auto"/>
            <w:bottom w:val="none" w:sz="0" w:space="0" w:color="auto"/>
            <w:right w:val="none" w:sz="0" w:space="0" w:color="auto"/>
          </w:divBdr>
          <w:divsChild>
            <w:div w:id="1780949899">
              <w:marLeft w:val="0"/>
              <w:marRight w:val="0"/>
              <w:marTop w:val="0"/>
              <w:marBottom w:val="0"/>
              <w:divBdr>
                <w:top w:val="none" w:sz="0" w:space="0" w:color="auto"/>
                <w:left w:val="none" w:sz="0" w:space="0" w:color="auto"/>
                <w:bottom w:val="none" w:sz="0" w:space="0" w:color="auto"/>
                <w:right w:val="none" w:sz="0" w:space="0" w:color="auto"/>
              </w:divBdr>
              <w:divsChild>
                <w:div w:id="447892234">
                  <w:marLeft w:val="0"/>
                  <w:marRight w:val="0"/>
                  <w:marTop w:val="0"/>
                  <w:marBottom w:val="0"/>
                  <w:divBdr>
                    <w:top w:val="none" w:sz="0" w:space="0" w:color="auto"/>
                    <w:left w:val="none" w:sz="0" w:space="0" w:color="auto"/>
                    <w:bottom w:val="none" w:sz="0" w:space="0" w:color="auto"/>
                    <w:right w:val="none" w:sz="0" w:space="0" w:color="auto"/>
                  </w:divBdr>
                  <w:divsChild>
                    <w:div w:id="13365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001138">
      <w:bodyDiv w:val="1"/>
      <w:marLeft w:val="0"/>
      <w:marRight w:val="0"/>
      <w:marTop w:val="0"/>
      <w:marBottom w:val="0"/>
      <w:divBdr>
        <w:top w:val="none" w:sz="0" w:space="0" w:color="auto"/>
        <w:left w:val="none" w:sz="0" w:space="0" w:color="auto"/>
        <w:bottom w:val="none" w:sz="0" w:space="0" w:color="auto"/>
        <w:right w:val="none" w:sz="0" w:space="0" w:color="auto"/>
      </w:divBdr>
    </w:div>
    <w:div w:id="870461024">
      <w:bodyDiv w:val="1"/>
      <w:marLeft w:val="0"/>
      <w:marRight w:val="0"/>
      <w:marTop w:val="0"/>
      <w:marBottom w:val="0"/>
      <w:divBdr>
        <w:top w:val="none" w:sz="0" w:space="0" w:color="auto"/>
        <w:left w:val="none" w:sz="0" w:space="0" w:color="auto"/>
        <w:bottom w:val="none" w:sz="0" w:space="0" w:color="auto"/>
        <w:right w:val="none" w:sz="0" w:space="0" w:color="auto"/>
      </w:divBdr>
    </w:div>
    <w:div w:id="874780880">
      <w:bodyDiv w:val="1"/>
      <w:marLeft w:val="0"/>
      <w:marRight w:val="0"/>
      <w:marTop w:val="0"/>
      <w:marBottom w:val="0"/>
      <w:divBdr>
        <w:top w:val="none" w:sz="0" w:space="0" w:color="auto"/>
        <w:left w:val="none" w:sz="0" w:space="0" w:color="auto"/>
        <w:bottom w:val="none" w:sz="0" w:space="0" w:color="auto"/>
        <w:right w:val="none" w:sz="0" w:space="0" w:color="auto"/>
      </w:divBdr>
    </w:div>
    <w:div w:id="876159236">
      <w:bodyDiv w:val="1"/>
      <w:marLeft w:val="0"/>
      <w:marRight w:val="0"/>
      <w:marTop w:val="0"/>
      <w:marBottom w:val="0"/>
      <w:divBdr>
        <w:top w:val="none" w:sz="0" w:space="0" w:color="auto"/>
        <w:left w:val="none" w:sz="0" w:space="0" w:color="auto"/>
        <w:bottom w:val="none" w:sz="0" w:space="0" w:color="auto"/>
        <w:right w:val="none" w:sz="0" w:space="0" w:color="auto"/>
      </w:divBdr>
      <w:divsChild>
        <w:div w:id="1716585994">
          <w:marLeft w:val="0"/>
          <w:marRight w:val="0"/>
          <w:marTop w:val="0"/>
          <w:marBottom w:val="0"/>
          <w:divBdr>
            <w:top w:val="none" w:sz="0" w:space="0" w:color="auto"/>
            <w:left w:val="none" w:sz="0" w:space="0" w:color="auto"/>
            <w:bottom w:val="none" w:sz="0" w:space="0" w:color="auto"/>
            <w:right w:val="none" w:sz="0" w:space="0" w:color="auto"/>
          </w:divBdr>
          <w:divsChild>
            <w:div w:id="1771241935">
              <w:marLeft w:val="0"/>
              <w:marRight w:val="0"/>
              <w:marTop w:val="0"/>
              <w:marBottom w:val="0"/>
              <w:divBdr>
                <w:top w:val="none" w:sz="0" w:space="0" w:color="auto"/>
                <w:left w:val="none" w:sz="0" w:space="0" w:color="auto"/>
                <w:bottom w:val="none" w:sz="0" w:space="0" w:color="auto"/>
                <w:right w:val="none" w:sz="0" w:space="0" w:color="auto"/>
              </w:divBdr>
              <w:divsChild>
                <w:div w:id="1729068794">
                  <w:marLeft w:val="0"/>
                  <w:marRight w:val="0"/>
                  <w:marTop w:val="0"/>
                  <w:marBottom w:val="0"/>
                  <w:divBdr>
                    <w:top w:val="none" w:sz="0" w:space="0" w:color="auto"/>
                    <w:left w:val="none" w:sz="0" w:space="0" w:color="auto"/>
                    <w:bottom w:val="none" w:sz="0" w:space="0" w:color="auto"/>
                    <w:right w:val="none" w:sz="0" w:space="0" w:color="auto"/>
                  </w:divBdr>
                  <w:divsChild>
                    <w:div w:id="14631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16073">
      <w:bodyDiv w:val="1"/>
      <w:marLeft w:val="0"/>
      <w:marRight w:val="0"/>
      <w:marTop w:val="0"/>
      <w:marBottom w:val="0"/>
      <w:divBdr>
        <w:top w:val="none" w:sz="0" w:space="0" w:color="auto"/>
        <w:left w:val="none" w:sz="0" w:space="0" w:color="auto"/>
        <w:bottom w:val="none" w:sz="0" w:space="0" w:color="auto"/>
        <w:right w:val="none" w:sz="0" w:space="0" w:color="auto"/>
      </w:divBdr>
    </w:div>
    <w:div w:id="884297753">
      <w:bodyDiv w:val="1"/>
      <w:marLeft w:val="0"/>
      <w:marRight w:val="0"/>
      <w:marTop w:val="0"/>
      <w:marBottom w:val="0"/>
      <w:divBdr>
        <w:top w:val="none" w:sz="0" w:space="0" w:color="auto"/>
        <w:left w:val="none" w:sz="0" w:space="0" w:color="auto"/>
        <w:bottom w:val="none" w:sz="0" w:space="0" w:color="auto"/>
        <w:right w:val="none" w:sz="0" w:space="0" w:color="auto"/>
      </w:divBdr>
      <w:divsChild>
        <w:div w:id="988285787">
          <w:marLeft w:val="0"/>
          <w:marRight w:val="0"/>
          <w:marTop w:val="0"/>
          <w:marBottom w:val="0"/>
          <w:divBdr>
            <w:top w:val="none" w:sz="0" w:space="0" w:color="auto"/>
            <w:left w:val="none" w:sz="0" w:space="0" w:color="auto"/>
            <w:bottom w:val="none" w:sz="0" w:space="0" w:color="auto"/>
            <w:right w:val="none" w:sz="0" w:space="0" w:color="auto"/>
          </w:divBdr>
          <w:divsChild>
            <w:div w:id="947542150">
              <w:marLeft w:val="0"/>
              <w:marRight w:val="0"/>
              <w:marTop w:val="0"/>
              <w:marBottom w:val="0"/>
              <w:divBdr>
                <w:top w:val="none" w:sz="0" w:space="0" w:color="auto"/>
                <w:left w:val="none" w:sz="0" w:space="0" w:color="auto"/>
                <w:bottom w:val="none" w:sz="0" w:space="0" w:color="auto"/>
                <w:right w:val="none" w:sz="0" w:space="0" w:color="auto"/>
              </w:divBdr>
              <w:divsChild>
                <w:div w:id="54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50139">
      <w:bodyDiv w:val="1"/>
      <w:marLeft w:val="0"/>
      <w:marRight w:val="0"/>
      <w:marTop w:val="0"/>
      <w:marBottom w:val="0"/>
      <w:divBdr>
        <w:top w:val="none" w:sz="0" w:space="0" w:color="auto"/>
        <w:left w:val="none" w:sz="0" w:space="0" w:color="auto"/>
        <w:bottom w:val="none" w:sz="0" w:space="0" w:color="auto"/>
        <w:right w:val="none" w:sz="0" w:space="0" w:color="auto"/>
      </w:divBdr>
      <w:divsChild>
        <w:div w:id="299384928">
          <w:marLeft w:val="0"/>
          <w:marRight w:val="0"/>
          <w:marTop w:val="0"/>
          <w:marBottom w:val="0"/>
          <w:divBdr>
            <w:top w:val="none" w:sz="0" w:space="0" w:color="auto"/>
            <w:left w:val="none" w:sz="0" w:space="0" w:color="auto"/>
            <w:bottom w:val="none" w:sz="0" w:space="0" w:color="auto"/>
            <w:right w:val="none" w:sz="0" w:space="0" w:color="auto"/>
          </w:divBdr>
          <w:divsChild>
            <w:div w:id="1171985173">
              <w:marLeft w:val="0"/>
              <w:marRight w:val="0"/>
              <w:marTop w:val="0"/>
              <w:marBottom w:val="0"/>
              <w:divBdr>
                <w:top w:val="none" w:sz="0" w:space="0" w:color="auto"/>
                <w:left w:val="none" w:sz="0" w:space="0" w:color="auto"/>
                <w:bottom w:val="none" w:sz="0" w:space="0" w:color="auto"/>
                <w:right w:val="none" w:sz="0" w:space="0" w:color="auto"/>
              </w:divBdr>
              <w:divsChild>
                <w:div w:id="154495148">
                  <w:marLeft w:val="0"/>
                  <w:marRight w:val="0"/>
                  <w:marTop w:val="0"/>
                  <w:marBottom w:val="0"/>
                  <w:divBdr>
                    <w:top w:val="none" w:sz="0" w:space="0" w:color="auto"/>
                    <w:left w:val="none" w:sz="0" w:space="0" w:color="auto"/>
                    <w:bottom w:val="none" w:sz="0" w:space="0" w:color="auto"/>
                    <w:right w:val="none" w:sz="0" w:space="0" w:color="auto"/>
                  </w:divBdr>
                  <w:divsChild>
                    <w:div w:id="19158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11426">
      <w:bodyDiv w:val="1"/>
      <w:marLeft w:val="0"/>
      <w:marRight w:val="0"/>
      <w:marTop w:val="0"/>
      <w:marBottom w:val="0"/>
      <w:divBdr>
        <w:top w:val="none" w:sz="0" w:space="0" w:color="auto"/>
        <w:left w:val="none" w:sz="0" w:space="0" w:color="auto"/>
        <w:bottom w:val="none" w:sz="0" w:space="0" w:color="auto"/>
        <w:right w:val="none" w:sz="0" w:space="0" w:color="auto"/>
      </w:divBdr>
    </w:div>
    <w:div w:id="891498994">
      <w:bodyDiv w:val="1"/>
      <w:marLeft w:val="0"/>
      <w:marRight w:val="0"/>
      <w:marTop w:val="0"/>
      <w:marBottom w:val="0"/>
      <w:divBdr>
        <w:top w:val="none" w:sz="0" w:space="0" w:color="auto"/>
        <w:left w:val="none" w:sz="0" w:space="0" w:color="auto"/>
        <w:bottom w:val="none" w:sz="0" w:space="0" w:color="auto"/>
        <w:right w:val="none" w:sz="0" w:space="0" w:color="auto"/>
      </w:divBdr>
    </w:div>
    <w:div w:id="897282236">
      <w:bodyDiv w:val="1"/>
      <w:marLeft w:val="0"/>
      <w:marRight w:val="0"/>
      <w:marTop w:val="0"/>
      <w:marBottom w:val="0"/>
      <w:divBdr>
        <w:top w:val="none" w:sz="0" w:space="0" w:color="auto"/>
        <w:left w:val="none" w:sz="0" w:space="0" w:color="auto"/>
        <w:bottom w:val="none" w:sz="0" w:space="0" w:color="auto"/>
        <w:right w:val="none" w:sz="0" w:space="0" w:color="auto"/>
      </w:divBdr>
    </w:div>
    <w:div w:id="899556658">
      <w:bodyDiv w:val="1"/>
      <w:marLeft w:val="0"/>
      <w:marRight w:val="0"/>
      <w:marTop w:val="0"/>
      <w:marBottom w:val="0"/>
      <w:divBdr>
        <w:top w:val="none" w:sz="0" w:space="0" w:color="auto"/>
        <w:left w:val="none" w:sz="0" w:space="0" w:color="auto"/>
        <w:bottom w:val="none" w:sz="0" w:space="0" w:color="auto"/>
        <w:right w:val="none" w:sz="0" w:space="0" w:color="auto"/>
      </w:divBdr>
      <w:divsChild>
        <w:div w:id="1054693150">
          <w:marLeft w:val="0"/>
          <w:marRight w:val="0"/>
          <w:marTop w:val="0"/>
          <w:marBottom w:val="0"/>
          <w:divBdr>
            <w:top w:val="none" w:sz="0" w:space="0" w:color="auto"/>
            <w:left w:val="none" w:sz="0" w:space="0" w:color="auto"/>
            <w:bottom w:val="none" w:sz="0" w:space="0" w:color="auto"/>
            <w:right w:val="none" w:sz="0" w:space="0" w:color="auto"/>
          </w:divBdr>
          <w:divsChild>
            <w:div w:id="1338078081">
              <w:marLeft w:val="0"/>
              <w:marRight w:val="0"/>
              <w:marTop w:val="0"/>
              <w:marBottom w:val="0"/>
              <w:divBdr>
                <w:top w:val="none" w:sz="0" w:space="0" w:color="auto"/>
                <w:left w:val="none" w:sz="0" w:space="0" w:color="auto"/>
                <w:bottom w:val="none" w:sz="0" w:space="0" w:color="auto"/>
                <w:right w:val="none" w:sz="0" w:space="0" w:color="auto"/>
              </w:divBdr>
              <w:divsChild>
                <w:div w:id="11253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839095">
      <w:bodyDiv w:val="1"/>
      <w:marLeft w:val="0"/>
      <w:marRight w:val="0"/>
      <w:marTop w:val="0"/>
      <w:marBottom w:val="0"/>
      <w:divBdr>
        <w:top w:val="none" w:sz="0" w:space="0" w:color="auto"/>
        <w:left w:val="none" w:sz="0" w:space="0" w:color="auto"/>
        <w:bottom w:val="none" w:sz="0" w:space="0" w:color="auto"/>
        <w:right w:val="none" w:sz="0" w:space="0" w:color="auto"/>
      </w:divBdr>
      <w:divsChild>
        <w:div w:id="169296595">
          <w:marLeft w:val="418"/>
          <w:marRight w:val="0"/>
          <w:marTop w:val="96"/>
          <w:marBottom w:val="0"/>
          <w:divBdr>
            <w:top w:val="none" w:sz="0" w:space="0" w:color="auto"/>
            <w:left w:val="none" w:sz="0" w:space="0" w:color="auto"/>
            <w:bottom w:val="none" w:sz="0" w:space="0" w:color="auto"/>
            <w:right w:val="none" w:sz="0" w:space="0" w:color="auto"/>
          </w:divBdr>
        </w:div>
        <w:div w:id="1097796241">
          <w:marLeft w:val="1166"/>
          <w:marRight w:val="0"/>
          <w:marTop w:val="96"/>
          <w:marBottom w:val="0"/>
          <w:divBdr>
            <w:top w:val="none" w:sz="0" w:space="0" w:color="auto"/>
            <w:left w:val="none" w:sz="0" w:space="0" w:color="auto"/>
            <w:bottom w:val="none" w:sz="0" w:space="0" w:color="auto"/>
            <w:right w:val="none" w:sz="0" w:space="0" w:color="auto"/>
          </w:divBdr>
        </w:div>
        <w:div w:id="1735153115">
          <w:marLeft w:val="1166"/>
          <w:marRight w:val="0"/>
          <w:marTop w:val="96"/>
          <w:marBottom w:val="0"/>
          <w:divBdr>
            <w:top w:val="none" w:sz="0" w:space="0" w:color="auto"/>
            <w:left w:val="none" w:sz="0" w:space="0" w:color="auto"/>
            <w:bottom w:val="none" w:sz="0" w:space="0" w:color="auto"/>
            <w:right w:val="none" w:sz="0" w:space="0" w:color="auto"/>
          </w:divBdr>
        </w:div>
        <w:div w:id="1909226156">
          <w:marLeft w:val="1166"/>
          <w:marRight w:val="0"/>
          <w:marTop w:val="96"/>
          <w:marBottom w:val="0"/>
          <w:divBdr>
            <w:top w:val="none" w:sz="0" w:space="0" w:color="auto"/>
            <w:left w:val="none" w:sz="0" w:space="0" w:color="auto"/>
            <w:bottom w:val="none" w:sz="0" w:space="0" w:color="auto"/>
            <w:right w:val="none" w:sz="0" w:space="0" w:color="auto"/>
          </w:divBdr>
        </w:div>
        <w:div w:id="2022320713">
          <w:marLeft w:val="418"/>
          <w:marRight w:val="0"/>
          <w:marTop w:val="0"/>
          <w:marBottom w:val="0"/>
          <w:divBdr>
            <w:top w:val="none" w:sz="0" w:space="0" w:color="auto"/>
            <w:left w:val="none" w:sz="0" w:space="0" w:color="auto"/>
            <w:bottom w:val="none" w:sz="0" w:space="0" w:color="auto"/>
            <w:right w:val="none" w:sz="0" w:space="0" w:color="auto"/>
          </w:divBdr>
        </w:div>
        <w:div w:id="2054304271">
          <w:marLeft w:val="418"/>
          <w:marRight w:val="0"/>
          <w:marTop w:val="96"/>
          <w:marBottom w:val="0"/>
          <w:divBdr>
            <w:top w:val="none" w:sz="0" w:space="0" w:color="auto"/>
            <w:left w:val="none" w:sz="0" w:space="0" w:color="auto"/>
            <w:bottom w:val="none" w:sz="0" w:space="0" w:color="auto"/>
            <w:right w:val="none" w:sz="0" w:space="0" w:color="auto"/>
          </w:divBdr>
        </w:div>
      </w:divsChild>
    </w:div>
    <w:div w:id="905184525">
      <w:bodyDiv w:val="1"/>
      <w:marLeft w:val="0"/>
      <w:marRight w:val="0"/>
      <w:marTop w:val="0"/>
      <w:marBottom w:val="0"/>
      <w:divBdr>
        <w:top w:val="none" w:sz="0" w:space="0" w:color="auto"/>
        <w:left w:val="none" w:sz="0" w:space="0" w:color="auto"/>
        <w:bottom w:val="none" w:sz="0" w:space="0" w:color="auto"/>
        <w:right w:val="none" w:sz="0" w:space="0" w:color="auto"/>
      </w:divBdr>
    </w:div>
    <w:div w:id="905997475">
      <w:bodyDiv w:val="1"/>
      <w:marLeft w:val="0"/>
      <w:marRight w:val="0"/>
      <w:marTop w:val="0"/>
      <w:marBottom w:val="0"/>
      <w:divBdr>
        <w:top w:val="none" w:sz="0" w:space="0" w:color="auto"/>
        <w:left w:val="none" w:sz="0" w:space="0" w:color="auto"/>
        <w:bottom w:val="none" w:sz="0" w:space="0" w:color="auto"/>
        <w:right w:val="none" w:sz="0" w:space="0" w:color="auto"/>
      </w:divBdr>
    </w:div>
    <w:div w:id="907346461">
      <w:bodyDiv w:val="1"/>
      <w:marLeft w:val="0"/>
      <w:marRight w:val="0"/>
      <w:marTop w:val="0"/>
      <w:marBottom w:val="0"/>
      <w:divBdr>
        <w:top w:val="none" w:sz="0" w:space="0" w:color="auto"/>
        <w:left w:val="none" w:sz="0" w:space="0" w:color="auto"/>
        <w:bottom w:val="none" w:sz="0" w:space="0" w:color="auto"/>
        <w:right w:val="none" w:sz="0" w:space="0" w:color="auto"/>
      </w:divBdr>
      <w:divsChild>
        <w:div w:id="2141068451">
          <w:marLeft w:val="0"/>
          <w:marRight w:val="0"/>
          <w:marTop w:val="0"/>
          <w:marBottom w:val="0"/>
          <w:divBdr>
            <w:top w:val="none" w:sz="0" w:space="0" w:color="auto"/>
            <w:left w:val="none" w:sz="0" w:space="0" w:color="auto"/>
            <w:bottom w:val="none" w:sz="0" w:space="0" w:color="auto"/>
            <w:right w:val="none" w:sz="0" w:space="0" w:color="auto"/>
          </w:divBdr>
          <w:divsChild>
            <w:div w:id="1578784877">
              <w:marLeft w:val="0"/>
              <w:marRight w:val="0"/>
              <w:marTop w:val="0"/>
              <w:marBottom w:val="0"/>
              <w:divBdr>
                <w:top w:val="none" w:sz="0" w:space="0" w:color="auto"/>
                <w:left w:val="none" w:sz="0" w:space="0" w:color="auto"/>
                <w:bottom w:val="none" w:sz="0" w:space="0" w:color="auto"/>
                <w:right w:val="none" w:sz="0" w:space="0" w:color="auto"/>
              </w:divBdr>
              <w:divsChild>
                <w:div w:id="20373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3127">
      <w:bodyDiv w:val="1"/>
      <w:marLeft w:val="0"/>
      <w:marRight w:val="0"/>
      <w:marTop w:val="0"/>
      <w:marBottom w:val="0"/>
      <w:divBdr>
        <w:top w:val="none" w:sz="0" w:space="0" w:color="auto"/>
        <w:left w:val="none" w:sz="0" w:space="0" w:color="auto"/>
        <w:bottom w:val="none" w:sz="0" w:space="0" w:color="auto"/>
        <w:right w:val="none" w:sz="0" w:space="0" w:color="auto"/>
      </w:divBdr>
      <w:divsChild>
        <w:div w:id="1619799612">
          <w:marLeft w:val="0"/>
          <w:marRight w:val="0"/>
          <w:marTop w:val="0"/>
          <w:marBottom w:val="0"/>
          <w:divBdr>
            <w:top w:val="none" w:sz="0" w:space="0" w:color="auto"/>
            <w:left w:val="none" w:sz="0" w:space="0" w:color="auto"/>
            <w:bottom w:val="none" w:sz="0" w:space="0" w:color="auto"/>
            <w:right w:val="none" w:sz="0" w:space="0" w:color="auto"/>
          </w:divBdr>
          <w:divsChild>
            <w:div w:id="1491866711">
              <w:marLeft w:val="0"/>
              <w:marRight w:val="0"/>
              <w:marTop w:val="0"/>
              <w:marBottom w:val="0"/>
              <w:divBdr>
                <w:top w:val="none" w:sz="0" w:space="0" w:color="auto"/>
                <w:left w:val="none" w:sz="0" w:space="0" w:color="auto"/>
                <w:bottom w:val="none" w:sz="0" w:space="0" w:color="auto"/>
                <w:right w:val="none" w:sz="0" w:space="0" w:color="auto"/>
              </w:divBdr>
              <w:divsChild>
                <w:div w:id="4016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9327">
      <w:bodyDiv w:val="1"/>
      <w:marLeft w:val="0"/>
      <w:marRight w:val="0"/>
      <w:marTop w:val="0"/>
      <w:marBottom w:val="0"/>
      <w:divBdr>
        <w:top w:val="none" w:sz="0" w:space="0" w:color="auto"/>
        <w:left w:val="none" w:sz="0" w:space="0" w:color="auto"/>
        <w:bottom w:val="none" w:sz="0" w:space="0" w:color="auto"/>
        <w:right w:val="none" w:sz="0" w:space="0" w:color="auto"/>
      </w:divBdr>
      <w:divsChild>
        <w:div w:id="1113210626">
          <w:marLeft w:val="547"/>
          <w:marRight w:val="0"/>
          <w:marTop w:val="0"/>
          <w:marBottom w:val="0"/>
          <w:divBdr>
            <w:top w:val="none" w:sz="0" w:space="0" w:color="auto"/>
            <w:left w:val="none" w:sz="0" w:space="0" w:color="auto"/>
            <w:bottom w:val="none" w:sz="0" w:space="0" w:color="auto"/>
            <w:right w:val="none" w:sz="0" w:space="0" w:color="auto"/>
          </w:divBdr>
        </w:div>
      </w:divsChild>
    </w:div>
    <w:div w:id="938561312">
      <w:bodyDiv w:val="1"/>
      <w:marLeft w:val="0"/>
      <w:marRight w:val="0"/>
      <w:marTop w:val="0"/>
      <w:marBottom w:val="0"/>
      <w:divBdr>
        <w:top w:val="none" w:sz="0" w:space="0" w:color="auto"/>
        <w:left w:val="none" w:sz="0" w:space="0" w:color="auto"/>
        <w:bottom w:val="none" w:sz="0" w:space="0" w:color="auto"/>
        <w:right w:val="none" w:sz="0" w:space="0" w:color="auto"/>
      </w:divBdr>
    </w:div>
    <w:div w:id="946470935">
      <w:bodyDiv w:val="1"/>
      <w:marLeft w:val="0"/>
      <w:marRight w:val="0"/>
      <w:marTop w:val="0"/>
      <w:marBottom w:val="0"/>
      <w:divBdr>
        <w:top w:val="none" w:sz="0" w:space="0" w:color="auto"/>
        <w:left w:val="none" w:sz="0" w:space="0" w:color="auto"/>
        <w:bottom w:val="none" w:sz="0" w:space="0" w:color="auto"/>
        <w:right w:val="none" w:sz="0" w:space="0" w:color="auto"/>
      </w:divBdr>
    </w:div>
    <w:div w:id="946741739">
      <w:bodyDiv w:val="1"/>
      <w:marLeft w:val="0"/>
      <w:marRight w:val="0"/>
      <w:marTop w:val="0"/>
      <w:marBottom w:val="0"/>
      <w:divBdr>
        <w:top w:val="none" w:sz="0" w:space="0" w:color="auto"/>
        <w:left w:val="none" w:sz="0" w:space="0" w:color="auto"/>
        <w:bottom w:val="none" w:sz="0" w:space="0" w:color="auto"/>
        <w:right w:val="none" w:sz="0" w:space="0" w:color="auto"/>
      </w:divBdr>
    </w:div>
    <w:div w:id="947202677">
      <w:bodyDiv w:val="1"/>
      <w:marLeft w:val="0"/>
      <w:marRight w:val="0"/>
      <w:marTop w:val="0"/>
      <w:marBottom w:val="0"/>
      <w:divBdr>
        <w:top w:val="none" w:sz="0" w:space="0" w:color="auto"/>
        <w:left w:val="none" w:sz="0" w:space="0" w:color="auto"/>
        <w:bottom w:val="none" w:sz="0" w:space="0" w:color="auto"/>
        <w:right w:val="none" w:sz="0" w:space="0" w:color="auto"/>
      </w:divBdr>
      <w:divsChild>
        <w:div w:id="790050347">
          <w:marLeft w:val="0"/>
          <w:marRight w:val="0"/>
          <w:marTop w:val="0"/>
          <w:marBottom w:val="0"/>
          <w:divBdr>
            <w:top w:val="none" w:sz="0" w:space="0" w:color="auto"/>
            <w:left w:val="none" w:sz="0" w:space="0" w:color="auto"/>
            <w:bottom w:val="none" w:sz="0" w:space="0" w:color="auto"/>
            <w:right w:val="none" w:sz="0" w:space="0" w:color="auto"/>
          </w:divBdr>
          <w:divsChild>
            <w:div w:id="260727656">
              <w:marLeft w:val="0"/>
              <w:marRight w:val="0"/>
              <w:marTop w:val="0"/>
              <w:marBottom w:val="0"/>
              <w:divBdr>
                <w:top w:val="none" w:sz="0" w:space="0" w:color="auto"/>
                <w:left w:val="none" w:sz="0" w:space="0" w:color="auto"/>
                <w:bottom w:val="none" w:sz="0" w:space="0" w:color="auto"/>
                <w:right w:val="none" w:sz="0" w:space="0" w:color="auto"/>
              </w:divBdr>
              <w:divsChild>
                <w:div w:id="483618831">
                  <w:marLeft w:val="0"/>
                  <w:marRight w:val="0"/>
                  <w:marTop w:val="0"/>
                  <w:marBottom w:val="0"/>
                  <w:divBdr>
                    <w:top w:val="none" w:sz="0" w:space="0" w:color="auto"/>
                    <w:left w:val="none" w:sz="0" w:space="0" w:color="auto"/>
                    <w:bottom w:val="none" w:sz="0" w:space="0" w:color="auto"/>
                    <w:right w:val="none" w:sz="0" w:space="0" w:color="auto"/>
                  </w:divBdr>
                  <w:divsChild>
                    <w:div w:id="13140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63805">
      <w:bodyDiv w:val="1"/>
      <w:marLeft w:val="0"/>
      <w:marRight w:val="0"/>
      <w:marTop w:val="0"/>
      <w:marBottom w:val="0"/>
      <w:divBdr>
        <w:top w:val="none" w:sz="0" w:space="0" w:color="auto"/>
        <w:left w:val="none" w:sz="0" w:space="0" w:color="auto"/>
        <w:bottom w:val="none" w:sz="0" w:space="0" w:color="auto"/>
        <w:right w:val="none" w:sz="0" w:space="0" w:color="auto"/>
      </w:divBdr>
      <w:divsChild>
        <w:div w:id="1853958432">
          <w:marLeft w:val="0"/>
          <w:marRight w:val="0"/>
          <w:marTop w:val="0"/>
          <w:marBottom w:val="0"/>
          <w:divBdr>
            <w:top w:val="none" w:sz="0" w:space="0" w:color="auto"/>
            <w:left w:val="none" w:sz="0" w:space="0" w:color="auto"/>
            <w:bottom w:val="none" w:sz="0" w:space="0" w:color="auto"/>
            <w:right w:val="none" w:sz="0" w:space="0" w:color="auto"/>
          </w:divBdr>
          <w:divsChild>
            <w:div w:id="1199926332">
              <w:marLeft w:val="0"/>
              <w:marRight w:val="0"/>
              <w:marTop w:val="0"/>
              <w:marBottom w:val="0"/>
              <w:divBdr>
                <w:top w:val="none" w:sz="0" w:space="0" w:color="auto"/>
                <w:left w:val="none" w:sz="0" w:space="0" w:color="auto"/>
                <w:bottom w:val="none" w:sz="0" w:space="0" w:color="auto"/>
                <w:right w:val="none" w:sz="0" w:space="0" w:color="auto"/>
              </w:divBdr>
              <w:divsChild>
                <w:div w:id="1053038709">
                  <w:marLeft w:val="0"/>
                  <w:marRight w:val="0"/>
                  <w:marTop w:val="0"/>
                  <w:marBottom w:val="0"/>
                  <w:divBdr>
                    <w:top w:val="none" w:sz="0" w:space="0" w:color="auto"/>
                    <w:left w:val="none" w:sz="0" w:space="0" w:color="auto"/>
                    <w:bottom w:val="none" w:sz="0" w:space="0" w:color="auto"/>
                    <w:right w:val="none" w:sz="0" w:space="0" w:color="auto"/>
                  </w:divBdr>
                  <w:divsChild>
                    <w:div w:id="66855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052973">
      <w:bodyDiv w:val="1"/>
      <w:marLeft w:val="0"/>
      <w:marRight w:val="0"/>
      <w:marTop w:val="0"/>
      <w:marBottom w:val="0"/>
      <w:divBdr>
        <w:top w:val="none" w:sz="0" w:space="0" w:color="auto"/>
        <w:left w:val="none" w:sz="0" w:space="0" w:color="auto"/>
        <w:bottom w:val="none" w:sz="0" w:space="0" w:color="auto"/>
        <w:right w:val="none" w:sz="0" w:space="0" w:color="auto"/>
      </w:divBdr>
      <w:divsChild>
        <w:div w:id="1957248232">
          <w:marLeft w:val="0"/>
          <w:marRight w:val="0"/>
          <w:marTop w:val="0"/>
          <w:marBottom w:val="0"/>
          <w:divBdr>
            <w:top w:val="none" w:sz="0" w:space="0" w:color="auto"/>
            <w:left w:val="none" w:sz="0" w:space="0" w:color="auto"/>
            <w:bottom w:val="none" w:sz="0" w:space="0" w:color="auto"/>
            <w:right w:val="none" w:sz="0" w:space="0" w:color="auto"/>
          </w:divBdr>
          <w:divsChild>
            <w:div w:id="584343231">
              <w:marLeft w:val="0"/>
              <w:marRight w:val="0"/>
              <w:marTop w:val="0"/>
              <w:marBottom w:val="0"/>
              <w:divBdr>
                <w:top w:val="none" w:sz="0" w:space="0" w:color="auto"/>
                <w:left w:val="none" w:sz="0" w:space="0" w:color="auto"/>
                <w:bottom w:val="none" w:sz="0" w:space="0" w:color="auto"/>
                <w:right w:val="none" w:sz="0" w:space="0" w:color="auto"/>
              </w:divBdr>
              <w:divsChild>
                <w:div w:id="1683895164">
                  <w:marLeft w:val="0"/>
                  <w:marRight w:val="0"/>
                  <w:marTop w:val="0"/>
                  <w:marBottom w:val="0"/>
                  <w:divBdr>
                    <w:top w:val="none" w:sz="0" w:space="0" w:color="auto"/>
                    <w:left w:val="none" w:sz="0" w:space="0" w:color="auto"/>
                    <w:bottom w:val="none" w:sz="0" w:space="0" w:color="auto"/>
                    <w:right w:val="none" w:sz="0" w:space="0" w:color="auto"/>
                  </w:divBdr>
                  <w:divsChild>
                    <w:div w:id="15722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91161">
      <w:bodyDiv w:val="1"/>
      <w:marLeft w:val="0"/>
      <w:marRight w:val="0"/>
      <w:marTop w:val="0"/>
      <w:marBottom w:val="0"/>
      <w:divBdr>
        <w:top w:val="none" w:sz="0" w:space="0" w:color="auto"/>
        <w:left w:val="none" w:sz="0" w:space="0" w:color="auto"/>
        <w:bottom w:val="none" w:sz="0" w:space="0" w:color="auto"/>
        <w:right w:val="none" w:sz="0" w:space="0" w:color="auto"/>
      </w:divBdr>
      <w:divsChild>
        <w:div w:id="1593590046">
          <w:marLeft w:val="0"/>
          <w:marRight w:val="0"/>
          <w:marTop w:val="0"/>
          <w:marBottom w:val="0"/>
          <w:divBdr>
            <w:top w:val="none" w:sz="0" w:space="0" w:color="auto"/>
            <w:left w:val="none" w:sz="0" w:space="0" w:color="auto"/>
            <w:bottom w:val="none" w:sz="0" w:space="0" w:color="auto"/>
            <w:right w:val="none" w:sz="0" w:space="0" w:color="auto"/>
          </w:divBdr>
          <w:divsChild>
            <w:div w:id="1640109820">
              <w:marLeft w:val="0"/>
              <w:marRight w:val="0"/>
              <w:marTop w:val="0"/>
              <w:marBottom w:val="0"/>
              <w:divBdr>
                <w:top w:val="none" w:sz="0" w:space="0" w:color="auto"/>
                <w:left w:val="none" w:sz="0" w:space="0" w:color="auto"/>
                <w:bottom w:val="none" w:sz="0" w:space="0" w:color="auto"/>
                <w:right w:val="none" w:sz="0" w:space="0" w:color="auto"/>
              </w:divBdr>
              <w:divsChild>
                <w:div w:id="1342389081">
                  <w:marLeft w:val="0"/>
                  <w:marRight w:val="0"/>
                  <w:marTop w:val="0"/>
                  <w:marBottom w:val="0"/>
                  <w:divBdr>
                    <w:top w:val="none" w:sz="0" w:space="0" w:color="auto"/>
                    <w:left w:val="none" w:sz="0" w:space="0" w:color="auto"/>
                    <w:bottom w:val="none" w:sz="0" w:space="0" w:color="auto"/>
                    <w:right w:val="none" w:sz="0" w:space="0" w:color="auto"/>
                  </w:divBdr>
                  <w:divsChild>
                    <w:div w:id="12385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7205">
      <w:bodyDiv w:val="1"/>
      <w:marLeft w:val="0"/>
      <w:marRight w:val="0"/>
      <w:marTop w:val="0"/>
      <w:marBottom w:val="0"/>
      <w:divBdr>
        <w:top w:val="none" w:sz="0" w:space="0" w:color="auto"/>
        <w:left w:val="none" w:sz="0" w:space="0" w:color="auto"/>
        <w:bottom w:val="none" w:sz="0" w:space="0" w:color="auto"/>
        <w:right w:val="none" w:sz="0" w:space="0" w:color="auto"/>
      </w:divBdr>
    </w:div>
    <w:div w:id="973214688">
      <w:bodyDiv w:val="1"/>
      <w:marLeft w:val="0"/>
      <w:marRight w:val="0"/>
      <w:marTop w:val="0"/>
      <w:marBottom w:val="0"/>
      <w:divBdr>
        <w:top w:val="none" w:sz="0" w:space="0" w:color="auto"/>
        <w:left w:val="none" w:sz="0" w:space="0" w:color="auto"/>
        <w:bottom w:val="none" w:sz="0" w:space="0" w:color="auto"/>
        <w:right w:val="none" w:sz="0" w:space="0" w:color="auto"/>
      </w:divBdr>
    </w:div>
    <w:div w:id="973607801">
      <w:bodyDiv w:val="1"/>
      <w:marLeft w:val="0"/>
      <w:marRight w:val="0"/>
      <w:marTop w:val="0"/>
      <w:marBottom w:val="0"/>
      <w:divBdr>
        <w:top w:val="none" w:sz="0" w:space="0" w:color="auto"/>
        <w:left w:val="none" w:sz="0" w:space="0" w:color="auto"/>
        <w:bottom w:val="none" w:sz="0" w:space="0" w:color="auto"/>
        <w:right w:val="none" w:sz="0" w:space="0" w:color="auto"/>
      </w:divBdr>
    </w:div>
    <w:div w:id="984626718">
      <w:bodyDiv w:val="1"/>
      <w:marLeft w:val="0"/>
      <w:marRight w:val="0"/>
      <w:marTop w:val="0"/>
      <w:marBottom w:val="0"/>
      <w:divBdr>
        <w:top w:val="none" w:sz="0" w:space="0" w:color="auto"/>
        <w:left w:val="none" w:sz="0" w:space="0" w:color="auto"/>
        <w:bottom w:val="none" w:sz="0" w:space="0" w:color="auto"/>
        <w:right w:val="none" w:sz="0" w:space="0" w:color="auto"/>
      </w:divBdr>
      <w:divsChild>
        <w:div w:id="1663006423">
          <w:marLeft w:val="0"/>
          <w:marRight w:val="0"/>
          <w:marTop w:val="0"/>
          <w:marBottom w:val="0"/>
          <w:divBdr>
            <w:top w:val="none" w:sz="0" w:space="0" w:color="auto"/>
            <w:left w:val="none" w:sz="0" w:space="0" w:color="auto"/>
            <w:bottom w:val="none" w:sz="0" w:space="0" w:color="auto"/>
            <w:right w:val="none" w:sz="0" w:space="0" w:color="auto"/>
          </w:divBdr>
          <w:divsChild>
            <w:div w:id="67072638">
              <w:marLeft w:val="0"/>
              <w:marRight w:val="0"/>
              <w:marTop w:val="0"/>
              <w:marBottom w:val="0"/>
              <w:divBdr>
                <w:top w:val="none" w:sz="0" w:space="0" w:color="auto"/>
                <w:left w:val="none" w:sz="0" w:space="0" w:color="auto"/>
                <w:bottom w:val="none" w:sz="0" w:space="0" w:color="auto"/>
                <w:right w:val="none" w:sz="0" w:space="0" w:color="auto"/>
              </w:divBdr>
              <w:divsChild>
                <w:div w:id="19908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07045">
      <w:bodyDiv w:val="1"/>
      <w:marLeft w:val="0"/>
      <w:marRight w:val="0"/>
      <w:marTop w:val="0"/>
      <w:marBottom w:val="0"/>
      <w:divBdr>
        <w:top w:val="none" w:sz="0" w:space="0" w:color="auto"/>
        <w:left w:val="none" w:sz="0" w:space="0" w:color="auto"/>
        <w:bottom w:val="none" w:sz="0" w:space="0" w:color="auto"/>
        <w:right w:val="none" w:sz="0" w:space="0" w:color="auto"/>
      </w:divBdr>
      <w:divsChild>
        <w:div w:id="669678402">
          <w:marLeft w:val="0"/>
          <w:marRight w:val="0"/>
          <w:marTop w:val="0"/>
          <w:marBottom w:val="0"/>
          <w:divBdr>
            <w:top w:val="none" w:sz="0" w:space="0" w:color="auto"/>
            <w:left w:val="none" w:sz="0" w:space="0" w:color="auto"/>
            <w:bottom w:val="none" w:sz="0" w:space="0" w:color="auto"/>
            <w:right w:val="none" w:sz="0" w:space="0" w:color="auto"/>
          </w:divBdr>
          <w:divsChild>
            <w:div w:id="717435568">
              <w:marLeft w:val="0"/>
              <w:marRight w:val="0"/>
              <w:marTop w:val="0"/>
              <w:marBottom w:val="0"/>
              <w:divBdr>
                <w:top w:val="none" w:sz="0" w:space="0" w:color="auto"/>
                <w:left w:val="none" w:sz="0" w:space="0" w:color="auto"/>
                <w:bottom w:val="none" w:sz="0" w:space="0" w:color="auto"/>
                <w:right w:val="none" w:sz="0" w:space="0" w:color="auto"/>
              </w:divBdr>
              <w:divsChild>
                <w:div w:id="960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0243">
      <w:bodyDiv w:val="1"/>
      <w:marLeft w:val="0"/>
      <w:marRight w:val="0"/>
      <w:marTop w:val="0"/>
      <w:marBottom w:val="0"/>
      <w:divBdr>
        <w:top w:val="none" w:sz="0" w:space="0" w:color="auto"/>
        <w:left w:val="none" w:sz="0" w:space="0" w:color="auto"/>
        <w:bottom w:val="none" w:sz="0" w:space="0" w:color="auto"/>
        <w:right w:val="none" w:sz="0" w:space="0" w:color="auto"/>
      </w:divBdr>
      <w:divsChild>
        <w:div w:id="744298569">
          <w:marLeft w:val="0"/>
          <w:marRight w:val="0"/>
          <w:marTop w:val="0"/>
          <w:marBottom w:val="0"/>
          <w:divBdr>
            <w:top w:val="none" w:sz="0" w:space="0" w:color="auto"/>
            <w:left w:val="none" w:sz="0" w:space="0" w:color="auto"/>
            <w:bottom w:val="none" w:sz="0" w:space="0" w:color="auto"/>
            <w:right w:val="none" w:sz="0" w:space="0" w:color="auto"/>
          </w:divBdr>
          <w:divsChild>
            <w:div w:id="1122577252">
              <w:marLeft w:val="0"/>
              <w:marRight w:val="0"/>
              <w:marTop w:val="0"/>
              <w:marBottom w:val="0"/>
              <w:divBdr>
                <w:top w:val="none" w:sz="0" w:space="0" w:color="auto"/>
                <w:left w:val="none" w:sz="0" w:space="0" w:color="auto"/>
                <w:bottom w:val="none" w:sz="0" w:space="0" w:color="auto"/>
                <w:right w:val="none" w:sz="0" w:space="0" w:color="auto"/>
              </w:divBdr>
              <w:divsChild>
                <w:div w:id="6258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71393">
      <w:bodyDiv w:val="1"/>
      <w:marLeft w:val="0"/>
      <w:marRight w:val="0"/>
      <w:marTop w:val="0"/>
      <w:marBottom w:val="0"/>
      <w:divBdr>
        <w:top w:val="none" w:sz="0" w:space="0" w:color="auto"/>
        <w:left w:val="none" w:sz="0" w:space="0" w:color="auto"/>
        <w:bottom w:val="none" w:sz="0" w:space="0" w:color="auto"/>
        <w:right w:val="none" w:sz="0" w:space="0" w:color="auto"/>
      </w:divBdr>
    </w:div>
    <w:div w:id="992567660">
      <w:bodyDiv w:val="1"/>
      <w:marLeft w:val="0"/>
      <w:marRight w:val="0"/>
      <w:marTop w:val="0"/>
      <w:marBottom w:val="0"/>
      <w:divBdr>
        <w:top w:val="none" w:sz="0" w:space="0" w:color="auto"/>
        <w:left w:val="none" w:sz="0" w:space="0" w:color="auto"/>
        <w:bottom w:val="none" w:sz="0" w:space="0" w:color="auto"/>
        <w:right w:val="none" w:sz="0" w:space="0" w:color="auto"/>
      </w:divBdr>
      <w:divsChild>
        <w:div w:id="1903829599">
          <w:marLeft w:val="0"/>
          <w:marRight w:val="0"/>
          <w:marTop w:val="0"/>
          <w:marBottom w:val="0"/>
          <w:divBdr>
            <w:top w:val="none" w:sz="0" w:space="0" w:color="auto"/>
            <w:left w:val="none" w:sz="0" w:space="0" w:color="auto"/>
            <w:bottom w:val="none" w:sz="0" w:space="0" w:color="auto"/>
            <w:right w:val="none" w:sz="0" w:space="0" w:color="auto"/>
          </w:divBdr>
          <w:divsChild>
            <w:div w:id="33694809">
              <w:marLeft w:val="0"/>
              <w:marRight w:val="0"/>
              <w:marTop w:val="0"/>
              <w:marBottom w:val="0"/>
              <w:divBdr>
                <w:top w:val="none" w:sz="0" w:space="0" w:color="auto"/>
                <w:left w:val="none" w:sz="0" w:space="0" w:color="auto"/>
                <w:bottom w:val="none" w:sz="0" w:space="0" w:color="auto"/>
                <w:right w:val="none" w:sz="0" w:space="0" w:color="auto"/>
              </w:divBdr>
              <w:divsChild>
                <w:div w:id="1442072928">
                  <w:marLeft w:val="0"/>
                  <w:marRight w:val="0"/>
                  <w:marTop w:val="0"/>
                  <w:marBottom w:val="0"/>
                  <w:divBdr>
                    <w:top w:val="none" w:sz="0" w:space="0" w:color="auto"/>
                    <w:left w:val="none" w:sz="0" w:space="0" w:color="auto"/>
                    <w:bottom w:val="none" w:sz="0" w:space="0" w:color="auto"/>
                    <w:right w:val="none" w:sz="0" w:space="0" w:color="auto"/>
                  </w:divBdr>
                  <w:divsChild>
                    <w:div w:id="11470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148693">
      <w:bodyDiv w:val="1"/>
      <w:marLeft w:val="0"/>
      <w:marRight w:val="0"/>
      <w:marTop w:val="0"/>
      <w:marBottom w:val="0"/>
      <w:divBdr>
        <w:top w:val="none" w:sz="0" w:space="0" w:color="auto"/>
        <w:left w:val="none" w:sz="0" w:space="0" w:color="auto"/>
        <w:bottom w:val="none" w:sz="0" w:space="0" w:color="auto"/>
        <w:right w:val="none" w:sz="0" w:space="0" w:color="auto"/>
      </w:divBdr>
      <w:divsChild>
        <w:div w:id="1318460866">
          <w:marLeft w:val="0"/>
          <w:marRight w:val="0"/>
          <w:marTop w:val="0"/>
          <w:marBottom w:val="0"/>
          <w:divBdr>
            <w:top w:val="none" w:sz="0" w:space="0" w:color="auto"/>
            <w:left w:val="none" w:sz="0" w:space="0" w:color="auto"/>
            <w:bottom w:val="none" w:sz="0" w:space="0" w:color="auto"/>
            <w:right w:val="none" w:sz="0" w:space="0" w:color="auto"/>
          </w:divBdr>
          <w:divsChild>
            <w:div w:id="301036924">
              <w:marLeft w:val="0"/>
              <w:marRight w:val="0"/>
              <w:marTop w:val="0"/>
              <w:marBottom w:val="0"/>
              <w:divBdr>
                <w:top w:val="none" w:sz="0" w:space="0" w:color="auto"/>
                <w:left w:val="none" w:sz="0" w:space="0" w:color="auto"/>
                <w:bottom w:val="none" w:sz="0" w:space="0" w:color="auto"/>
                <w:right w:val="none" w:sz="0" w:space="0" w:color="auto"/>
              </w:divBdr>
              <w:divsChild>
                <w:div w:id="1957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7095">
      <w:bodyDiv w:val="1"/>
      <w:marLeft w:val="0"/>
      <w:marRight w:val="0"/>
      <w:marTop w:val="0"/>
      <w:marBottom w:val="0"/>
      <w:divBdr>
        <w:top w:val="none" w:sz="0" w:space="0" w:color="auto"/>
        <w:left w:val="none" w:sz="0" w:space="0" w:color="auto"/>
        <w:bottom w:val="none" w:sz="0" w:space="0" w:color="auto"/>
        <w:right w:val="none" w:sz="0" w:space="0" w:color="auto"/>
      </w:divBdr>
      <w:divsChild>
        <w:div w:id="1722556800">
          <w:marLeft w:val="0"/>
          <w:marRight w:val="0"/>
          <w:marTop w:val="0"/>
          <w:marBottom w:val="0"/>
          <w:divBdr>
            <w:top w:val="none" w:sz="0" w:space="0" w:color="auto"/>
            <w:left w:val="none" w:sz="0" w:space="0" w:color="auto"/>
            <w:bottom w:val="none" w:sz="0" w:space="0" w:color="auto"/>
            <w:right w:val="none" w:sz="0" w:space="0" w:color="auto"/>
          </w:divBdr>
          <w:divsChild>
            <w:div w:id="389813078">
              <w:marLeft w:val="0"/>
              <w:marRight w:val="0"/>
              <w:marTop w:val="0"/>
              <w:marBottom w:val="0"/>
              <w:divBdr>
                <w:top w:val="none" w:sz="0" w:space="0" w:color="auto"/>
                <w:left w:val="none" w:sz="0" w:space="0" w:color="auto"/>
                <w:bottom w:val="none" w:sz="0" w:space="0" w:color="auto"/>
                <w:right w:val="none" w:sz="0" w:space="0" w:color="auto"/>
              </w:divBdr>
              <w:divsChild>
                <w:div w:id="15547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48967">
      <w:bodyDiv w:val="1"/>
      <w:marLeft w:val="0"/>
      <w:marRight w:val="0"/>
      <w:marTop w:val="0"/>
      <w:marBottom w:val="0"/>
      <w:divBdr>
        <w:top w:val="none" w:sz="0" w:space="0" w:color="auto"/>
        <w:left w:val="none" w:sz="0" w:space="0" w:color="auto"/>
        <w:bottom w:val="none" w:sz="0" w:space="0" w:color="auto"/>
        <w:right w:val="none" w:sz="0" w:space="0" w:color="auto"/>
      </w:divBdr>
    </w:div>
    <w:div w:id="1003777226">
      <w:bodyDiv w:val="1"/>
      <w:marLeft w:val="0"/>
      <w:marRight w:val="0"/>
      <w:marTop w:val="0"/>
      <w:marBottom w:val="0"/>
      <w:divBdr>
        <w:top w:val="none" w:sz="0" w:space="0" w:color="auto"/>
        <w:left w:val="none" w:sz="0" w:space="0" w:color="auto"/>
        <w:bottom w:val="none" w:sz="0" w:space="0" w:color="auto"/>
        <w:right w:val="none" w:sz="0" w:space="0" w:color="auto"/>
      </w:divBdr>
      <w:divsChild>
        <w:div w:id="1777823556">
          <w:marLeft w:val="0"/>
          <w:marRight w:val="0"/>
          <w:marTop w:val="0"/>
          <w:marBottom w:val="0"/>
          <w:divBdr>
            <w:top w:val="none" w:sz="0" w:space="0" w:color="auto"/>
            <w:left w:val="none" w:sz="0" w:space="0" w:color="auto"/>
            <w:bottom w:val="none" w:sz="0" w:space="0" w:color="auto"/>
            <w:right w:val="none" w:sz="0" w:space="0" w:color="auto"/>
          </w:divBdr>
          <w:divsChild>
            <w:div w:id="1649089417">
              <w:marLeft w:val="0"/>
              <w:marRight w:val="0"/>
              <w:marTop w:val="0"/>
              <w:marBottom w:val="0"/>
              <w:divBdr>
                <w:top w:val="none" w:sz="0" w:space="0" w:color="auto"/>
                <w:left w:val="none" w:sz="0" w:space="0" w:color="auto"/>
                <w:bottom w:val="none" w:sz="0" w:space="0" w:color="auto"/>
                <w:right w:val="none" w:sz="0" w:space="0" w:color="auto"/>
              </w:divBdr>
              <w:divsChild>
                <w:div w:id="18062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7272">
      <w:bodyDiv w:val="1"/>
      <w:marLeft w:val="0"/>
      <w:marRight w:val="0"/>
      <w:marTop w:val="0"/>
      <w:marBottom w:val="0"/>
      <w:divBdr>
        <w:top w:val="none" w:sz="0" w:space="0" w:color="auto"/>
        <w:left w:val="none" w:sz="0" w:space="0" w:color="auto"/>
        <w:bottom w:val="none" w:sz="0" w:space="0" w:color="auto"/>
        <w:right w:val="none" w:sz="0" w:space="0" w:color="auto"/>
      </w:divBdr>
      <w:divsChild>
        <w:div w:id="312878087">
          <w:marLeft w:val="0"/>
          <w:marRight w:val="0"/>
          <w:marTop w:val="0"/>
          <w:marBottom w:val="0"/>
          <w:divBdr>
            <w:top w:val="none" w:sz="0" w:space="0" w:color="auto"/>
            <w:left w:val="none" w:sz="0" w:space="0" w:color="auto"/>
            <w:bottom w:val="none" w:sz="0" w:space="0" w:color="auto"/>
            <w:right w:val="none" w:sz="0" w:space="0" w:color="auto"/>
          </w:divBdr>
          <w:divsChild>
            <w:div w:id="84886276">
              <w:marLeft w:val="0"/>
              <w:marRight w:val="0"/>
              <w:marTop w:val="0"/>
              <w:marBottom w:val="0"/>
              <w:divBdr>
                <w:top w:val="none" w:sz="0" w:space="0" w:color="auto"/>
                <w:left w:val="none" w:sz="0" w:space="0" w:color="auto"/>
                <w:bottom w:val="none" w:sz="0" w:space="0" w:color="auto"/>
                <w:right w:val="none" w:sz="0" w:space="0" w:color="auto"/>
              </w:divBdr>
              <w:divsChild>
                <w:div w:id="8373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90074">
      <w:bodyDiv w:val="1"/>
      <w:marLeft w:val="0"/>
      <w:marRight w:val="0"/>
      <w:marTop w:val="0"/>
      <w:marBottom w:val="0"/>
      <w:divBdr>
        <w:top w:val="none" w:sz="0" w:space="0" w:color="auto"/>
        <w:left w:val="none" w:sz="0" w:space="0" w:color="auto"/>
        <w:bottom w:val="none" w:sz="0" w:space="0" w:color="auto"/>
        <w:right w:val="none" w:sz="0" w:space="0" w:color="auto"/>
      </w:divBdr>
      <w:divsChild>
        <w:div w:id="1778254122">
          <w:marLeft w:val="0"/>
          <w:marRight w:val="0"/>
          <w:marTop w:val="0"/>
          <w:marBottom w:val="0"/>
          <w:divBdr>
            <w:top w:val="none" w:sz="0" w:space="0" w:color="auto"/>
            <w:left w:val="none" w:sz="0" w:space="0" w:color="auto"/>
            <w:bottom w:val="none" w:sz="0" w:space="0" w:color="auto"/>
            <w:right w:val="none" w:sz="0" w:space="0" w:color="auto"/>
          </w:divBdr>
          <w:divsChild>
            <w:div w:id="1614559215">
              <w:marLeft w:val="0"/>
              <w:marRight w:val="0"/>
              <w:marTop w:val="0"/>
              <w:marBottom w:val="0"/>
              <w:divBdr>
                <w:top w:val="none" w:sz="0" w:space="0" w:color="auto"/>
                <w:left w:val="none" w:sz="0" w:space="0" w:color="auto"/>
                <w:bottom w:val="none" w:sz="0" w:space="0" w:color="auto"/>
                <w:right w:val="none" w:sz="0" w:space="0" w:color="auto"/>
              </w:divBdr>
              <w:divsChild>
                <w:div w:id="20946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199">
      <w:bodyDiv w:val="1"/>
      <w:marLeft w:val="0"/>
      <w:marRight w:val="0"/>
      <w:marTop w:val="0"/>
      <w:marBottom w:val="0"/>
      <w:divBdr>
        <w:top w:val="none" w:sz="0" w:space="0" w:color="auto"/>
        <w:left w:val="none" w:sz="0" w:space="0" w:color="auto"/>
        <w:bottom w:val="none" w:sz="0" w:space="0" w:color="auto"/>
        <w:right w:val="none" w:sz="0" w:space="0" w:color="auto"/>
      </w:divBdr>
      <w:divsChild>
        <w:div w:id="1059786881">
          <w:marLeft w:val="0"/>
          <w:marRight w:val="0"/>
          <w:marTop w:val="0"/>
          <w:marBottom w:val="0"/>
          <w:divBdr>
            <w:top w:val="none" w:sz="0" w:space="0" w:color="auto"/>
            <w:left w:val="none" w:sz="0" w:space="0" w:color="auto"/>
            <w:bottom w:val="none" w:sz="0" w:space="0" w:color="auto"/>
            <w:right w:val="none" w:sz="0" w:space="0" w:color="auto"/>
          </w:divBdr>
          <w:divsChild>
            <w:div w:id="14116990">
              <w:marLeft w:val="0"/>
              <w:marRight w:val="0"/>
              <w:marTop w:val="0"/>
              <w:marBottom w:val="0"/>
              <w:divBdr>
                <w:top w:val="none" w:sz="0" w:space="0" w:color="auto"/>
                <w:left w:val="none" w:sz="0" w:space="0" w:color="auto"/>
                <w:bottom w:val="none" w:sz="0" w:space="0" w:color="auto"/>
                <w:right w:val="none" w:sz="0" w:space="0" w:color="auto"/>
              </w:divBdr>
              <w:divsChild>
                <w:div w:id="6099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8977">
      <w:bodyDiv w:val="1"/>
      <w:marLeft w:val="0"/>
      <w:marRight w:val="0"/>
      <w:marTop w:val="0"/>
      <w:marBottom w:val="0"/>
      <w:divBdr>
        <w:top w:val="none" w:sz="0" w:space="0" w:color="auto"/>
        <w:left w:val="none" w:sz="0" w:space="0" w:color="auto"/>
        <w:bottom w:val="none" w:sz="0" w:space="0" w:color="auto"/>
        <w:right w:val="none" w:sz="0" w:space="0" w:color="auto"/>
      </w:divBdr>
      <w:divsChild>
        <w:div w:id="362102013">
          <w:marLeft w:val="0"/>
          <w:marRight w:val="0"/>
          <w:marTop w:val="0"/>
          <w:marBottom w:val="0"/>
          <w:divBdr>
            <w:top w:val="none" w:sz="0" w:space="0" w:color="auto"/>
            <w:left w:val="none" w:sz="0" w:space="0" w:color="auto"/>
            <w:bottom w:val="none" w:sz="0" w:space="0" w:color="auto"/>
            <w:right w:val="none" w:sz="0" w:space="0" w:color="auto"/>
          </w:divBdr>
          <w:divsChild>
            <w:div w:id="1420055955">
              <w:marLeft w:val="0"/>
              <w:marRight w:val="0"/>
              <w:marTop w:val="0"/>
              <w:marBottom w:val="0"/>
              <w:divBdr>
                <w:top w:val="none" w:sz="0" w:space="0" w:color="auto"/>
                <w:left w:val="none" w:sz="0" w:space="0" w:color="auto"/>
                <w:bottom w:val="none" w:sz="0" w:space="0" w:color="auto"/>
                <w:right w:val="none" w:sz="0" w:space="0" w:color="auto"/>
              </w:divBdr>
              <w:divsChild>
                <w:div w:id="1889415364">
                  <w:marLeft w:val="0"/>
                  <w:marRight w:val="0"/>
                  <w:marTop w:val="0"/>
                  <w:marBottom w:val="0"/>
                  <w:divBdr>
                    <w:top w:val="none" w:sz="0" w:space="0" w:color="auto"/>
                    <w:left w:val="none" w:sz="0" w:space="0" w:color="auto"/>
                    <w:bottom w:val="none" w:sz="0" w:space="0" w:color="auto"/>
                    <w:right w:val="none" w:sz="0" w:space="0" w:color="auto"/>
                  </w:divBdr>
                  <w:divsChild>
                    <w:div w:id="19621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444702">
      <w:bodyDiv w:val="1"/>
      <w:marLeft w:val="0"/>
      <w:marRight w:val="0"/>
      <w:marTop w:val="0"/>
      <w:marBottom w:val="0"/>
      <w:divBdr>
        <w:top w:val="none" w:sz="0" w:space="0" w:color="auto"/>
        <w:left w:val="none" w:sz="0" w:space="0" w:color="auto"/>
        <w:bottom w:val="none" w:sz="0" w:space="0" w:color="auto"/>
        <w:right w:val="none" w:sz="0" w:space="0" w:color="auto"/>
      </w:divBdr>
    </w:div>
    <w:div w:id="1042755453">
      <w:bodyDiv w:val="1"/>
      <w:marLeft w:val="0"/>
      <w:marRight w:val="0"/>
      <w:marTop w:val="0"/>
      <w:marBottom w:val="0"/>
      <w:divBdr>
        <w:top w:val="none" w:sz="0" w:space="0" w:color="auto"/>
        <w:left w:val="none" w:sz="0" w:space="0" w:color="auto"/>
        <w:bottom w:val="none" w:sz="0" w:space="0" w:color="auto"/>
        <w:right w:val="none" w:sz="0" w:space="0" w:color="auto"/>
      </w:divBdr>
      <w:divsChild>
        <w:div w:id="1636791075">
          <w:marLeft w:val="0"/>
          <w:marRight w:val="0"/>
          <w:marTop w:val="0"/>
          <w:marBottom w:val="0"/>
          <w:divBdr>
            <w:top w:val="none" w:sz="0" w:space="0" w:color="auto"/>
            <w:left w:val="none" w:sz="0" w:space="0" w:color="auto"/>
            <w:bottom w:val="none" w:sz="0" w:space="0" w:color="auto"/>
            <w:right w:val="none" w:sz="0" w:space="0" w:color="auto"/>
          </w:divBdr>
          <w:divsChild>
            <w:div w:id="571046162">
              <w:marLeft w:val="0"/>
              <w:marRight w:val="0"/>
              <w:marTop w:val="0"/>
              <w:marBottom w:val="0"/>
              <w:divBdr>
                <w:top w:val="none" w:sz="0" w:space="0" w:color="auto"/>
                <w:left w:val="none" w:sz="0" w:space="0" w:color="auto"/>
                <w:bottom w:val="none" w:sz="0" w:space="0" w:color="auto"/>
                <w:right w:val="none" w:sz="0" w:space="0" w:color="auto"/>
              </w:divBdr>
              <w:divsChild>
                <w:div w:id="1148789076">
                  <w:marLeft w:val="0"/>
                  <w:marRight w:val="0"/>
                  <w:marTop w:val="0"/>
                  <w:marBottom w:val="0"/>
                  <w:divBdr>
                    <w:top w:val="none" w:sz="0" w:space="0" w:color="auto"/>
                    <w:left w:val="none" w:sz="0" w:space="0" w:color="auto"/>
                    <w:bottom w:val="none" w:sz="0" w:space="0" w:color="auto"/>
                    <w:right w:val="none" w:sz="0" w:space="0" w:color="auto"/>
                  </w:divBdr>
                  <w:divsChild>
                    <w:div w:id="9103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886504">
      <w:bodyDiv w:val="1"/>
      <w:marLeft w:val="0"/>
      <w:marRight w:val="0"/>
      <w:marTop w:val="0"/>
      <w:marBottom w:val="0"/>
      <w:divBdr>
        <w:top w:val="none" w:sz="0" w:space="0" w:color="auto"/>
        <w:left w:val="none" w:sz="0" w:space="0" w:color="auto"/>
        <w:bottom w:val="none" w:sz="0" w:space="0" w:color="auto"/>
        <w:right w:val="none" w:sz="0" w:space="0" w:color="auto"/>
      </w:divBdr>
    </w:div>
    <w:div w:id="1062556239">
      <w:bodyDiv w:val="1"/>
      <w:marLeft w:val="0"/>
      <w:marRight w:val="0"/>
      <w:marTop w:val="0"/>
      <w:marBottom w:val="0"/>
      <w:divBdr>
        <w:top w:val="none" w:sz="0" w:space="0" w:color="auto"/>
        <w:left w:val="none" w:sz="0" w:space="0" w:color="auto"/>
        <w:bottom w:val="none" w:sz="0" w:space="0" w:color="auto"/>
        <w:right w:val="none" w:sz="0" w:space="0" w:color="auto"/>
      </w:divBdr>
      <w:divsChild>
        <w:div w:id="1829587314">
          <w:marLeft w:val="0"/>
          <w:marRight w:val="0"/>
          <w:marTop w:val="0"/>
          <w:marBottom w:val="0"/>
          <w:divBdr>
            <w:top w:val="none" w:sz="0" w:space="0" w:color="auto"/>
            <w:left w:val="none" w:sz="0" w:space="0" w:color="auto"/>
            <w:bottom w:val="none" w:sz="0" w:space="0" w:color="auto"/>
            <w:right w:val="none" w:sz="0" w:space="0" w:color="auto"/>
          </w:divBdr>
          <w:divsChild>
            <w:div w:id="243801380">
              <w:marLeft w:val="0"/>
              <w:marRight w:val="0"/>
              <w:marTop w:val="0"/>
              <w:marBottom w:val="0"/>
              <w:divBdr>
                <w:top w:val="none" w:sz="0" w:space="0" w:color="auto"/>
                <w:left w:val="none" w:sz="0" w:space="0" w:color="auto"/>
                <w:bottom w:val="none" w:sz="0" w:space="0" w:color="auto"/>
                <w:right w:val="none" w:sz="0" w:space="0" w:color="auto"/>
              </w:divBdr>
              <w:divsChild>
                <w:div w:id="1838498614">
                  <w:marLeft w:val="0"/>
                  <w:marRight w:val="0"/>
                  <w:marTop w:val="0"/>
                  <w:marBottom w:val="0"/>
                  <w:divBdr>
                    <w:top w:val="none" w:sz="0" w:space="0" w:color="auto"/>
                    <w:left w:val="none" w:sz="0" w:space="0" w:color="auto"/>
                    <w:bottom w:val="none" w:sz="0" w:space="0" w:color="auto"/>
                    <w:right w:val="none" w:sz="0" w:space="0" w:color="auto"/>
                  </w:divBdr>
                  <w:divsChild>
                    <w:div w:id="210941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67106">
      <w:bodyDiv w:val="1"/>
      <w:marLeft w:val="0"/>
      <w:marRight w:val="0"/>
      <w:marTop w:val="0"/>
      <w:marBottom w:val="0"/>
      <w:divBdr>
        <w:top w:val="none" w:sz="0" w:space="0" w:color="auto"/>
        <w:left w:val="none" w:sz="0" w:space="0" w:color="auto"/>
        <w:bottom w:val="none" w:sz="0" w:space="0" w:color="auto"/>
        <w:right w:val="none" w:sz="0" w:space="0" w:color="auto"/>
      </w:divBdr>
      <w:divsChild>
        <w:div w:id="1619094764">
          <w:marLeft w:val="0"/>
          <w:marRight w:val="0"/>
          <w:marTop w:val="0"/>
          <w:marBottom w:val="0"/>
          <w:divBdr>
            <w:top w:val="none" w:sz="0" w:space="0" w:color="auto"/>
            <w:left w:val="none" w:sz="0" w:space="0" w:color="auto"/>
            <w:bottom w:val="none" w:sz="0" w:space="0" w:color="auto"/>
            <w:right w:val="none" w:sz="0" w:space="0" w:color="auto"/>
          </w:divBdr>
          <w:divsChild>
            <w:div w:id="1696348914">
              <w:marLeft w:val="0"/>
              <w:marRight w:val="0"/>
              <w:marTop w:val="0"/>
              <w:marBottom w:val="0"/>
              <w:divBdr>
                <w:top w:val="none" w:sz="0" w:space="0" w:color="auto"/>
                <w:left w:val="none" w:sz="0" w:space="0" w:color="auto"/>
                <w:bottom w:val="none" w:sz="0" w:space="0" w:color="auto"/>
                <w:right w:val="none" w:sz="0" w:space="0" w:color="auto"/>
              </w:divBdr>
              <w:divsChild>
                <w:div w:id="1376812153">
                  <w:marLeft w:val="0"/>
                  <w:marRight w:val="0"/>
                  <w:marTop w:val="0"/>
                  <w:marBottom w:val="0"/>
                  <w:divBdr>
                    <w:top w:val="none" w:sz="0" w:space="0" w:color="auto"/>
                    <w:left w:val="none" w:sz="0" w:space="0" w:color="auto"/>
                    <w:bottom w:val="none" w:sz="0" w:space="0" w:color="auto"/>
                    <w:right w:val="none" w:sz="0" w:space="0" w:color="auto"/>
                  </w:divBdr>
                  <w:divsChild>
                    <w:div w:id="2909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335598">
      <w:bodyDiv w:val="1"/>
      <w:marLeft w:val="0"/>
      <w:marRight w:val="0"/>
      <w:marTop w:val="0"/>
      <w:marBottom w:val="0"/>
      <w:divBdr>
        <w:top w:val="none" w:sz="0" w:space="0" w:color="auto"/>
        <w:left w:val="none" w:sz="0" w:space="0" w:color="auto"/>
        <w:bottom w:val="none" w:sz="0" w:space="0" w:color="auto"/>
        <w:right w:val="none" w:sz="0" w:space="0" w:color="auto"/>
      </w:divBdr>
    </w:div>
    <w:div w:id="1074474717">
      <w:bodyDiv w:val="1"/>
      <w:marLeft w:val="0"/>
      <w:marRight w:val="0"/>
      <w:marTop w:val="0"/>
      <w:marBottom w:val="0"/>
      <w:divBdr>
        <w:top w:val="none" w:sz="0" w:space="0" w:color="auto"/>
        <w:left w:val="none" w:sz="0" w:space="0" w:color="auto"/>
        <w:bottom w:val="none" w:sz="0" w:space="0" w:color="auto"/>
        <w:right w:val="none" w:sz="0" w:space="0" w:color="auto"/>
      </w:divBdr>
      <w:divsChild>
        <w:div w:id="1484545282">
          <w:marLeft w:val="0"/>
          <w:marRight w:val="0"/>
          <w:marTop w:val="0"/>
          <w:marBottom w:val="0"/>
          <w:divBdr>
            <w:top w:val="none" w:sz="0" w:space="0" w:color="auto"/>
            <w:left w:val="none" w:sz="0" w:space="0" w:color="auto"/>
            <w:bottom w:val="none" w:sz="0" w:space="0" w:color="auto"/>
            <w:right w:val="none" w:sz="0" w:space="0" w:color="auto"/>
          </w:divBdr>
          <w:divsChild>
            <w:div w:id="1979144037">
              <w:marLeft w:val="0"/>
              <w:marRight w:val="0"/>
              <w:marTop w:val="0"/>
              <w:marBottom w:val="0"/>
              <w:divBdr>
                <w:top w:val="none" w:sz="0" w:space="0" w:color="auto"/>
                <w:left w:val="none" w:sz="0" w:space="0" w:color="auto"/>
                <w:bottom w:val="none" w:sz="0" w:space="0" w:color="auto"/>
                <w:right w:val="none" w:sz="0" w:space="0" w:color="auto"/>
              </w:divBdr>
              <w:divsChild>
                <w:div w:id="6099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6132">
      <w:bodyDiv w:val="1"/>
      <w:marLeft w:val="0"/>
      <w:marRight w:val="0"/>
      <w:marTop w:val="0"/>
      <w:marBottom w:val="0"/>
      <w:divBdr>
        <w:top w:val="none" w:sz="0" w:space="0" w:color="auto"/>
        <w:left w:val="none" w:sz="0" w:space="0" w:color="auto"/>
        <w:bottom w:val="none" w:sz="0" w:space="0" w:color="auto"/>
        <w:right w:val="none" w:sz="0" w:space="0" w:color="auto"/>
      </w:divBdr>
      <w:divsChild>
        <w:div w:id="406000843">
          <w:marLeft w:val="0"/>
          <w:marRight w:val="0"/>
          <w:marTop w:val="0"/>
          <w:marBottom w:val="0"/>
          <w:divBdr>
            <w:top w:val="none" w:sz="0" w:space="0" w:color="auto"/>
            <w:left w:val="none" w:sz="0" w:space="0" w:color="auto"/>
            <w:bottom w:val="none" w:sz="0" w:space="0" w:color="auto"/>
            <w:right w:val="none" w:sz="0" w:space="0" w:color="auto"/>
          </w:divBdr>
          <w:divsChild>
            <w:div w:id="1444690004">
              <w:marLeft w:val="0"/>
              <w:marRight w:val="0"/>
              <w:marTop w:val="0"/>
              <w:marBottom w:val="0"/>
              <w:divBdr>
                <w:top w:val="none" w:sz="0" w:space="0" w:color="auto"/>
                <w:left w:val="none" w:sz="0" w:space="0" w:color="auto"/>
                <w:bottom w:val="none" w:sz="0" w:space="0" w:color="auto"/>
                <w:right w:val="none" w:sz="0" w:space="0" w:color="auto"/>
              </w:divBdr>
              <w:divsChild>
                <w:div w:id="1428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6871">
      <w:bodyDiv w:val="1"/>
      <w:marLeft w:val="0"/>
      <w:marRight w:val="0"/>
      <w:marTop w:val="0"/>
      <w:marBottom w:val="0"/>
      <w:divBdr>
        <w:top w:val="none" w:sz="0" w:space="0" w:color="auto"/>
        <w:left w:val="none" w:sz="0" w:space="0" w:color="auto"/>
        <w:bottom w:val="none" w:sz="0" w:space="0" w:color="auto"/>
        <w:right w:val="none" w:sz="0" w:space="0" w:color="auto"/>
      </w:divBdr>
      <w:divsChild>
        <w:div w:id="238832717">
          <w:marLeft w:val="0"/>
          <w:marRight w:val="0"/>
          <w:marTop w:val="0"/>
          <w:marBottom w:val="0"/>
          <w:divBdr>
            <w:top w:val="none" w:sz="0" w:space="0" w:color="auto"/>
            <w:left w:val="none" w:sz="0" w:space="0" w:color="auto"/>
            <w:bottom w:val="none" w:sz="0" w:space="0" w:color="auto"/>
            <w:right w:val="none" w:sz="0" w:space="0" w:color="auto"/>
          </w:divBdr>
          <w:divsChild>
            <w:div w:id="1216234104">
              <w:marLeft w:val="0"/>
              <w:marRight w:val="0"/>
              <w:marTop w:val="0"/>
              <w:marBottom w:val="0"/>
              <w:divBdr>
                <w:top w:val="none" w:sz="0" w:space="0" w:color="auto"/>
                <w:left w:val="none" w:sz="0" w:space="0" w:color="auto"/>
                <w:bottom w:val="none" w:sz="0" w:space="0" w:color="auto"/>
                <w:right w:val="none" w:sz="0" w:space="0" w:color="auto"/>
              </w:divBdr>
              <w:divsChild>
                <w:div w:id="340596025">
                  <w:marLeft w:val="0"/>
                  <w:marRight w:val="0"/>
                  <w:marTop w:val="0"/>
                  <w:marBottom w:val="0"/>
                  <w:divBdr>
                    <w:top w:val="none" w:sz="0" w:space="0" w:color="auto"/>
                    <w:left w:val="none" w:sz="0" w:space="0" w:color="auto"/>
                    <w:bottom w:val="none" w:sz="0" w:space="0" w:color="auto"/>
                    <w:right w:val="none" w:sz="0" w:space="0" w:color="auto"/>
                  </w:divBdr>
                  <w:divsChild>
                    <w:div w:id="1154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1978">
      <w:bodyDiv w:val="1"/>
      <w:marLeft w:val="0"/>
      <w:marRight w:val="0"/>
      <w:marTop w:val="0"/>
      <w:marBottom w:val="0"/>
      <w:divBdr>
        <w:top w:val="none" w:sz="0" w:space="0" w:color="auto"/>
        <w:left w:val="none" w:sz="0" w:space="0" w:color="auto"/>
        <w:bottom w:val="none" w:sz="0" w:space="0" w:color="auto"/>
        <w:right w:val="none" w:sz="0" w:space="0" w:color="auto"/>
      </w:divBdr>
      <w:divsChild>
        <w:div w:id="1420835922">
          <w:marLeft w:val="0"/>
          <w:marRight w:val="0"/>
          <w:marTop w:val="0"/>
          <w:marBottom w:val="0"/>
          <w:divBdr>
            <w:top w:val="none" w:sz="0" w:space="0" w:color="auto"/>
            <w:left w:val="none" w:sz="0" w:space="0" w:color="auto"/>
            <w:bottom w:val="none" w:sz="0" w:space="0" w:color="auto"/>
            <w:right w:val="none" w:sz="0" w:space="0" w:color="auto"/>
          </w:divBdr>
          <w:divsChild>
            <w:div w:id="563374306">
              <w:marLeft w:val="0"/>
              <w:marRight w:val="0"/>
              <w:marTop w:val="0"/>
              <w:marBottom w:val="0"/>
              <w:divBdr>
                <w:top w:val="none" w:sz="0" w:space="0" w:color="auto"/>
                <w:left w:val="none" w:sz="0" w:space="0" w:color="auto"/>
                <w:bottom w:val="none" w:sz="0" w:space="0" w:color="auto"/>
                <w:right w:val="none" w:sz="0" w:space="0" w:color="auto"/>
              </w:divBdr>
              <w:divsChild>
                <w:div w:id="967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323">
      <w:bodyDiv w:val="1"/>
      <w:marLeft w:val="0"/>
      <w:marRight w:val="0"/>
      <w:marTop w:val="0"/>
      <w:marBottom w:val="0"/>
      <w:divBdr>
        <w:top w:val="none" w:sz="0" w:space="0" w:color="auto"/>
        <w:left w:val="none" w:sz="0" w:space="0" w:color="auto"/>
        <w:bottom w:val="none" w:sz="0" w:space="0" w:color="auto"/>
        <w:right w:val="none" w:sz="0" w:space="0" w:color="auto"/>
      </w:divBdr>
    </w:div>
    <w:div w:id="1080524593">
      <w:bodyDiv w:val="1"/>
      <w:marLeft w:val="0"/>
      <w:marRight w:val="0"/>
      <w:marTop w:val="0"/>
      <w:marBottom w:val="0"/>
      <w:divBdr>
        <w:top w:val="none" w:sz="0" w:space="0" w:color="auto"/>
        <w:left w:val="none" w:sz="0" w:space="0" w:color="auto"/>
        <w:bottom w:val="none" w:sz="0" w:space="0" w:color="auto"/>
        <w:right w:val="none" w:sz="0" w:space="0" w:color="auto"/>
      </w:divBdr>
    </w:div>
    <w:div w:id="1081021912">
      <w:bodyDiv w:val="1"/>
      <w:marLeft w:val="0"/>
      <w:marRight w:val="0"/>
      <w:marTop w:val="0"/>
      <w:marBottom w:val="0"/>
      <w:divBdr>
        <w:top w:val="none" w:sz="0" w:space="0" w:color="auto"/>
        <w:left w:val="none" w:sz="0" w:space="0" w:color="auto"/>
        <w:bottom w:val="none" w:sz="0" w:space="0" w:color="auto"/>
        <w:right w:val="none" w:sz="0" w:space="0" w:color="auto"/>
      </w:divBdr>
      <w:divsChild>
        <w:div w:id="280305374">
          <w:marLeft w:val="0"/>
          <w:marRight w:val="0"/>
          <w:marTop w:val="0"/>
          <w:marBottom w:val="0"/>
          <w:divBdr>
            <w:top w:val="none" w:sz="0" w:space="0" w:color="auto"/>
            <w:left w:val="none" w:sz="0" w:space="0" w:color="auto"/>
            <w:bottom w:val="none" w:sz="0" w:space="0" w:color="auto"/>
            <w:right w:val="none" w:sz="0" w:space="0" w:color="auto"/>
          </w:divBdr>
          <w:divsChild>
            <w:div w:id="1370763811">
              <w:marLeft w:val="0"/>
              <w:marRight w:val="0"/>
              <w:marTop w:val="0"/>
              <w:marBottom w:val="0"/>
              <w:divBdr>
                <w:top w:val="none" w:sz="0" w:space="0" w:color="auto"/>
                <w:left w:val="none" w:sz="0" w:space="0" w:color="auto"/>
                <w:bottom w:val="none" w:sz="0" w:space="0" w:color="auto"/>
                <w:right w:val="none" w:sz="0" w:space="0" w:color="auto"/>
              </w:divBdr>
              <w:divsChild>
                <w:div w:id="1263611959">
                  <w:marLeft w:val="0"/>
                  <w:marRight w:val="0"/>
                  <w:marTop w:val="0"/>
                  <w:marBottom w:val="0"/>
                  <w:divBdr>
                    <w:top w:val="none" w:sz="0" w:space="0" w:color="auto"/>
                    <w:left w:val="none" w:sz="0" w:space="0" w:color="auto"/>
                    <w:bottom w:val="none" w:sz="0" w:space="0" w:color="auto"/>
                    <w:right w:val="none" w:sz="0" w:space="0" w:color="auto"/>
                  </w:divBdr>
                  <w:divsChild>
                    <w:div w:id="7348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0807">
      <w:bodyDiv w:val="1"/>
      <w:marLeft w:val="0"/>
      <w:marRight w:val="0"/>
      <w:marTop w:val="0"/>
      <w:marBottom w:val="0"/>
      <w:divBdr>
        <w:top w:val="none" w:sz="0" w:space="0" w:color="auto"/>
        <w:left w:val="none" w:sz="0" w:space="0" w:color="auto"/>
        <w:bottom w:val="none" w:sz="0" w:space="0" w:color="auto"/>
        <w:right w:val="none" w:sz="0" w:space="0" w:color="auto"/>
      </w:divBdr>
    </w:div>
    <w:div w:id="1085765558">
      <w:bodyDiv w:val="1"/>
      <w:marLeft w:val="0"/>
      <w:marRight w:val="0"/>
      <w:marTop w:val="0"/>
      <w:marBottom w:val="0"/>
      <w:divBdr>
        <w:top w:val="none" w:sz="0" w:space="0" w:color="auto"/>
        <w:left w:val="none" w:sz="0" w:space="0" w:color="auto"/>
        <w:bottom w:val="none" w:sz="0" w:space="0" w:color="auto"/>
        <w:right w:val="none" w:sz="0" w:space="0" w:color="auto"/>
      </w:divBdr>
    </w:div>
    <w:div w:id="1085959442">
      <w:bodyDiv w:val="1"/>
      <w:marLeft w:val="0"/>
      <w:marRight w:val="0"/>
      <w:marTop w:val="0"/>
      <w:marBottom w:val="0"/>
      <w:divBdr>
        <w:top w:val="none" w:sz="0" w:space="0" w:color="auto"/>
        <w:left w:val="none" w:sz="0" w:space="0" w:color="auto"/>
        <w:bottom w:val="none" w:sz="0" w:space="0" w:color="auto"/>
        <w:right w:val="none" w:sz="0" w:space="0" w:color="auto"/>
      </w:divBdr>
      <w:divsChild>
        <w:div w:id="1619216338">
          <w:marLeft w:val="1325"/>
          <w:marRight w:val="0"/>
          <w:marTop w:val="115"/>
          <w:marBottom w:val="0"/>
          <w:divBdr>
            <w:top w:val="none" w:sz="0" w:space="0" w:color="auto"/>
            <w:left w:val="none" w:sz="0" w:space="0" w:color="auto"/>
            <w:bottom w:val="none" w:sz="0" w:space="0" w:color="auto"/>
            <w:right w:val="none" w:sz="0" w:space="0" w:color="auto"/>
          </w:divBdr>
        </w:div>
        <w:div w:id="1741515024">
          <w:marLeft w:val="1325"/>
          <w:marRight w:val="0"/>
          <w:marTop w:val="115"/>
          <w:marBottom w:val="0"/>
          <w:divBdr>
            <w:top w:val="none" w:sz="0" w:space="0" w:color="auto"/>
            <w:left w:val="none" w:sz="0" w:space="0" w:color="auto"/>
            <w:bottom w:val="none" w:sz="0" w:space="0" w:color="auto"/>
            <w:right w:val="none" w:sz="0" w:space="0" w:color="auto"/>
          </w:divBdr>
        </w:div>
      </w:divsChild>
    </w:div>
    <w:div w:id="1091777920">
      <w:bodyDiv w:val="1"/>
      <w:marLeft w:val="0"/>
      <w:marRight w:val="0"/>
      <w:marTop w:val="0"/>
      <w:marBottom w:val="0"/>
      <w:divBdr>
        <w:top w:val="none" w:sz="0" w:space="0" w:color="auto"/>
        <w:left w:val="none" w:sz="0" w:space="0" w:color="auto"/>
        <w:bottom w:val="none" w:sz="0" w:space="0" w:color="auto"/>
        <w:right w:val="none" w:sz="0" w:space="0" w:color="auto"/>
      </w:divBdr>
      <w:divsChild>
        <w:div w:id="927739398">
          <w:marLeft w:val="0"/>
          <w:marRight w:val="0"/>
          <w:marTop w:val="0"/>
          <w:marBottom w:val="0"/>
          <w:divBdr>
            <w:top w:val="none" w:sz="0" w:space="0" w:color="auto"/>
            <w:left w:val="none" w:sz="0" w:space="0" w:color="auto"/>
            <w:bottom w:val="none" w:sz="0" w:space="0" w:color="auto"/>
            <w:right w:val="none" w:sz="0" w:space="0" w:color="auto"/>
          </w:divBdr>
          <w:divsChild>
            <w:div w:id="742871874">
              <w:marLeft w:val="0"/>
              <w:marRight w:val="0"/>
              <w:marTop w:val="0"/>
              <w:marBottom w:val="0"/>
              <w:divBdr>
                <w:top w:val="none" w:sz="0" w:space="0" w:color="auto"/>
                <w:left w:val="none" w:sz="0" w:space="0" w:color="auto"/>
                <w:bottom w:val="none" w:sz="0" w:space="0" w:color="auto"/>
                <w:right w:val="none" w:sz="0" w:space="0" w:color="auto"/>
              </w:divBdr>
              <w:divsChild>
                <w:div w:id="89087437">
                  <w:marLeft w:val="0"/>
                  <w:marRight w:val="0"/>
                  <w:marTop w:val="0"/>
                  <w:marBottom w:val="0"/>
                  <w:divBdr>
                    <w:top w:val="none" w:sz="0" w:space="0" w:color="auto"/>
                    <w:left w:val="none" w:sz="0" w:space="0" w:color="auto"/>
                    <w:bottom w:val="none" w:sz="0" w:space="0" w:color="auto"/>
                    <w:right w:val="none" w:sz="0" w:space="0" w:color="auto"/>
                  </w:divBdr>
                  <w:divsChild>
                    <w:div w:id="341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361973">
      <w:bodyDiv w:val="1"/>
      <w:marLeft w:val="0"/>
      <w:marRight w:val="0"/>
      <w:marTop w:val="0"/>
      <w:marBottom w:val="0"/>
      <w:divBdr>
        <w:top w:val="none" w:sz="0" w:space="0" w:color="auto"/>
        <w:left w:val="none" w:sz="0" w:space="0" w:color="auto"/>
        <w:bottom w:val="none" w:sz="0" w:space="0" w:color="auto"/>
        <w:right w:val="none" w:sz="0" w:space="0" w:color="auto"/>
      </w:divBdr>
      <w:divsChild>
        <w:div w:id="984774236">
          <w:marLeft w:val="0"/>
          <w:marRight w:val="0"/>
          <w:marTop w:val="0"/>
          <w:marBottom w:val="0"/>
          <w:divBdr>
            <w:top w:val="none" w:sz="0" w:space="0" w:color="auto"/>
            <w:left w:val="none" w:sz="0" w:space="0" w:color="auto"/>
            <w:bottom w:val="none" w:sz="0" w:space="0" w:color="auto"/>
            <w:right w:val="none" w:sz="0" w:space="0" w:color="auto"/>
          </w:divBdr>
          <w:divsChild>
            <w:div w:id="1098411227">
              <w:marLeft w:val="0"/>
              <w:marRight w:val="0"/>
              <w:marTop w:val="0"/>
              <w:marBottom w:val="0"/>
              <w:divBdr>
                <w:top w:val="none" w:sz="0" w:space="0" w:color="auto"/>
                <w:left w:val="none" w:sz="0" w:space="0" w:color="auto"/>
                <w:bottom w:val="none" w:sz="0" w:space="0" w:color="auto"/>
                <w:right w:val="none" w:sz="0" w:space="0" w:color="auto"/>
              </w:divBdr>
              <w:divsChild>
                <w:div w:id="208038257">
                  <w:marLeft w:val="0"/>
                  <w:marRight w:val="0"/>
                  <w:marTop w:val="0"/>
                  <w:marBottom w:val="0"/>
                  <w:divBdr>
                    <w:top w:val="none" w:sz="0" w:space="0" w:color="auto"/>
                    <w:left w:val="none" w:sz="0" w:space="0" w:color="auto"/>
                    <w:bottom w:val="none" w:sz="0" w:space="0" w:color="auto"/>
                    <w:right w:val="none" w:sz="0" w:space="0" w:color="auto"/>
                  </w:divBdr>
                  <w:divsChild>
                    <w:div w:id="3119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287135">
      <w:bodyDiv w:val="1"/>
      <w:marLeft w:val="0"/>
      <w:marRight w:val="0"/>
      <w:marTop w:val="0"/>
      <w:marBottom w:val="0"/>
      <w:divBdr>
        <w:top w:val="none" w:sz="0" w:space="0" w:color="auto"/>
        <w:left w:val="none" w:sz="0" w:space="0" w:color="auto"/>
        <w:bottom w:val="none" w:sz="0" w:space="0" w:color="auto"/>
        <w:right w:val="none" w:sz="0" w:space="0" w:color="auto"/>
      </w:divBdr>
      <w:divsChild>
        <w:div w:id="211573688">
          <w:marLeft w:val="0"/>
          <w:marRight w:val="0"/>
          <w:marTop w:val="100"/>
          <w:marBottom w:val="0"/>
          <w:divBdr>
            <w:top w:val="none" w:sz="0" w:space="0" w:color="auto"/>
            <w:left w:val="none" w:sz="0" w:space="0" w:color="auto"/>
            <w:bottom w:val="none" w:sz="0" w:space="0" w:color="auto"/>
            <w:right w:val="none" w:sz="0" w:space="0" w:color="auto"/>
          </w:divBdr>
          <w:divsChild>
            <w:div w:id="354696457">
              <w:marLeft w:val="0"/>
              <w:marRight w:val="0"/>
              <w:marTop w:val="0"/>
              <w:marBottom w:val="0"/>
              <w:divBdr>
                <w:top w:val="none" w:sz="0" w:space="0" w:color="auto"/>
                <w:left w:val="none" w:sz="0" w:space="0" w:color="auto"/>
                <w:bottom w:val="none" w:sz="0" w:space="0" w:color="auto"/>
                <w:right w:val="none" w:sz="0" w:space="0" w:color="auto"/>
              </w:divBdr>
              <w:divsChild>
                <w:div w:id="593319272">
                  <w:marLeft w:val="0"/>
                  <w:marRight w:val="0"/>
                  <w:marTop w:val="0"/>
                  <w:marBottom w:val="0"/>
                  <w:divBdr>
                    <w:top w:val="none" w:sz="0" w:space="0" w:color="auto"/>
                    <w:left w:val="none" w:sz="0" w:space="0" w:color="auto"/>
                    <w:bottom w:val="none" w:sz="0" w:space="0" w:color="auto"/>
                    <w:right w:val="none" w:sz="0" w:space="0" w:color="auto"/>
                  </w:divBdr>
                  <w:divsChild>
                    <w:div w:id="182479650">
                      <w:marLeft w:val="0"/>
                      <w:marRight w:val="0"/>
                      <w:marTop w:val="0"/>
                      <w:marBottom w:val="0"/>
                      <w:divBdr>
                        <w:top w:val="none" w:sz="0" w:space="0" w:color="auto"/>
                        <w:left w:val="none" w:sz="0" w:space="0" w:color="auto"/>
                        <w:bottom w:val="none" w:sz="0" w:space="0" w:color="auto"/>
                        <w:right w:val="none" w:sz="0" w:space="0" w:color="auto"/>
                      </w:divBdr>
                      <w:divsChild>
                        <w:div w:id="172569731">
                          <w:marLeft w:val="0"/>
                          <w:marRight w:val="0"/>
                          <w:marTop w:val="0"/>
                          <w:marBottom w:val="0"/>
                          <w:divBdr>
                            <w:top w:val="none" w:sz="0" w:space="0" w:color="auto"/>
                            <w:left w:val="none" w:sz="0" w:space="0" w:color="auto"/>
                            <w:bottom w:val="none" w:sz="0" w:space="0" w:color="auto"/>
                            <w:right w:val="none" w:sz="0" w:space="0" w:color="auto"/>
                          </w:divBdr>
                          <w:divsChild>
                            <w:div w:id="1027949570">
                              <w:marLeft w:val="0"/>
                              <w:marRight w:val="0"/>
                              <w:marTop w:val="0"/>
                              <w:marBottom w:val="0"/>
                              <w:divBdr>
                                <w:top w:val="none" w:sz="0" w:space="0" w:color="auto"/>
                                <w:left w:val="none" w:sz="0" w:space="0" w:color="auto"/>
                                <w:bottom w:val="none" w:sz="0" w:space="0" w:color="auto"/>
                                <w:right w:val="none" w:sz="0" w:space="0" w:color="auto"/>
                              </w:divBdr>
                              <w:divsChild>
                                <w:div w:id="92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68701">
                          <w:marLeft w:val="0"/>
                          <w:marRight w:val="0"/>
                          <w:marTop w:val="0"/>
                          <w:marBottom w:val="0"/>
                          <w:divBdr>
                            <w:top w:val="none" w:sz="0" w:space="0" w:color="auto"/>
                            <w:left w:val="none" w:sz="0" w:space="0" w:color="auto"/>
                            <w:bottom w:val="none" w:sz="0" w:space="0" w:color="auto"/>
                            <w:right w:val="none" w:sz="0" w:space="0" w:color="auto"/>
                          </w:divBdr>
                          <w:divsChild>
                            <w:div w:id="991183111">
                              <w:marLeft w:val="0"/>
                              <w:marRight w:val="0"/>
                              <w:marTop w:val="0"/>
                              <w:marBottom w:val="0"/>
                              <w:divBdr>
                                <w:top w:val="none" w:sz="0" w:space="0" w:color="auto"/>
                                <w:left w:val="none" w:sz="0" w:space="0" w:color="auto"/>
                                <w:bottom w:val="none" w:sz="0" w:space="0" w:color="auto"/>
                                <w:right w:val="none" w:sz="0" w:space="0" w:color="auto"/>
                              </w:divBdr>
                            </w:div>
                            <w:div w:id="12254831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093756">
          <w:marLeft w:val="0"/>
          <w:marRight w:val="0"/>
          <w:marTop w:val="0"/>
          <w:marBottom w:val="0"/>
          <w:divBdr>
            <w:top w:val="none" w:sz="0" w:space="0" w:color="auto"/>
            <w:left w:val="none" w:sz="0" w:space="0" w:color="auto"/>
            <w:bottom w:val="none" w:sz="0" w:space="0" w:color="auto"/>
            <w:right w:val="none" w:sz="0" w:space="0" w:color="auto"/>
          </w:divBdr>
        </w:div>
      </w:divsChild>
    </w:div>
    <w:div w:id="1097288281">
      <w:bodyDiv w:val="1"/>
      <w:marLeft w:val="0"/>
      <w:marRight w:val="0"/>
      <w:marTop w:val="0"/>
      <w:marBottom w:val="0"/>
      <w:divBdr>
        <w:top w:val="none" w:sz="0" w:space="0" w:color="auto"/>
        <w:left w:val="none" w:sz="0" w:space="0" w:color="auto"/>
        <w:bottom w:val="none" w:sz="0" w:space="0" w:color="auto"/>
        <w:right w:val="none" w:sz="0" w:space="0" w:color="auto"/>
      </w:divBdr>
      <w:divsChild>
        <w:div w:id="1720977747">
          <w:marLeft w:val="0"/>
          <w:marRight w:val="0"/>
          <w:marTop w:val="0"/>
          <w:marBottom w:val="0"/>
          <w:divBdr>
            <w:top w:val="none" w:sz="0" w:space="0" w:color="auto"/>
            <w:left w:val="none" w:sz="0" w:space="0" w:color="auto"/>
            <w:bottom w:val="none" w:sz="0" w:space="0" w:color="auto"/>
            <w:right w:val="none" w:sz="0" w:space="0" w:color="auto"/>
          </w:divBdr>
          <w:divsChild>
            <w:div w:id="278680084">
              <w:marLeft w:val="0"/>
              <w:marRight w:val="0"/>
              <w:marTop w:val="0"/>
              <w:marBottom w:val="0"/>
              <w:divBdr>
                <w:top w:val="none" w:sz="0" w:space="0" w:color="auto"/>
                <w:left w:val="none" w:sz="0" w:space="0" w:color="auto"/>
                <w:bottom w:val="none" w:sz="0" w:space="0" w:color="auto"/>
                <w:right w:val="none" w:sz="0" w:space="0" w:color="auto"/>
              </w:divBdr>
              <w:divsChild>
                <w:div w:id="78816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77294">
      <w:bodyDiv w:val="1"/>
      <w:marLeft w:val="0"/>
      <w:marRight w:val="0"/>
      <w:marTop w:val="0"/>
      <w:marBottom w:val="0"/>
      <w:divBdr>
        <w:top w:val="none" w:sz="0" w:space="0" w:color="auto"/>
        <w:left w:val="none" w:sz="0" w:space="0" w:color="auto"/>
        <w:bottom w:val="none" w:sz="0" w:space="0" w:color="auto"/>
        <w:right w:val="none" w:sz="0" w:space="0" w:color="auto"/>
      </w:divBdr>
      <w:divsChild>
        <w:div w:id="1184129356">
          <w:marLeft w:val="0"/>
          <w:marRight w:val="0"/>
          <w:marTop w:val="0"/>
          <w:marBottom w:val="0"/>
          <w:divBdr>
            <w:top w:val="none" w:sz="0" w:space="0" w:color="auto"/>
            <w:left w:val="none" w:sz="0" w:space="0" w:color="auto"/>
            <w:bottom w:val="none" w:sz="0" w:space="0" w:color="auto"/>
            <w:right w:val="none" w:sz="0" w:space="0" w:color="auto"/>
          </w:divBdr>
          <w:divsChild>
            <w:div w:id="423958742">
              <w:marLeft w:val="0"/>
              <w:marRight w:val="0"/>
              <w:marTop w:val="0"/>
              <w:marBottom w:val="0"/>
              <w:divBdr>
                <w:top w:val="none" w:sz="0" w:space="0" w:color="auto"/>
                <w:left w:val="none" w:sz="0" w:space="0" w:color="auto"/>
                <w:bottom w:val="none" w:sz="0" w:space="0" w:color="auto"/>
                <w:right w:val="none" w:sz="0" w:space="0" w:color="auto"/>
              </w:divBdr>
              <w:divsChild>
                <w:div w:id="376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6792">
      <w:bodyDiv w:val="1"/>
      <w:marLeft w:val="0"/>
      <w:marRight w:val="0"/>
      <w:marTop w:val="0"/>
      <w:marBottom w:val="0"/>
      <w:divBdr>
        <w:top w:val="none" w:sz="0" w:space="0" w:color="auto"/>
        <w:left w:val="none" w:sz="0" w:space="0" w:color="auto"/>
        <w:bottom w:val="none" w:sz="0" w:space="0" w:color="auto"/>
        <w:right w:val="none" w:sz="0" w:space="0" w:color="auto"/>
      </w:divBdr>
    </w:div>
    <w:div w:id="1116409307">
      <w:bodyDiv w:val="1"/>
      <w:marLeft w:val="0"/>
      <w:marRight w:val="0"/>
      <w:marTop w:val="0"/>
      <w:marBottom w:val="0"/>
      <w:divBdr>
        <w:top w:val="none" w:sz="0" w:space="0" w:color="auto"/>
        <w:left w:val="none" w:sz="0" w:space="0" w:color="auto"/>
        <w:bottom w:val="none" w:sz="0" w:space="0" w:color="auto"/>
        <w:right w:val="none" w:sz="0" w:space="0" w:color="auto"/>
      </w:divBdr>
      <w:divsChild>
        <w:div w:id="441725337">
          <w:marLeft w:val="0"/>
          <w:marRight w:val="0"/>
          <w:marTop w:val="0"/>
          <w:marBottom w:val="0"/>
          <w:divBdr>
            <w:top w:val="none" w:sz="0" w:space="0" w:color="auto"/>
            <w:left w:val="none" w:sz="0" w:space="0" w:color="auto"/>
            <w:bottom w:val="none" w:sz="0" w:space="0" w:color="auto"/>
            <w:right w:val="none" w:sz="0" w:space="0" w:color="auto"/>
          </w:divBdr>
          <w:divsChild>
            <w:div w:id="1363047586">
              <w:marLeft w:val="0"/>
              <w:marRight w:val="0"/>
              <w:marTop w:val="0"/>
              <w:marBottom w:val="0"/>
              <w:divBdr>
                <w:top w:val="none" w:sz="0" w:space="0" w:color="auto"/>
                <w:left w:val="none" w:sz="0" w:space="0" w:color="auto"/>
                <w:bottom w:val="none" w:sz="0" w:space="0" w:color="auto"/>
                <w:right w:val="none" w:sz="0" w:space="0" w:color="auto"/>
              </w:divBdr>
              <w:divsChild>
                <w:div w:id="10590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63427">
      <w:bodyDiv w:val="1"/>
      <w:marLeft w:val="0"/>
      <w:marRight w:val="0"/>
      <w:marTop w:val="0"/>
      <w:marBottom w:val="0"/>
      <w:divBdr>
        <w:top w:val="none" w:sz="0" w:space="0" w:color="auto"/>
        <w:left w:val="none" w:sz="0" w:space="0" w:color="auto"/>
        <w:bottom w:val="none" w:sz="0" w:space="0" w:color="auto"/>
        <w:right w:val="none" w:sz="0" w:space="0" w:color="auto"/>
      </w:divBdr>
    </w:div>
    <w:div w:id="1136996613">
      <w:bodyDiv w:val="1"/>
      <w:marLeft w:val="0"/>
      <w:marRight w:val="0"/>
      <w:marTop w:val="0"/>
      <w:marBottom w:val="0"/>
      <w:divBdr>
        <w:top w:val="none" w:sz="0" w:space="0" w:color="auto"/>
        <w:left w:val="none" w:sz="0" w:space="0" w:color="auto"/>
        <w:bottom w:val="none" w:sz="0" w:space="0" w:color="auto"/>
        <w:right w:val="none" w:sz="0" w:space="0" w:color="auto"/>
      </w:divBdr>
      <w:divsChild>
        <w:div w:id="523398280">
          <w:marLeft w:val="0"/>
          <w:marRight w:val="0"/>
          <w:marTop w:val="0"/>
          <w:marBottom w:val="0"/>
          <w:divBdr>
            <w:top w:val="none" w:sz="0" w:space="0" w:color="auto"/>
            <w:left w:val="none" w:sz="0" w:space="0" w:color="auto"/>
            <w:bottom w:val="none" w:sz="0" w:space="0" w:color="auto"/>
            <w:right w:val="none" w:sz="0" w:space="0" w:color="auto"/>
          </w:divBdr>
          <w:divsChild>
            <w:div w:id="687096050">
              <w:marLeft w:val="0"/>
              <w:marRight w:val="0"/>
              <w:marTop w:val="0"/>
              <w:marBottom w:val="0"/>
              <w:divBdr>
                <w:top w:val="none" w:sz="0" w:space="0" w:color="auto"/>
                <w:left w:val="none" w:sz="0" w:space="0" w:color="auto"/>
                <w:bottom w:val="none" w:sz="0" w:space="0" w:color="auto"/>
                <w:right w:val="none" w:sz="0" w:space="0" w:color="auto"/>
              </w:divBdr>
              <w:divsChild>
                <w:div w:id="2034916720">
                  <w:marLeft w:val="0"/>
                  <w:marRight w:val="0"/>
                  <w:marTop w:val="0"/>
                  <w:marBottom w:val="0"/>
                  <w:divBdr>
                    <w:top w:val="none" w:sz="0" w:space="0" w:color="auto"/>
                    <w:left w:val="none" w:sz="0" w:space="0" w:color="auto"/>
                    <w:bottom w:val="none" w:sz="0" w:space="0" w:color="auto"/>
                    <w:right w:val="none" w:sz="0" w:space="0" w:color="auto"/>
                  </w:divBdr>
                  <w:divsChild>
                    <w:div w:id="822085125">
                      <w:marLeft w:val="0"/>
                      <w:marRight w:val="0"/>
                      <w:marTop w:val="0"/>
                      <w:marBottom w:val="0"/>
                      <w:divBdr>
                        <w:top w:val="none" w:sz="0" w:space="0" w:color="auto"/>
                        <w:left w:val="none" w:sz="0" w:space="0" w:color="auto"/>
                        <w:bottom w:val="none" w:sz="0" w:space="0" w:color="auto"/>
                        <w:right w:val="none" w:sz="0" w:space="0" w:color="auto"/>
                      </w:divBdr>
                    </w:div>
                    <w:div w:id="13927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036715">
      <w:bodyDiv w:val="1"/>
      <w:marLeft w:val="0"/>
      <w:marRight w:val="0"/>
      <w:marTop w:val="0"/>
      <w:marBottom w:val="0"/>
      <w:divBdr>
        <w:top w:val="none" w:sz="0" w:space="0" w:color="auto"/>
        <w:left w:val="none" w:sz="0" w:space="0" w:color="auto"/>
        <w:bottom w:val="none" w:sz="0" w:space="0" w:color="auto"/>
        <w:right w:val="none" w:sz="0" w:space="0" w:color="auto"/>
      </w:divBdr>
      <w:divsChild>
        <w:div w:id="1836414492">
          <w:marLeft w:val="0"/>
          <w:marRight w:val="0"/>
          <w:marTop w:val="0"/>
          <w:marBottom w:val="0"/>
          <w:divBdr>
            <w:top w:val="none" w:sz="0" w:space="0" w:color="auto"/>
            <w:left w:val="none" w:sz="0" w:space="0" w:color="auto"/>
            <w:bottom w:val="none" w:sz="0" w:space="0" w:color="auto"/>
            <w:right w:val="none" w:sz="0" w:space="0" w:color="auto"/>
          </w:divBdr>
          <w:divsChild>
            <w:div w:id="1767388266">
              <w:marLeft w:val="0"/>
              <w:marRight w:val="0"/>
              <w:marTop w:val="0"/>
              <w:marBottom w:val="0"/>
              <w:divBdr>
                <w:top w:val="none" w:sz="0" w:space="0" w:color="auto"/>
                <w:left w:val="none" w:sz="0" w:space="0" w:color="auto"/>
                <w:bottom w:val="none" w:sz="0" w:space="0" w:color="auto"/>
                <w:right w:val="none" w:sz="0" w:space="0" w:color="auto"/>
              </w:divBdr>
              <w:divsChild>
                <w:div w:id="1803376622">
                  <w:marLeft w:val="0"/>
                  <w:marRight w:val="0"/>
                  <w:marTop w:val="0"/>
                  <w:marBottom w:val="0"/>
                  <w:divBdr>
                    <w:top w:val="none" w:sz="0" w:space="0" w:color="auto"/>
                    <w:left w:val="none" w:sz="0" w:space="0" w:color="auto"/>
                    <w:bottom w:val="none" w:sz="0" w:space="0" w:color="auto"/>
                    <w:right w:val="none" w:sz="0" w:space="0" w:color="auto"/>
                  </w:divBdr>
                  <w:divsChild>
                    <w:div w:id="769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655732">
      <w:bodyDiv w:val="1"/>
      <w:marLeft w:val="0"/>
      <w:marRight w:val="0"/>
      <w:marTop w:val="0"/>
      <w:marBottom w:val="0"/>
      <w:divBdr>
        <w:top w:val="none" w:sz="0" w:space="0" w:color="auto"/>
        <w:left w:val="none" w:sz="0" w:space="0" w:color="auto"/>
        <w:bottom w:val="none" w:sz="0" w:space="0" w:color="auto"/>
        <w:right w:val="none" w:sz="0" w:space="0" w:color="auto"/>
      </w:divBdr>
      <w:divsChild>
        <w:div w:id="862329916">
          <w:marLeft w:val="0"/>
          <w:marRight w:val="0"/>
          <w:marTop w:val="0"/>
          <w:marBottom w:val="0"/>
          <w:divBdr>
            <w:top w:val="none" w:sz="0" w:space="0" w:color="auto"/>
            <w:left w:val="none" w:sz="0" w:space="0" w:color="auto"/>
            <w:bottom w:val="none" w:sz="0" w:space="0" w:color="auto"/>
            <w:right w:val="none" w:sz="0" w:space="0" w:color="auto"/>
          </w:divBdr>
          <w:divsChild>
            <w:div w:id="1883901544">
              <w:marLeft w:val="0"/>
              <w:marRight w:val="0"/>
              <w:marTop w:val="0"/>
              <w:marBottom w:val="0"/>
              <w:divBdr>
                <w:top w:val="none" w:sz="0" w:space="0" w:color="auto"/>
                <w:left w:val="none" w:sz="0" w:space="0" w:color="auto"/>
                <w:bottom w:val="none" w:sz="0" w:space="0" w:color="auto"/>
                <w:right w:val="none" w:sz="0" w:space="0" w:color="auto"/>
              </w:divBdr>
              <w:divsChild>
                <w:div w:id="16961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68928">
      <w:bodyDiv w:val="1"/>
      <w:marLeft w:val="0"/>
      <w:marRight w:val="0"/>
      <w:marTop w:val="0"/>
      <w:marBottom w:val="0"/>
      <w:divBdr>
        <w:top w:val="none" w:sz="0" w:space="0" w:color="auto"/>
        <w:left w:val="none" w:sz="0" w:space="0" w:color="auto"/>
        <w:bottom w:val="none" w:sz="0" w:space="0" w:color="auto"/>
        <w:right w:val="none" w:sz="0" w:space="0" w:color="auto"/>
      </w:divBdr>
      <w:divsChild>
        <w:div w:id="14968664">
          <w:marLeft w:val="0"/>
          <w:marRight w:val="0"/>
          <w:marTop w:val="0"/>
          <w:marBottom w:val="0"/>
          <w:divBdr>
            <w:top w:val="none" w:sz="0" w:space="0" w:color="auto"/>
            <w:left w:val="none" w:sz="0" w:space="0" w:color="auto"/>
            <w:bottom w:val="none" w:sz="0" w:space="0" w:color="auto"/>
            <w:right w:val="none" w:sz="0" w:space="0" w:color="auto"/>
          </w:divBdr>
          <w:divsChild>
            <w:div w:id="369258927">
              <w:marLeft w:val="0"/>
              <w:marRight w:val="0"/>
              <w:marTop w:val="0"/>
              <w:marBottom w:val="0"/>
              <w:divBdr>
                <w:top w:val="none" w:sz="0" w:space="0" w:color="auto"/>
                <w:left w:val="none" w:sz="0" w:space="0" w:color="auto"/>
                <w:bottom w:val="none" w:sz="0" w:space="0" w:color="auto"/>
                <w:right w:val="none" w:sz="0" w:space="0" w:color="auto"/>
              </w:divBdr>
              <w:divsChild>
                <w:div w:id="194776002">
                  <w:marLeft w:val="0"/>
                  <w:marRight w:val="0"/>
                  <w:marTop w:val="0"/>
                  <w:marBottom w:val="0"/>
                  <w:divBdr>
                    <w:top w:val="none" w:sz="0" w:space="0" w:color="auto"/>
                    <w:left w:val="none" w:sz="0" w:space="0" w:color="auto"/>
                    <w:bottom w:val="none" w:sz="0" w:space="0" w:color="auto"/>
                    <w:right w:val="none" w:sz="0" w:space="0" w:color="auto"/>
                  </w:divBdr>
                  <w:divsChild>
                    <w:div w:id="14868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749598">
      <w:bodyDiv w:val="1"/>
      <w:marLeft w:val="0"/>
      <w:marRight w:val="0"/>
      <w:marTop w:val="0"/>
      <w:marBottom w:val="0"/>
      <w:divBdr>
        <w:top w:val="none" w:sz="0" w:space="0" w:color="auto"/>
        <w:left w:val="none" w:sz="0" w:space="0" w:color="auto"/>
        <w:bottom w:val="none" w:sz="0" w:space="0" w:color="auto"/>
        <w:right w:val="none" w:sz="0" w:space="0" w:color="auto"/>
      </w:divBdr>
      <w:divsChild>
        <w:div w:id="835341282">
          <w:marLeft w:val="0"/>
          <w:marRight w:val="0"/>
          <w:marTop w:val="0"/>
          <w:marBottom w:val="0"/>
          <w:divBdr>
            <w:top w:val="none" w:sz="0" w:space="0" w:color="auto"/>
            <w:left w:val="none" w:sz="0" w:space="0" w:color="auto"/>
            <w:bottom w:val="none" w:sz="0" w:space="0" w:color="auto"/>
            <w:right w:val="none" w:sz="0" w:space="0" w:color="auto"/>
          </w:divBdr>
          <w:divsChild>
            <w:div w:id="516193220">
              <w:marLeft w:val="0"/>
              <w:marRight w:val="0"/>
              <w:marTop w:val="0"/>
              <w:marBottom w:val="0"/>
              <w:divBdr>
                <w:top w:val="none" w:sz="0" w:space="0" w:color="auto"/>
                <w:left w:val="none" w:sz="0" w:space="0" w:color="auto"/>
                <w:bottom w:val="none" w:sz="0" w:space="0" w:color="auto"/>
                <w:right w:val="none" w:sz="0" w:space="0" w:color="auto"/>
              </w:divBdr>
              <w:divsChild>
                <w:div w:id="12409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4621">
      <w:bodyDiv w:val="1"/>
      <w:marLeft w:val="0"/>
      <w:marRight w:val="0"/>
      <w:marTop w:val="0"/>
      <w:marBottom w:val="0"/>
      <w:divBdr>
        <w:top w:val="none" w:sz="0" w:space="0" w:color="auto"/>
        <w:left w:val="none" w:sz="0" w:space="0" w:color="auto"/>
        <w:bottom w:val="none" w:sz="0" w:space="0" w:color="auto"/>
        <w:right w:val="none" w:sz="0" w:space="0" w:color="auto"/>
      </w:divBdr>
    </w:div>
    <w:div w:id="1147631387">
      <w:bodyDiv w:val="1"/>
      <w:marLeft w:val="0"/>
      <w:marRight w:val="0"/>
      <w:marTop w:val="0"/>
      <w:marBottom w:val="0"/>
      <w:divBdr>
        <w:top w:val="none" w:sz="0" w:space="0" w:color="auto"/>
        <w:left w:val="none" w:sz="0" w:space="0" w:color="auto"/>
        <w:bottom w:val="none" w:sz="0" w:space="0" w:color="auto"/>
        <w:right w:val="none" w:sz="0" w:space="0" w:color="auto"/>
      </w:divBdr>
    </w:div>
    <w:div w:id="1152210703">
      <w:bodyDiv w:val="1"/>
      <w:marLeft w:val="0"/>
      <w:marRight w:val="0"/>
      <w:marTop w:val="0"/>
      <w:marBottom w:val="0"/>
      <w:divBdr>
        <w:top w:val="none" w:sz="0" w:space="0" w:color="auto"/>
        <w:left w:val="none" w:sz="0" w:space="0" w:color="auto"/>
        <w:bottom w:val="none" w:sz="0" w:space="0" w:color="auto"/>
        <w:right w:val="none" w:sz="0" w:space="0" w:color="auto"/>
      </w:divBdr>
      <w:divsChild>
        <w:div w:id="1677733299">
          <w:marLeft w:val="0"/>
          <w:marRight w:val="0"/>
          <w:marTop w:val="0"/>
          <w:marBottom w:val="0"/>
          <w:divBdr>
            <w:top w:val="none" w:sz="0" w:space="0" w:color="auto"/>
            <w:left w:val="none" w:sz="0" w:space="0" w:color="auto"/>
            <w:bottom w:val="none" w:sz="0" w:space="0" w:color="auto"/>
            <w:right w:val="none" w:sz="0" w:space="0" w:color="auto"/>
          </w:divBdr>
          <w:divsChild>
            <w:div w:id="1425959846">
              <w:marLeft w:val="0"/>
              <w:marRight w:val="0"/>
              <w:marTop w:val="0"/>
              <w:marBottom w:val="0"/>
              <w:divBdr>
                <w:top w:val="none" w:sz="0" w:space="0" w:color="auto"/>
                <w:left w:val="none" w:sz="0" w:space="0" w:color="auto"/>
                <w:bottom w:val="none" w:sz="0" w:space="0" w:color="auto"/>
                <w:right w:val="none" w:sz="0" w:space="0" w:color="auto"/>
              </w:divBdr>
              <w:divsChild>
                <w:div w:id="191306579">
                  <w:marLeft w:val="0"/>
                  <w:marRight w:val="0"/>
                  <w:marTop w:val="0"/>
                  <w:marBottom w:val="0"/>
                  <w:divBdr>
                    <w:top w:val="none" w:sz="0" w:space="0" w:color="auto"/>
                    <w:left w:val="none" w:sz="0" w:space="0" w:color="auto"/>
                    <w:bottom w:val="none" w:sz="0" w:space="0" w:color="auto"/>
                    <w:right w:val="none" w:sz="0" w:space="0" w:color="auto"/>
                  </w:divBdr>
                  <w:divsChild>
                    <w:div w:id="17590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446780">
      <w:bodyDiv w:val="1"/>
      <w:marLeft w:val="0"/>
      <w:marRight w:val="0"/>
      <w:marTop w:val="0"/>
      <w:marBottom w:val="0"/>
      <w:divBdr>
        <w:top w:val="none" w:sz="0" w:space="0" w:color="auto"/>
        <w:left w:val="none" w:sz="0" w:space="0" w:color="auto"/>
        <w:bottom w:val="none" w:sz="0" w:space="0" w:color="auto"/>
        <w:right w:val="none" w:sz="0" w:space="0" w:color="auto"/>
      </w:divBdr>
    </w:div>
    <w:div w:id="1165825393">
      <w:bodyDiv w:val="1"/>
      <w:marLeft w:val="0"/>
      <w:marRight w:val="0"/>
      <w:marTop w:val="0"/>
      <w:marBottom w:val="0"/>
      <w:divBdr>
        <w:top w:val="none" w:sz="0" w:space="0" w:color="auto"/>
        <w:left w:val="none" w:sz="0" w:space="0" w:color="auto"/>
        <w:bottom w:val="none" w:sz="0" w:space="0" w:color="auto"/>
        <w:right w:val="none" w:sz="0" w:space="0" w:color="auto"/>
      </w:divBdr>
      <w:divsChild>
        <w:div w:id="1109354685">
          <w:marLeft w:val="0"/>
          <w:marRight w:val="0"/>
          <w:marTop w:val="0"/>
          <w:marBottom w:val="0"/>
          <w:divBdr>
            <w:top w:val="none" w:sz="0" w:space="0" w:color="auto"/>
            <w:left w:val="none" w:sz="0" w:space="0" w:color="auto"/>
            <w:bottom w:val="none" w:sz="0" w:space="0" w:color="auto"/>
            <w:right w:val="none" w:sz="0" w:space="0" w:color="auto"/>
          </w:divBdr>
          <w:divsChild>
            <w:div w:id="1365059578">
              <w:marLeft w:val="0"/>
              <w:marRight w:val="0"/>
              <w:marTop w:val="0"/>
              <w:marBottom w:val="0"/>
              <w:divBdr>
                <w:top w:val="none" w:sz="0" w:space="0" w:color="auto"/>
                <w:left w:val="none" w:sz="0" w:space="0" w:color="auto"/>
                <w:bottom w:val="none" w:sz="0" w:space="0" w:color="auto"/>
                <w:right w:val="none" w:sz="0" w:space="0" w:color="auto"/>
              </w:divBdr>
              <w:divsChild>
                <w:div w:id="21093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29995">
      <w:bodyDiv w:val="1"/>
      <w:marLeft w:val="0"/>
      <w:marRight w:val="0"/>
      <w:marTop w:val="0"/>
      <w:marBottom w:val="0"/>
      <w:divBdr>
        <w:top w:val="none" w:sz="0" w:space="0" w:color="auto"/>
        <w:left w:val="none" w:sz="0" w:space="0" w:color="auto"/>
        <w:bottom w:val="none" w:sz="0" w:space="0" w:color="auto"/>
        <w:right w:val="none" w:sz="0" w:space="0" w:color="auto"/>
      </w:divBdr>
    </w:div>
    <w:div w:id="1178695570">
      <w:bodyDiv w:val="1"/>
      <w:marLeft w:val="0"/>
      <w:marRight w:val="0"/>
      <w:marTop w:val="0"/>
      <w:marBottom w:val="0"/>
      <w:divBdr>
        <w:top w:val="none" w:sz="0" w:space="0" w:color="auto"/>
        <w:left w:val="none" w:sz="0" w:space="0" w:color="auto"/>
        <w:bottom w:val="none" w:sz="0" w:space="0" w:color="auto"/>
        <w:right w:val="none" w:sz="0" w:space="0" w:color="auto"/>
      </w:divBdr>
      <w:divsChild>
        <w:div w:id="851725322">
          <w:marLeft w:val="0"/>
          <w:marRight w:val="0"/>
          <w:marTop w:val="0"/>
          <w:marBottom w:val="0"/>
          <w:divBdr>
            <w:top w:val="none" w:sz="0" w:space="0" w:color="auto"/>
            <w:left w:val="none" w:sz="0" w:space="0" w:color="auto"/>
            <w:bottom w:val="none" w:sz="0" w:space="0" w:color="auto"/>
            <w:right w:val="none" w:sz="0" w:space="0" w:color="auto"/>
          </w:divBdr>
          <w:divsChild>
            <w:div w:id="2026708728">
              <w:marLeft w:val="0"/>
              <w:marRight w:val="0"/>
              <w:marTop w:val="0"/>
              <w:marBottom w:val="0"/>
              <w:divBdr>
                <w:top w:val="none" w:sz="0" w:space="0" w:color="auto"/>
                <w:left w:val="none" w:sz="0" w:space="0" w:color="auto"/>
                <w:bottom w:val="none" w:sz="0" w:space="0" w:color="auto"/>
                <w:right w:val="none" w:sz="0" w:space="0" w:color="auto"/>
              </w:divBdr>
              <w:divsChild>
                <w:div w:id="188116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168098">
      <w:bodyDiv w:val="1"/>
      <w:marLeft w:val="0"/>
      <w:marRight w:val="0"/>
      <w:marTop w:val="0"/>
      <w:marBottom w:val="0"/>
      <w:divBdr>
        <w:top w:val="none" w:sz="0" w:space="0" w:color="auto"/>
        <w:left w:val="none" w:sz="0" w:space="0" w:color="auto"/>
        <w:bottom w:val="none" w:sz="0" w:space="0" w:color="auto"/>
        <w:right w:val="none" w:sz="0" w:space="0" w:color="auto"/>
      </w:divBdr>
      <w:divsChild>
        <w:div w:id="1565070746">
          <w:marLeft w:val="0"/>
          <w:marRight w:val="0"/>
          <w:marTop w:val="0"/>
          <w:marBottom w:val="0"/>
          <w:divBdr>
            <w:top w:val="none" w:sz="0" w:space="0" w:color="auto"/>
            <w:left w:val="none" w:sz="0" w:space="0" w:color="auto"/>
            <w:bottom w:val="none" w:sz="0" w:space="0" w:color="auto"/>
            <w:right w:val="none" w:sz="0" w:space="0" w:color="auto"/>
          </w:divBdr>
          <w:divsChild>
            <w:div w:id="1641227576">
              <w:marLeft w:val="0"/>
              <w:marRight w:val="0"/>
              <w:marTop w:val="0"/>
              <w:marBottom w:val="0"/>
              <w:divBdr>
                <w:top w:val="none" w:sz="0" w:space="0" w:color="auto"/>
                <w:left w:val="none" w:sz="0" w:space="0" w:color="auto"/>
                <w:bottom w:val="none" w:sz="0" w:space="0" w:color="auto"/>
                <w:right w:val="none" w:sz="0" w:space="0" w:color="auto"/>
              </w:divBdr>
              <w:divsChild>
                <w:div w:id="737479043">
                  <w:marLeft w:val="0"/>
                  <w:marRight w:val="0"/>
                  <w:marTop w:val="0"/>
                  <w:marBottom w:val="0"/>
                  <w:divBdr>
                    <w:top w:val="none" w:sz="0" w:space="0" w:color="auto"/>
                    <w:left w:val="none" w:sz="0" w:space="0" w:color="auto"/>
                    <w:bottom w:val="none" w:sz="0" w:space="0" w:color="auto"/>
                    <w:right w:val="none" w:sz="0" w:space="0" w:color="auto"/>
                  </w:divBdr>
                  <w:divsChild>
                    <w:div w:id="10998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90605">
      <w:bodyDiv w:val="1"/>
      <w:marLeft w:val="0"/>
      <w:marRight w:val="0"/>
      <w:marTop w:val="0"/>
      <w:marBottom w:val="0"/>
      <w:divBdr>
        <w:top w:val="none" w:sz="0" w:space="0" w:color="auto"/>
        <w:left w:val="none" w:sz="0" w:space="0" w:color="auto"/>
        <w:bottom w:val="none" w:sz="0" w:space="0" w:color="auto"/>
        <w:right w:val="none" w:sz="0" w:space="0" w:color="auto"/>
      </w:divBdr>
    </w:div>
    <w:div w:id="1194076792">
      <w:bodyDiv w:val="1"/>
      <w:marLeft w:val="0"/>
      <w:marRight w:val="0"/>
      <w:marTop w:val="0"/>
      <w:marBottom w:val="0"/>
      <w:divBdr>
        <w:top w:val="none" w:sz="0" w:space="0" w:color="auto"/>
        <w:left w:val="none" w:sz="0" w:space="0" w:color="auto"/>
        <w:bottom w:val="none" w:sz="0" w:space="0" w:color="auto"/>
        <w:right w:val="none" w:sz="0" w:space="0" w:color="auto"/>
      </w:divBdr>
      <w:divsChild>
        <w:div w:id="519315490">
          <w:marLeft w:val="0"/>
          <w:marRight w:val="0"/>
          <w:marTop w:val="0"/>
          <w:marBottom w:val="0"/>
          <w:divBdr>
            <w:top w:val="none" w:sz="0" w:space="0" w:color="auto"/>
            <w:left w:val="none" w:sz="0" w:space="0" w:color="auto"/>
            <w:bottom w:val="none" w:sz="0" w:space="0" w:color="auto"/>
            <w:right w:val="none" w:sz="0" w:space="0" w:color="auto"/>
          </w:divBdr>
          <w:divsChild>
            <w:div w:id="1776094420">
              <w:marLeft w:val="0"/>
              <w:marRight w:val="0"/>
              <w:marTop w:val="0"/>
              <w:marBottom w:val="0"/>
              <w:divBdr>
                <w:top w:val="none" w:sz="0" w:space="0" w:color="auto"/>
                <w:left w:val="none" w:sz="0" w:space="0" w:color="auto"/>
                <w:bottom w:val="none" w:sz="0" w:space="0" w:color="auto"/>
                <w:right w:val="none" w:sz="0" w:space="0" w:color="auto"/>
              </w:divBdr>
              <w:divsChild>
                <w:div w:id="835877983">
                  <w:marLeft w:val="0"/>
                  <w:marRight w:val="0"/>
                  <w:marTop w:val="0"/>
                  <w:marBottom w:val="0"/>
                  <w:divBdr>
                    <w:top w:val="none" w:sz="0" w:space="0" w:color="auto"/>
                    <w:left w:val="none" w:sz="0" w:space="0" w:color="auto"/>
                    <w:bottom w:val="none" w:sz="0" w:space="0" w:color="auto"/>
                    <w:right w:val="none" w:sz="0" w:space="0" w:color="auto"/>
                  </w:divBdr>
                  <w:divsChild>
                    <w:div w:id="209408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089925">
      <w:bodyDiv w:val="1"/>
      <w:marLeft w:val="0"/>
      <w:marRight w:val="0"/>
      <w:marTop w:val="0"/>
      <w:marBottom w:val="0"/>
      <w:divBdr>
        <w:top w:val="none" w:sz="0" w:space="0" w:color="auto"/>
        <w:left w:val="none" w:sz="0" w:space="0" w:color="auto"/>
        <w:bottom w:val="none" w:sz="0" w:space="0" w:color="auto"/>
        <w:right w:val="none" w:sz="0" w:space="0" w:color="auto"/>
      </w:divBdr>
      <w:divsChild>
        <w:div w:id="1924214993">
          <w:marLeft w:val="0"/>
          <w:marRight w:val="0"/>
          <w:marTop w:val="0"/>
          <w:marBottom w:val="0"/>
          <w:divBdr>
            <w:top w:val="none" w:sz="0" w:space="0" w:color="auto"/>
            <w:left w:val="none" w:sz="0" w:space="0" w:color="auto"/>
            <w:bottom w:val="none" w:sz="0" w:space="0" w:color="auto"/>
            <w:right w:val="none" w:sz="0" w:space="0" w:color="auto"/>
          </w:divBdr>
          <w:divsChild>
            <w:div w:id="807361449">
              <w:marLeft w:val="0"/>
              <w:marRight w:val="0"/>
              <w:marTop w:val="0"/>
              <w:marBottom w:val="0"/>
              <w:divBdr>
                <w:top w:val="none" w:sz="0" w:space="0" w:color="auto"/>
                <w:left w:val="none" w:sz="0" w:space="0" w:color="auto"/>
                <w:bottom w:val="none" w:sz="0" w:space="0" w:color="auto"/>
                <w:right w:val="none" w:sz="0" w:space="0" w:color="auto"/>
              </w:divBdr>
              <w:divsChild>
                <w:div w:id="562369392">
                  <w:marLeft w:val="0"/>
                  <w:marRight w:val="0"/>
                  <w:marTop w:val="0"/>
                  <w:marBottom w:val="0"/>
                  <w:divBdr>
                    <w:top w:val="none" w:sz="0" w:space="0" w:color="auto"/>
                    <w:left w:val="none" w:sz="0" w:space="0" w:color="auto"/>
                    <w:bottom w:val="none" w:sz="0" w:space="0" w:color="auto"/>
                    <w:right w:val="none" w:sz="0" w:space="0" w:color="auto"/>
                  </w:divBdr>
                  <w:divsChild>
                    <w:div w:id="169570366">
                      <w:marLeft w:val="0"/>
                      <w:marRight w:val="0"/>
                      <w:marTop w:val="0"/>
                      <w:marBottom w:val="0"/>
                      <w:divBdr>
                        <w:top w:val="none" w:sz="0" w:space="0" w:color="auto"/>
                        <w:left w:val="none" w:sz="0" w:space="0" w:color="auto"/>
                        <w:bottom w:val="none" w:sz="0" w:space="0" w:color="auto"/>
                        <w:right w:val="none" w:sz="0" w:space="0" w:color="auto"/>
                      </w:divBdr>
                    </w:div>
                    <w:div w:id="14065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639639">
      <w:bodyDiv w:val="1"/>
      <w:marLeft w:val="0"/>
      <w:marRight w:val="0"/>
      <w:marTop w:val="0"/>
      <w:marBottom w:val="0"/>
      <w:divBdr>
        <w:top w:val="none" w:sz="0" w:space="0" w:color="auto"/>
        <w:left w:val="none" w:sz="0" w:space="0" w:color="auto"/>
        <w:bottom w:val="none" w:sz="0" w:space="0" w:color="auto"/>
        <w:right w:val="none" w:sz="0" w:space="0" w:color="auto"/>
      </w:divBdr>
    </w:div>
    <w:div w:id="1227109556">
      <w:bodyDiv w:val="1"/>
      <w:marLeft w:val="0"/>
      <w:marRight w:val="0"/>
      <w:marTop w:val="0"/>
      <w:marBottom w:val="0"/>
      <w:divBdr>
        <w:top w:val="none" w:sz="0" w:space="0" w:color="auto"/>
        <w:left w:val="none" w:sz="0" w:space="0" w:color="auto"/>
        <w:bottom w:val="none" w:sz="0" w:space="0" w:color="auto"/>
        <w:right w:val="none" w:sz="0" w:space="0" w:color="auto"/>
      </w:divBdr>
      <w:divsChild>
        <w:div w:id="580452407">
          <w:marLeft w:val="0"/>
          <w:marRight w:val="0"/>
          <w:marTop w:val="0"/>
          <w:marBottom w:val="0"/>
          <w:divBdr>
            <w:top w:val="none" w:sz="0" w:space="0" w:color="auto"/>
            <w:left w:val="none" w:sz="0" w:space="0" w:color="auto"/>
            <w:bottom w:val="none" w:sz="0" w:space="0" w:color="auto"/>
            <w:right w:val="none" w:sz="0" w:space="0" w:color="auto"/>
          </w:divBdr>
          <w:divsChild>
            <w:div w:id="44647960">
              <w:marLeft w:val="0"/>
              <w:marRight w:val="0"/>
              <w:marTop w:val="0"/>
              <w:marBottom w:val="0"/>
              <w:divBdr>
                <w:top w:val="none" w:sz="0" w:space="0" w:color="auto"/>
                <w:left w:val="none" w:sz="0" w:space="0" w:color="auto"/>
                <w:bottom w:val="none" w:sz="0" w:space="0" w:color="auto"/>
                <w:right w:val="none" w:sz="0" w:space="0" w:color="auto"/>
              </w:divBdr>
              <w:divsChild>
                <w:div w:id="7955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5044">
      <w:bodyDiv w:val="1"/>
      <w:marLeft w:val="0"/>
      <w:marRight w:val="0"/>
      <w:marTop w:val="0"/>
      <w:marBottom w:val="0"/>
      <w:divBdr>
        <w:top w:val="none" w:sz="0" w:space="0" w:color="auto"/>
        <w:left w:val="none" w:sz="0" w:space="0" w:color="auto"/>
        <w:bottom w:val="none" w:sz="0" w:space="0" w:color="auto"/>
        <w:right w:val="none" w:sz="0" w:space="0" w:color="auto"/>
      </w:divBdr>
      <w:divsChild>
        <w:div w:id="1335764736">
          <w:marLeft w:val="0"/>
          <w:marRight w:val="0"/>
          <w:marTop w:val="0"/>
          <w:marBottom w:val="0"/>
          <w:divBdr>
            <w:top w:val="none" w:sz="0" w:space="0" w:color="auto"/>
            <w:left w:val="none" w:sz="0" w:space="0" w:color="auto"/>
            <w:bottom w:val="none" w:sz="0" w:space="0" w:color="auto"/>
            <w:right w:val="none" w:sz="0" w:space="0" w:color="auto"/>
          </w:divBdr>
          <w:divsChild>
            <w:div w:id="1201824050">
              <w:marLeft w:val="0"/>
              <w:marRight w:val="0"/>
              <w:marTop w:val="0"/>
              <w:marBottom w:val="0"/>
              <w:divBdr>
                <w:top w:val="none" w:sz="0" w:space="0" w:color="auto"/>
                <w:left w:val="none" w:sz="0" w:space="0" w:color="auto"/>
                <w:bottom w:val="none" w:sz="0" w:space="0" w:color="auto"/>
                <w:right w:val="none" w:sz="0" w:space="0" w:color="auto"/>
              </w:divBdr>
              <w:divsChild>
                <w:div w:id="2042048300">
                  <w:marLeft w:val="0"/>
                  <w:marRight w:val="0"/>
                  <w:marTop w:val="0"/>
                  <w:marBottom w:val="0"/>
                  <w:divBdr>
                    <w:top w:val="none" w:sz="0" w:space="0" w:color="auto"/>
                    <w:left w:val="none" w:sz="0" w:space="0" w:color="auto"/>
                    <w:bottom w:val="none" w:sz="0" w:space="0" w:color="auto"/>
                    <w:right w:val="none" w:sz="0" w:space="0" w:color="auto"/>
                  </w:divBdr>
                  <w:divsChild>
                    <w:div w:id="17086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695746">
      <w:bodyDiv w:val="1"/>
      <w:marLeft w:val="0"/>
      <w:marRight w:val="0"/>
      <w:marTop w:val="0"/>
      <w:marBottom w:val="0"/>
      <w:divBdr>
        <w:top w:val="none" w:sz="0" w:space="0" w:color="auto"/>
        <w:left w:val="none" w:sz="0" w:space="0" w:color="auto"/>
        <w:bottom w:val="none" w:sz="0" w:space="0" w:color="auto"/>
        <w:right w:val="none" w:sz="0" w:space="0" w:color="auto"/>
      </w:divBdr>
      <w:divsChild>
        <w:div w:id="2039811799">
          <w:marLeft w:val="0"/>
          <w:marRight w:val="0"/>
          <w:marTop w:val="0"/>
          <w:marBottom w:val="0"/>
          <w:divBdr>
            <w:top w:val="none" w:sz="0" w:space="0" w:color="auto"/>
            <w:left w:val="none" w:sz="0" w:space="0" w:color="auto"/>
            <w:bottom w:val="none" w:sz="0" w:space="0" w:color="auto"/>
            <w:right w:val="none" w:sz="0" w:space="0" w:color="auto"/>
          </w:divBdr>
          <w:divsChild>
            <w:div w:id="1938976869">
              <w:marLeft w:val="0"/>
              <w:marRight w:val="0"/>
              <w:marTop w:val="0"/>
              <w:marBottom w:val="0"/>
              <w:divBdr>
                <w:top w:val="none" w:sz="0" w:space="0" w:color="auto"/>
                <w:left w:val="none" w:sz="0" w:space="0" w:color="auto"/>
                <w:bottom w:val="none" w:sz="0" w:space="0" w:color="auto"/>
                <w:right w:val="none" w:sz="0" w:space="0" w:color="auto"/>
              </w:divBdr>
              <w:divsChild>
                <w:div w:id="1562904366">
                  <w:marLeft w:val="0"/>
                  <w:marRight w:val="0"/>
                  <w:marTop w:val="0"/>
                  <w:marBottom w:val="0"/>
                  <w:divBdr>
                    <w:top w:val="none" w:sz="0" w:space="0" w:color="auto"/>
                    <w:left w:val="none" w:sz="0" w:space="0" w:color="auto"/>
                    <w:bottom w:val="none" w:sz="0" w:space="0" w:color="auto"/>
                    <w:right w:val="none" w:sz="0" w:space="0" w:color="auto"/>
                  </w:divBdr>
                  <w:divsChild>
                    <w:div w:id="5556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735191">
      <w:bodyDiv w:val="1"/>
      <w:marLeft w:val="0"/>
      <w:marRight w:val="0"/>
      <w:marTop w:val="0"/>
      <w:marBottom w:val="0"/>
      <w:divBdr>
        <w:top w:val="none" w:sz="0" w:space="0" w:color="auto"/>
        <w:left w:val="none" w:sz="0" w:space="0" w:color="auto"/>
        <w:bottom w:val="none" w:sz="0" w:space="0" w:color="auto"/>
        <w:right w:val="none" w:sz="0" w:space="0" w:color="auto"/>
      </w:divBdr>
      <w:divsChild>
        <w:div w:id="332731092">
          <w:marLeft w:val="0"/>
          <w:marRight w:val="0"/>
          <w:marTop w:val="0"/>
          <w:marBottom w:val="0"/>
          <w:divBdr>
            <w:top w:val="none" w:sz="0" w:space="0" w:color="auto"/>
            <w:left w:val="none" w:sz="0" w:space="0" w:color="auto"/>
            <w:bottom w:val="none" w:sz="0" w:space="0" w:color="auto"/>
            <w:right w:val="none" w:sz="0" w:space="0" w:color="auto"/>
          </w:divBdr>
          <w:divsChild>
            <w:div w:id="191849042">
              <w:marLeft w:val="0"/>
              <w:marRight w:val="0"/>
              <w:marTop w:val="0"/>
              <w:marBottom w:val="0"/>
              <w:divBdr>
                <w:top w:val="none" w:sz="0" w:space="0" w:color="auto"/>
                <w:left w:val="none" w:sz="0" w:space="0" w:color="auto"/>
                <w:bottom w:val="none" w:sz="0" w:space="0" w:color="auto"/>
                <w:right w:val="none" w:sz="0" w:space="0" w:color="auto"/>
              </w:divBdr>
              <w:divsChild>
                <w:div w:id="1856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2832">
      <w:bodyDiv w:val="1"/>
      <w:marLeft w:val="0"/>
      <w:marRight w:val="0"/>
      <w:marTop w:val="0"/>
      <w:marBottom w:val="0"/>
      <w:divBdr>
        <w:top w:val="none" w:sz="0" w:space="0" w:color="auto"/>
        <w:left w:val="none" w:sz="0" w:space="0" w:color="auto"/>
        <w:bottom w:val="none" w:sz="0" w:space="0" w:color="auto"/>
        <w:right w:val="none" w:sz="0" w:space="0" w:color="auto"/>
      </w:divBdr>
      <w:divsChild>
        <w:div w:id="1631857906">
          <w:marLeft w:val="0"/>
          <w:marRight w:val="0"/>
          <w:marTop w:val="0"/>
          <w:marBottom w:val="0"/>
          <w:divBdr>
            <w:top w:val="none" w:sz="0" w:space="0" w:color="auto"/>
            <w:left w:val="none" w:sz="0" w:space="0" w:color="auto"/>
            <w:bottom w:val="none" w:sz="0" w:space="0" w:color="auto"/>
            <w:right w:val="none" w:sz="0" w:space="0" w:color="auto"/>
          </w:divBdr>
          <w:divsChild>
            <w:div w:id="917518683">
              <w:marLeft w:val="0"/>
              <w:marRight w:val="0"/>
              <w:marTop w:val="0"/>
              <w:marBottom w:val="0"/>
              <w:divBdr>
                <w:top w:val="none" w:sz="0" w:space="0" w:color="auto"/>
                <w:left w:val="none" w:sz="0" w:space="0" w:color="auto"/>
                <w:bottom w:val="none" w:sz="0" w:space="0" w:color="auto"/>
                <w:right w:val="none" w:sz="0" w:space="0" w:color="auto"/>
              </w:divBdr>
              <w:divsChild>
                <w:div w:id="1912498692">
                  <w:marLeft w:val="0"/>
                  <w:marRight w:val="0"/>
                  <w:marTop w:val="0"/>
                  <w:marBottom w:val="0"/>
                  <w:divBdr>
                    <w:top w:val="none" w:sz="0" w:space="0" w:color="auto"/>
                    <w:left w:val="none" w:sz="0" w:space="0" w:color="auto"/>
                    <w:bottom w:val="none" w:sz="0" w:space="0" w:color="auto"/>
                    <w:right w:val="none" w:sz="0" w:space="0" w:color="auto"/>
                  </w:divBdr>
                  <w:divsChild>
                    <w:div w:id="19476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73134">
      <w:bodyDiv w:val="1"/>
      <w:marLeft w:val="0"/>
      <w:marRight w:val="0"/>
      <w:marTop w:val="0"/>
      <w:marBottom w:val="0"/>
      <w:divBdr>
        <w:top w:val="none" w:sz="0" w:space="0" w:color="auto"/>
        <w:left w:val="none" w:sz="0" w:space="0" w:color="auto"/>
        <w:bottom w:val="none" w:sz="0" w:space="0" w:color="auto"/>
        <w:right w:val="none" w:sz="0" w:space="0" w:color="auto"/>
      </w:divBdr>
      <w:divsChild>
        <w:div w:id="1575511863">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sChild>
                <w:div w:id="114138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1351">
      <w:bodyDiv w:val="1"/>
      <w:marLeft w:val="0"/>
      <w:marRight w:val="0"/>
      <w:marTop w:val="0"/>
      <w:marBottom w:val="0"/>
      <w:divBdr>
        <w:top w:val="none" w:sz="0" w:space="0" w:color="auto"/>
        <w:left w:val="none" w:sz="0" w:space="0" w:color="auto"/>
        <w:bottom w:val="none" w:sz="0" w:space="0" w:color="auto"/>
        <w:right w:val="none" w:sz="0" w:space="0" w:color="auto"/>
      </w:divBdr>
    </w:div>
    <w:div w:id="1263149998">
      <w:bodyDiv w:val="1"/>
      <w:marLeft w:val="0"/>
      <w:marRight w:val="0"/>
      <w:marTop w:val="0"/>
      <w:marBottom w:val="0"/>
      <w:divBdr>
        <w:top w:val="none" w:sz="0" w:space="0" w:color="auto"/>
        <w:left w:val="none" w:sz="0" w:space="0" w:color="auto"/>
        <w:bottom w:val="none" w:sz="0" w:space="0" w:color="auto"/>
        <w:right w:val="none" w:sz="0" w:space="0" w:color="auto"/>
      </w:divBdr>
      <w:divsChild>
        <w:div w:id="1670137492">
          <w:marLeft w:val="0"/>
          <w:marRight w:val="0"/>
          <w:marTop w:val="0"/>
          <w:marBottom w:val="0"/>
          <w:divBdr>
            <w:top w:val="none" w:sz="0" w:space="0" w:color="auto"/>
            <w:left w:val="none" w:sz="0" w:space="0" w:color="auto"/>
            <w:bottom w:val="none" w:sz="0" w:space="0" w:color="auto"/>
            <w:right w:val="none" w:sz="0" w:space="0" w:color="auto"/>
          </w:divBdr>
          <w:divsChild>
            <w:div w:id="964045526">
              <w:marLeft w:val="0"/>
              <w:marRight w:val="0"/>
              <w:marTop w:val="0"/>
              <w:marBottom w:val="0"/>
              <w:divBdr>
                <w:top w:val="none" w:sz="0" w:space="0" w:color="auto"/>
                <w:left w:val="none" w:sz="0" w:space="0" w:color="auto"/>
                <w:bottom w:val="none" w:sz="0" w:space="0" w:color="auto"/>
                <w:right w:val="none" w:sz="0" w:space="0" w:color="auto"/>
              </w:divBdr>
              <w:divsChild>
                <w:div w:id="198862623">
                  <w:marLeft w:val="0"/>
                  <w:marRight w:val="0"/>
                  <w:marTop w:val="0"/>
                  <w:marBottom w:val="0"/>
                  <w:divBdr>
                    <w:top w:val="none" w:sz="0" w:space="0" w:color="auto"/>
                    <w:left w:val="none" w:sz="0" w:space="0" w:color="auto"/>
                    <w:bottom w:val="none" w:sz="0" w:space="0" w:color="auto"/>
                    <w:right w:val="none" w:sz="0" w:space="0" w:color="auto"/>
                  </w:divBdr>
                  <w:divsChild>
                    <w:div w:id="86509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26611">
      <w:bodyDiv w:val="1"/>
      <w:marLeft w:val="0"/>
      <w:marRight w:val="0"/>
      <w:marTop w:val="0"/>
      <w:marBottom w:val="0"/>
      <w:divBdr>
        <w:top w:val="none" w:sz="0" w:space="0" w:color="auto"/>
        <w:left w:val="none" w:sz="0" w:space="0" w:color="auto"/>
        <w:bottom w:val="none" w:sz="0" w:space="0" w:color="auto"/>
        <w:right w:val="none" w:sz="0" w:space="0" w:color="auto"/>
      </w:divBdr>
    </w:div>
    <w:div w:id="1273392539">
      <w:bodyDiv w:val="1"/>
      <w:marLeft w:val="0"/>
      <w:marRight w:val="0"/>
      <w:marTop w:val="0"/>
      <w:marBottom w:val="0"/>
      <w:divBdr>
        <w:top w:val="none" w:sz="0" w:space="0" w:color="auto"/>
        <w:left w:val="none" w:sz="0" w:space="0" w:color="auto"/>
        <w:bottom w:val="none" w:sz="0" w:space="0" w:color="auto"/>
        <w:right w:val="none" w:sz="0" w:space="0" w:color="auto"/>
      </w:divBdr>
      <w:divsChild>
        <w:div w:id="953556262">
          <w:marLeft w:val="0"/>
          <w:marRight w:val="0"/>
          <w:marTop w:val="0"/>
          <w:marBottom w:val="0"/>
          <w:divBdr>
            <w:top w:val="none" w:sz="0" w:space="0" w:color="auto"/>
            <w:left w:val="none" w:sz="0" w:space="0" w:color="auto"/>
            <w:bottom w:val="none" w:sz="0" w:space="0" w:color="auto"/>
            <w:right w:val="none" w:sz="0" w:space="0" w:color="auto"/>
          </w:divBdr>
          <w:divsChild>
            <w:div w:id="1347173915">
              <w:marLeft w:val="0"/>
              <w:marRight w:val="0"/>
              <w:marTop w:val="0"/>
              <w:marBottom w:val="0"/>
              <w:divBdr>
                <w:top w:val="none" w:sz="0" w:space="0" w:color="auto"/>
                <w:left w:val="none" w:sz="0" w:space="0" w:color="auto"/>
                <w:bottom w:val="none" w:sz="0" w:space="0" w:color="auto"/>
                <w:right w:val="none" w:sz="0" w:space="0" w:color="auto"/>
              </w:divBdr>
              <w:divsChild>
                <w:div w:id="11327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28629">
      <w:bodyDiv w:val="1"/>
      <w:marLeft w:val="0"/>
      <w:marRight w:val="0"/>
      <w:marTop w:val="0"/>
      <w:marBottom w:val="0"/>
      <w:divBdr>
        <w:top w:val="none" w:sz="0" w:space="0" w:color="auto"/>
        <w:left w:val="none" w:sz="0" w:space="0" w:color="auto"/>
        <w:bottom w:val="none" w:sz="0" w:space="0" w:color="auto"/>
        <w:right w:val="none" w:sz="0" w:space="0" w:color="auto"/>
      </w:divBdr>
      <w:divsChild>
        <w:div w:id="48576294">
          <w:marLeft w:val="0"/>
          <w:marRight w:val="0"/>
          <w:marTop w:val="0"/>
          <w:marBottom w:val="0"/>
          <w:divBdr>
            <w:top w:val="none" w:sz="0" w:space="0" w:color="auto"/>
            <w:left w:val="none" w:sz="0" w:space="0" w:color="auto"/>
            <w:bottom w:val="none" w:sz="0" w:space="0" w:color="auto"/>
            <w:right w:val="none" w:sz="0" w:space="0" w:color="auto"/>
          </w:divBdr>
          <w:divsChild>
            <w:div w:id="155149803">
              <w:marLeft w:val="0"/>
              <w:marRight w:val="0"/>
              <w:marTop w:val="0"/>
              <w:marBottom w:val="0"/>
              <w:divBdr>
                <w:top w:val="none" w:sz="0" w:space="0" w:color="auto"/>
                <w:left w:val="none" w:sz="0" w:space="0" w:color="auto"/>
                <w:bottom w:val="none" w:sz="0" w:space="0" w:color="auto"/>
                <w:right w:val="none" w:sz="0" w:space="0" w:color="auto"/>
              </w:divBdr>
              <w:divsChild>
                <w:div w:id="1426070453">
                  <w:marLeft w:val="0"/>
                  <w:marRight w:val="0"/>
                  <w:marTop w:val="0"/>
                  <w:marBottom w:val="0"/>
                  <w:divBdr>
                    <w:top w:val="none" w:sz="0" w:space="0" w:color="auto"/>
                    <w:left w:val="none" w:sz="0" w:space="0" w:color="auto"/>
                    <w:bottom w:val="none" w:sz="0" w:space="0" w:color="auto"/>
                    <w:right w:val="none" w:sz="0" w:space="0" w:color="auto"/>
                  </w:divBdr>
                  <w:divsChild>
                    <w:div w:id="5126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71180">
      <w:bodyDiv w:val="1"/>
      <w:marLeft w:val="0"/>
      <w:marRight w:val="0"/>
      <w:marTop w:val="0"/>
      <w:marBottom w:val="0"/>
      <w:divBdr>
        <w:top w:val="none" w:sz="0" w:space="0" w:color="auto"/>
        <w:left w:val="none" w:sz="0" w:space="0" w:color="auto"/>
        <w:bottom w:val="none" w:sz="0" w:space="0" w:color="auto"/>
        <w:right w:val="none" w:sz="0" w:space="0" w:color="auto"/>
      </w:divBdr>
      <w:divsChild>
        <w:div w:id="2129736653">
          <w:marLeft w:val="547"/>
          <w:marRight w:val="0"/>
          <w:marTop w:val="0"/>
          <w:marBottom w:val="0"/>
          <w:divBdr>
            <w:top w:val="none" w:sz="0" w:space="0" w:color="auto"/>
            <w:left w:val="none" w:sz="0" w:space="0" w:color="auto"/>
            <w:bottom w:val="none" w:sz="0" w:space="0" w:color="auto"/>
            <w:right w:val="none" w:sz="0" w:space="0" w:color="auto"/>
          </w:divBdr>
        </w:div>
      </w:divsChild>
    </w:div>
    <w:div w:id="1285042377">
      <w:bodyDiv w:val="1"/>
      <w:marLeft w:val="0"/>
      <w:marRight w:val="0"/>
      <w:marTop w:val="0"/>
      <w:marBottom w:val="0"/>
      <w:divBdr>
        <w:top w:val="none" w:sz="0" w:space="0" w:color="auto"/>
        <w:left w:val="none" w:sz="0" w:space="0" w:color="auto"/>
        <w:bottom w:val="none" w:sz="0" w:space="0" w:color="auto"/>
        <w:right w:val="none" w:sz="0" w:space="0" w:color="auto"/>
      </w:divBdr>
      <w:divsChild>
        <w:div w:id="1933732009">
          <w:marLeft w:val="547"/>
          <w:marRight w:val="0"/>
          <w:marTop w:val="0"/>
          <w:marBottom w:val="0"/>
          <w:divBdr>
            <w:top w:val="none" w:sz="0" w:space="0" w:color="auto"/>
            <w:left w:val="none" w:sz="0" w:space="0" w:color="auto"/>
            <w:bottom w:val="none" w:sz="0" w:space="0" w:color="auto"/>
            <w:right w:val="none" w:sz="0" w:space="0" w:color="auto"/>
          </w:divBdr>
        </w:div>
      </w:divsChild>
    </w:div>
    <w:div w:id="1288467616">
      <w:bodyDiv w:val="1"/>
      <w:marLeft w:val="0"/>
      <w:marRight w:val="0"/>
      <w:marTop w:val="0"/>
      <w:marBottom w:val="0"/>
      <w:divBdr>
        <w:top w:val="none" w:sz="0" w:space="0" w:color="auto"/>
        <w:left w:val="none" w:sz="0" w:space="0" w:color="auto"/>
        <w:bottom w:val="none" w:sz="0" w:space="0" w:color="auto"/>
        <w:right w:val="none" w:sz="0" w:space="0" w:color="auto"/>
      </w:divBdr>
      <w:divsChild>
        <w:div w:id="349987679">
          <w:marLeft w:val="0"/>
          <w:marRight w:val="0"/>
          <w:marTop w:val="0"/>
          <w:marBottom w:val="0"/>
          <w:divBdr>
            <w:top w:val="none" w:sz="0" w:space="0" w:color="auto"/>
            <w:left w:val="none" w:sz="0" w:space="0" w:color="auto"/>
            <w:bottom w:val="none" w:sz="0" w:space="0" w:color="auto"/>
            <w:right w:val="none" w:sz="0" w:space="0" w:color="auto"/>
          </w:divBdr>
          <w:divsChild>
            <w:div w:id="1092705540">
              <w:marLeft w:val="0"/>
              <w:marRight w:val="0"/>
              <w:marTop w:val="0"/>
              <w:marBottom w:val="0"/>
              <w:divBdr>
                <w:top w:val="none" w:sz="0" w:space="0" w:color="auto"/>
                <w:left w:val="none" w:sz="0" w:space="0" w:color="auto"/>
                <w:bottom w:val="none" w:sz="0" w:space="0" w:color="auto"/>
                <w:right w:val="none" w:sz="0" w:space="0" w:color="auto"/>
              </w:divBdr>
              <w:divsChild>
                <w:div w:id="524053703">
                  <w:marLeft w:val="0"/>
                  <w:marRight w:val="0"/>
                  <w:marTop w:val="0"/>
                  <w:marBottom w:val="0"/>
                  <w:divBdr>
                    <w:top w:val="none" w:sz="0" w:space="0" w:color="auto"/>
                    <w:left w:val="none" w:sz="0" w:space="0" w:color="auto"/>
                    <w:bottom w:val="none" w:sz="0" w:space="0" w:color="auto"/>
                    <w:right w:val="none" w:sz="0" w:space="0" w:color="auto"/>
                  </w:divBdr>
                  <w:divsChild>
                    <w:div w:id="15842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208453">
      <w:bodyDiv w:val="1"/>
      <w:marLeft w:val="0"/>
      <w:marRight w:val="0"/>
      <w:marTop w:val="0"/>
      <w:marBottom w:val="0"/>
      <w:divBdr>
        <w:top w:val="none" w:sz="0" w:space="0" w:color="auto"/>
        <w:left w:val="none" w:sz="0" w:space="0" w:color="auto"/>
        <w:bottom w:val="none" w:sz="0" w:space="0" w:color="auto"/>
        <w:right w:val="none" w:sz="0" w:space="0" w:color="auto"/>
      </w:divBdr>
      <w:divsChild>
        <w:div w:id="2133789402">
          <w:marLeft w:val="0"/>
          <w:marRight w:val="0"/>
          <w:marTop w:val="0"/>
          <w:marBottom w:val="0"/>
          <w:divBdr>
            <w:top w:val="none" w:sz="0" w:space="0" w:color="auto"/>
            <w:left w:val="none" w:sz="0" w:space="0" w:color="auto"/>
            <w:bottom w:val="none" w:sz="0" w:space="0" w:color="auto"/>
            <w:right w:val="none" w:sz="0" w:space="0" w:color="auto"/>
          </w:divBdr>
          <w:divsChild>
            <w:div w:id="708410493">
              <w:marLeft w:val="0"/>
              <w:marRight w:val="0"/>
              <w:marTop w:val="0"/>
              <w:marBottom w:val="0"/>
              <w:divBdr>
                <w:top w:val="none" w:sz="0" w:space="0" w:color="auto"/>
                <w:left w:val="none" w:sz="0" w:space="0" w:color="auto"/>
                <w:bottom w:val="none" w:sz="0" w:space="0" w:color="auto"/>
                <w:right w:val="none" w:sz="0" w:space="0" w:color="auto"/>
              </w:divBdr>
              <w:divsChild>
                <w:div w:id="1468083401">
                  <w:marLeft w:val="0"/>
                  <w:marRight w:val="0"/>
                  <w:marTop w:val="0"/>
                  <w:marBottom w:val="0"/>
                  <w:divBdr>
                    <w:top w:val="none" w:sz="0" w:space="0" w:color="auto"/>
                    <w:left w:val="none" w:sz="0" w:space="0" w:color="auto"/>
                    <w:bottom w:val="none" w:sz="0" w:space="0" w:color="auto"/>
                    <w:right w:val="none" w:sz="0" w:space="0" w:color="auto"/>
                  </w:divBdr>
                  <w:divsChild>
                    <w:div w:id="141682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06052">
      <w:bodyDiv w:val="1"/>
      <w:marLeft w:val="0"/>
      <w:marRight w:val="0"/>
      <w:marTop w:val="0"/>
      <w:marBottom w:val="0"/>
      <w:divBdr>
        <w:top w:val="none" w:sz="0" w:space="0" w:color="auto"/>
        <w:left w:val="none" w:sz="0" w:space="0" w:color="auto"/>
        <w:bottom w:val="none" w:sz="0" w:space="0" w:color="auto"/>
        <w:right w:val="none" w:sz="0" w:space="0" w:color="auto"/>
      </w:divBdr>
    </w:div>
    <w:div w:id="1303540234">
      <w:bodyDiv w:val="1"/>
      <w:marLeft w:val="0"/>
      <w:marRight w:val="0"/>
      <w:marTop w:val="0"/>
      <w:marBottom w:val="0"/>
      <w:divBdr>
        <w:top w:val="none" w:sz="0" w:space="0" w:color="auto"/>
        <w:left w:val="none" w:sz="0" w:space="0" w:color="auto"/>
        <w:bottom w:val="none" w:sz="0" w:space="0" w:color="auto"/>
        <w:right w:val="none" w:sz="0" w:space="0" w:color="auto"/>
      </w:divBdr>
    </w:div>
    <w:div w:id="1305891877">
      <w:bodyDiv w:val="1"/>
      <w:marLeft w:val="0"/>
      <w:marRight w:val="0"/>
      <w:marTop w:val="0"/>
      <w:marBottom w:val="0"/>
      <w:divBdr>
        <w:top w:val="none" w:sz="0" w:space="0" w:color="auto"/>
        <w:left w:val="none" w:sz="0" w:space="0" w:color="auto"/>
        <w:bottom w:val="none" w:sz="0" w:space="0" w:color="auto"/>
        <w:right w:val="none" w:sz="0" w:space="0" w:color="auto"/>
      </w:divBdr>
      <w:divsChild>
        <w:div w:id="1571888913">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sChild>
                <w:div w:id="6335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13419">
      <w:bodyDiv w:val="1"/>
      <w:marLeft w:val="0"/>
      <w:marRight w:val="0"/>
      <w:marTop w:val="0"/>
      <w:marBottom w:val="0"/>
      <w:divBdr>
        <w:top w:val="none" w:sz="0" w:space="0" w:color="auto"/>
        <w:left w:val="none" w:sz="0" w:space="0" w:color="auto"/>
        <w:bottom w:val="none" w:sz="0" w:space="0" w:color="auto"/>
        <w:right w:val="none" w:sz="0" w:space="0" w:color="auto"/>
      </w:divBdr>
    </w:div>
    <w:div w:id="1314407720">
      <w:bodyDiv w:val="1"/>
      <w:marLeft w:val="0"/>
      <w:marRight w:val="0"/>
      <w:marTop w:val="0"/>
      <w:marBottom w:val="0"/>
      <w:divBdr>
        <w:top w:val="none" w:sz="0" w:space="0" w:color="auto"/>
        <w:left w:val="none" w:sz="0" w:space="0" w:color="auto"/>
        <w:bottom w:val="none" w:sz="0" w:space="0" w:color="auto"/>
        <w:right w:val="none" w:sz="0" w:space="0" w:color="auto"/>
      </w:divBdr>
      <w:divsChild>
        <w:div w:id="555555086">
          <w:marLeft w:val="0"/>
          <w:marRight w:val="0"/>
          <w:marTop w:val="0"/>
          <w:marBottom w:val="0"/>
          <w:divBdr>
            <w:top w:val="none" w:sz="0" w:space="0" w:color="auto"/>
            <w:left w:val="none" w:sz="0" w:space="0" w:color="auto"/>
            <w:bottom w:val="none" w:sz="0" w:space="0" w:color="auto"/>
            <w:right w:val="none" w:sz="0" w:space="0" w:color="auto"/>
          </w:divBdr>
          <w:divsChild>
            <w:div w:id="1542471235">
              <w:marLeft w:val="0"/>
              <w:marRight w:val="0"/>
              <w:marTop w:val="0"/>
              <w:marBottom w:val="0"/>
              <w:divBdr>
                <w:top w:val="none" w:sz="0" w:space="0" w:color="auto"/>
                <w:left w:val="none" w:sz="0" w:space="0" w:color="auto"/>
                <w:bottom w:val="none" w:sz="0" w:space="0" w:color="auto"/>
                <w:right w:val="none" w:sz="0" w:space="0" w:color="auto"/>
              </w:divBdr>
              <w:divsChild>
                <w:div w:id="1894921272">
                  <w:marLeft w:val="0"/>
                  <w:marRight w:val="0"/>
                  <w:marTop w:val="0"/>
                  <w:marBottom w:val="0"/>
                  <w:divBdr>
                    <w:top w:val="none" w:sz="0" w:space="0" w:color="auto"/>
                    <w:left w:val="none" w:sz="0" w:space="0" w:color="auto"/>
                    <w:bottom w:val="none" w:sz="0" w:space="0" w:color="auto"/>
                    <w:right w:val="none" w:sz="0" w:space="0" w:color="auto"/>
                  </w:divBdr>
                  <w:divsChild>
                    <w:div w:id="18208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405161">
      <w:bodyDiv w:val="1"/>
      <w:marLeft w:val="0"/>
      <w:marRight w:val="0"/>
      <w:marTop w:val="0"/>
      <w:marBottom w:val="0"/>
      <w:divBdr>
        <w:top w:val="none" w:sz="0" w:space="0" w:color="auto"/>
        <w:left w:val="none" w:sz="0" w:space="0" w:color="auto"/>
        <w:bottom w:val="none" w:sz="0" w:space="0" w:color="auto"/>
        <w:right w:val="none" w:sz="0" w:space="0" w:color="auto"/>
      </w:divBdr>
      <w:divsChild>
        <w:div w:id="386806246">
          <w:marLeft w:val="0"/>
          <w:marRight w:val="0"/>
          <w:marTop w:val="0"/>
          <w:marBottom w:val="0"/>
          <w:divBdr>
            <w:top w:val="none" w:sz="0" w:space="0" w:color="auto"/>
            <w:left w:val="none" w:sz="0" w:space="0" w:color="auto"/>
            <w:bottom w:val="none" w:sz="0" w:space="0" w:color="auto"/>
            <w:right w:val="none" w:sz="0" w:space="0" w:color="auto"/>
          </w:divBdr>
          <w:divsChild>
            <w:div w:id="304967011">
              <w:marLeft w:val="0"/>
              <w:marRight w:val="0"/>
              <w:marTop w:val="0"/>
              <w:marBottom w:val="0"/>
              <w:divBdr>
                <w:top w:val="none" w:sz="0" w:space="0" w:color="auto"/>
                <w:left w:val="none" w:sz="0" w:space="0" w:color="auto"/>
                <w:bottom w:val="none" w:sz="0" w:space="0" w:color="auto"/>
                <w:right w:val="none" w:sz="0" w:space="0" w:color="auto"/>
              </w:divBdr>
              <w:divsChild>
                <w:div w:id="2567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6677">
      <w:bodyDiv w:val="1"/>
      <w:marLeft w:val="0"/>
      <w:marRight w:val="0"/>
      <w:marTop w:val="0"/>
      <w:marBottom w:val="0"/>
      <w:divBdr>
        <w:top w:val="none" w:sz="0" w:space="0" w:color="auto"/>
        <w:left w:val="none" w:sz="0" w:space="0" w:color="auto"/>
        <w:bottom w:val="none" w:sz="0" w:space="0" w:color="auto"/>
        <w:right w:val="none" w:sz="0" w:space="0" w:color="auto"/>
      </w:divBdr>
      <w:divsChild>
        <w:div w:id="1517304007">
          <w:marLeft w:val="0"/>
          <w:marRight w:val="0"/>
          <w:marTop w:val="0"/>
          <w:marBottom w:val="0"/>
          <w:divBdr>
            <w:top w:val="none" w:sz="0" w:space="0" w:color="auto"/>
            <w:left w:val="none" w:sz="0" w:space="0" w:color="auto"/>
            <w:bottom w:val="none" w:sz="0" w:space="0" w:color="auto"/>
            <w:right w:val="none" w:sz="0" w:space="0" w:color="auto"/>
          </w:divBdr>
          <w:divsChild>
            <w:div w:id="564608267">
              <w:marLeft w:val="0"/>
              <w:marRight w:val="0"/>
              <w:marTop w:val="0"/>
              <w:marBottom w:val="0"/>
              <w:divBdr>
                <w:top w:val="none" w:sz="0" w:space="0" w:color="auto"/>
                <w:left w:val="none" w:sz="0" w:space="0" w:color="auto"/>
                <w:bottom w:val="none" w:sz="0" w:space="0" w:color="auto"/>
                <w:right w:val="none" w:sz="0" w:space="0" w:color="auto"/>
              </w:divBdr>
              <w:divsChild>
                <w:div w:id="1654719866">
                  <w:marLeft w:val="0"/>
                  <w:marRight w:val="0"/>
                  <w:marTop w:val="0"/>
                  <w:marBottom w:val="0"/>
                  <w:divBdr>
                    <w:top w:val="none" w:sz="0" w:space="0" w:color="auto"/>
                    <w:left w:val="none" w:sz="0" w:space="0" w:color="auto"/>
                    <w:bottom w:val="none" w:sz="0" w:space="0" w:color="auto"/>
                    <w:right w:val="none" w:sz="0" w:space="0" w:color="auto"/>
                  </w:divBdr>
                  <w:divsChild>
                    <w:div w:id="15937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32274">
      <w:bodyDiv w:val="1"/>
      <w:marLeft w:val="0"/>
      <w:marRight w:val="0"/>
      <w:marTop w:val="0"/>
      <w:marBottom w:val="0"/>
      <w:divBdr>
        <w:top w:val="none" w:sz="0" w:space="0" w:color="auto"/>
        <w:left w:val="none" w:sz="0" w:space="0" w:color="auto"/>
        <w:bottom w:val="none" w:sz="0" w:space="0" w:color="auto"/>
        <w:right w:val="none" w:sz="0" w:space="0" w:color="auto"/>
      </w:divBdr>
    </w:div>
    <w:div w:id="1335180660">
      <w:bodyDiv w:val="1"/>
      <w:marLeft w:val="0"/>
      <w:marRight w:val="0"/>
      <w:marTop w:val="0"/>
      <w:marBottom w:val="0"/>
      <w:divBdr>
        <w:top w:val="none" w:sz="0" w:space="0" w:color="auto"/>
        <w:left w:val="none" w:sz="0" w:space="0" w:color="auto"/>
        <w:bottom w:val="none" w:sz="0" w:space="0" w:color="auto"/>
        <w:right w:val="none" w:sz="0" w:space="0" w:color="auto"/>
      </w:divBdr>
      <w:divsChild>
        <w:div w:id="1291857902">
          <w:marLeft w:val="0"/>
          <w:marRight w:val="0"/>
          <w:marTop w:val="0"/>
          <w:marBottom w:val="0"/>
          <w:divBdr>
            <w:top w:val="none" w:sz="0" w:space="0" w:color="auto"/>
            <w:left w:val="none" w:sz="0" w:space="0" w:color="auto"/>
            <w:bottom w:val="none" w:sz="0" w:space="0" w:color="auto"/>
            <w:right w:val="none" w:sz="0" w:space="0" w:color="auto"/>
          </w:divBdr>
          <w:divsChild>
            <w:div w:id="1802655045">
              <w:marLeft w:val="0"/>
              <w:marRight w:val="0"/>
              <w:marTop w:val="0"/>
              <w:marBottom w:val="0"/>
              <w:divBdr>
                <w:top w:val="none" w:sz="0" w:space="0" w:color="auto"/>
                <w:left w:val="none" w:sz="0" w:space="0" w:color="auto"/>
                <w:bottom w:val="none" w:sz="0" w:space="0" w:color="auto"/>
                <w:right w:val="none" w:sz="0" w:space="0" w:color="auto"/>
              </w:divBdr>
              <w:divsChild>
                <w:div w:id="12636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66544">
      <w:bodyDiv w:val="1"/>
      <w:marLeft w:val="0"/>
      <w:marRight w:val="0"/>
      <w:marTop w:val="0"/>
      <w:marBottom w:val="0"/>
      <w:divBdr>
        <w:top w:val="none" w:sz="0" w:space="0" w:color="auto"/>
        <w:left w:val="none" w:sz="0" w:space="0" w:color="auto"/>
        <w:bottom w:val="none" w:sz="0" w:space="0" w:color="auto"/>
        <w:right w:val="none" w:sz="0" w:space="0" w:color="auto"/>
      </w:divBdr>
      <w:divsChild>
        <w:div w:id="996032628">
          <w:marLeft w:val="0"/>
          <w:marRight w:val="0"/>
          <w:marTop w:val="0"/>
          <w:marBottom w:val="0"/>
          <w:divBdr>
            <w:top w:val="none" w:sz="0" w:space="0" w:color="auto"/>
            <w:left w:val="none" w:sz="0" w:space="0" w:color="auto"/>
            <w:bottom w:val="none" w:sz="0" w:space="0" w:color="auto"/>
            <w:right w:val="none" w:sz="0" w:space="0" w:color="auto"/>
          </w:divBdr>
          <w:divsChild>
            <w:div w:id="1822383742">
              <w:marLeft w:val="0"/>
              <w:marRight w:val="0"/>
              <w:marTop w:val="0"/>
              <w:marBottom w:val="0"/>
              <w:divBdr>
                <w:top w:val="none" w:sz="0" w:space="0" w:color="auto"/>
                <w:left w:val="none" w:sz="0" w:space="0" w:color="auto"/>
                <w:bottom w:val="none" w:sz="0" w:space="0" w:color="auto"/>
                <w:right w:val="none" w:sz="0" w:space="0" w:color="auto"/>
              </w:divBdr>
              <w:divsChild>
                <w:div w:id="11051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1184">
      <w:bodyDiv w:val="1"/>
      <w:marLeft w:val="0"/>
      <w:marRight w:val="0"/>
      <w:marTop w:val="0"/>
      <w:marBottom w:val="0"/>
      <w:divBdr>
        <w:top w:val="none" w:sz="0" w:space="0" w:color="auto"/>
        <w:left w:val="none" w:sz="0" w:space="0" w:color="auto"/>
        <w:bottom w:val="none" w:sz="0" w:space="0" w:color="auto"/>
        <w:right w:val="none" w:sz="0" w:space="0" w:color="auto"/>
      </w:divBdr>
      <w:divsChild>
        <w:div w:id="584846722">
          <w:marLeft w:val="0"/>
          <w:marRight w:val="0"/>
          <w:marTop w:val="0"/>
          <w:marBottom w:val="0"/>
          <w:divBdr>
            <w:top w:val="none" w:sz="0" w:space="0" w:color="auto"/>
            <w:left w:val="none" w:sz="0" w:space="0" w:color="auto"/>
            <w:bottom w:val="none" w:sz="0" w:space="0" w:color="auto"/>
            <w:right w:val="none" w:sz="0" w:space="0" w:color="auto"/>
          </w:divBdr>
          <w:divsChild>
            <w:div w:id="141847627">
              <w:marLeft w:val="0"/>
              <w:marRight w:val="0"/>
              <w:marTop w:val="0"/>
              <w:marBottom w:val="0"/>
              <w:divBdr>
                <w:top w:val="none" w:sz="0" w:space="0" w:color="auto"/>
                <w:left w:val="none" w:sz="0" w:space="0" w:color="auto"/>
                <w:bottom w:val="none" w:sz="0" w:space="0" w:color="auto"/>
                <w:right w:val="none" w:sz="0" w:space="0" w:color="auto"/>
              </w:divBdr>
              <w:divsChild>
                <w:div w:id="401561086">
                  <w:marLeft w:val="0"/>
                  <w:marRight w:val="0"/>
                  <w:marTop w:val="0"/>
                  <w:marBottom w:val="0"/>
                  <w:divBdr>
                    <w:top w:val="none" w:sz="0" w:space="0" w:color="auto"/>
                    <w:left w:val="none" w:sz="0" w:space="0" w:color="auto"/>
                    <w:bottom w:val="none" w:sz="0" w:space="0" w:color="auto"/>
                    <w:right w:val="none" w:sz="0" w:space="0" w:color="auto"/>
                  </w:divBdr>
                  <w:divsChild>
                    <w:div w:id="6025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14788">
      <w:bodyDiv w:val="1"/>
      <w:marLeft w:val="0"/>
      <w:marRight w:val="0"/>
      <w:marTop w:val="0"/>
      <w:marBottom w:val="0"/>
      <w:divBdr>
        <w:top w:val="none" w:sz="0" w:space="0" w:color="auto"/>
        <w:left w:val="none" w:sz="0" w:space="0" w:color="auto"/>
        <w:bottom w:val="none" w:sz="0" w:space="0" w:color="auto"/>
        <w:right w:val="none" w:sz="0" w:space="0" w:color="auto"/>
      </w:divBdr>
    </w:div>
    <w:div w:id="1352299451">
      <w:bodyDiv w:val="1"/>
      <w:marLeft w:val="0"/>
      <w:marRight w:val="0"/>
      <w:marTop w:val="0"/>
      <w:marBottom w:val="0"/>
      <w:divBdr>
        <w:top w:val="none" w:sz="0" w:space="0" w:color="auto"/>
        <w:left w:val="none" w:sz="0" w:space="0" w:color="auto"/>
        <w:bottom w:val="none" w:sz="0" w:space="0" w:color="auto"/>
        <w:right w:val="none" w:sz="0" w:space="0" w:color="auto"/>
      </w:divBdr>
      <w:divsChild>
        <w:div w:id="713579689">
          <w:marLeft w:val="0"/>
          <w:marRight w:val="0"/>
          <w:marTop w:val="0"/>
          <w:marBottom w:val="0"/>
          <w:divBdr>
            <w:top w:val="none" w:sz="0" w:space="0" w:color="auto"/>
            <w:left w:val="none" w:sz="0" w:space="0" w:color="auto"/>
            <w:bottom w:val="none" w:sz="0" w:space="0" w:color="auto"/>
            <w:right w:val="none" w:sz="0" w:space="0" w:color="auto"/>
          </w:divBdr>
          <w:divsChild>
            <w:div w:id="216859312">
              <w:marLeft w:val="0"/>
              <w:marRight w:val="0"/>
              <w:marTop w:val="0"/>
              <w:marBottom w:val="0"/>
              <w:divBdr>
                <w:top w:val="none" w:sz="0" w:space="0" w:color="auto"/>
                <w:left w:val="none" w:sz="0" w:space="0" w:color="auto"/>
                <w:bottom w:val="none" w:sz="0" w:space="0" w:color="auto"/>
                <w:right w:val="none" w:sz="0" w:space="0" w:color="auto"/>
              </w:divBdr>
              <w:divsChild>
                <w:div w:id="17940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10163">
      <w:bodyDiv w:val="1"/>
      <w:marLeft w:val="0"/>
      <w:marRight w:val="0"/>
      <w:marTop w:val="0"/>
      <w:marBottom w:val="0"/>
      <w:divBdr>
        <w:top w:val="none" w:sz="0" w:space="0" w:color="auto"/>
        <w:left w:val="none" w:sz="0" w:space="0" w:color="auto"/>
        <w:bottom w:val="none" w:sz="0" w:space="0" w:color="auto"/>
        <w:right w:val="none" w:sz="0" w:space="0" w:color="auto"/>
      </w:divBdr>
      <w:divsChild>
        <w:div w:id="1700162700">
          <w:marLeft w:val="0"/>
          <w:marRight w:val="0"/>
          <w:marTop w:val="0"/>
          <w:marBottom w:val="0"/>
          <w:divBdr>
            <w:top w:val="none" w:sz="0" w:space="0" w:color="auto"/>
            <w:left w:val="none" w:sz="0" w:space="0" w:color="auto"/>
            <w:bottom w:val="none" w:sz="0" w:space="0" w:color="auto"/>
            <w:right w:val="none" w:sz="0" w:space="0" w:color="auto"/>
          </w:divBdr>
          <w:divsChild>
            <w:div w:id="465394757">
              <w:marLeft w:val="0"/>
              <w:marRight w:val="0"/>
              <w:marTop w:val="0"/>
              <w:marBottom w:val="0"/>
              <w:divBdr>
                <w:top w:val="none" w:sz="0" w:space="0" w:color="auto"/>
                <w:left w:val="none" w:sz="0" w:space="0" w:color="auto"/>
                <w:bottom w:val="none" w:sz="0" w:space="0" w:color="auto"/>
                <w:right w:val="none" w:sz="0" w:space="0" w:color="auto"/>
              </w:divBdr>
              <w:divsChild>
                <w:div w:id="17351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96365">
      <w:bodyDiv w:val="1"/>
      <w:marLeft w:val="0"/>
      <w:marRight w:val="0"/>
      <w:marTop w:val="0"/>
      <w:marBottom w:val="0"/>
      <w:divBdr>
        <w:top w:val="none" w:sz="0" w:space="0" w:color="auto"/>
        <w:left w:val="none" w:sz="0" w:space="0" w:color="auto"/>
        <w:bottom w:val="none" w:sz="0" w:space="0" w:color="auto"/>
        <w:right w:val="none" w:sz="0" w:space="0" w:color="auto"/>
      </w:divBdr>
      <w:divsChild>
        <w:div w:id="681905782">
          <w:marLeft w:val="547"/>
          <w:marRight w:val="0"/>
          <w:marTop w:val="120"/>
          <w:marBottom w:val="0"/>
          <w:divBdr>
            <w:top w:val="none" w:sz="0" w:space="0" w:color="auto"/>
            <w:left w:val="none" w:sz="0" w:space="0" w:color="auto"/>
            <w:bottom w:val="none" w:sz="0" w:space="0" w:color="auto"/>
            <w:right w:val="none" w:sz="0" w:space="0" w:color="auto"/>
          </w:divBdr>
        </w:div>
      </w:divsChild>
    </w:div>
    <w:div w:id="1368067789">
      <w:bodyDiv w:val="1"/>
      <w:marLeft w:val="0"/>
      <w:marRight w:val="0"/>
      <w:marTop w:val="0"/>
      <w:marBottom w:val="0"/>
      <w:divBdr>
        <w:top w:val="none" w:sz="0" w:space="0" w:color="auto"/>
        <w:left w:val="none" w:sz="0" w:space="0" w:color="auto"/>
        <w:bottom w:val="none" w:sz="0" w:space="0" w:color="auto"/>
        <w:right w:val="none" w:sz="0" w:space="0" w:color="auto"/>
      </w:divBdr>
    </w:div>
    <w:div w:id="1370689726">
      <w:bodyDiv w:val="1"/>
      <w:marLeft w:val="0"/>
      <w:marRight w:val="0"/>
      <w:marTop w:val="0"/>
      <w:marBottom w:val="0"/>
      <w:divBdr>
        <w:top w:val="none" w:sz="0" w:space="0" w:color="auto"/>
        <w:left w:val="none" w:sz="0" w:space="0" w:color="auto"/>
        <w:bottom w:val="none" w:sz="0" w:space="0" w:color="auto"/>
        <w:right w:val="none" w:sz="0" w:space="0" w:color="auto"/>
      </w:divBdr>
    </w:div>
    <w:div w:id="1377899113">
      <w:bodyDiv w:val="1"/>
      <w:marLeft w:val="0"/>
      <w:marRight w:val="0"/>
      <w:marTop w:val="0"/>
      <w:marBottom w:val="0"/>
      <w:divBdr>
        <w:top w:val="none" w:sz="0" w:space="0" w:color="auto"/>
        <w:left w:val="none" w:sz="0" w:space="0" w:color="auto"/>
        <w:bottom w:val="none" w:sz="0" w:space="0" w:color="auto"/>
        <w:right w:val="none" w:sz="0" w:space="0" w:color="auto"/>
      </w:divBdr>
      <w:divsChild>
        <w:div w:id="1419861121">
          <w:marLeft w:val="0"/>
          <w:marRight w:val="0"/>
          <w:marTop w:val="0"/>
          <w:marBottom w:val="0"/>
          <w:divBdr>
            <w:top w:val="none" w:sz="0" w:space="0" w:color="auto"/>
            <w:left w:val="none" w:sz="0" w:space="0" w:color="auto"/>
            <w:bottom w:val="none" w:sz="0" w:space="0" w:color="auto"/>
            <w:right w:val="none" w:sz="0" w:space="0" w:color="auto"/>
          </w:divBdr>
          <w:divsChild>
            <w:div w:id="779685521">
              <w:marLeft w:val="0"/>
              <w:marRight w:val="0"/>
              <w:marTop w:val="0"/>
              <w:marBottom w:val="0"/>
              <w:divBdr>
                <w:top w:val="none" w:sz="0" w:space="0" w:color="auto"/>
                <w:left w:val="none" w:sz="0" w:space="0" w:color="auto"/>
                <w:bottom w:val="none" w:sz="0" w:space="0" w:color="auto"/>
                <w:right w:val="none" w:sz="0" w:space="0" w:color="auto"/>
              </w:divBdr>
              <w:divsChild>
                <w:div w:id="5809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97296">
      <w:bodyDiv w:val="1"/>
      <w:marLeft w:val="0"/>
      <w:marRight w:val="0"/>
      <w:marTop w:val="0"/>
      <w:marBottom w:val="0"/>
      <w:divBdr>
        <w:top w:val="none" w:sz="0" w:space="0" w:color="auto"/>
        <w:left w:val="none" w:sz="0" w:space="0" w:color="auto"/>
        <w:bottom w:val="none" w:sz="0" w:space="0" w:color="auto"/>
        <w:right w:val="none" w:sz="0" w:space="0" w:color="auto"/>
      </w:divBdr>
      <w:divsChild>
        <w:div w:id="150411898">
          <w:marLeft w:val="965"/>
          <w:marRight w:val="0"/>
          <w:marTop w:val="101"/>
          <w:marBottom w:val="0"/>
          <w:divBdr>
            <w:top w:val="none" w:sz="0" w:space="0" w:color="auto"/>
            <w:left w:val="none" w:sz="0" w:space="0" w:color="auto"/>
            <w:bottom w:val="none" w:sz="0" w:space="0" w:color="auto"/>
            <w:right w:val="none" w:sz="0" w:space="0" w:color="auto"/>
          </w:divBdr>
        </w:div>
        <w:div w:id="1068188533">
          <w:marLeft w:val="965"/>
          <w:marRight w:val="0"/>
          <w:marTop w:val="101"/>
          <w:marBottom w:val="0"/>
          <w:divBdr>
            <w:top w:val="none" w:sz="0" w:space="0" w:color="auto"/>
            <w:left w:val="none" w:sz="0" w:space="0" w:color="auto"/>
            <w:bottom w:val="none" w:sz="0" w:space="0" w:color="auto"/>
            <w:right w:val="none" w:sz="0" w:space="0" w:color="auto"/>
          </w:divBdr>
        </w:div>
        <w:div w:id="1229000419">
          <w:marLeft w:val="965"/>
          <w:marRight w:val="0"/>
          <w:marTop w:val="101"/>
          <w:marBottom w:val="0"/>
          <w:divBdr>
            <w:top w:val="none" w:sz="0" w:space="0" w:color="auto"/>
            <w:left w:val="none" w:sz="0" w:space="0" w:color="auto"/>
            <w:bottom w:val="none" w:sz="0" w:space="0" w:color="auto"/>
            <w:right w:val="none" w:sz="0" w:space="0" w:color="auto"/>
          </w:divBdr>
        </w:div>
        <w:div w:id="1722359209">
          <w:marLeft w:val="965"/>
          <w:marRight w:val="0"/>
          <w:marTop w:val="101"/>
          <w:marBottom w:val="0"/>
          <w:divBdr>
            <w:top w:val="none" w:sz="0" w:space="0" w:color="auto"/>
            <w:left w:val="none" w:sz="0" w:space="0" w:color="auto"/>
            <w:bottom w:val="none" w:sz="0" w:space="0" w:color="auto"/>
            <w:right w:val="none" w:sz="0" w:space="0" w:color="auto"/>
          </w:divBdr>
        </w:div>
      </w:divsChild>
    </w:div>
    <w:div w:id="1386685341">
      <w:bodyDiv w:val="1"/>
      <w:marLeft w:val="0"/>
      <w:marRight w:val="0"/>
      <w:marTop w:val="0"/>
      <w:marBottom w:val="0"/>
      <w:divBdr>
        <w:top w:val="none" w:sz="0" w:space="0" w:color="auto"/>
        <w:left w:val="none" w:sz="0" w:space="0" w:color="auto"/>
        <w:bottom w:val="none" w:sz="0" w:space="0" w:color="auto"/>
        <w:right w:val="none" w:sz="0" w:space="0" w:color="auto"/>
      </w:divBdr>
      <w:divsChild>
        <w:div w:id="92089296">
          <w:marLeft w:val="0"/>
          <w:marRight w:val="0"/>
          <w:marTop w:val="0"/>
          <w:marBottom w:val="0"/>
          <w:divBdr>
            <w:top w:val="none" w:sz="0" w:space="0" w:color="auto"/>
            <w:left w:val="none" w:sz="0" w:space="0" w:color="auto"/>
            <w:bottom w:val="none" w:sz="0" w:space="0" w:color="auto"/>
            <w:right w:val="none" w:sz="0" w:space="0" w:color="auto"/>
          </w:divBdr>
          <w:divsChild>
            <w:div w:id="2002417656">
              <w:marLeft w:val="0"/>
              <w:marRight w:val="0"/>
              <w:marTop w:val="0"/>
              <w:marBottom w:val="0"/>
              <w:divBdr>
                <w:top w:val="none" w:sz="0" w:space="0" w:color="auto"/>
                <w:left w:val="none" w:sz="0" w:space="0" w:color="auto"/>
                <w:bottom w:val="none" w:sz="0" w:space="0" w:color="auto"/>
                <w:right w:val="none" w:sz="0" w:space="0" w:color="auto"/>
              </w:divBdr>
              <w:divsChild>
                <w:div w:id="25059284">
                  <w:marLeft w:val="0"/>
                  <w:marRight w:val="0"/>
                  <w:marTop w:val="0"/>
                  <w:marBottom w:val="0"/>
                  <w:divBdr>
                    <w:top w:val="none" w:sz="0" w:space="0" w:color="auto"/>
                    <w:left w:val="none" w:sz="0" w:space="0" w:color="auto"/>
                    <w:bottom w:val="none" w:sz="0" w:space="0" w:color="auto"/>
                    <w:right w:val="none" w:sz="0" w:space="0" w:color="auto"/>
                  </w:divBdr>
                  <w:divsChild>
                    <w:div w:id="5455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662635">
      <w:bodyDiv w:val="1"/>
      <w:marLeft w:val="0"/>
      <w:marRight w:val="0"/>
      <w:marTop w:val="0"/>
      <w:marBottom w:val="0"/>
      <w:divBdr>
        <w:top w:val="none" w:sz="0" w:space="0" w:color="auto"/>
        <w:left w:val="none" w:sz="0" w:space="0" w:color="auto"/>
        <w:bottom w:val="none" w:sz="0" w:space="0" w:color="auto"/>
        <w:right w:val="none" w:sz="0" w:space="0" w:color="auto"/>
      </w:divBdr>
      <w:divsChild>
        <w:div w:id="824315724">
          <w:marLeft w:val="0"/>
          <w:marRight w:val="0"/>
          <w:marTop w:val="0"/>
          <w:marBottom w:val="0"/>
          <w:divBdr>
            <w:top w:val="none" w:sz="0" w:space="0" w:color="auto"/>
            <w:left w:val="none" w:sz="0" w:space="0" w:color="auto"/>
            <w:bottom w:val="none" w:sz="0" w:space="0" w:color="auto"/>
            <w:right w:val="none" w:sz="0" w:space="0" w:color="auto"/>
          </w:divBdr>
          <w:divsChild>
            <w:div w:id="870074558">
              <w:marLeft w:val="0"/>
              <w:marRight w:val="0"/>
              <w:marTop w:val="0"/>
              <w:marBottom w:val="0"/>
              <w:divBdr>
                <w:top w:val="none" w:sz="0" w:space="0" w:color="auto"/>
                <w:left w:val="none" w:sz="0" w:space="0" w:color="auto"/>
                <w:bottom w:val="none" w:sz="0" w:space="0" w:color="auto"/>
                <w:right w:val="none" w:sz="0" w:space="0" w:color="auto"/>
              </w:divBdr>
              <w:divsChild>
                <w:div w:id="2081630722">
                  <w:marLeft w:val="0"/>
                  <w:marRight w:val="0"/>
                  <w:marTop w:val="0"/>
                  <w:marBottom w:val="0"/>
                  <w:divBdr>
                    <w:top w:val="none" w:sz="0" w:space="0" w:color="auto"/>
                    <w:left w:val="none" w:sz="0" w:space="0" w:color="auto"/>
                    <w:bottom w:val="none" w:sz="0" w:space="0" w:color="auto"/>
                    <w:right w:val="none" w:sz="0" w:space="0" w:color="auto"/>
                  </w:divBdr>
                  <w:divsChild>
                    <w:div w:id="211760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46181">
      <w:bodyDiv w:val="1"/>
      <w:marLeft w:val="0"/>
      <w:marRight w:val="0"/>
      <w:marTop w:val="0"/>
      <w:marBottom w:val="0"/>
      <w:divBdr>
        <w:top w:val="none" w:sz="0" w:space="0" w:color="auto"/>
        <w:left w:val="none" w:sz="0" w:space="0" w:color="auto"/>
        <w:bottom w:val="none" w:sz="0" w:space="0" w:color="auto"/>
        <w:right w:val="none" w:sz="0" w:space="0" w:color="auto"/>
      </w:divBdr>
      <w:divsChild>
        <w:div w:id="1313680973">
          <w:marLeft w:val="0"/>
          <w:marRight w:val="0"/>
          <w:marTop w:val="0"/>
          <w:marBottom w:val="0"/>
          <w:divBdr>
            <w:top w:val="none" w:sz="0" w:space="0" w:color="auto"/>
            <w:left w:val="none" w:sz="0" w:space="0" w:color="auto"/>
            <w:bottom w:val="none" w:sz="0" w:space="0" w:color="auto"/>
            <w:right w:val="none" w:sz="0" w:space="0" w:color="auto"/>
          </w:divBdr>
          <w:divsChild>
            <w:div w:id="275141453">
              <w:marLeft w:val="0"/>
              <w:marRight w:val="0"/>
              <w:marTop w:val="0"/>
              <w:marBottom w:val="0"/>
              <w:divBdr>
                <w:top w:val="none" w:sz="0" w:space="0" w:color="auto"/>
                <w:left w:val="none" w:sz="0" w:space="0" w:color="auto"/>
                <w:bottom w:val="none" w:sz="0" w:space="0" w:color="auto"/>
                <w:right w:val="none" w:sz="0" w:space="0" w:color="auto"/>
              </w:divBdr>
              <w:divsChild>
                <w:div w:id="2054231972">
                  <w:marLeft w:val="0"/>
                  <w:marRight w:val="0"/>
                  <w:marTop w:val="0"/>
                  <w:marBottom w:val="0"/>
                  <w:divBdr>
                    <w:top w:val="none" w:sz="0" w:space="0" w:color="auto"/>
                    <w:left w:val="none" w:sz="0" w:space="0" w:color="auto"/>
                    <w:bottom w:val="none" w:sz="0" w:space="0" w:color="auto"/>
                    <w:right w:val="none" w:sz="0" w:space="0" w:color="auto"/>
                  </w:divBdr>
                  <w:divsChild>
                    <w:div w:id="19397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94242">
      <w:bodyDiv w:val="1"/>
      <w:marLeft w:val="0"/>
      <w:marRight w:val="0"/>
      <w:marTop w:val="0"/>
      <w:marBottom w:val="0"/>
      <w:divBdr>
        <w:top w:val="none" w:sz="0" w:space="0" w:color="auto"/>
        <w:left w:val="none" w:sz="0" w:space="0" w:color="auto"/>
        <w:bottom w:val="none" w:sz="0" w:space="0" w:color="auto"/>
        <w:right w:val="none" w:sz="0" w:space="0" w:color="auto"/>
      </w:divBdr>
      <w:divsChild>
        <w:div w:id="1696342114">
          <w:marLeft w:val="0"/>
          <w:marRight w:val="0"/>
          <w:marTop w:val="0"/>
          <w:marBottom w:val="0"/>
          <w:divBdr>
            <w:top w:val="none" w:sz="0" w:space="0" w:color="auto"/>
            <w:left w:val="none" w:sz="0" w:space="0" w:color="auto"/>
            <w:bottom w:val="none" w:sz="0" w:space="0" w:color="auto"/>
            <w:right w:val="none" w:sz="0" w:space="0" w:color="auto"/>
          </w:divBdr>
          <w:divsChild>
            <w:div w:id="283582319">
              <w:marLeft w:val="0"/>
              <w:marRight w:val="0"/>
              <w:marTop w:val="0"/>
              <w:marBottom w:val="0"/>
              <w:divBdr>
                <w:top w:val="none" w:sz="0" w:space="0" w:color="auto"/>
                <w:left w:val="none" w:sz="0" w:space="0" w:color="auto"/>
                <w:bottom w:val="none" w:sz="0" w:space="0" w:color="auto"/>
                <w:right w:val="none" w:sz="0" w:space="0" w:color="auto"/>
              </w:divBdr>
              <w:divsChild>
                <w:div w:id="26819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69202">
      <w:bodyDiv w:val="1"/>
      <w:marLeft w:val="0"/>
      <w:marRight w:val="0"/>
      <w:marTop w:val="0"/>
      <w:marBottom w:val="0"/>
      <w:divBdr>
        <w:top w:val="none" w:sz="0" w:space="0" w:color="auto"/>
        <w:left w:val="none" w:sz="0" w:space="0" w:color="auto"/>
        <w:bottom w:val="none" w:sz="0" w:space="0" w:color="auto"/>
        <w:right w:val="none" w:sz="0" w:space="0" w:color="auto"/>
      </w:divBdr>
      <w:divsChild>
        <w:div w:id="1304770559">
          <w:marLeft w:val="0"/>
          <w:marRight w:val="0"/>
          <w:marTop w:val="0"/>
          <w:marBottom w:val="0"/>
          <w:divBdr>
            <w:top w:val="none" w:sz="0" w:space="0" w:color="auto"/>
            <w:left w:val="none" w:sz="0" w:space="0" w:color="auto"/>
            <w:bottom w:val="none" w:sz="0" w:space="0" w:color="auto"/>
            <w:right w:val="none" w:sz="0" w:space="0" w:color="auto"/>
          </w:divBdr>
          <w:divsChild>
            <w:div w:id="2004122635">
              <w:marLeft w:val="0"/>
              <w:marRight w:val="0"/>
              <w:marTop w:val="0"/>
              <w:marBottom w:val="0"/>
              <w:divBdr>
                <w:top w:val="none" w:sz="0" w:space="0" w:color="auto"/>
                <w:left w:val="none" w:sz="0" w:space="0" w:color="auto"/>
                <w:bottom w:val="none" w:sz="0" w:space="0" w:color="auto"/>
                <w:right w:val="none" w:sz="0" w:space="0" w:color="auto"/>
              </w:divBdr>
              <w:divsChild>
                <w:div w:id="2054648866">
                  <w:marLeft w:val="0"/>
                  <w:marRight w:val="0"/>
                  <w:marTop w:val="0"/>
                  <w:marBottom w:val="0"/>
                  <w:divBdr>
                    <w:top w:val="none" w:sz="0" w:space="0" w:color="auto"/>
                    <w:left w:val="none" w:sz="0" w:space="0" w:color="auto"/>
                    <w:bottom w:val="none" w:sz="0" w:space="0" w:color="auto"/>
                    <w:right w:val="none" w:sz="0" w:space="0" w:color="auto"/>
                  </w:divBdr>
                  <w:divsChild>
                    <w:div w:id="17179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995024">
      <w:bodyDiv w:val="1"/>
      <w:marLeft w:val="0"/>
      <w:marRight w:val="0"/>
      <w:marTop w:val="0"/>
      <w:marBottom w:val="0"/>
      <w:divBdr>
        <w:top w:val="none" w:sz="0" w:space="0" w:color="auto"/>
        <w:left w:val="none" w:sz="0" w:space="0" w:color="auto"/>
        <w:bottom w:val="none" w:sz="0" w:space="0" w:color="auto"/>
        <w:right w:val="none" w:sz="0" w:space="0" w:color="auto"/>
      </w:divBdr>
      <w:divsChild>
        <w:div w:id="723914365">
          <w:marLeft w:val="0"/>
          <w:marRight w:val="0"/>
          <w:marTop w:val="0"/>
          <w:marBottom w:val="0"/>
          <w:divBdr>
            <w:top w:val="none" w:sz="0" w:space="0" w:color="auto"/>
            <w:left w:val="none" w:sz="0" w:space="0" w:color="auto"/>
            <w:bottom w:val="none" w:sz="0" w:space="0" w:color="auto"/>
            <w:right w:val="none" w:sz="0" w:space="0" w:color="auto"/>
          </w:divBdr>
          <w:divsChild>
            <w:div w:id="376586899">
              <w:marLeft w:val="0"/>
              <w:marRight w:val="0"/>
              <w:marTop w:val="0"/>
              <w:marBottom w:val="0"/>
              <w:divBdr>
                <w:top w:val="none" w:sz="0" w:space="0" w:color="auto"/>
                <w:left w:val="none" w:sz="0" w:space="0" w:color="auto"/>
                <w:bottom w:val="none" w:sz="0" w:space="0" w:color="auto"/>
                <w:right w:val="none" w:sz="0" w:space="0" w:color="auto"/>
              </w:divBdr>
              <w:divsChild>
                <w:div w:id="3866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72399">
      <w:bodyDiv w:val="1"/>
      <w:marLeft w:val="0"/>
      <w:marRight w:val="0"/>
      <w:marTop w:val="0"/>
      <w:marBottom w:val="0"/>
      <w:divBdr>
        <w:top w:val="none" w:sz="0" w:space="0" w:color="auto"/>
        <w:left w:val="none" w:sz="0" w:space="0" w:color="auto"/>
        <w:bottom w:val="none" w:sz="0" w:space="0" w:color="auto"/>
        <w:right w:val="none" w:sz="0" w:space="0" w:color="auto"/>
      </w:divBdr>
    </w:div>
    <w:div w:id="1426802467">
      <w:bodyDiv w:val="1"/>
      <w:marLeft w:val="0"/>
      <w:marRight w:val="0"/>
      <w:marTop w:val="0"/>
      <w:marBottom w:val="0"/>
      <w:divBdr>
        <w:top w:val="none" w:sz="0" w:space="0" w:color="auto"/>
        <w:left w:val="none" w:sz="0" w:space="0" w:color="auto"/>
        <w:bottom w:val="none" w:sz="0" w:space="0" w:color="auto"/>
        <w:right w:val="none" w:sz="0" w:space="0" w:color="auto"/>
      </w:divBdr>
      <w:divsChild>
        <w:div w:id="1305702023">
          <w:marLeft w:val="0"/>
          <w:marRight w:val="0"/>
          <w:marTop w:val="0"/>
          <w:marBottom w:val="0"/>
          <w:divBdr>
            <w:top w:val="none" w:sz="0" w:space="0" w:color="auto"/>
            <w:left w:val="none" w:sz="0" w:space="0" w:color="auto"/>
            <w:bottom w:val="none" w:sz="0" w:space="0" w:color="auto"/>
            <w:right w:val="none" w:sz="0" w:space="0" w:color="auto"/>
          </w:divBdr>
          <w:divsChild>
            <w:div w:id="305476844">
              <w:marLeft w:val="0"/>
              <w:marRight w:val="0"/>
              <w:marTop w:val="0"/>
              <w:marBottom w:val="0"/>
              <w:divBdr>
                <w:top w:val="none" w:sz="0" w:space="0" w:color="auto"/>
                <w:left w:val="none" w:sz="0" w:space="0" w:color="auto"/>
                <w:bottom w:val="none" w:sz="0" w:space="0" w:color="auto"/>
                <w:right w:val="none" w:sz="0" w:space="0" w:color="auto"/>
              </w:divBdr>
              <w:divsChild>
                <w:div w:id="1009403689">
                  <w:marLeft w:val="0"/>
                  <w:marRight w:val="0"/>
                  <w:marTop w:val="0"/>
                  <w:marBottom w:val="0"/>
                  <w:divBdr>
                    <w:top w:val="none" w:sz="0" w:space="0" w:color="auto"/>
                    <w:left w:val="none" w:sz="0" w:space="0" w:color="auto"/>
                    <w:bottom w:val="none" w:sz="0" w:space="0" w:color="auto"/>
                    <w:right w:val="none" w:sz="0" w:space="0" w:color="auto"/>
                  </w:divBdr>
                  <w:divsChild>
                    <w:div w:id="11210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09011">
      <w:bodyDiv w:val="1"/>
      <w:marLeft w:val="0"/>
      <w:marRight w:val="0"/>
      <w:marTop w:val="0"/>
      <w:marBottom w:val="0"/>
      <w:divBdr>
        <w:top w:val="none" w:sz="0" w:space="0" w:color="auto"/>
        <w:left w:val="none" w:sz="0" w:space="0" w:color="auto"/>
        <w:bottom w:val="none" w:sz="0" w:space="0" w:color="auto"/>
        <w:right w:val="none" w:sz="0" w:space="0" w:color="auto"/>
      </w:divBdr>
    </w:div>
    <w:div w:id="1431898177">
      <w:bodyDiv w:val="1"/>
      <w:marLeft w:val="0"/>
      <w:marRight w:val="0"/>
      <w:marTop w:val="0"/>
      <w:marBottom w:val="0"/>
      <w:divBdr>
        <w:top w:val="none" w:sz="0" w:space="0" w:color="auto"/>
        <w:left w:val="none" w:sz="0" w:space="0" w:color="auto"/>
        <w:bottom w:val="none" w:sz="0" w:space="0" w:color="auto"/>
        <w:right w:val="none" w:sz="0" w:space="0" w:color="auto"/>
      </w:divBdr>
      <w:divsChild>
        <w:div w:id="1948348379">
          <w:marLeft w:val="0"/>
          <w:marRight w:val="0"/>
          <w:marTop w:val="0"/>
          <w:marBottom w:val="0"/>
          <w:divBdr>
            <w:top w:val="none" w:sz="0" w:space="0" w:color="auto"/>
            <w:left w:val="none" w:sz="0" w:space="0" w:color="auto"/>
            <w:bottom w:val="none" w:sz="0" w:space="0" w:color="auto"/>
            <w:right w:val="none" w:sz="0" w:space="0" w:color="auto"/>
          </w:divBdr>
          <w:divsChild>
            <w:div w:id="1090083866">
              <w:marLeft w:val="0"/>
              <w:marRight w:val="0"/>
              <w:marTop w:val="0"/>
              <w:marBottom w:val="0"/>
              <w:divBdr>
                <w:top w:val="none" w:sz="0" w:space="0" w:color="auto"/>
                <w:left w:val="none" w:sz="0" w:space="0" w:color="auto"/>
                <w:bottom w:val="none" w:sz="0" w:space="0" w:color="auto"/>
                <w:right w:val="none" w:sz="0" w:space="0" w:color="auto"/>
              </w:divBdr>
              <w:divsChild>
                <w:div w:id="3797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4018">
      <w:bodyDiv w:val="1"/>
      <w:marLeft w:val="0"/>
      <w:marRight w:val="0"/>
      <w:marTop w:val="0"/>
      <w:marBottom w:val="0"/>
      <w:divBdr>
        <w:top w:val="none" w:sz="0" w:space="0" w:color="auto"/>
        <w:left w:val="none" w:sz="0" w:space="0" w:color="auto"/>
        <w:bottom w:val="none" w:sz="0" w:space="0" w:color="auto"/>
        <w:right w:val="none" w:sz="0" w:space="0" w:color="auto"/>
      </w:divBdr>
      <w:divsChild>
        <w:div w:id="850872594">
          <w:marLeft w:val="0"/>
          <w:marRight w:val="0"/>
          <w:marTop w:val="0"/>
          <w:marBottom w:val="0"/>
          <w:divBdr>
            <w:top w:val="none" w:sz="0" w:space="0" w:color="auto"/>
            <w:left w:val="none" w:sz="0" w:space="0" w:color="auto"/>
            <w:bottom w:val="none" w:sz="0" w:space="0" w:color="auto"/>
            <w:right w:val="none" w:sz="0" w:space="0" w:color="auto"/>
          </w:divBdr>
          <w:divsChild>
            <w:div w:id="24793352">
              <w:marLeft w:val="0"/>
              <w:marRight w:val="0"/>
              <w:marTop w:val="0"/>
              <w:marBottom w:val="0"/>
              <w:divBdr>
                <w:top w:val="none" w:sz="0" w:space="0" w:color="auto"/>
                <w:left w:val="none" w:sz="0" w:space="0" w:color="auto"/>
                <w:bottom w:val="none" w:sz="0" w:space="0" w:color="auto"/>
                <w:right w:val="none" w:sz="0" w:space="0" w:color="auto"/>
              </w:divBdr>
              <w:divsChild>
                <w:div w:id="670523223">
                  <w:marLeft w:val="0"/>
                  <w:marRight w:val="0"/>
                  <w:marTop w:val="0"/>
                  <w:marBottom w:val="0"/>
                  <w:divBdr>
                    <w:top w:val="none" w:sz="0" w:space="0" w:color="auto"/>
                    <w:left w:val="none" w:sz="0" w:space="0" w:color="auto"/>
                    <w:bottom w:val="none" w:sz="0" w:space="0" w:color="auto"/>
                    <w:right w:val="none" w:sz="0" w:space="0" w:color="auto"/>
                  </w:divBdr>
                </w:div>
                <w:div w:id="936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06561">
      <w:bodyDiv w:val="1"/>
      <w:marLeft w:val="0"/>
      <w:marRight w:val="0"/>
      <w:marTop w:val="0"/>
      <w:marBottom w:val="0"/>
      <w:divBdr>
        <w:top w:val="none" w:sz="0" w:space="0" w:color="auto"/>
        <w:left w:val="none" w:sz="0" w:space="0" w:color="auto"/>
        <w:bottom w:val="none" w:sz="0" w:space="0" w:color="auto"/>
        <w:right w:val="none" w:sz="0" w:space="0" w:color="auto"/>
      </w:divBdr>
      <w:divsChild>
        <w:div w:id="498927849">
          <w:marLeft w:val="0"/>
          <w:marRight w:val="0"/>
          <w:marTop w:val="0"/>
          <w:marBottom w:val="0"/>
          <w:divBdr>
            <w:top w:val="none" w:sz="0" w:space="0" w:color="auto"/>
            <w:left w:val="none" w:sz="0" w:space="0" w:color="auto"/>
            <w:bottom w:val="none" w:sz="0" w:space="0" w:color="auto"/>
            <w:right w:val="none" w:sz="0" w:space="0" w:color="auto"/>
          </w:divBdr>
          <w:divsChild>
            <w:div w:id="1305312609">
              <w:marLeft w:val="0"/>
              <w:marRight w:val="0"/>
              <w:marTop w:val="0"/>
              <w:marBottom w:val="0"/>
              <w:divBdr>
                <w:top w:val="none" w:sz="0" w:space="0" w:color="auto"/>
                <w:left w:val="none" w:sz="0" w:space="0" w:color="auto"/>
                <w:bottom w:val="none" w:sz="0" w:space="0" w:color="auto"/>
                <w:right w:val="none" w:sz="0" w:space="0" w:color="auto"/>
              </w:divBdr>
              <w:divsChild>
                <w:div w:id="20068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90564">
      <w:bodyDiv w:val="1"/>
      <w:marLeft w:val="0"/>
      <w:marRight w:val="0"/>
      <w:marTop w:val="0"/>
      <w:marBottom w:val="0"/>
      <w:divBdr>
        <w:top w:val="none" w:sz="0" w:space="0" w:color="auto"/>
        <w:left w:val="none" w:sz="0" w:space="0" w:color="auto"/>
        <w:bottom w:val="none" w:sz="0" w:space="0" w:color="auto"/>
        <w:right w:val="none" w:sz="0" w:space="0" w:color="auto"/>
      </w:divBdr>
      <w:divsChild>
        <w:div w:id="1251084721">
          <w:marLeft w:val="0"/>
          <w:marRight w:val="0"/>
          <w:marTop w:val="0"/>
          <w:marBottom w:val="0"/>
          <w:divBdr>
            <w:top w:val="none" w:sz="0" w:space="0" w:color="auto"/>
            <w:left w:val="none" w:sz="0" w:space="0" w:color="auto"/>
            <w:bottom w:val="none" w:sz="0" w:space="0" w:color="auto"/>
            <w:right w:val="none" w:sz="0" w:space="0" w:color="auto"/>
          </w:divBdr>
          <w:divsChild>
            <w:div w:id="21903546">
              <w:marLeft w:val="0"/>
              <w:marRight w:val="0"/>
              <w:marTop w:val="0"/>
              <w:marBottom w:val="0"/>
              <w:divBdr>
                <w:top w:val="none" w:sz="0" w:space="0" w:color="auto"/>
                <w:left w:val="none" w:sz="0" w:space="0" w:color="auto"/>
                <w:bottom w:val="none" w:sz="0" w:space="0" w:color="auto"/>
                <w:right w:val="none" w:sz="0" w:space="0" w:color="auto"/>
              </w:divBdr>
              <w:divsChild>
                <w:div w:id="14190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1208">
      <w:bodyDiv w:val="1"/>
      <w:marLeft w:val="0"/>
      <w:marRight w:val="0"/>
      <w:marTop w:val="0"/>
      <w:marBottom w:val="0"/>
      <w:divBdr>
        <w:top w:val="none" w:sz="0" w:space="0" w:color="auto"/>
        <w:left w:val="none" w:sz="0" w:space="0" w:color="auto"/>
        <w:bottom w:val="none" w:sz="0" w:space="0" w:color="auto"/>
        <w:right w:val="none" w:sz="0" w:space="0" w:color="auto"/>
      </w:divBdr>
    </w:div>
    <w:div w:id="1480004037">
      <w:bodyDiv w:val="1"/>
      <w:marLeft w:val="0"/>
      <w:marRight w:val="0"/>
      <w:marTop w:val="0"/>
      <w:marBottom w:val="0"/>
      <w:divBdr>
        <w:top w:val="none" w:sz="0" w:space="0" w:color="auto"/>
        <w:left w:val="none" w:sz="0" w:space="0" w:color="auto"/>
        <w:bottom w:val="none" w:sz="0" w:space="0" w:color="auto"/>
        <w:right w:val="none" w:sz="0" w:space="0" w:color="auto"/>
      </w:divBdr>
      <w:divsChild>
        <w:div w:id="2049837162">
          <w:marLeft w:val="0"/>
          <w:marRight w:val="0"/>
          <w:marTop w:val="0"/>
          <w:marBottom w:val="0"/>
          <w:divBdr>
            <w:top w:val="none" w:sz="0" w:space="0" w:color="auto"/>
            <w:left w:val="none" w:sz="0" w:space="0" w:color="auto"/>
            <w:bottom w:val="none" w:sz="0" w:space="0" w:color="auto"/>
            <w:right w:val="none" w:sz="0" w:space="0" w:color="auto"/>
          </w:divBdr>
          <w:divsChild>
            <w:div w:id="1009453076">
              <w:marLeft w:val="0"/>
              <w:marRight w:val="0"/>
              <w:marTop w:val="0"/>
              <w:marBottom w:val="0"/>
              <w:divBdr>
                <w:top w:val="none" w:sz="0" w:space="0" w:color="auto"/>
                <w:left w:val="none" w:sz="0" w:space="0" w:color="auto"/>
                <w:bottom w:val="none" w:sz="0" w:space="0" w:color="auto"/>
                <w:right w:val="none" w:sz="0" w:space="0" w:color="auto"/>
              </w:divBdr>
              <w:divsChild>
                <w:div w:id="10243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487">
      <w:bodyDiv w:val="1"/>
      <w:marLeft w:val="0"/>
      <w:marRight w:val="0"/>
      <w:marTop w:val="0"/>
      <w:marBottom w:val="0"/>
      <w:divBdr>
        <w:top w:val="none" w:sz="0" w:space="0" w:color="auto"/>
        <w:left w:val="none" w:sz="0" w:space="0" w:color="auto"/>
        <w:bottom w:val="none" w:sz="0" w:space="0" w:color="auto"/>
        <w:right w:val="none" w:sz="0" w:space="0" w:color="auto"/>
      </w:divBdr>
      <w:divsChild>
        <w:div w:id="850141335">
          <w:marLeft w:val="0"/>
          <w:marRight w:val="0"/>
          <w:marTop w:val="0"/>
          <w:marBottom w:val="0"/>
          <w:divBdr>
            <w:top w:val="none" w:sz="0" w:space="0" w:color="auto"/>
            <w:left w:val="none" w:sz="0" w:space="0" w:color="auto"/>
            <w:bottom w:val="none" w:sz="0" w:space="0" w:color="auto"/>
            <w:right w:val="none" w:sz="0" w:space="0" w:color="auto"/>
          </w:divBdr>
          <w:divsChild>
            <w:div w:id="1856580482">
              <w:marLeft w:val="0"/>
              <w:marRight w:val="0"/>
              <w:marTop w:val="0"/>
              <w:marBottom w:val="0"/>
              <w:divBdr>
                <w:top w:val="none" w:sz="0" w:space="0" w:color="auto"/>
                <w:left w:val="none" w:sz="0" w:space="0" w:color="auto"/>
                <w:bottom w:val="none" w:sz="0" w:space="0" w:color="auto"/>
                <w:right w:val="none" w:sz="0" w:space="0" w:color="auto"/>
              </w:divBdr>
              <w:divsChild>
                <w:div w:id="460271459">
                  <w:marLeft w:val="0"/>
                  <w:marRight w:val="0"/>
                  <w:marTop w:val="0"/>
                  <w:marBottom w:val="0"/>
                  <w:divBdr>
                    <w:top w:val="none" w:sz="0" w:space="0" w:color="auto"/>
                    <w:left w:val="none" w:sz="0" w:space="0" w:color="auto"/>
                    <w:bottom w:val="none" w:sz="0" w:space="0" w:color="auto"/>
                    <w:right w:val="none" w:sz="0" w:space="0" w:color="auto"/>
                  </w:divBdr>
                  <w:divsChild>
                    <w:div w:id="5572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311406">
      <w:bodyDiv w:val="1"/>
      <w:marLeft w:val="0"/>
      <w:marRight w:val="0"/>
      <w:marTop w:val="0"/>
      <w:marBottom w:val="0"/>
      <w:divBdr>
        <w:top w:val="none" w:sz="0" w:space="0" w:color="auto"/>
        <w:left w:val="none" w:sz="0" w:space="0" w:color="auto"/>
        <w:bottom w:val="none" w:sz="0" w:space="0" w:color="auto"/>
        <w:right w:val="none" w:sz="0" w:space="0" w:color="auto"/>
      </w:divBdr>
      <w:divsChild>
        <w:div w:id="1262765924">
          <w:marLeft w:val="547"/>
          <w:marRight w:val="0"/>
          <w:marTop w:val="0"/>
          <w:marBottom w:val="0"/>
          <w:divBdr>
            <w:top w:val="none" w:sz="0" w:space="0" w:color="auto"/>
            <w:left w:val="none" w:sz="0" w:space="0" w:color="auto"/>
            <w:bottom w:val="none" w:sz="0" w:space="0" w:color="auto"/>
            <w:right w:val="none" w:sz="0" w:space="0" w:color="auto"/>
          </w:divBdr>
        </w:div>
      </w:divsChild>
    </w:div>
    <w:div w:id="1487550790">
      <w:bodyDiv w:val="1"/>
      <w:marLeft w:val="0"/>
      <w:marRight w:val="0"/>
      <w:marTop w:val="0"/>
      <w:marBottom w:val="0"/>
      <w:divBdr>
        <w:top w:val="none" w:sz="0" w:space="0" w:color="auto"/>
        <w:left w:val="none" w:sz="0" w:space="0" w:color="auto"/>
        <w:bottom w:val="none" w:sz="0" w:space="0" w:color="auto"/>
        <w:right w:val="none" w:sz="0" w:space="0" w:color="auto"/>
      </w:divBdr>
      <w:divsChild>
        <w:div w:id="620233824">
          <w:marLeft w:val="0"/>
          <w:marRight w:val="0"/>
          <w:marTop w:val="0"/>
          <w:marBottom w:val="0"/>
          <w:divBdr>
            <w:top w:val="none" w:sz="0" w:space="0" w:color="auto"/>
            <w:left w:val="none" w:sz="0" w:space="0" w:color="auto"/>
            <w:bottom w:val="none" w:sz="0" w:space="0" w:color="auto"/>
            <w:right w:val="none" w:sz="0" w:space="0" w:color="auto"/>
          </w:divBdr>
          <w:divsChild>
            <w:div w:id="1035698072">
              <w:marLeft w:val="0"/>
              <w:marRight w:val="0"/>
              <w:marTop w:val="0"/>
              <w:marBottom w:val="0"/>
              <w:divBdr>
                <w:top w:val="none" w:sz="0" w:space="0" w:color="auto"/>
                <w:left w:val="none" w:sz="0" w:space="0" w:color="auto"/>
                <w:bottom w:val="none" w:sz="0" w:space="0" w:color="auto"/>
                <w:right w:val="none" w:sz="0" w:space="0" w:color="auto"/>
              </w:divBdr>
              <w:divsChild>
                <w:div w:id="1263227855">
                  <w:marLeft w:val="0"/>
                  <w:marRight w:val="0"/>
                  <w:marTop w:val="0"/>
                  <w:marBottom w:val="0"/>
                  <w:divBdr>
                    <w:top w:val="none" w:sz="0" w:space="0" w:color="auto"/>
                    <w:left w:val="none" w:sz="0" w:space="0" w:color="auto"/>
                    <w:bottom w:val="none" w:sz="0" w:space="0" w:color="auto"/>
                    <w:right w:val="none" w:sz="0" w:space="0" w:color="auto"/>
                  </w:divBdr>
                  <w:divsChild>
                    <w:div w:id="6827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709394">
      <w:bodyDiv w:val="1"/>
      <w:marLeft w:val="0"/>
      <w:marRight w:val="0"/>
      <w:marTop w:val="0"/>
      <w:marBottom w:val="0"/>
      <w:divBdr>
        <w:top w:val="none" w:sz="0" w:space="0" w:color="auto"/>
        <w:left w:val="none" w:sz="0" w:space="0" w:color="auto"/>
        <w:bottom w:val="none" w:sz="0" w:space="0" w:color="auto"/>
        <w:right w:val="none" w:sz="0" w:space="0" w:color="auto"/>
      </w:divBdr>
    </w:div>
    <w:div w:id="1495414770">
      <w:bodyDiv w:val="1"/>
      <w:marLeft w:val="0"/>
      <w:marRight w:val="0"/>
      <w:marTop w:val="0"/>
      <w:marBottom w:val="0"/>
      <w:divBdr>
        <w:top w:val="none" w:sz="0" w:space="0" w:color="auto"/>
        <w:left w:val="none" w:sz="0" w:space="0" w:color="auto"/>
        <w:bottom w:val="none" w:sz="0" w:space="0" w:color="auto"/>
        <w:right w:val="none" w:sz="0" w:space="0" w:color="auto"/>
      </w:divBdr>
    </w:div>
    <w:div w:id="1508211374">
      <w:bodyDiv w:val="1"/>
      <w:marLeft w:val="0"/>
      <w:marRight w:val="0"/>
      <w:marTop w:val="0"/>
      <w:marBottom w:val="0"/>
      <w:divBdr>
        <w:top w:val="none" w:sz="0" w:space="0" w:color="auto"/>
        <w:left w:val="none" w:sz="0" w:space="0" w:color="auto"/>
        <w:bottom w:val="none" w:sz="0" w:space="0" w:color="auto"/>
        <w:right w:val="none" w:sz="0" w:space="0" w:color="auto"/>
      </w:divBdr>
    </w:div>
    <w:div w:id="1509556871">
      <w:bodyDiv w:val="1"/>
      <w:marLeft w:val="0"/>
      <w:marRight w:val="0"/>
      <w:marTop w:val="0"/>
      <w:marBottom w:val="0"/>
      <w:divBdr>
        <w:top w:val="none" w:sz="0" w:space="0" w:color="auto"/>
        <w:left w:val="none" w:sz="0" w:space="0" w:color="auto"/>
        <w:bottom w:val="none" w:sz="0" w:space="0" w:color="auto"/>
        <w:right w:val="none" w:sz="0" w:space="0" w:color="auto"/>
      </w:divBdr>
      <w:divsChild>
        <w:div w:id="333804491">
          <w:marLeft w:val="0"/>
          <w:marRight w:val="0"/>
          <w:marTop w:val="0"/>
          <w:marBottom w:val="0"/>
          <w:divBdr>
            <w:top w:val="none" w:sz="0" w:space="0" w:color="auto"/>
            <w:left w:val="none" w:sz="0" w:space="0" w:color="auto"/>
            <w:bottom w:val="none" w:sz="0" w:space="0" w:color="auto"/>
            <w:right w:val="none" w:sz="0" w:space="0" w:color="auto"/>
          </w:divBdr>
          <w:divsChild>
            <w:div w:id="807746321">
              <w:marLeft w:val="0"/>
              <w:marRight w:val="0"/>
              <w:marTop w:val="0"/>
              <w:marBottom w:val="0"/>
              <w:divBdr>
                <w:top w:val="none" w:sz="0" w:space="0" w:color="auto"/>
                <w:left w:val="none" w:sz="0" w:space="0" w:color="auto"/>
                <w:bottom w:val="none" w:sz="0" w:space="0" w:color="auto"/>
                <w:right w:val="none" w:sz="0" w:space="0" w:color="auto"/>
              </w:divBdr>
              <w:divsChild>
                <w:div w:id="19140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6760">
      <w:bodyDiv w:val="1"/>
      <w:marLeft w:val="0"/>
      <w:marRight w:val="0"/>
      <w:marTop w:val="0"/>
      <w:marBottom w:val="0"/>
      <w:divBdr>
        <w:top w:val="none" w:sz="0" w:space="0" w:color="auto"/>
        <w:left w:val="none" w:sz="0" w:space="0" w:color="auto"/>
        <w:bottom w:val="none" w:sz="0" w:space="0" w:color="auto"/>
        <w:right w:val="none" w:sz="0" w:space="0" w:color="auto"/>
      </w:divBdr>
      <w:divsChild>
        <w:div w:id="1245647091">
          <w:marLeft w:val="0"/>
          <w:marRight w:val="0"/>
          <w:marTop w:val="0"/>
          <w:marBottom w:val="0"/>
          <w:divBdr>
            <w:top w:val="none" w:sz="0" w:space="0" w:color="auto"/>
            <w:left w:val="none" w:sz="0" w:space="0" w:color="auto"/>
            <w:bottom w:val="none" w:sz="0" w:space="0" w:color="auto"/>
            <w:right w:val="none" w:sz="0" w:space="0" w:color="auto"/>
          </w:divBdr>
          <w:divsChild>
            <w:div w:id="1902791227">
              <w:marLeft w:val="0"/>
              <w:marRight w:val="0"/>
              <w:marTop w:val="0"/>
              <w:marBottom w:val="0"/>
              <w:divBdr>
                <w:top w:val="none" w:sz="0" w:space="0" w:color="auto"/>
                <w:left w:val="none" w:sz="0" w:space="0" w:color="auto"/>
                <w:bottom w:val="none" w:sz="0" w:space="0" w:color="auto"/>
                <w:right w:val="none" w:sz="0" w:space="0" w:color="auto"/>
              </w:divBdr>
              <w:divsChild>
                <w:div w:id="177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82363">
      <w:bodyDiv w:val="1"/>
      <w:marLeft w:val="0"/>
      <w:marRight w:val="0"/>
      <w:marTop w:val="0"/>
      <w:marBottom w:val="0"/>
      <w:divBdr>
        <w:top w:val="none" w:sz="0" w:space="0" w:color="auto"/>
        <w:left w:val="none" w:sz="0" w:space="0" w:color="auto"/>
        <w:bottom w:val="none" w:sz="0" w:space="0" w:color="auto"/>
        <w:right w:val="none" w:sz="0" w:space="0" w:color="auto"/>
      </w:divBdr>
      <w:divsChild>
        <w:div w:id="2125341547">
          <w:marLeft w:val="0"/>
          <w:marRight w:val="0"/>
          <w:marTop w:val="0"/>
          <w:marBottom w:val="0"/>
          <w:divBdr>
            <w:top w:val="none" w:sz="0" w:space="0" w:color="auto"/>
            <w:left w:val="none" w:sz="0" w:space="0" w:color="auto"/>
            <w:bottom w:val="none" w:sz="0" w:space="0" w:color="auto"/>
            <w:right w:val="none" w:sz="0" w:space="0" w:color="auto"/>
          </w:divBdr>
          <w:divsChild>
            <w:div w:id="2100061484">
              <w:marLeft w:val="0"/>
              <w:marRight w:val="0"/>
              <w:marTop w:val="0"/>
              <w:marBottom w:val="0"/>
              <w:divBdr>
                <w:top w:val="none" w:sz="0" w:space="0" w:color="auto"/>
                <w:left w:val="none" w:sz="0" w:space="0" w:color="auto"/>
                <w:bottom w:val="none" w:sz="0" w:space="0" w:color="auto"/>
                <w:right w:val="none" w:sz="0" w:space="0" w:color="auto"/>
              </w:divBdr>
              <w:divsChild>
                <w:div w:id="19358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00953">
      <w:bodyDiv w:val="1"/>
      <w:marLeft w:val="0"/>
      <w:marRight w:val="0"/>
      <w:marTop w:val="0"/>
      <w:marBottom w:val="0"/>
      <w:divBdr>
        <w:top w:val="none" w:sz="0" w:space="0" w:color="auto"/>
        <w:left w:val="none" w:sz="0" w:space="0" w:color="auto"/>
        <w:bottom w:val="none" w:sz="0" w:space="0" w:color="auto"/>
        <w:right w:val="none" w:sz="0" w:space="0" w:color="auto"/>
      </w:divBdr>
    </w:div>
    <w:div w:id="1519538829">
      <w:bodyDiv w:val="1"/>
      <w:marLeft w:val="0"/>
      <w:marRight w:val="0"/>
      <w:marTop w:val="0"/>
      <w:marBottom w:val="0"/>
      <w:divBdr>
        <w:top w:val="none" w:sz="0" w:space="0" w:color="auto"/>
        <w:left w:val="none" w:sz="0" w:space="0" w:color="auto"/>
        <w:bottom w:val="none" w:sz="0" w:space="0" w:color="auto"/>
        <w:right w:val="none" w:sz="0" w:space="0" w:color="auto"/>
      </w:divBdr>
      <w:divsChild>
        <w:div w:id="2055613869">
          <w:marLeft w:val="0"/>
          <w:marRight w:val="0"/>
          <w:marTop w:val="0"/>
          <w:marBottom w:val="0"/>
          <w:divBdr>
            <w:top w:val="none" w:sz="0" w:space="0" w:color="auto"/>
            <w:left w:val="none" w:sz="0" w:space="0" w:color="auto"/>
            <w:bottom w:val="none" w:sz="0" w:space="0" w:color="auto"/>
            <w:right w:val="none" w:sz="0" w:space="0" w:color="auto"/>
          </w:divBdr>
          <w:divsChild>
            <w:div w:id="173764886">
              <w:marLeft w:val="0"/>
              <w:marRight w:val="0"/>
              <w:marTop w:val="0"/>
              <w:marBottom w:val="0"/>
              <w:divBdr>
                <w:top w:val="none" w:sz="0" w:space="0" w:color="auto"/>
                <w:left w:val="none" w:sz="0" w:space="0" w:color="auto"/>
                <w:bottom w:val="none" w:sz="0" w:space="0" w:color="auto"/>
                <w:right w:val="none" w:sz="0" w:space="0" w:color="auto"/>
              </w:divBdr>
              <w:divsChild>
                <w:div w:id="1191606828">
                  <w:marLeft w:val="0"/>
                  <w:marRight w:val="0"/>
                  <w:marTop w:val="0"/>
                  <w:marBottom w:val="0"/>
                  <w:divBdr>
                    <w:top w:val="none" w:sz="0" w:space="0" w:color="auto"/>
                    <w:left w:val="none" w:sz="0" w:space="0" w:color="auto"/>
                    <w:bottom w:val="none" w:sz="0" w:space="0" w:color="auto"/>
                    <w:right w:val="none" w:sz="0" w:space="0" w:color="auto"/>
                  </w:divBdr>
                  <w:divsChild>
                    <w:div w:id="12942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75205">
      <w:bodyDiv w:val="1"/>
      <w:marLeft w:val="0"/>
      <w:marRight w:val="0"/>
      <w:marTop w:val="0"/>
      <w:marBottom w:val="0"/>
      <w:divBdr>
        <w:top w:val="none" w:sz="0" w:space="0" w:color="auto"/>
        <w:left w:val="none" w:sz="0" w:space="0" w:color="auto"/>
        <w:bottom w:val="none" w:sz="0" w:space="0" w:color="auto"/>
        <w:right w:val="none" w:sz="0" w:space="0" w:color="auto"/>
      </w:divBdr>
      <w:divsChild>
        <w:div w:id="138353365">
          <w:marLeft w:val="0"/>
          <w:marRight w:val="0"/>
          <w:marTop w:val="0"/>
          <w:marBottom w:val="0"/>
          <w:divBdr>
            <w:top w:val="none" w:sz="0" w:space="0" w:color="auto"/>
            <w:left w:val="none" w:sz="0" w:space="0" w:color="auto"/>
            <w:bottom w:val="none" w:sz="0" w:space="0" w:color="auto"/>
            <w:right w:val="none" w:sz="0" w:space="0" w:color="auto"/>
          </w:divBdr>
          <w:divsChild>
            <w:div w:id="1294945079">
              <w:marLeft w:val="0"/>
              <w:marRight w:val="0"/>
              <w:marTop w:val="0"/>
              <w:marBottom w:val="0"/>
              <w:divBdr>
                <w:top w:val="none" w:sz="0" w:space="0" w:color="auto"/>
                <w:left w:val="none" w:sz="0" w:space="0" w:color="auto"/>
                <w:bottom w:val="none" w:sz="0" w:space="0" w:color="auto"/>
                <w:right w:val="none" w:sz="0" w:space="0" w:color="auto"/>
              </w:divBdr>
              <w:divsChild>
                <w:div w:id="21064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3438">
      <w:bodyDiv w:val="1"/>
      <w:marLeft w:val="0"/>
      <w:marRight w:val="0"/>
      <w:marTop w:val="0"/>
      <w:marBottom w:val="0"/>
      <w:divBdr>
        <w:top w:val="none" w:sz="0" w:space="0" w:color="auto"/>
        <w:left w:val="none" w:sz="0" w:space="0" w:color="auto"/>
        <w:bottom w:val="none" w:sz="0" w:space="0" w:color="auto"/>
        <w:right w:val="none" w:sz="0" w:space="0" w:color="auto"/>
      </w:divBdr>
      <w:divsChild>
        <w:div w:id="1161963752">
          <w:marLeft w:val="0"/>
          <w:marRight w:val="0"/>
          <w:marTop w:val="0"/>
          <w:marBottom w:val="0"/>
          <w:divBdr>
            <w:top w:val="none" w:sz="0" w:space="0" w:color="auto"/>
            <w:left w:val="none" w:sz="0" w:space="0" w:color="auto"/>
            <w:bottom w:val="none" w:sz="0" w:space="0" w:color="auto"/>
            <w:right w:val="none" w:sz="0" w:space="0" w:color="auto"/>
          </w:divBdr>
          <w:divsChild>
            <w:div w:id="2134202619">
              <w:marLeft w:val="0"/>
              <w:marRight w:val="0"/>
              <w:marTop w:val="0"/>
              <w:marBottom w:val="0"/>
              <w:divBdr>
                <w:top w:val="none" w:sz="0" w:space="0" w:color="auto"/>
                <w:left w:val="none" w:sz="0" w:space="0" w:color="auto"/>
                <w:bottom w:val="none" w:sz="0" w:space="0" w:color="auto"/>
                <w:right w:val="none" w:sz="0" w:space="0" w:color="auto"/>
              </w:divBdr>
              <w:divsChild>
                <w:div w:id="2117870311">
                  <w:marLeft w:val="0"/>
                  <w:marRight w:val="0"/>
                  <w:marTop w:val="0"/>
                  <w:marBottom w:val="0"/>
                  <w:divBdr>
                    <w:top w:val="none" w:sz="0" w:space="0" w:color="auto"/>
                    <w:left w:val="none" w:sz="0" w:space="0" w:color="auto"/>
                    <w:bottom w:val="none" w:sz="0" w:space="0" w:color="auto"/>
                    <w:right w:val="none" w:sz="0" w:space="0" w:color="auto"/>
                  </w:divBdr>
                  <w:divsChild>
                    <w:div w:id="131440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0343">
      <w:bodyDiv w:val="1"/>
      <w:marLeft w:val="0"/>
      <w:marRight w:val="0"/>
      <w:marTop w:val="0"/>
      <w:marBottom w:val="0"/>
      <w:divBdr>
        <w:top w:val="none" w:sz="0" w:space="0" w:color="auto"/>
        <w:left w:val="none" w:sz="0" w:space="0" w:color="auto"/>
        <w:bottom w:val="none" w:sz="0" w:space="0" w:color="auto"/>
        <w:right w:val="none" w:sz="0" w:space="0" w:color="auto"/>
      </w:divBdr>
      <w:divsChild>
        <w:div w:id="850802541">
          <w:marLeft w:val="0"/>
          <w:marRight w:val="0"/>
          <w:marTop w:val="0"/>
          <w:marBottom w:val="0"/>
          <w:divBdr>
            <w:top w:val="none" w:sz="0" w:space="0" w:color="auto"/>
            <w:left w:val="none" w:sz="0" w:space="0" w:color="auto"/>
            <w:bottom w:val="none" w:sz="0" w:space="0" w:color="auto"/>
            <w:right w:val="none" w:sz="0" w:space="0" w:color="auto"/>
          </w:divBdr>
          <w:divsChild>
            <w:div w:id="187255998">
              <w:marLeft w:val="0"/>
              <w:marRight w:val="0"/>
              <w:marTop w:val="0"/>
              <w:marBottom w:val="0"/>
              <w:divBdr>
                <w:top w:val="none" w:sz="0" w:space="0" w:color="auto"/>
                <w:left w:val="none" w:sz="0" w:space="0" w:color="auto"/>
                <w:bottom w:val="none" w:sz="0" w:space="0" w:color="auto"/>
                <w:right w:val="none" w:sz="0" w:space="0" w:color="auto"/>
              </w:divBdr>
              <w:divsChild>
                <w:div w:id="746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4367">
      <w:bodyDiv w:val="1"/>
      <w:marLeft w:val="0"/>
      <w:marRight w:val="0"/>
      <w:marTop w:val="0"/>
      <w:marBottom w:val="0"/>
      <w:divBdr>
        <w:top w:val="none" w:sz="0" w:space="0" w:color="auto"/>
        <w:left w:val="none" w:sz="0" w:space="0" w:color="auto"/>
        <w:bottom w:val="none" w:sz="0" w:space="0" w:color="auto"/>
        <w:right w:val="none" w:sz="0" w:space="0" w:color="auto"/>
      </w:divBdr>
    </w:div>
    <w:div w:id="1568763729">
      <w:bodyDiv w:val="1"/>
      <w:marLeft w:val="0"/>
      <w:marRight w:val="0"/>
      <w:marTop w:val="0"/>
      <w:marBottom w:val="0"/>
      <w:divBdr>
        <w:top w:val="none" w:sz="0" w:space="0" w:color="auto"/>
        <w:left w:val="none" w:sz="0" w:space="0" w:color="auto"/>
        <w:bottom w:val="none" w:sz="0" w:space="0" w:color="auto"/>
        <w:right w:val="none" w:sz="0" w:space="0" w:color="auto"/>
      </w:divBdr>
      <w:divsChild>
        <w:div w:id="519852787">
          <w:marLeft w:val="547"/>
          <w:marRight w:val="0"/>
          <w:marTop w:val="0"/>
          <w:marBottom w:val="0"/>
          <w:divBdr>
            <w:top w:val="none" w:sz="0" w:space="0" w:color="auto"/>
            <w:left w:val="none" w:sz="0" w:space="0" w:color="auto"/>
            <w:bottom w:val="none" w:sz="0" w:space="0" w:color="auto"/>
            <w:right w:val="none" w:sz="0" w:space="0" w:color="auto"/>
          </w:divBdr>
        </w:div>
      </w:divsChild>
    </w:div>
    <w:div w:id="1569535337">
      <w:bodyDiv w:val="1"/>
      <w:marLeft w:val="0"/>
      <w:marRight w:val="0"/>
      <w:marTop w:val="0"/>
      <w:marBottom w:val="0"/>
      <w:divBdr>
        <w:top w:val="none" w:sz="0" w:space="0" w:color="auto"/>
        <w:left w:val="none" w:sz="0" w:space="0" w:color="auto"/>
        <w:bottom w:val="none" w:sz="0" w:space="0" w:color="auto"/>
        <w:right w:val="none" w:sz="0" w:space="0" w:color="auto"/>
      </w:divBdr>
      <w:divsChild>
        <w:div w:id="2096586694">
          <w:marLeft w:val="0"/>
          <w:marRight w:val="0"/>
          <w:marTop w:val="0"/>
          <w:marBottom w:val="0"/>
          <w:divBdr>
            <w:top w:val="none" w:sz="0" w:space="0" w:color="auto"/>
            <w:left w:val="none" w:sz="0" w:space="0" w:color="auto"/>
            <w:bottom w:val="none" w:sz="0" w:space="0" w:color="auto"/>
            <w:right w:val="none" w:sz="0" w:space="0" w:color="auto"/>
          </w:divBdr>
          <w:divsChild>
            <w:div w:id="767845806">
              <w:marLeft w:val="0"/>
              <w:marRight w:val="0"/>
              <w:marTop w:val="0"/>
              <w:marBottom w:val="0"/>
              <w:divBdr>
                <w:top w:val="none" w:sz="0" w:space="0" w:color="auto"/>
                <w:left w:val="none" w:sz="0" w:space="0" w:color="auto"/>
                <w:bottom w:val="none" w:sz="0" w:space="0" w:color="auto"/>
                <w:right w:val="none" w:sz="0" w:space="0" w:color="auto"/>
              </w:divBdr>
              <w:divsChild>
                <w:div w:id="696852553">
                  <w:marLeft w:val="0"/>
                  <w:marRight w:val="0"/>
                  <w:marTop w:val="0"/>
                  <w:marBottom w:val="0"/>
                  <w:divBdr>
                    <w:top w:val="none" w:sz="0" w:space="0" w:color="auto"/>
                    <w:left w:val="none" w:sz="0" w:space="0" w:color="auto"/>
                    <w:bottom w:val="none" w:sz="0" w:space="0" w:color="auto"/>
                    <w:right w:val="none" w:sz="0" w:space="0" w:color="auto"/>
                  </w:divBdr>
                  <w:divsChild>
                    <w:div w:id="3962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33777">
      <w:bodyDiv w:val="1"/>
      <w:marLeft w:val="0"/>
      <w:marRight w:val="0"/>
      <w:marTop w:val="0"/>
      <w:marBottom w:val="0"/>
      <w:divBdr>
        <w:top w:val="none" w:sz="0" w:space="0" w:color="auto"/>
        <w:left w:val="none" w:sz="0" w:space="0" w:color="auto"/>
        <w:bottom w:val="none" w:sz="0" w:space="0" w:color="auto"/>
        <w:right w:val="none" w:sz="0" w:space="0" w:color="auto"/>
      </w:divBdr>
      <w:divsChild>
        <w:div w:id="2054384473">
          <w:marLeft w:val="0"/>
          <w:marRight w:val="0"/>
          <w:marTop w:val="0"/>
          <w:marBottom w:val="0"/>
          <w:divBdr>
            <w:top w:val="none" w:sz="0" w:space="0" w:color="auto"/>
            <w:left w:val="none" w:sz="0" w:space="0" w:color="auto"/>
            <w:bottom w:val="none" w:sz="0" w:space="0" w:color="auto"/>
            <w:right w:val="none" w:sz="0" w:space="0" w:color="auto"/>
          </w:divBdr>
          <w:divsChild>
            <w:div w:id="335500000">
              <w:marLeft w:val="0"/>
              <w:marRight w:val="0"/>
              <w:marTop w:val="0"/>
              <w:marBottom w:val="0"/>
              <w:divBdr>
                <w:top w:val="none" w:sz="0" w:space="0" w:color="auto"/>
                <w:left w:val="none" w:sz="0" w:space="0" w:color="auto"/>
                <w:bottom w:val="none" w:sz="0" w:space="0" w:color="auto"/>
                <w:right w:val="none" w:sz="0" w:space="0" w:color="auto"/>
              </w:divBdr>
              <w:divsChild>
                <w:div w:id="4421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552">
      <w:bodyDiv w:val="1"/>
      <w:marLeft w:val="0"/>
      <w:marRight w:val="0"/>
      <w:marTop w:val="0"/>
      <w:marBottom w:val="0"/>
      <w:divBdr>
        <w:top w:val="none" w:sz="0" w:space="0" w:color="auto"/>
        <w:left w:val="none" w:sz="0" w:space="0" w:color="auto"/>
        <w:bottom w:val="none" w:sz="0" w:space="0" w:color="auto"/>
        <w:right w:val="none" w:sz="0" w:space="0" w:color="auto"/>
      </w:divBdr>
      <w:divsChild>
        <w:div w:id="86118914">
          <w:marLeft w:val="0"/>
          <w:marRight w:val="0"/>
          <w:marTop w:val="0"/>
          <w:marBottom w:val="0"/>
          <w:divBdr>
            <w:top w:val="none" w:sz="0" w:space="0" w:color="auto"/>
            <w:left w:val="none" w:sz="0" w:space="0" w:color="auto"/>
            <w:bottom w:val="none" w:sz="0" w:space="0" w:color="auto"/>
            <w:right w:val="none" w:sz="0" w:space="0" w:color="auto"/>
          </w:divBdr>
          <w:divsChild>
            <w:div w:id="545064987">
              <w:marLeft w:val="0"/>
              <w:marRight w:val="0"/>
              <w:marTop w:val="0"/>
              <w:marBottom w:val="0"/>
              <w:divBdr>
                <w:top w:val="none" w:sz="0" w:space="0" w:color="auto"/>
                <w:left w:val="none" w:sz="0" w:space="0" w:color="auto"/>
                <w:bottom w:val="none" w:sz="0" w:space="0" w:color="auto"/>
                <w:right w:val="none" w:sz="0" w:space="0" w:color="auto"/>
              </w:divBdr>
              <w:divsChild>
                <w:div w:id="4297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59447">
      <w:bodyDiv w:val="1"/>
      <w:marLeft w:val="0"/>
      <w:marRight w:val="0"/>
      <w:marTop w:val="0"/>
      <w:marBottom w:val="0"/>
      <w:divBdr>
        <w:top w:val="none" w:sz="0" w:space="0" w:color="auto"/>
        <w:left w:val="none" w:sz="0" w:space="0" w:color="auto"/>
        <w:bottom w:val="none" w:sz="0" w:space="0" w:color="auto"/>
        <w:right w:val="none" w:sz="0" w:space="0" w:color="auto"/>
      </w:divBdr>
      <w:divsChild>
        <w:div w:id="545799106">
          <w:marLeft w:val="547"/>
          <w:marRight w:val="0"/>
          <w:marTop w:val="0"/>
          <w:marBottom w:val="0"/>
          <w:divBdr>
            <w:top w:val="none" w:sz="0" w:space="0" w:color="auto"/>
            <w:left w:val="none" w:sz="0" w:space="0" w:color="auto"/>
            <w:bottom w:val="none" w:sz="0" w:space="0" w:color="auto"/>
            <w:right w:val="none" w:sz="0" w:space="0" w:color="auto"/>
          </w:divBdr>
        </w:div>
        <w:div w:id="744766141">
          <w:marLeft w:val="547"/>
          <w:marRight w:val="0"/>
          <w:marTop w:val="0"/>
          <w:marBottom w:val="0"/>
          <w:divBdr>
            <w:top w:val="none" w:sz="0" w:space="0" w:color="auto"/>
            <w:left w:val="none" w:sz="0" w:space="0" w:color="auto"/>
            <w:bottom w:val="none" w:sz="0" w:space="0" w:color="auto"/>
            <w:right w:val="none" w:sz="0" w:space="0" w:color="auto"/>
          </w:divBdr>
        </w:div>
        <w:div w:id="1379822625">
          <w:marLeft w:val="547"/>
          <w:marRight w:val="0"/>
          <w:marTop w:val="0"/>
          <w:marBottom w:val="0"/>
          <w:divBdr>
            <w:top w:val="none" w:sz="0" w:space="0" w:color="auto"/>
            <w:left w:val="none" w:sz="0" w:space="0" w:color="auto"/>
            <w:bottom w:val="none" w:sz="0" w:space="0" w:color="auto"/>
            <w:right w:val="none" w:sz="0" w:space="0" w:color="auto"/>
          </w:divBdr>
        </w:div>
      </w:divsChild>
    </w:div>
    <w:div w:id="1577086581">
      <w:bodyDiv w:val="1"/>
      <w:marLeft w:val="0"/>
      <w:marRight w:val="0"/>
      <w:marTop w:val="0"/>
      <w:marBottom w:val="0"/>
      <w:divBdr>
        <w:top w:val="none" w:sz="0" w:space="0" w:color="auto"/>
        <w:left w:val="none" w:sz="0" w:space="0" w:color="auto"/>
        <w:bottom w:val="none" w:sz="0" w:space="0" w:color="auto"/>
        <w:right w:val="none" w:sz="0" w:space="0" w:color="auto"/>
      </w:divBdr>
    </w:div>
    <w:div w:id="1579631315">
      <w:bodyDiv w:val="1"/>
      <w:marLeft w:val="0"/>
      <w:marRight w:val="0"/>
      <w:marTop w:val="0"/>
      <w:marBottom w:val="0"/>
      <w:divBdr>
        <w:top w:val="none" w:sz="0" w:space="0" w:color="auto"/>
        <w:left w:val="none" w:sz="0" w:space="0" w:color="auto"/>
        <w:bottom w:val="none" w:sz="0" w:space="0" w:color="auto"/>
        <w:right w:val="none" w:sz="0" w:space="0" w:color="auto"/>
      </w:divBdr>
      <w:divsChild>
        <w:div w:id="1032001630">
          <w:marLeft w:val="0"/>
          <w:marRight w:val="0"/>
          <w:marTop w:val="0"/>
          <w:marBottom w:val="0"/>
          <w:divBdr>
            <w:top w:val="none" w:sz="0" w:space="0" w:color="auto"/>
            <w:left w:val="none" w:sz="0" w:space="0" w:color="auto"/>
            <w:bottom w:val="none" w:sz="0" w:space="0" w:color="auto"/>
            <w:right w:val="none" w:sz="0" w:space="0" w:color="auto"/>
          </w:divBdr>
          <w:divsChild>
            <w:div w:id="559485087">
              <w:marLeft w:val="0"/>
              <w:marRight w:val="0"/>
              <w:marTop w:val="0"/>
              <w:marBottom w:val="0"/>
              <w:divBdr>
                <w:top w:val="none" w:sz="0" w:space="0" w:color="auto"/>
                <w:left w:val="none" w:sz="0" w:space="0" w:color="auto"/>
                <w:bottom w:val="none" w:sz="0" w:space="0" w:color="auto"/>
                <w:right w:val="none" w:sz="0" w:space="0" w:color="auto"/>
              </w:divBdr>
              <w:divsChild>
                <w:div w:id="825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7578">
      <w:bodyDiv w:val="1"/>
      <w:marLeft w:val="0"/>
      <w:marRight w:val="0"/>
      <w:marTop w:val="0"/>
      <w:marBottom w:val="0"/>
      <w:divBdr>
        <w:top w:val="none" w:sz="0" w:space="0" w:color="auto"/>
        <w:left w:val="none" w:sz="0" w:space="0" w:color="auto"/>
        <w:bottom w:val="none" w:sz="0" w:space="0" w:color="auto"/>
        <w:right w:val="none" w:sz="0" w:space="0" w:color="auto"/>
      </w:divBdr>
      <w:divsChild>
        <w:div w:id="2139713943">
          <w:marLeft w:val="0"/>
          <w:marRight w:val="0"/>
          <w:marTop w:val="0"/>
          <w:marBottom w:val="0"/>
          <w:divBdr>
            <w:top w:val="none" w:sz="0" w:space="0" w:color="auto"/>
            <w:left w:val="none" w:sz="0" w:space="0" w:color="auto"/>
            <w:bottom w:val="none" w:sz="0" w:space="0" w:color="auto"/>
            <w:right w:val="none" w:sz="0" w:space="0" w:color="auto"/>
          </w:divBdr>
          <w:divsChild>
            <w:div w:id="1197233428">
              <w:marLeft w:val="0"/>
              <w:marRight w:val="0"/>
              <w:marTop w:val="0"/>
              <w:marBottom w:val="0"/>
              <w:divBdr>
                <w:top w:val="none" w:sz="0" w:space="0" w:color="auto"/>
                <w:left w:val="none" w:sz="0" w:space="0" w:color="auto"/>
                <w:bottom w:val="none" w:sz="0" w:space="0" w:color="auto"/>
                <w:right w:val="none" w:sz="0" w:space="0" w:color="auto"/>
              </w:divBdr>
              <w:divsChild>
                <w:div w:id="15713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73636">
      <w:bodyDiv w:val="1"/>
      <w:marLeft w:val="0"/>
      <w:marRight w:val="0"/>
      <w:marTop w:val="0"/>
      <w:marBottom w:val="0"/>
      <w:divBdr>
        <w:top w:val="none" w:sz="0" w:space="0" w:color="auto"/>
        <w:left w:val="none" w:sz="0" w:space="0" w:color="auto"/>
        <w:bottom w:val="none" w:sz="0" w:space="0" w:color="auto"/>
        <w:right w:val="none" w:sz="0" w:space="0" w:color="auto"/>
      </w:divBdr>
      <w:divsChild>
        <w:div w:id="562523813">
          <w:marLeft w:val="0"/>
          <w:marRight w:val="0"/>
          <w:marTop w:val="0"/>
          <w:marBottom w:val="0"/>
          <w:divBdr>
            <w:top w:val="none" w:sz="0" w:space="0" w:color="auto"/>
            <w:left w:val="none" w:sz="0" w:space="0" w:color="auto"/>
            <w:bottom w:val="none" w:sz="0" w:space="0" w:color="auto"/>
            <w:right w:val="none" w:sz="0" w:space="0" w:color="auto"/>
          </w:divBdr>
          <w:divsChild>
            <w:div w:id="499658022">
              <w:marLeft w:val="0"/>
              <w:marRight w:val="0"/>
              <w:marTop w:val="0"/>
              <w:marBottom w:val="0"/>
              <w:divBdr>
                <w:top w:val="none" w:sz="0" w:space="0" w:color="auto"/>
                <w:left w:val="none" w:sz="0" w:space="0" w:color="auto"/>
                <w:bottom w:val="none" w:sz="0" w:space="0" w:color="auto"/>
                <w:right w:val="none" w:sz="0" w:space="0" w:color="auto"/>
              </w:divBdr>
              <w:divsChild>
                <w:div w:id="1820073540">
                  <w:marLeft w:val="0"/>
                  <w:marRight w:val="0"/>
                  <w:marTop w:val="0"/>
                  <w:marBottom w:val="0"/>
                  <w:divBdr>
                    <w:top w:val="none" w:sz="0" w:space="0" w:color="auto"/>
                    <w:left w:val="none" w:sz="0" w:space="0" w:color="auto"/>
                    <w:bottom w:val="none" w:sz="0" w:space="0" w:color="auto"/>
                    <w:right w:val="none" w:sz="0" w:space="0" w:color="auto"/>
                  </w:divBdr>
                  <w:divsChild>
                    <w:div w:id="6803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12426">
      <w:bodyDiv w:val="1"/>
      <w:marLeft w:val="0"/>
      <w:marRight w:val="0"/>
      <w:marTop w:val="0"/>
      <w:marBottom w:val="0"/>
      <w:divBdr>
        <w:top w:val="none" w:sz="0" w:space="0" w:color="auto"/>
        <w:left w:val="none" w:sz="0" w:space="0" w:color="auto"/>
        <w:bottom w:val="none" w:sz="0" w:space="0" w:color="auto"/>
        <w:right w:val="none" w:sz="0" w:space="0" w:color="auto"/>
      </w:divBdr>
      <w:divsChild>
        <w:div w:id="1505776458">
          <w:marLeft w:val="0"/>
          <w:marRight w:val="0"/>
          <w:marTop w:val="0"/>
          <w:marBottom w:val="0"/>
          <w:divBdr>
            <w:top w:val="none" w:sz="0" w:space="0" w:color="auto"/>
            <w:left w:val="none" w:sz="0" w:space="0" w:color="auto"/>
            <w:bottom w:val="none" w:sz="0" w:space="0" w:color="auto"/>
            <w:right w:val="none" w:sz="0" w:space="0" w:color="auto"/>
          </w:divBdr>
          <w:divsChild>
            <w:div w:id="32048848">
              <w:marLeft w:val="0"/>
              <w:marRight w:val="0"/>
              <w:marTop w:val="0"/>
              <w:marBottom w:val="0"/>
              <w:divBdr>
                <w:top w:val="none" w:sz="0" w:space="0" w:color="auto"/>
                <w:left w:val="none" w:sz="0" w:space="0" w:color="auto"/>
                <w:bottom w:val="none" w:sz="0" w:space="0" w:color="auto"/>
                <w:right w:val="none" w:sz="0" w:space="0" w:color="auto"/>
              </w:divBdr>
              <w:divsChild>
                <w:div w:id="2064481612">
                  <w:marLeft w:val="0"/>
                  <w:marRight w:val="0"/>
                  <w:marTop w:val="0"/>
                  <w:marBottom w:val="0"/>
                  <w:divBdr>
                    <w:top w:val="none" w:sz="0" w:space="0" w:color="auto"/>
                    <w:left w:val="none" w:sz="0" w:space="0" w:color="auto"/>
                    <w:bottom w:val="none" w:sz="0" w:space="0" w:color="auto"/>
                    <w:right w:val="none" w:sz="0" w:space="0" w:color="auto"/>
                  </w:divBdr>
                  <w:divsChild>
                    <w:div w:id="9670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62395">
      <w:bodyDiv w:val="1"/>
      <w:marLeft w:val="0"/>
      <w:marRight w:val="0"/>
      <w:marTop w:val="0"/>
      <w:marBottom w:val="0"/>
      <w:divBdr>
        <w:top w:val="none" w:sz="0" w:space="0" w:color="auto"/>
        <w:left w:val="none" w:sz="0" w:space="0" w:color="auto"/>
        <w:bottom w:val="none" w:sz="0" w:space="0" w:color="auto"/>
        <w:right w:val="none" w:sz="0" w:space="0" w:color="auto"/>
      </w:divBdr>
    </w:div>
    <w:div w:id="1612012958">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7">
          <w:marLeft w:val="0"/>
          <w:marRight w:val="0"/>
          <w:marTop w:val="0"/>
          <w:marBottom w:val="0"/>
          <w:divBdr>
            <w:top w:val="none" w:sz="0" w:space="0" w:color="auto"/>
            <w:left w:val="none" w:sz="0" w:space="0" w:color="auto"/>
            <w:bottom w:val="none" w:sz="0" w:space="0" w:color="auto"/>
            <w:right w:val="none" w:sz="0" w:space="0" w:color="auto"/>
          </w:divBdr>
          <w:divsChild>
            <w:div w:id="685987935">
              <w:marLeft w:val="0"/>
              <w:marRight w:val="0"/>
              <w:marTop w:val="0"/>
              <w:marBottom w:val="0"/>
              <w:divBdr>
                <w:top w:val="none" w:sz="0" w:space="0" w:color="auto"/>
                <w:left w:val="none" w:sz="0" w:space="0" w:color="auto"/>
                <w:bottom w:val="none" w:sz="0" w:space="0" w:color="auto"/>
                <w:right w:val="none" w:sz="0" w:space="0" w:color="auto"/>
              </w:divBdr>
              <w:divsChild>
                <w:div w:id="1347319337">
                  <w:marLeft w:val="0"/>
                  <w:marRight w:val="0"/>
                  <w:marTop w:val="0"/>
                  <w:marBottom w:val="0"/>
                  <w:divBdr>
                    <w:top w:val="none" w:sz="0" w:space="0" w:color="auto"/>
                    <w:left w:val="none" w:sz="0" w:space="0" w:color="auto"/>
                    <w:bottom w:val="none" w:sz="0" w:space="0" w:color="auto"/>
                    <w:right w:val="none" w:sz="0" w:space="0" w:color="auto"/>
                  </w:divBdr>
                  <w:divsChild>
                    <w:div w:id="18084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795533">
      <w:bodyDiv w:val="1"/>
      <w:marLeft w:val="0"/>
      <w:marRight w:val="0"/>
      <w:marTop w:val="0"/>
      <w:marBottom w:val="0"/>
      <w:divBdr>
        <w:top w:val="none" w:sz="0" w:space="0" w:color="auto"/>
        <w:left w:val="none" w:sz="0" w:space="0" w:color="auto"/>
        <w:bottom w:val="none" w:sz="0" w:space="0" w:color="auto"/>
        <w:right w:val="none" w:sz="0" w:space="0" w:color="auto"/>
      </w:divBdr>
      <w:divsChild>
        <w:div w:id="666131725">
          <w:marLeft w:val="0"/>
          <w:marRight w:val="0"/>
          <w:marTop w:val="0"/>
          <w:marBottom w:val="0"/>
          <w:divBdr>
            <w:top w:val="none" w:sz="0" w:space="0" w:color="auto"/>
            <w:left w:val="none" w:sz="0" w:space="0" w:color="auto"/>
            <w:bottom w:val="none" w:sz="0" w:space="0" w:color="auto"/>
            <w:right w:val="none" w:sz="0" w:space="0" w:color="auto"/>
          </w:divBdr>
          <w:divsChild>
            <w:div w:id="1193108938">
              <w:marLeft w:val="0"/>
              <w:marRight w:val="0"/>
              <w:marTop w:val="0"/>
              <w:marBottom w:val="0"/>
              <w:divBdr>
                <w:top w:val="none" w:sz="0" w:space="0" w:color="auto"/>
                <w:left w:val="none" w:sz="0" w:space="0" w:color="auto"/>
                <w:bottom w:val="none" w:sz="0" w:space="0" w:color="auto"/>
                <w:right w:val="none" w:sz="0" w:space="0" w:color="auto"/>
              </w:divBdr>
              <w:divsChild>
                <w:div w:id="1242180873">
                  <w:marLeft w:val="0"/>
                  <w:marRight w:val="0"/>
                  <w:marTop w:val="0"/>
                  <w:marBottom w:val="0"/>
                  <w:divBdr>
                    <w:top w:val="none" w:sz="0" w:space="0" w:color="auto"/>
                    <w:left w:val="none" w:sz="0" w:space="0" w:color="auto"/>
                    <w:bottom w:val="none" w:sz="0" w:space="0" w:color="auto"/>
                    <w:right w:val="none" w:sz="0" w:space="0" w:color="auto"/>
                  </w:divBdr>
                  <w:divsChild>
                    <w:div w:id="14209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68766">
      <w:bodyDiv w:val="1"/>
      <w:marLeft w:val="0"/>
      <w:marRight w:val="0"/>
      <w:marTop w:val="0"/>
      <w:marBottom w:val="0"/>
      <w:divBdr>
        <w:top w:val="none" w:sz="0" w:space="0" w:color="auto"/>
        <w:left w:val="none" w:sz="0" w:space="0" w:color="auto"/>
        <w:bottom w:val="none" w:sz="0" w:space="0" w:color="auto"/>
        <w:right w:val="none" w:sz="0" w:space="0" w:color="auto"/>
      </w:divBdr>
      <w:divsChild>
        <w:div w:id="922103827">
          <w:marLeft w:val="0"/>
          <w:marRight w:val="0"/>
          <w:marTop w:val="0"/>
          <w:marBottom w:val="0"/>
          <w:divBdr>
            <w:top w:val="none" w:sz="0" w:space="0" w:color="auto"/>
            <w:left w:val="none" w:sz="0" w:space="0" w:color="auto"/>
            <w:bottom w:val="none" w:sz="0" w:space="0" w:color="auto"/>
            <w:right w:val="none" w:sz="0" w:space="0" w:color="auto"/>
          </w:divBdr>
          <w:divsChild>
            <w:div w:id="203104333">
              <w:marLeft w:val="0"/>
              <w:marRight w:val="0"/>
              <w:marTop w:val="0"/>
              <w:marBottom w:val="0"/>
              <w:divBdr>
                <w:top w:val="none" w:sz="0" w:space="0" w:color="auto"/>
                <w:left w:val="none" w:sz="0" w:space="0" w:color="auto"/>
                <w:bottom w:val="none" w:sz="0" w:space="0" w:color="auto"/>
                <w:right w:val="none" w:sz="0" w:space="0" w:color="auto"/>
              </w:divBdr>
              <w:divsChild>
                <w:div w:id="4152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1908">
      <w:bodyDiv w:val="1"/>
      <w:marLeft w:val="0"/>
      <w:marRight w:val="0"/>
      <w:marTop w:val="0"/>
      <w:marBottom w:val="0"/>
      <w:divBdr>
        <w:top w:val="none" w:sz="0" w:space="0" w:color="auto"/>
        <w:left w:val="none" w:sz="0" w:space="0" w:color="auto"/>
        <w:bottom w:val="none" w:sz="0" w:space="0" w:color="auto"/>
        <w:right w:val="none" w:sz="0" w:space="0" w:color="auto"/>
      </w:divBdr>
      <w:divsChild>
        <w:div w:id="1188981089">
          <w:marLeft w:val="0"/>
          <w:marRight w:val="0"/>
          <w:marTop w:val="0"/>
          <w:marBottom w:val="0"/>
          <w:divBdr>
            <w:top w:val="none" w:sz="0" w:space="0" w:color="auto"/>
            <w:left w:val="none" w:sz="0" w:space="0" w:color="auto"/>
            <w:bottom w:val="none" w:sz="0" w:space="0" w:color="auto"/>
            <w:right w:val="none" w:sz="0" w:space="0" w:color="auto"/>
          </w:divBdr>
        </w:div>
      </w:divsChild>
    </w:div>
    <w:div w:id="1636521942">
      <w:bodyDiv w:val="1"/>
      <w:marLeft w:val="0"/>
      <w:marRight w:val="0"/>
      <w:marTop w:val="0"/>
      <w:marBottom w:val="0"/>
      <w:divBdr>
        <w:top w:val="none" w:sz="0" w:space="0" w:color="auto"/>
        <w:left w:val="none" w:sz="0" w:space="0" w:color="auto"/>
        <w:bottom w:val="none" w:sz="0" w:space="0" w:color="auto"/>
        <w:right w:val="none" w:sz="0" w:space="0" w:color="auto"/>
      </w:divBdr>
      <w:divsChild>
        <w:div w:id="900746418">
          <w:marLeft w:val="0"/>
          <w:marRight w:val="0"/>
          <w:marTop w:val="0"/>
          <w:marBottom w:val="0"/>
          <w:divBdr>
            <w:top w:val="none" w:sz="0" w:space="0" w:color="auto"/>
            <w:left w:val="none" w:sz="0" w:space="0" w:color="auto"/>
            <w:bottom w:val="none" w:sz="0" w:space="0" w:color="auto"/>
            <w:right w:val="none" w:sz="0" w:space="0" w:color="auto"/>
          </w:divBdr>
          <w:divsChild>
            <w:div w:id="658968785">
              <w:marLeft w:val="0"/>
              <w:marRight w:val="0"/>
              <w:marTop w:val="0"/>
              <w:marBottom w:val="0"/>
              <w:divBdr>
                <w:top w:val="none" w:sz="0" w:space="0" w:color="auto"/>
                <w:left w:val="none" w:sz="0" w:space="0" w:color="auto"/>
                <w:bottom w:val="none" w:sz="0" w:space="0" w:color="auto"/>
                <w:right w:val="none" w:sz="0" w:space="0" w:color="auto"/>
              </w:divBdr>
              <w:divsChild>
                <w:div w:id="1618684582">
                  <w:marLeft w:val="0"/>
                  <w:marRight w:val="0"/>
                  <w:marTop w:val="0"/>
                  <w:marBottom w:val="0"/>
                  <w:divBdr>
                    <w:top w:val="none" w:sz="0" w:space="0" w:color="auto"/>
                    <w:left w:val="none" w:sz="0" w:space="0" w:color="auto"/>
                    <w:bottom w:val="none" w:sz="0" w:space="0" w:color="auto"/>
                    <w:right w:val="none" w:sz="0" w:space="0" w:color="auto"/>
                  </w:divBdr>
                  <w:divsChild>
                    <w:div w:id="6830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12279">
      <w:bodyDiv w:val="1"/>
      <w:marLeft w:val="0"/>
      <w:marRight w:val="0"/>
      <w:marTop w:val="0"/>
      <w:marBottom w:val="0"/>
      <w:divBdr>
        <w:top w:val="none" w:sz="0" w:space="0" w:color="auto"/>
        <w:left w:val="none" w:sz="0" w:space="0" w:color="auto"/>
        <w:bottom w:val="none" w:sz="0" w:space="0" w:color="auto"/>
        <w:right w:val="none" w:sz="0" w:space="0" w:color="auto"/>
      </w:divBdr>
      <w:divsChild>
        <w:div w:id="1182672107">
          <w:marLeft w:val="547"/>
          <w:marRight w:val="0"/>
          <w:marTop w:val="101"/>
          <w:marBottom w:val="0"/>
          <w:divBdr>
            <w:top w:val="none" w:sz="0" w:space="0" w:color="auto"/>
            <w:left w:val="none" w:sz="0" w:space="0" w:color="auto"/>
            <w:bottom w:val="none" w:sz="0" w:space="0" w:color="auto"/>
            <w:right w:val="none" w:sz="0" w:space="0" w:color="auto"/>
          </w:divBdr>
        </w:div>
        <w:div w:id="1398359453">
          <w:marLeft w:val="547"/>
          <w:marRight w:val="0"/>
          <w:marTop w:val="101"/>
          <w:marBottom w:val="0"/>
          <w:divBdr>
            <w:top w:val="none" w:sz="0" w:space="0" w:color="auto"/>
            <w:left w:val="none" w:sz="0" w:space="0" w:color="auto"/>
            <w:bottom w:val="none" w:sz="0" w:space="0" w:color="auto"/>
            <w:right w:val="none" w:sz="0" w:space="0" w:color="auto"/>
          </w:divBdr>
        </w:div>
        <w:div w:id="1448811671">
          <w:marLeft w:val="547"/>
          <w:marRight w:val="0"/>
          <w:marTop w:val="101"/>
          <w:marBottom w:val="0"/>
          <w:divBdr>
            <w:top w:val="none" w:sz="0" w:space="0" w:color="auto"/>
            <w:left w:val="none" w:sz="0" w:space="0" w:color="auto"/>
            <w:bottom w:val="none" w:sz="0" w:space="0" w:color="auto"/>
            <w:right w:val="none" w:sz="0" w:space="0" w:color="auto"/>
          </w:divBdr>
        </w:div>
      </w:divsChild>
    </w:div>
    <w:div w:id="1644702166">
      <w:bodyDiv w:val="1"/>
      <w:marLeft w:val="0"/>
      <w:marRight w:val="0"/>
      <w:marTop w:val="0"/>
      <w:marBottom w:val="0"/>
      <w:divBdr>
        <w:top w:val="none" w:sz="0" w:space="0" w:color="auto"/>
        <w:left w:val="none" w:sz="0" w:space="0" w:color="auto"/>
        <w:bottom w:val="none" w:sz="0" w:space="0" w:color="auto"/>
        <w:right w:val="none" w:sz="0" w:space="0" w:color="auto"/>
      </w:divBdr>
      <w:divsChild>
        <w:div w:id="15161076">
          <w:marLeft w:val="0"/>
          <w:marRight w:val="0"/>
          <w:marTop w:val="0"/>
          <w:marBottom w:val="0"/>
          <w:divBdr>
            <w:top w:val="none" w:sz="0" w:space="0" w:color="auto"/>
            <w:left w:val="none" w:sz="0" w:space="0" w:color="auto"/>
            <w:bottom w:val="none" w:sz="0" w:space="0" w:color="auto"/>
            <w:right w:val="none" w:sz="0" w:space="0" w:color="auto"/>
          </w:divBdr>
          <w:divsChild>
            <w:div w:id="459373643">
              <w:marLeft w:val="0"/>
              <w:marRight w:val="0"/>
              <w:marTop w:val="0"/>
              <w:marBottom w:val="0"/>
              <w:divBdr>
                <w:top w:val="none" w:sz="0" w:space="0" w:color="auto"/>
                <w:left w:val="none" w:sz="0" w:space="0" w:color="auto"/>
                <w:bottom w:val="none" w:sz="0" w:space="0" w:color="auto"/>
                <w:right w:val="none" w:sz="0" w:space="0" w:color="auto"/>
              </w:divBdr>
              <w:divsChild>
                <w:div w:id="1528912950">
                  <w:marLeft w:val="0"/>
                  <w:marRight w:val="0"/>
                  <w:marTop w:val="0"/>
                  <w:marBottom w:val="0"/>
                  <w:divBdr>
                    <w:top w:val="none" w:sz="0" w:space="0" w:color="auto"/>
                    <w:left w:val="none" w:sz="0" w:space="0" w:color="auto"/>
                    <w:bottom w:val="none" w:sz="0" w:space="0" w:color="auto"/>
                    <w:right w:val="none" w:sz="0" w:space="0" w:color="auto"/>
                  </w:divBdr>
                  <w:divsChild>
                    <w:div w:id="111609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87377">
      <w:bodyDiv w:val="1"/>
      <w:marLeft w:val="0"/>
      <w:marRight w:val="0"/>
      <w:marTop w:val="0"/>
      <w:marBottom w:val="0"/>
      <w:divBdr>
        <w:top w:val="none" w:sz="0" w:space="0" w:color="auto"/>
        <w:left w:val="none" w:sz="0" w:space="0" w:color="auto"/>
        <w:bottom w:val="none" w:sz="0" w:space="0" w:color="auto"/>
        <w:right w:val="none" w:sz="0" w:space="0" w:color="auto"/>
      </w:divBdr>
      <w:divsChild>
        <w:div w:id="1015688571">
          <w:marLeft w:val="547"/>
          <w:marRight w:val="0"/>
          <w:marTop w:val="86"/>
          <w:marBottom w:val="0"/>
          <w:divBdr>
            <w:top w:val="none" w:sz="0" w:space="0" w:color="auto"/>
            <w:left w:val="none" w:sz="0" w:space="0" w:color="auto"/>
            <w:bottom w:val="none" w:sz="0" w:space="0" w:color="auto"/>
            <w:right w:val="none" w:sz="0" w:space="0" w:color="auto"/>
          </w:divBdr>
        </w:div>
        <w:div w:id="1498158101">
          <w:marLeft w:val="547"/>
          <w:marRight w:val="0"/>
          <w:marTop w:val="86"/>
          <w:marBottom w:val="0"/>
          <w:divBdr>
            <w:top w:val="none" w:sz="0" w:space="0" w:color="auto"/>
            <w:left w:val="none" w:sz="0" w:space="0" w:color="auto"/>
            <w:bottom w:val="none" w:sz="0" w:space="0" w:color="auto"/>
            <w:right w:val="none" w:sz="0" w:space="0" w:color="auto"/>
          </w:divBdr>
        </w:div>
        <w:div w:id="1667631687">
          <w:marLeft w:val="547"/>
          <w:marRight w:val="0"/>
          <w:marTop w:val="86"/>
          <w:marBottom w:val="0"/>
          <w:divBdr>
            <w:top w:val="none" w:sz="0" w:space="0" w:color="auto"/>
            <w:left w:val="none" w:sz="0" w:space="0" w:color="auto"/>
            <w:bottom w:val="none" w:sz="0" w:space="0" w:color="auto"/>
            <w:right w:val="none" w:sz="0" w:space="0" w:color="auto"/>
          </w:divBdr>
        </w:div>
        <w:div w:id="1809008885">
          <w:marLeft w:val="547"/>
          <w:marRight w:val="0"/>
          <w:marTop w:val="86"/>
          <w:marBottom w:val="0"/>
          <w:divBdr>
            <w:top w:val="none" w:sz="0" w:space="0" w:color="auto"/>
            <w:left w:val="none" w:sz="0" w:space="0" w:color="auto"/>
            <w:bottom w:val="none" w:sz="0" w:space="0" w:color="auto"/>
            <w:right w:val="none" w:sz="0" w:space="0" w:color="auto"/>
          </w:divBdr>
        </w:div>
      </w:divsChild>
    </w:div>
    <w:div w:id="1658265998">
      <w:bodyDiv w:val="1"/>
      <w:marLeft w:val="0"/>
      <w:marRight w:val="0"/>
      <w:marTop w:val="0"/>
      <w:marBottom w:val="0"/>
      <w:divBdr>
        <w:top w:val="none" w:sz="0" w:space="0" w:color="auto"/>
        <w:left w:val="none" w:sz="0" w:space="0" w:color="auto"/>
        <w:bottom w:val="none" w:sz="0" w:space="0" w:color="auto"/>
        <w:right w:val="none" w:sz="0" w:space="0" w:color="auto"/>
      </w:divBdr>
    </w:div>
    <w:div w:id="1661689134">
      <w:bodyDiv w:val="1"/>
      <w:marLeft w:val="0"/>
      <w:marRight w:val="0"/>
      <w:marTop w:val="0"/>
      <w:marBottom w:val="0"/>
      <w:divBdr>
        <w:top w:val="none" w:sz="0" w:space="0" w:color="auto"/>
        <w:left w:val="none" w:sz="0" w:space="0" w:color="auto"/>
        <w:bottom w:val="none" w:sz="0" w:space="0" w:color="auto"/>
        <w:right w:val="none" w:sz="0" w:space="0" w:color="auto"/>
      </w:divBdr>
      <w:divsChild>
        <w:div w:id="1310204739">
          <w:marLeft w:val="0"/>
          <w:marRight w:val="0"/>
          <w:marTop w:val="0"/>
          <w:marBottom w:val="0"/>
          <w:divBdr>
            <w:top w:val="none" w:sz="0" w:space="0" w:color="auto"/>
            <w:left w:val="none" w:sz="0" w:space="0" w:color="auto"/>
            <w:bottom w:val="none" w:sz="0" w:space="0" w:color="auto"/>
            <w:right w:val="none" w:sz="0" w:space="0" w:color="auto"/>
          </w:divBdr>
          <w:divsChild>
            <w:div w:id="226427913">
              <w:marLeft w:val="0"/>
              <w:marRight w:val="0"/>
              <w:marTop w:val="0"/>
              <w:marBottom w:val="0"/>
              <w:divBdr>
                <w:top w:val="none" w:sz="0" w:space="0" w:color="auto"/>
                <w:left w:val="none" w:sz="0" w:space="0" w:color="auto"/>
                <w:bottom w:val="none" w:sz="0" w:space="0" w:color="auto"/>
                <w:right w:val="none" w:sz="0" w:space="0" w:color="auto"/>
              </w:divBdr>
              <w:divsChild>
                <w:div w:id="13437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6130">
      <w:bodyDiv w:val="1"/>
      <w:marLeft w:val="0"/>
      <w:marRight w:val="0"/>
      <w:marTop w:val="0"/>
      <w:marBottom w:val="0"/>
      <w:divBdr>
        <w:top w:val="none" w:sz="0" w:space="0" w:color="auto"/>
        <w:left w:val="none" w:sz="0" w:space="0" w:color="auto"/>
        <w:bottom w:val="none" w:sz="0" w:space="0" w:color="auto"/>
        <w:right w:val="none" w:sz="0" w:space="0" w:color="auto"/>
      </w:divBdr>
      <w:divsChild>
        <w:div w:id="1884901618">
          <w:marLeft w:val="0"/>
          <w:marRight w:val="0"/>
          <w:marTop w:val="0"/>
          <w:marBottom w:val="0"/>
          <w:divBdr>
            <w:top w:val="none" w:sz="0" w:space="0" w:color="auto"/>
            <w:left w:val="none" w:sz="0" w:space="0" w:color="auto"/>
            <w:bottom w:val="none" w:sz="0" w:space="0" w:color="auto"/>
            <w:right w:val="none" w:sz="0" w:space="0" w:color="auto"/>
          </w:divBdr>
          <w:divsChild>
            <w:div w:id="222717635">
              <w:marLeft w:val="0"/>
              <w:marRight w:val="0"/>
              <w:marTop w:val="0"/>
              <w:marBottom w:val="0"/>
              <w:divBdr>
                <w:top w:val="none" w:sz="0" w:space="0" w:color="auto"/>
                <w:left w:val="none" w:sz="0" w:space="0" w:color="auto"/>
                <w:bottom w:val="none" w:sz="0" w:space="0" w:color="auto"/>
                <w:right w:val="none" w:sz="0" w:space="0" w:color="auto"/>
              </w:divBdr>
              <w:divsChild>
                <w:div w:id="2771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3313">
      <w:bodyDiv w:val="1"/>
      <w:marLeft w:val="0"/>
      <w:marRight w:val="0"/>
      <w:marTop w:val="0"/>
      <w:marBottom w:val="0"/>
      <w:divBdr>
        <w:top w:val="none" w:sz="0" w:space="0" w:color="auto"/>
        <w:left w:val="none" w:sz="0" w:space="0" w:color="auto"/>
        <w:bottom w:val="none" w:sz="0" w:space="0" w:color="auto"/>
        <w:right w:val="none" w:sz="0" w:space="0" w:color="auto"/>
      </w:divBdr>
      <w:divsChild>
        <w:div w:id="995958809">
          <w:marLeft w:val="0"/>
          <w:marRight w:val="0"/>
          <w:marTop w:val="0"/>
          <w:marBottom w:val="0"/>
          <w:divBdr>
            <w:top w:val="none" w:sz="0" w:space="0" w:color="auto"/>
            <w:left w:val="none" w:sz="0" w:space="0" w:color="auto"/>
            <w:bottom w:val="none" w:sz="0" w:space="0" w:color="auto"/>
            <w:right w:val="none" w:sz="0" w:space="0" w:color="auto"/>
          </w:divBdr>
          <w:divsChild>
            <w:div w:id="1034618505">
              <w:marLeft w:val="0"/>
              <w:marRight w:val="0"/>
              <w:marTop w:val="0"/>
              <w:marBottom w:val="0"/>
              <w:divBdr>
                <w:top w:val="none" w:sz="0" w:space="0" w:color="auto"/>
                <w:left w:val="none" w:sz="0" w:space="0" w:color="auto"/>
                <w:bottom w:val="none" w:sz="0" w:space="0" w:color="auto"/>
                <w:right w:val="none" w:sz="0" w:space="0" w:color="auto"/>
              </w:divBdr>
              <w:divsChild>
                <w:div w:id="1509641737">
                  <w:marLeft w:val="0"/>
                  <w:marRight w:val="0"/>
                  <w:marTop w:val="0"/>
                  <w:marBottom w:val="0"/>
                  <w:divBdr>
                    <w:top w:val="none" w:sz="0" w:space="0" w:color="auto"/>
                    <w:left w:val="none" w:sz="0" w:space="0" w:color="auto"/>
                    <w:bottom w:val="none" w:sz="0" w:space="0" w:color="auto"/>
                    <w:right w:val="none" w:sz="0" w:space="0" w:color="auto"/>
                  </w:divBdr>
                  <w:divsChild>
                    <w:div w:id="2977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1785">
      <w:bodyDiv w:val="1"/>
      <w:marLeft w:val="0"/>
      <w:marRight w:val="0"/>
      <w:marTop w:val="0"/>
      <w:marBottom w:val="0"/>
      <w:divBdr>
        <w:top w:val="none" w:sz="0" w:space="0" w:color="auto"/>
        <w:left w:val="none" w:sz="0" w:space="0" w:color="auto"/>
        <w:bottom w:val="none" w:sz="0" w:space="0" w:color="auto"/>
        <w:right w:val="none" w:sz="0" w:space="0" w:color="auto"/>
      </w:divBdr>
      <w:divsChild>
        <w:div w:id="1974098913">
          <w:marLeft w:val="0"/>
          <w:marRight w:val="0"/>
          <w:marTop w:val="0"/>
          <w:marBottom w:val="0"/>
          <w:divBdr>
            <w:top w:val="none" w:sz="0" w:space="0" w:color="auto"/>
            <w:left w:val="none" w:sz="0" w:space="0" w:color="auto"/>
            <w:bottom w:val="none" w:sz="0" w:space="0" w:color="auto"/>
            <w:right w:val="none" w:sz="0" w:space="0" w:color="auto"/>
          </w:divBdr>
          <w:divsChild>
            <w:div w:id="152379117">
              <w:marLeft w:val="0"/>
              <w:marRight w:val="0"/>
              <w:marTop w:val="0"/>
              <w:marBottom w:val="0"/>
              <w:divBdr>
                <w:top w:val="none" w:sz="0" w:space="0" w:color="auto"/>
                <w:left w:val="none" w:sz="0" w:space="0" w:color="auto"/>
                <w:bottom w:val="none" w:sz="0" w:space="0" w:color="auto"/>
                <w:right w:val="none" w:sz="0" w:space="0" w:color="auto"/>
              </w:divBdr>
              <w:divsChild>
                <w:div w:id="475151087">
                  <w:marLeft w:val="0"/>
                  <w:marRight w:val="0"/>
                  <w:marTop w:val="0"/>
                  <w:marBottom w:val="0"/>
                  <w:divBdr>
                    <w:top w:val="none" w:sz="0" w:space="0" w:color="auto"/>
                    <w:left w:val="none" w:sz="0" w:space="0" w:color="auto"/>
                    <w:bottom w:val="none" w:sz="0" w:space="0" w:color="auto"/>
                    <w:right w:val="none" w:sz="0" w:space="0" w:color="auto"/>
                  </w:divBdr>
                  <w:divsChild>
                    <w:div w:id="12963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2890">
      <w:bodyDiv w:val="1"/>
      <w:marLeft w:val="0"/>
      <w:marRight w:val="0"/>
      <w:marTop w:val="0"/>
      <w:marBottom w:val="0"/>
      <w:divBdr>
        <w:top w:val="none" w:sz="0" w:space="0" w:color="auto"/>
        <w:left w:val="none" w:sz="0" w:space="0" w:color="auto"/>
        <w:bottom w:val="none" w:sz="0" w:space="0" w:color="auto"/>
        <w:right w:val="none" w:sz="0" w:space="0" w:color="auto"/>
      </w:divBdr>
    </w:div>
    <w:div w:id="1686132690">
      <w:bodyDiv w:val="1"/>
      <w:marLeft w:val="0"/>
      <w:marRight w:val="0"/>
      <w:marTop w:val="0"/>
      <w:marBottom w:val="0"/>
      <w:divBdr>
        <w:top w:val="none" w:sz="0" w:space="0" w:color="auto"/>
        <w:left w:val="none" w:sz="0" w:space="0" w:color="auto"/>
        <w:bottom w:val="none" w:sz="0" w:space="0" w:color="auto"/>
        <w:right w:val="none" w:sz="0" w:space="0" w:color="auto"/>
      </w:divBdr>
    </w:div>
    <w:div w:id="1691763047">
      <w:bodyDiv w:val="1"/>
      <w:marLeft w:val="0"/>
      <w:marRight w:val="0"/>
      <w:marTop w:val="0"/>
      <w:marBottom w:val="0"/>
      <w:divBdr>
        <w:top w:val="none" w:sz="0" w:space="0" w:color="auto"/>
        <w:left w:val="none" w:sz="0" w:space="0" w:color="auto"/>
        <w:bottom w:val="none" w:sz="0" w:space="0" w:color="auto"/>
        <w:right w:val="none" w:sz="0" w:space="0" w:color="auto"/>
      </w:divBdr>
      <w:divsChild>
        <w:div w:id="1723020858">
          <w:marLeft w:val="0"/>
          <w:marRight w:val="0"/>
          <w:marTop w:val="0"/>
          <w:marBottom w:val="0"/>
          <w:divBdr>
            <w:top w:val="none" w:sz="0" w:space="0" w:color="auto"/>
            <w:left w:val="none" w:sz="0" w:space="0" w:color="auto"/>
            <w:bottom w:val="none" w:sz="0" w:space="0" w:color="auto"/>
            <w:right w:val="none" w:sz="0" w:space="0" w:color="auto"/>
          </w:divBdr>
          <w:divsChild>
            <w:div w:id="761341867">
              <w:marLeft w:val="0"/>
              <w:marRight w:val="0"/>
              <w:marTop w:val="0"/>
              <w:marBottom w:val="0"/>
              <w:divBdr>
                <w:top w:val="none" w:sz="0" w:space="0" w:color="auto"/>
                <w:left w:val="none" w:sz="0" w:space="0" w:color="auto"/>
                <w:bottom w:val="none" w:sz="0" w:space="0" w:color="auto"/>
                <w:right w:val="none" w:sz="0" w:space="0" w:color="auto"/>
              </w:divBdr>
              <w:divsChild>
                <w:div w:id="14461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5118">
      <w:bodyDiv w:val="1"/>
      <w:marLeft w:val="0"/>
      <w:marRight w:val="0"/>
      <w:marTop w:val="0"/>
      <w:marBottom w:val="0"/>
      <w:divBdr>
        <w:top w:val="none" w:sz="0" w:space="0" w:color="auto"/>
        <w:left w:val="none" w:sz="0" w:space="0" w:color="auto"/>
        <w:bottom w:val="none" w:sz="0" w:space="0" w:color="auto"/>
        <w:right w:val="none" w:sz="0" w:space="0" w:color="auto"/>
      </w:divBdr>
      <w:divsChild>
        <w:div w:id="1061486664">
          <w:marLeft w:val="0"/>
          <w:marRight w:val="0"/>
          <w:marTop w:val="0"/>
          <w:marBottom w:val="0"/>
          <w:divBdr>
            <w:top w:val="none" w:sz="0" w:space="0" w:color="auto"/>
            <w:left w:val="none" w:sz="0" w:space="0" w:color="auto"/>
            <w:bottom w:val="none" w:sz="0" w:space="0" w:color="auto"/>
            <w:right w:val="none" w:sz="0" w:space="0" w:color="auto"/>
          </w:divBdr>
        </w:div>
      </w:divsChild>
    </w:div>
    <w:div w:id="1717659491">
      <w:bodyDiv w:val="1"/>
      <w:marLeft w:val="0"/>
      <w:marRight w:val="0"/>
      <w:marTop w:val="0"/>
      <w:marBottom w:val="0"/>
      <w:divBdr>
        <w:top w:val="none" w:sz="0" w:space="0" w:color="auto"/>
        <w:left w:val="none" w:sz="0" w:space="0" w:color="auto"/>
        <w:bottom w:val="none" w:sz="0" w:space="0" w:color="auto"/>
        <w:right w:val="none" w:sz="0" w:space="0" w:color="auto"/>
      </w:divBdr>
    </w:div>
    <w:div w:id="1721634563">
      <w:bodyDiv w:val="1"/>
      <w:marLeft w:val="0"/>
      <w:marRight w:val="0"/>
      <w:marTop w:val="0"/>
      <w:marBottom w:val="0"/>
      <w:divBdr>
        <w:top w:val="none" w:sz="0" w:space="0" w:color="auto"/>
        <w:left w:val="none" w:sz="0" w:space="0" w:color="auto"/>
        <w:bottom w:val="none" w:sz="0" w:space="0" w:color="auto"/>
        <w:right w:val="none" w:sz="0" w:space="0" w:color="auto"/>
      </w:divBdr>
      <w:divsChild>
        <w:div w:id="385839375">
          <w:marLeft w:val="0"/>
          <w:marRight w:val="0"/>
          <w:marTop w:val="0"/>
          <w:marBottom w:val="0"/>
          <w:divBdr>
            <w:top w:val="none" w:sz="0" w:space="0" w:color="auto"/>
            <w:left w:val="none" w:sz="0" w:space="0" w:color="auto"/>
            <w:bottom w:val="none" w:sz="0" w:space="0" w:color="auto"/>
            <w:right w:val="none" w:sz="0" w:space="0" w:color="auto"/>
          </w:divBdr>
          <w:divsChild>
            <w:div w:id="154032899">
              <w:marLeft w:val="0"/>
              <w:marRight w:val="0"/>
              <w:marTop w:val="0"/>
              <w:marBottom w:val="0"/>
              <w:divBdr>
                <w:top w:val="none" w:sz="0" w:space="0" w:color="auto"/>
                <w:left w:val="none" w:sz="0" w:space="0" w:color="auto"/>
                <w:bottom w:val="none" w:sz="0" w:space="0" w:color="auto"/>
                <w:right w:val="none" w:sz="0" w:space="0" w:color="auto"/>
              </w:divBdr>
              <w:divsChild>
                <w:div w:id="1173102701">
                  <w:marLeft w:val="0"/>
                  <w:marRight w:val="0"/>
                  <w:marTop w:val="0"/>
                  <w:marBottom w:val="0"/>
                  <w:divBdr>
                    <w:top w:val="none" w:sz="0" w:space="0" w:color="auto"/>
                    <w:left w:val="none" w:sz="0" w:space="0" w:color="auto"/>
                    <w:bottom w:val="none" w:sz="0" w:space="0" w:color="auto"/>
                    <w:right w:val="none" w:sz="0" w:space="0" w:color="auto"/>
                  </w:divBdr>
                  <w:divsChild>
                    <w:div w:id="18331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227245">
      <w:bodyDiv w:val="1"/>
      <w:marLeft w:val="0"/>
      <w:marRight w:val="0"/>
      <w:marTop w:val="0"/>
      <w:marBottom w:val="0"/>
      <w:divBdr>
        <w:top w:val="none" w:sz="0" w:space="0" w:color="auto"/>
        <w:left w:val="none" w:sz="0" w:space="0" w:color="auto"/>
        <w:bottom w:val="none" w:sz="0" w:space="0" w:color="auto"/>
        <w:right w:val="none" w:sz="0" w:space="0" w:color="auto"/>
      </w:divBdr>
      <w:divsChild>
        <w:div w:id="1458835303">
          <w:marLeft w:val="0"/>
          <w:marRight w:val="0"/>
          <w:marTop w:val="0"/>
          <w:marBottom w:val="0"/>
          <w:divBdr>
            <w:top w:val="none" w:sz="0" w:space="0" w:color="auto"/>
            <w:left w:val="none" w:sz="0" w:space="0" w:color="auto"/>
            <w:bottom w:val="none" w:sz="0" w:space="0" w:color="auto"/>
            <w:right w:val="none" w:sz="0" w:space="0" w:color="auto"/>
          </w:divBdr>
          <w:divsChild>
            <w:div w:id="1026519273">
              <w:marLeft w:val="0"/>
              <w:marRight w:val="0"/>
              <w:marTop w:val="0"/>
              <w:marBottom w:val="0"/>
              <w:divBdr>
                <w:top w:val="none" w:sz="0" w:space="0" w:color="auto"/>
                <w:left w:val="none" w:sz="0" w:space="0" w:color="auto"/>
                <w:bottom w:val="none" w:sz="0" w:space="0" w:color="auto"/>
                <w:right w:val="none" w:sz="0" w:space="0" w:color="auto"/>
              </w:divBdr>
              <w:divsChild>
                <w:div w:id="1002928201">
                  <w:marLeft w:val="0"/>
                  <w:marRight w:val="0"/>
                  <w:marTop w:val="0"/>
                  <w:marBottom w:val="0"/>
                  <w:divBdr>
                    <w:top w:val="none" w:sz="0" w:space="0" w:color="auto"/>
                    <w:left w:val="none" w:sz="0" w:space="0" w:color="auto"/>
                    <w:bottom w:val="none" w:sz="0" w:space="0" w:color="auto"/>
                    <w:right w:val="none" w:sz="0" w:space="0" w:color="auto"/>
                  </w:divBdr>
                  <w:divsChild>
                    <w:div w:id="1108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694893">
      <w:bodyDiv w:val="1"/>
      <w:marLeft w:val="0"/>
      <w:marRight w:val="0"/>
      <w:marTop w:val="0"/>
      <w:marBottom w:val="0"/>
      <w:divBdr>
        <w:top w:val="none" w:sz="0" w:space="0" w:color="auto"/>
        <w:left w:val="none" w:sz="0" w:space="0" w:color="auto"/>
        <w:bottom w:val="none" w:sz="0" w:space="0" w:color="auto"/>
        <w:right w:val="none" w:sz="0" w:space="0" w:color="auto"/>
      </w:divBdr>
      <w:divsChild>
        <w:div w:id="876158153">
          <w:marLeft w:val="0"/>
          <w:marRight w:val="0"/>
          <w:marTop w:val="0"/>
          <w:marBottom w:val="0"/>
          <w:divBdr>
            <w:top w:val="none" w:sz="0" w:space="0" w:color="auto"/>
            <w:left w:val="none" w:sz="0" w:space="0" w:color="auto"/>
            <w:bottom w:val="none" w:sz="0" w:space="0" w:color="auto"/>
            <w:right w:val="none" w:sz="0" w:space="0" w:color="auto"/>
          </w:divBdr>
          <w:divsChild>
            <w:div w:id="910315971">
              <w:marLeft w:val="0"/>
              <w:marRight w:val="0"/>
              <w:marTop w:val="0"/>
              <w:marBottom w:val="0"/>
              <w:divBdr>
                <w:top w:val="none" w:sz="0" w:space="0" w:color="auto"/>
                <w:left w:val="none" w:sz="0" w:space="0" w:color="auto"/>
                <w:bottom w:val="none" w:sz="0" w:space="0" w:color="auto"/>
                <w:right w:val="none" w:sz="0" w:space="0" w:color="auto"/>
              </w:divBdr>
              <w:divsChild>
                <w:div w:id="3938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7636">
      <w:bodyDiv w:val="1"/>
      <w:marLeft w:val="0"/>
      <w:marRight w:val="0"/>
      <w:marTop w:val="0"/>
      <w:marBottom w:val="0"/>
      <w:divBdr>
        <w:top w:val="none" w:sz="0" w:space="0" w:color="auto"/>
        <w:left w:val="none" w:sz="0" w:space="0" w:color="auto"/>
        <w:bottom w:val="none" w:sz="0" w:space="0" w:color="auto"/>
        <w:right w:val="none" w:sz="0" w:space="0" w:color="auto"/>
      </w:divBdr>
      <w:divsChild>
        <w:div w:id="891117631">
          <w:marLeft w:val="0"/>
          <w:marRight w:val="0"/>
          <w:marTop w:val="0"/>
          <w:marBottom w:val="0"/>
          <w:divBdr>
            <w:top w:val="none" w:sz="0" w:space="0" w:color="auto"/>
            <w:left w:val="none" w:sz="0" w:space="0" w:color="auto"/>
            <w:bottom w:val="none" w:sz="0" w:space="0" w:color="auto"/>
            <w:right w:val="none" w:sz="0" w:space="0" w:color="auto"/>
          </w:divBdr>
          <w:divsChild>
            <w:div w:id="1562214003">
              <w:marLeft w:val="0"/>
              <w:marRight w:val="0"/>
              <w:marTop w:val="0"/>
              <w:marBottom w:val="0"/>
              <w:divBdr>
                <w:top w:val="none" w:sz="0" w:space="0" w:color="auto"/>
                <w:left w:val="none" w:sz="0" w:space="0" w:color="auto"/>
                <w:bottom w:val="none" w:sz="0" w:space="0" w:color="auto"/>
                <w:right w:val="none" w:sz="0" w:space="0" w:color="auto"/>
              </w:divBdr>
              <w:divsChild>
                <w:div w:id="1645963477">
                  <w:marLeft w:val="0"/>
                  <w:marRight w:val="0"/>
                  <w:marTop w:val="0"/>
                  <w:marBottom w:val="0"/>
                  <w:divBdr>
                    <w:top w:val="none" w:sz="0" w:space="0" w:color="auto"/>
                    <w:left w:val="none" w:sz="0" w:space="0" w:color="auto"/>
                    <w:bottom w:val="none" w:sz="0" w:space="0" w:color="auto"/>
                    <w:right w:val="none" w:sz="0" w:space="0" w:color="auto"/>
                  </w:divBdr>
                  <w:divsChild>
                    <w:div w:id="5912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97184">
      <w:bodyDiv w:val="1"/>
      <w:marLeft w:val="0"/>
      <w:marRight w:val="0"/>
      <w:marTop w:val="0"/>
      <w:marBottom w:val="0"/>
      <w:divBdr>
        <w:top w:val="none" w:sz="0" w:space="0" w:color="auto"/>
        <w:left w:val="none" w:sz="0" w:space="0" w:color="auto"/>
        <w:bottom w:val="none" w:sz="0" w:space="0" w:color="auto"/>
        <w:right w:val="none" w:sz="0" w:space="0" w:color="auto"/>
      </w:divBdr>
      <w:divsChild>
        <w:div w:id="1099911690">
          <w:marLeft w:val="0"/>
          <w:marRight w:val="0"/>
          <w:marTop w:val="0"/>
          <w:marBottom w:val="0"/>
          <w:divBdr>
            <w:top w:val="none" w:sz="0" w:space="0" w:color="auto"/>
            <w:left w:val="none" w:sz="0" w:space="0" w:color="auto"/>
            <w:bottom w:val="none" w:sz="0" w:space="0" w:color="auto"/>
            <w:right w:val="none" w:sz="0" w:space="0" w:color="auto"/>
          </w:divBdr>
          <w:divsChild>
            <w:div w:id="1890915354">
              <w:marLeft w:val="0"/>
              <w:marRight w:val="0"/>
              <w:marTop w:val="0"/>
              <w:marBottom w:val="0"/>
              <w:divBdr>
                <w:top w:val="none" w:sz="0" w:space="0" w:color="auto"/>
                <w:left w:val="none" w:sz="0" w:space="0" w:color="auto"/>
                <w:bottom w:val="none" w:sz="0" w:space="0" w:color="auto"/>
                <w:right w:val="none" w:sz="0" w:space="0" w:color="auto"/>
              </w:divBdr>
              <w:divsChild>
                <w:div w:id="940381445">
                  <w:marLeft w:val="0"/>
                  <w:marRight w:val="0"/>
                  <w:marTop w:val="0"/>
                  <w:marBottom w:val="0"/>
                  <w:divBdr>
                    <w:top w:val="none" w:sz="0" w:space="0" w:color="auto"/>
                    <w:left w:val="none" w:sz="0" w:space="0" w:color="auto"/>
                    <w:bottom w:val="none" w:sz="0" w:space="0" w:color="auto"/>
                    <w:right w:val="none" w:sz="0" w:space="0" w:color="auto"/>
                  </w:divBdr>
                  <w:divsChild>
                    <w:div w:id="20935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062055">
      <w:bodyDiv w:val="1"/>
      <w:marLeft w:val="0"/>
      <w:marRight w:val="0"/>
      <w:marTop w:val="0"/>
      <w:marBottom w:val="0"/>
      <w:divBdr>
        <w:top w:val="none" w:sz="0" w:space="0" w:color="auto"/>
        <w:left w:val="none" w:sz="0" w:space="0" w:color="auto"/>
        <w:bottom w:val="none" w:sz="0" w:space="0" w:color="auto"/>
        <w:right w:val="none" w:sz="0" w:space="0" w:color="auto"/>
      </w:divBdr>
    </w:div>
    <w:div w:id="1744837753">
      <w:bodyDiv w:val="1"/>
      <w:marLeft w:val="0"/>
      <w:marRight w:val="0"/>
      <w:marTop w:val="0"/>
      <w:marBottom w:val="0"/>
      <w:divBdr>
        <w:top w:val="none" w:sz="0" w:space="0" w:color="auto"/>
        <w:left w:val="none" w:sz="0" w:space="0" w:color="auto"/>
        <w:bottom w:val="none" w:sz="0" w:space="0" w:color="auto"/>
        <w:right w:val="none" w:sz="0" w:space="0" w:color="auto"/>
      </w:divBdr>
    </w:div>
    <w:div w:id="1752385309">
      <w:bodyDiv w:val="1"/>
      <w:marLeft w:val="0"/>
      <w:marRight w:val="0"/>
      <w:marTop w:val="0"/>
      <w:marBottom w:val="0"/>
      <w:divBdr>
        <w:top w:val="none" w:sz="0" w:space="0" w:color="auto"/>
        <w:left w:val="none" w:sz="0" w:space="0" w:color="auto"/>
        <w:bottom w:val="none" w:sz="0" w:space="0" w:color="auto"/>
        <w:right w:val="none" w:sz="0" w:space="0" w:color="auto"/>
      </w:divBdr>
    </w:div>
    <w:div w:id="1754811883">
      <w:bodyDiv w:val="1"/>
      <w:marLeft w:val="0"/>
      <w:marRight w:val="0"/>
      <w:marTop w:val="0"/>
      <w:marBottom w:val="0"/>
      <w:divBdr>
        <w:top w:val="none" w:sz="0" w:space="0" w:color="auto"/>
        <w:left w:val="none" w:sz="0" w:space="0" w:color="auto"/>
        <w:bottom w:val="none" w:sz="0" w:space="0" w:color="auto"/>
        <w:right w:val="none" w:sz="0" w:space="0" w:color="auto"/>
      </w:divBdr>
      <w:divsChild>
        <w:div w:id="1917980612">
          <w:marLeft w:val="0"/>
          <w:marRight w:val="0"/>
          <w:marTop w:val="0"/>
          <w:marBottom w:val="0"/>
          <w:divBdr>
            <w:top w:val="none" w:sz="0" w:space="0" w:color="auto"/>
            <w:left w:val="none" w:sz="0" w:space="0" w:color="auto"/>
            <w:bottom w:val="none" w:sz="0" w:space="0" w:color="auto"/>
            <w:right w:val="none" w:sz="0" w:space="0" w:color="auto"/>
          </w:divBdr>
          <w:divsChild>
            <w:div w:id="276522261">
              <w:marLeft w:val="0"/>
              <w:marRight w:val="0"/>
              <w:marTop w:val="0"/>
              <w:marBottom w:val="0"/>
              <w:divBdr>
                <w:top w:val="none" w:sz="0" w:space="0" w:color="auto"/>
                <w:left w:val="none" w:sz="0" w:space="0" w:color="auto"/>
                <w:bottom w:val="none" w:sz="0" w:space="0" w:color="auto"/>
                <w:right w:val="none" w:sz="0" w:space="0" w:color="auto"/>
              </w:divBdr>
              <w:divsChild>
                <w:div w:id="8556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31154">
      <w:bodyDiv w:val="1"/>
      <w:marLeft w:val="0"/>
      <w:marRight w:val="0"/>
      <w:marTop w:val="0"/>
      <w:marBottom w:val="0"/>
      <w:divBdr>
        <w:top w:val="none" w:sz="0" w:space="0" w:color="auto"/>
        <w:left w:val="none" w:sz="0" w:space="0" w:color="auto"/>
        <w:bottom w:val="none" w:sz="0" w:space="0" w:color="auto"/>
        <w:right w:val="none" w:sz="0" w:space="0" w:color="auto"/>
      </w:divBdr>
      <w:divsChild>
        <w:div w:id="1383676421">
          <w:marLeft w:val="0"/>
          <w:marRight w:val="0"/>
          <w:marTop w:val="0"/>
          <w:marBottom w:val="0"/>
          <w:divBdr>
            <w:top w:val="none" w:sz="0" w:space="0" w:color="auto"/>
            <w:left w:val="none" w:sz="0" w:space="0" w:color="auto"/>
            <w:bottom w:val="none" w:sz="0" w:space="0" w:color="auto"/>
            <w:right w:val="none" w:sz="0" w:space="0" w:color="auto"/>
          </w:divBdr>
          <w:divsChild>
            <w:div w:id="1832452605">
              <w:marLeft w:val="0"/>
              <w:marRight w:val="0"/>
              <w:marTop w:val="0"/>
              <w:marBottom w:val="0"/>
              <w:divBdr>
                <w:top w:val="none" w:sz="0" w:space="0" w:color="auto"/>
                <w:left w:val="none" w:sz="0" w:space="0" w:color="auto"/>
                <w:bottom w:val="none" w:sz="0" w:space="0" w:color="auto"/>
                <w:right w:val="none" w:sz="0" w:space="0" w:color="auto"/>
              </w:divBdr>
              <w:divsChild>
                <w:div w:id="2229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1344">
      <w:bodyDiv w:val="1"/>
      <w:marLeft w:val="0"/>
      <w:marRight w:val="0"/>
      <w:marTop w:val="0"/>
      <w:marBottom w:val="0"/>
      <w:divBdr>
        <w:top w:val="none" w:sz="0" w:space="0" w:color="auto"/>
        <w:left w:val="none" w:sz="0" w:space="0" w:color="auto"/>
        <w:bottom w:val="none" w:sz="0" w:space="0" w:color="auto"/>
        <w:right w:val="none" w:sz="0" w:space="0" w:color="auto"/>
      </w:divBdr>
      <w:divsChild>
        <w:div w:id="1839079062">
          <w:marLeft w:val="0"/>
          <w:marRight w:val="0"/>
          <w:marTop w:val="0"/>
          <w:marBottom w:val="0"/>
          <w:divBdr>
            <w:top w:val="none" w:sz="0" w:space="0" w:color="auto"/>
            <w:left w:val="none" w:sz="0" w:space="0" w:color="auto"/>
            <w:bottom w:val="none" w:sz="0" w:space="0" w:color="auto"/>
            <w:right w:val="none" w:sz="0" w:space="0" w:color="auto"/>
          </w:divBdr>
          <w:divsChild>
            <w:div w:id="1886064724">
              <w:marLeft w:val="0"/>
              <w:marRight w:val="0"/>
              <w:marTop w:val="0"/>
              <w:marBottom w:val="0"/>
              <w:divBdr>
                <w:top w:val="none" w:sz="0" w:space="0" w:color="auto"/>
                <w:left w:val="none" w:sz="0" w:space="0" w:color="auto"/>
                <w:bottom w:val="none" w:sz="0" w:space="0" w:color="auto"/>
                <w:right w:val="none" w:sz="0" w:space="0" w:color="auto"/>
              </w:divBdr>
              <w:divsChild>
                <w:div w:id="1382365594">
                  <w:marLeft w:val="0"/>
                  <w:marRight w:val="0"/>
                  <w:marTop w:val="0"/>
                  <w:marBottom w:val="0"/>
                  <w:divBdr>
                    <w:top w:val="none" w:sz="0" w:space="0" w:color="auto"/>
                    <w:left w:val="none" w:sz="0" w:space="0" w:color="auto"/>
                    <w:bottom w:val="none" w:sz="0" w:space="0" w:color="auto"/>
                    <w:right w:val="none" w:sz="0" w:space="0" w:color="auto"/>
                  </w:divBdr>
                  <w:divsChild>
                    <w:div w:id="13309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92029">
      <w:bodyDiv w:val="1"/>
      <w:marLeft w:val="0"/>
      <w:marRight w:val="0"/>
      <w:marTop w:val="0"/>
      <w:marBottom w:val="0"/>
      <w:divBdr>
        <w:top w:val="none" w:sz="0" w:space="0" w:color="auto"/>
        <w:left w:val="none" w:sz="0" w:space="0" w:color="auto"/>
        <w:bottom w:val="none" w:sz="0" w:space="0" w:color="auto"/>
        <w:right w:val="none" w:sz="0" w:space="0" w:color="auto"/>
      </w:divBdr>
    </w:div>
    <w:div w:id="1768848573">
      <w:bodyDiv w:val="1"/>
      <w:marLeft w:val="0"/>
      <w:marRight w:val="0"/>
      <w:marTop w:val="0"/>
      <w:marBottom w:val="0"/>
      <w:divBdr>
        <w:top w:val="none" w:sz="0" w:space="0" w:color="auto"/>
        <w:left w:val="none" w:sz="0" w:space="0" w:color="auto"/>
        <w:bottom w:val="none" w:sz="0" w:space="0" w:color="auto"/>
        <w:right w:val="none" w:sz="0" w:space="0" w:color="auto"/>
      </w:divBdr>
      <w:divsChild>
        <w:div w:id="1234853984">
          <w:marLeft w:val="0"/>
          <w:marRight w:val="0"/>
          <w:marTop w:val="0"/>
          <w:marBottom w:val="0"/>
          <w:divBdr>
            <w:top w:val="none" w:sz="0" w:space="0" w:color="auto"/>
            <w:left w:val="none" w:sz="0" w:space="0" w:color="auto"/>
            <w:bottom w:val="none" w:sz="0" w:space="0" w:color="auto"/>
            <w:right w:val="none" w:sz="0" w:space="0" w:color="auto"/>
          </w:divBdr>
          <w:divsChild>
            <w:div w:id="1948000023">
              <w:marLeft w:val="0"/>
              <w:marRight w:val="0"/>
              <w:marTop w:val="0"/>
              <w:marBottom w:val="0"/>
              <w:divBdr>
                <w:top w:val="none" w:sz="0" w:space="0" w:color="auto"/>
                <w:left w:val="none" w:sz="0" w:space="0" w:color="auto"/>
                <w:bottom w:val="none" w:sz="0" w:space="0" w:color="auto"/>
                <w:right w:val="none" w:sz="0" w:space="0" w:color="auto"/>
              </w:divBdr>
              <w:divsChild>
                <w:div w:id="479545162">
                  <w:marLeft w:val="0"/>
                  <w:marRight w:val="0"/>
                  <w:marTop w:val="0"/>
                  <w:marBottom w:val="0"/>
                  <w:divBdr>
                    <w:top w:val="none" w:sz="0" w:space="0" w:color="auto"/>
                    <w:left w:val="none" w:sz="0" w:space="0" w:color="auto"/>
                    <w:bottom w:val="none" w:sz="0" w:space="0" w:color="auto"/>
                    <w:right w:val="none" w:sz="0" w:space="0" w:color="auto"/>
                  </w:divBdr>
                  <w:divsChild>
                    <w:div w:id="14195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8731">
      <w:bodyDiv w:val="1"/>
      <w:marLeft w:val="0"/>
      <w:marRight w:val="0"/>
      <w:marTop w:val="0"/>
      <w:marBottom w:val="0"/>
      <w:divBdr>
        <w:top w:val="none" w:sz="0" w:space="0" w:color="auto"/>
        <w:left w:val="none" w:sz="0" w:space="0" w:color="auto"/>
        <w:bottom w:val="none" w:sz="0" w:space="0" w:color="auto"/>
        <w:right w:val="none" w:sz="0" w:space="0" w:color="auto"/>
      </w:divBdr>
    </w:div>
    <w:div w:id="1769888663">
      <w:bodyDiv w:val="1"/>
      <w:marLeft w:val="0"/>
      <w:marRight w:val="0"/>
      <w:marTop w:val="0"/>
      <w:marBottom w:val="0"/>
      <w:divBdr>
        <w:top w:val="none" w:sz="0" w:space="0" w:color="auto"/>
        <w:left w:val="none" w:sz="0" w:space="0" w:color="auto"/>
        <w:bottom w:val="none" w:sz="0" w:space="0" w:color="auto"/>
        <w:right w:val="none" w:sz="0" w:space="0" w:color="auto"/>
      </w:divBdr>
    </w:div>
    <w:div w:id="1770658778">
      <w:bodyDiv w:val="1"/>
      <w:marLeft w:val="0"/>
      <w:marRight w:val="0"/>
      <w:marTop w:val="0"/>
      <w:marBottom w:val="0"/>
      <w:divBdr>
        <w:top w:val="none" w:sz="0" w:space="0" w:color="auto"/>
        <w:left w:val="none" w:sz="0" w:space="0" w:color="auto"/>
        <w:bottom w:val="none" w:sz="0" w:space="0" w:color="auto"/>
        <w:right w:val="none" w:sz="0" w:space="0" w:color="auto"/>
      </w:divBdr>
      <w:divsChild>
        <w:div w:id="1439528017">
          <w:marLeft w:val="0"/>
          <w:marRight w:val="0"/>
          <w:marTop w:val="0"/>
          <w:marBottom w:val="0"/>
          <w:divBdr>
            <w:top w:val="none" w:sz="0" w:space="0" w:color="auto"/>
            <w:left w:val="none" w:sz="0" w:space="0" w:color="auto"/>
            <w:bottom w:val="none" w:sz="0" w:space="0" w:color="auto"/>
            <w:right w:val="none" w:sz="0" w:space="0" w:color="auto"/>
          </w:divBdr>
          <w:divsChild>
            <w:div w:id="109788723">
              <w:marLeft w:val="0"/>
              <w:marRight w:val="0"/>
              <w:marTop w:val="0"/>
              <w:marBottom w:val="0"/>
              <w:divBdr>
                <w:top w:val="none" w:sz="0" w:space="0" w:color="auto"/>
                <w:left w:val="none" w:sz="0" w:space="0" w:color="auto"/>
                <w:bottom w:val="none" w:sz="0" w:space="0" w:color="auto"/>
                <w:right w:val="none" w:sz="0" w:space="0" w:color="auto"/>
              </w:divBdr>
              <w:divsChild>
                <w:div w:id="626593406">
                  <w:marLeft w:val="0"/>
                  <w:marRight w:val="0"/>
                  <w:marTop w:val="0"/>
                  <w:marBottom w:val="0"/>
                  <w:divBdr>
                    <w:top w:val="none" w:sz="0" w:space="0" w:color="auto"/>
                    <w:left w:val="none" w:sz="0" w:space="0" w:color="auto"/>
                    <w:bottom w:val="none" w:sz="0" w:space="0" w:color="auto"/>
                    <w:right w:val="none" w:sz="0" w:space="0" w:color="auto"/>
                  </w:divBdr>
                  <w:divsChild>
                    <w:div w:id="13670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12559">
      <w:bodyDiv w:val="1"/>
      <w:marLeft w:val="0"/>
      <w:marRight w:val="0"/>
      <w:marTop w:val="0"/>
      <w:marBottom w:val="0"/>
      <w:divBdr>
        <w:top w:val="none" w:sz="0" w:space="0" w:color="auto"/>
        <w:left w:val="none" w:sz="0" w:space="0" w:color="auto"/>
        <w:bottom w:val="none" w:sz="0" w:space="0" w:color="auto"/>
        <w:right w:val="none" w:sz="0" w:space="0" w:color="auto"/>
      </w:divBdr>
      <w:divsChild>
        <w:div w:id="2105300680">
          <w:marLeft w:val="0"/>
          <w:marRight w:val="0"/>
          <w:marTop w:val="0"/>
          <w:marBottom w:val="0"/>
          <w:divBdr>
            <w:top w:val="none" w:sz="0" w:space="0" w:color="auto"/>
            <w:left w:val="none" w:sz="0" w:space="0" w:color="auto"/>
            <w:bottom w:val="none" w:sz="0" w:space="0" w:color="auto"/>
            <w:right w:val="none" w:sz="0" w:space="0" w:color="auto"/>
          </w:divBdr>
          <w:divsChild>
            <w:div w:id="1513302489">
              <w:marLeft w:val="0"/>
              <w:marRight w:val="0"/>
              <w:marTop w:val="0"/>
              <w:marBottom w:val="0"/>
              <w:divBdr>
                <w:top w:val="none" w:sz="0" w:space="0" w:color="auto"/>
                <w:left w:val="none" w:sz="0" w:space="0" w:color="auto"/>
                <w:bottom w:val="none" w:sz="0" w:space="0" w:color="auto"/>
                <w:right w:val="none" w:sz="0" w:space="0" w:color="auto"/>
              </w:divBdr>
              <w:divsChild>
                <w:div w:id="2105613139">
                  <w:marLeft w:val="0"/>
                  <w:marRight w:val="0"/>
                  <w:marTop w:val="0"/>
                  <w:marBottom w:val="0"/>
                  <w:divBdr>
                    <w:top w:val="none" w:sz="0" w:space="0" w:color="auto"/>
                    <w:left w:val="none" w:sz="0" w:space="0" w:color="auto"/>
                    <w:bottom w:val="none" w:sz="0" w:space="0" w:color="auto"/>
                    <w:right w:val="none" w:sz="0" w:space="0" w:color="auto"/>
                  </w:divBdr>
                  <w:divsChild>
                    <w:div w:id="12343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83667">
      <w:bodyDiv w:val="1"/>
      <w:marLeft w:val="0"/>
      <w:marRight w:val="0"/>
      <w:marTop w:val="0"/>
      <w:marBottom w:val="0"/>
      <w:divBdr>
        <w:top w:val="none" w:sz="0" w:space="0" w:color="auto"/>
        <w:left w:val="none" w:sz="0" w:space="0" w:color="auto"/>
        <w:bottom w:val="none" w:sz="0" w:space="0" w:color="auto"/>
        <w:right w:val="none" w:sz="0" w:space="0" w:color="auto"/>
      </w:divBdr>
      <w:divsChild>
        <w:div w:id="1315790904">
          <w:marLeft w:val="0"/>
          <w:marRight w:val="0"/>
          <w:marTop w:val="0"/>
          <w:marBottom w:val="0"/>
          <w:divBdr>
            <w:top w:val="none" w:sz="0" w:space="0" w:color="auto"/>
            <w:left w:val="none" w:sz="0" w:space="0" w:color="auto"/>
            <w:bottom w:val="none" w:sz="0" w:space="0" w:color="auto"/>
            <w:right w:val="none" w:sz="0" w:space="0" w:color="auto"/>
          </w:divBdr>
          <w:divsChild>
            <w:div w:id="424811817">
              <w:marLeft w:val="0"/>
              <w:marRight w:val="0"/>
              <w:marTop w:val="0"/>
              <w:marBottom w:val="0"/>
              <w:divBdr>
                <w:top w:val="none" w:sz="0" w:space="0" w:color="auto"/>
                <w:left w:val="none" w:sz="0" w:space="0" w:color="auto"/>
                <w:bottom w:val="none" w:sz="0" w:space="0" w:color="auto"/>
                <w:right w:val="none" w:sz="0" w:space="0" w:color="auto"/>
              </w:divBdr>
              <w:divsChild>
                <w:div w:id="109347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6978">
      <w:bodyDiv w:val="1"/>
      <w:marLeft w:val="0"/>
      <w:marRight w:val="0"/>
      <w:marTop w:val="0"/>
      <w:marBottom w:val="0"/>
      <w:divBdr>
        <w:top w:val="none" w:sz="0" w:space="0" w:color="auto"/>
        <w:left w:val="none" w:sz="0" w:space="0" w:color="auto"/>
        <w:bottom w:val="none" w:sz="0" w:space="0" w:color="auto"/>
        <w:right w:val="none" w:sz="0" w:space="0" w:color="auto"/>
      </w:divBdr>
      <w:divsChild>
        <w:div w:id="1320234180">
          <w:marLeft w:val="0"/>
          <w:marRight w:val="0"/>
          <w:marTop w:val="0"/>
          <w:marBottom w:val="0"/>
          <w:divBdr>
            <w:top w:val="none" w:sz="0" w:space="0" w:color="auto"/>
            <w:left w:val="none" w:sz="0" w:space="0" w:color="auto"/>
            <w:bottom w:val="none" w:sz="0" w:space="0" w:color="auto"/>
            <w:right w:val="none" w:sz="0" w:space="0" w:color="auto"/>
          </w:divBdr>
          <w:divsChild>
            <w:div w:id="781801350">
              <w:marLeft w:val="0"/>
              <w:marRight w:val="0"/>
              <w:marTop w:val="0"/>
              <w:marBottom w:val="0"/>
              <w:divBdr>
                <w:top w:val="none" w:sz="0" w:space="0" w:color="auto"/>
                <w:left w:val="none" w:sz="0" w:space="0" w:color="auto"/>
                <w:bottom w:val="none" w:sz="0" w:space="0" w:color="auto"/>
                <w:right w:val="none" w:sz="0" w:space="0" w:color="auto"/>
              </w:divBdr>
              <w:divsChild>
                <w:div w:id="1459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02193">
      <w:bodyDiv w:val="1"/>
      <w:marLeft w:val="0"/>
      <w:marRight w:val="0"/>
      <w:marTop w:val="0"/>
      <w:marBottom w:val="0"/>
      <w:divBdr>
        <w:top w:val="none" w:sz="0" w:space="0" w:color="auto"/>
        <w:left w:val="none" w:sz="0" w:space="0" w:color="auto"/>
        <w:bottom w:val="none" w:sz="0" w:space="0" w:color="auto"/>
        <w:right w:val="none" w:sz="0" w:space="0" w:color="auto"/>
      </w:divBdr>
      <w:divsChild>
        <w:div w:id="1199969634">
          <w:marLeft w:val="0"/>
          <w:marRight w:val="0"/>
          <w:marTop w:val="0"/>
          <w:marBottom w:val="0"/>
          <w:divBdr>
            <w:top w:val="none" w:sz="0" w:space="0" w:color="auto"/>
            <w:left w:val="none" w:sz="0" w:space="0" w:color="auto"/>
            <w:bottom w:val="none" w:sz="0" w:space="0" w:color="auto"/>
            <w:right w:val="none" w:sz="0" w:space="0" w:color="auto"/>
          </w:divBdr>
          <w:divsChild>
            <w:div w:id="126823179">
              <w:marLeft w:val="0"/>
              <w:marRight w:val="0"/>
              <w:marTop w:val="0"/>
              <w:marBottom w:val="0"/>
              <w:divBdr>
                <w:top w:val="none" w:sz="0" w:space="0" w:color="auto"/>
                <w:left w:val="none" w:sz="0" w:space="0" w:color="auto"/>
                <w:bottom w:val="none" w:sz="0" w:space="0" w:color="auto"/>
                <w:right w:val="none" w:sz="0" w:space="0" w:color="auto"/>
              </w:divBdr>
              <w:divsChild>
                <w:div w:id="9864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3288">
      <w:bodyDiv w:val="1"/>
      <w:marLeft w:val="0"/>
      <w:marRight w:val="0"/>
      <w:marTop w:val="0"/>
      <w:marBottom w:val="0"/>
      <w:divBdr>
        <w:top w:val="none" w:sz="0" w:space="0" w:color="auto"/>
        <w:left w:val="none" w:sz="0" w:space="0" w:color="auto"/>
        <w:bottom w:val="none" w:sz="0" w:space="0" w:color="auto"/>
        <w:right w:val="none" w:sz="0" w:space="0" w:color="auto"/>
      </w:divBdr>
      <w:divsChild>
        <w:div w:id="823400906">
          <w:marLeft w:val="0"/>
          <w:marRight w:val="0"/>
          <w:marTop w:val="0"/>
          <w:marBottom w:val="0"/>
          <w:divBdr>
            <w:top w:val="none" w:sz="0" w:space="0" w:color="auto"/>
            <w:left w:val="none" w:sz="0" w:space="0" w:color="auto"/>
            <w:bottom w:val="none" w:sz="0" w:space="0" w:color="auto"/>
            <w:right w:val="none" w:sz="0" w:space="0" w:color="auto"/>
          </w:divBdr>
          <w:divsChild>
            <w:div w:id="4161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7262">
      <w:bodyDiv w:val="1"/>
      <w:marLeft w:val="0"/>
      <w:marRight w:val="0"/>
      <w:marTop w:val="0"/>
      <w:marBottom w:val="0"/>
      <w:divBdr>
        <w:top w:val="none" w:sz="0" w:space="0" w:color="auto"/>
        <w:left w:val="none" w:sz="0" w:space="0" w:color="auto"/>
        <w:bottom w:val="none" w:sz="0" w:space="0" w:color="auto"/>
        <w:right w:val="none" w:sz="0" w:space="0" w:color="auto"/>
      </w:divBdr>
      <w:divsChild>
        <w:div w:id="1198354870">
          <w:marLeft w:val="0"/>
          <w:marRight w:val="0"/>
          <w:marTop w:val="0"/>
          <w:marBottom w:val="0"/>
          <w:divBdr>
            <w:top w:val="none" w:sz="0" w:space="0" w:color="auto"/>
            <w:left w:val="none" w:sz="0" w:space="0" w:color="auto"/>
            <w:bottom w:val="none" w:sz="0" w:space="0" w:color="auto"/>
            <w:right w:val="none" w:sz="0" w:space="0" w:color="auto"/>
          </w:divBdr>
          <w:divsChild>
            <w:div w:id="406995454">
              <w:marLeft w:val="0"/>
              <w:marRight w:val="0"/>
              <w:marTop w:val="0"/>
              <w:marBottom w:val="0"/>
              <w:divBdr>
                <w:top w:val="none" w:sz="0" w:space="0" w:color="auto"/>
                <w:left w:val="none" w:sz="0" w:space="0" w:color="auto"/>
                <w:bottom w:val="none" w:sz="0" w:space="0" w:color="auto"/>
                <w:right w:val="none" w:sz="0" w:space="0" w:color="auto"/>
              </w:divBdr>
              <w:divsChild>
                <w:div w:id="2097168092">
                  <w:marLeft w:val="0"/>
                  <w:marRight w:val="0"/>
                  <w:marTop w:val="0"/>
                  <w:marBottom w:val="0"/>
                  <w:divBdr>
                    <w:top w:val="none" w:sz="0" w:space="0" w:color="auto"/>
                    <w:left w:val="none" w:sz="0" w:space="0" w:color="auto"/>
                    <w:bottom w:val="none" w:sz="0" w:space="0" w:color="auto"/>
                    <w:right w:val="none" w:sz="0" w:space="0" w:color="auto"/>
                  </w:divBdr>
                  <w:divsChild>
                    <w:div w:id="13041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013554">
      <w:bodyDiv w:val="1"/>
      <w:marLeft w:val="0"/>
      <w:marRight w:val="0"/>
      <w:marTop w:val="0"/>
      <w:marBottom w:val="0"/>
      <w:divBdr>
        <w:top w:val="none" w:sz="0" w:space="0" w:color="auto"/>
        <w:left w:val="none" w:sz="0" w:space="0" w:color="auto"/>
        <w:bottom w:val="none" w:sz="0" w:space="0" w:color="auto"/>
        <w:right w:val="none" w:sz="0" w:space="0" w:color="auto"/>
      </w:divBdr>
      <w:divsChild>
        <w:div w:id="1022169666">
          <w:marLeft w:val="0"/>
          <w:marRight w:val="0"/>
          <w:marTop w:val="0"/>
          <w:marBottom w:val="0"/>
          <w:divBdr>
            <w:top w:val="none" w:sz="0" w:space="0" w:color="auto"/>
            <w:left w:val="none" w:sz="0" w:space="0" w:color="auto"/>
            <w:bottom w:val="none" w:sz="0" w:space="0" w:color="auto"/>
            <w:right w:val="none" w:sz="0" w:space="0" w:color="auto"/>
          </w:divBdr>
          <w:divsChild>
            <w:div w:id="1404137141">
              <w:marLeft w:val="0"/>
              <w:marRight w:val="0"/>
              <w:marTop w:val="0"/>
              <w:marBottom w:val="0"/>
              <w:divBdr>
                <w:top w:val="none" w:sz="0" w:space="0" w:color="auto"/>
                <w:left w:val="none" w:sz="0" w:space="0" w:color="auto"/>
                <w:bottom w:val="none" w:sz="0" w:space="0" w:color="auto"/>
                <w:right w:val="none" w:sz="0" w:space="0" w:color="auto"/>
              </w:divBdr>
              <w:divsChild>
                <w:div w:id="1645037248">
                  <w:marLeft w:val="0"/>
                  <w:marRight w:val="0"/>
                  <w:marTop w:val="0"/>
                  <w:marBottom w:val="0"/>
                  <w:divBdr>
                    <w:top w:val="none" w:sz="0" w:space="0" w:color="auto"/>
                    <w:left w:val="none" w:sz="0" w:space="0" w:color="auto"/>
                    <w:bottom w:val="none" w:sz="0" w:space="0" w:color="auto"/>
                    <w:right w:val="none" w:sz="0" w:space="0" w:color="auto"/>
                  </w:divBdr>
                  <w:divsChild>
                    <w:div w:id="31938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90145">
      <w:bodyDiv w:val="1"/>
      <w:marLeft w:val="0"/>
      <w:marRight w:val="0"/>
      <w:marTop w:val="0"/>
      <w:marBottom w:val="0"/>
      <w:divBdr>
        <w:top w:val="none" w:sz="0" w:space="0" w:color="auto"/>
        <w:left w:val="none" w:sz="0" w:space="0" w:color="auto"/>
        <w:bottom w:val="none" w:sz="0" w:space="0" w:color="auto"/>
        <w:right w:val="none" w:sz="0" w:space="0" w:color="auto"/>
      </w:divBdr>
      <w:divsChild>
        <w:div w:id="1900706574">
          <w:marLeft w:val="547"/>
          <w:marRight w:val="0"/>
          <w:marTop w:val="0"/>
          <w:marBottom w:val="0"/>
          <w:divBdr>
            <w:top w:val="none" w:sz="0" w:space="0" w:color="auto"/>
            <w:left w:val="none" w:sz="0" w:space="0" w:color="auto"/>
            <w:bottom w:val="none" w:sz="0" w:space="0" w:color="auto"/>
            <w:right w:val="none" w:sz="0" w:space="0" w:color="auto"/>
          </w:divBdr>
        </w:div>
      </w:divsChild>
    </w:div>
    <w:div w:id="1823737989">
      <w:bodyDiv w:val="1"/>
      <w:marLeft w:val="0"/>
      <w:marRight w:val="0"/>
      <w:marTop w:val="0"/>
      <w:marBottom w:val="0"/>
      <w:divBdr>
        <w:top w:val="none" w:sz="0" w:space="0" w:color="auto"/>
        <w:left w:val="none" w:sz="0" w:space="0" w:color="auto"/>
        <w:bottom w:val="none" w:sz="0" w:space="0" w:color="auto"/>
        <w:right w:val="none" w:sz="0" w:space="0" w:color="auto"/>
      </w:divBdr>
      <w:divsChild>
        <w:div w:id="716778889">
          <w:marLeft w:val="0"/>
          <w:marRight w:val="0"/>
          <w:marTop w:val="0"/>
          <w:marBottom w:val="0"/>
          <w:divBdr>
            <w:top w:val="none" w:sz="0" w:space="0" w:color="auto"/>
            <w:left w:val="none" w:sz="0" w:space="0" w:color="auto"/>
            <w:bottom w:val="none" w:sz="0" w:space="0" w:color="auto"/>
            <w:right w:val="none" w:sz="0" w:space="0" w:color="auto"/>
          </w:divBdr>
          <w:divsChild>
            <w:div w:id="768694773">
              <w:marLeft w:val="0"/>
              <w:marRight w:val="0"/>
              <w:marTop w:val="0"/>
              <w:marBottom w:val="0"/>
              <w:divBdr>
                <w:top w:val="none" w:sz="0" w:space="0" w:color="auto"/>
                <w:left w:val="none" w:sz="0" w:space="0" w:color="auto"/>
                <w:bottom w:val="none" w:sz="0" w:space="0" w:color="auto"/>
                <w:right w:val="none" w:sz="0" w:space="0" w:color="auto"/>
              </w:divBdr>
              <w:divsChild>
                <w:div w:id="1139684997">
                  <w:marLeft w:val="0"/>
                  <w:marRight w:val="0"/>
                  <w:marTop w:val="0"/>
                  <w:marBottom w:val="0"/>
                  <w:divBdr>
                    <w:top w:val="none" w:sz="0" w:space="0" w:color="auto"/>
                    <w:left w:val="none" w:sz="0" w:space="0" w:color="auto"/>
                    <w:bottom w:val="none" w:sz="0" w:space="0" w:color="auto"/>
                    <w:right w:val="none" w:sz="0" w:space="0" w:color="auto"/>
                  </w:divBdr>
                  <w:divsChild>
                    <w:div w:id="1964769767">
                      <w:marLeft w:val="0"/>
                      <w:marRight w:val="0"/>
                      <w:marTop w:val="0"/>
                      <w:marBottom w:val="0"/>
                      <w:divBdr>
                        <w:top w:val="none" w:sz="0" w:space="0" w:color="auto"/>
                        <w:left w:val="none" w:sz="0" w:space="0" w:color="auto"/>
                        <w:bottom w:val="none" w:sz="0" w:space="0" w:color="auto"/>
                        <w:right w:val="none" w:sz="0" w:space="0" w:color="auto"/>
                      </w:divBdr>
                    </w:div>
                    <w:div w:id="21196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7706">
      <w:bodyDiv w:val="1"/>
      <w:marLeft w:val="0"/>
      <w:marRight w:val="0"/>
      <w:marTop w:val="0"/>
      <w:marBottom w:val="0"/>
      <w:divBdr>
        <w:top w:val="none" w:sz="0" w:space="0" w:color="auto"/>
        <w:left w:val="none" w:sz="0" w:space="0" w:color="auto"/>
        <w:bottom w:val="none" w:sz="0" w:space="0" w:color="auto"/>
        <w:right w:val="none" w:sz="0" w:space="0" w:color="auto"/>
      </w:divBdr>
      <w:divsChild>
        <w:div w:id="1226575335">
          <w:marLeft w:val="0"/>
          <w:marRight w:val="0"/>
          <w:marTop w:val="0"/>
          <w:marBottom w:val="0"/>
          <w:divBdr>
            <w:top w:val="none" w:sz="0" w:space="0" w:color="auto"/>
            <w:left w:val="none" w:sz="0" w:space="0" w:color="auto"/>
            <w:bottom w:val="none" w:sz="0" w:space="0" w:color="auto"/>
            <w:right w:val="none" w:sz="0" w:space="0" w:color="auto"/>
          </w:divBdr>
          <w:divsChild>
            <w:div w:id="1110512543">
              <w:marLeft w:val="0"/>
              <w:marRight w:val="0"/>
              <w:marTop w:val="0"/>
              <w:marBottom w:val="0"/>
              <w:divBdr>
                <w:top w:val="none" w:sz="0" w:space="0" w:color="auto"/>
                <w:left w:val="none" w:sz="0" w:space="0" w:color="auto"/>
                <w:bottom w:val="none" w:sz="0" w:space="0" w:color="auto"/>
                <w:right w:val="none" w:sz="0" w:space="0" w:color="auto"/>
              </w:divBdr>
              <w:divsChild>
                <w:div w:id="478882210">
                  <w:marLeft w:val="0"/>
                  <w:marRight w:val="0"/>
                  <w:marTop w:val="0"/>
                  <w:marBottom w:val="0"/>
                  <w:divBdr>
                    <w:top w:val="none" w:sz="0" w:space="0" w:color="auto"/>
                    <w:left w:val="none" w:sz="0" w:space="0" w:color="auto"/>
                    <w:bottom w:val="none" w:sz="0" w:space="0" w:color="auto"/>
                    <w:right w:val="none" w:sz="0" w:space="0" w:color="auto"/>
                  </w:divBdr>
                  <w:divsChild>
                    <w:div w:id="4791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67449">
      <w:bodyDiv w:val="1"/>
      <w:marLeft w:val="0"/>
      <w:marRight w:val="0"/>
      <w:marTop w:val="0"/>
      <w:marBottom w:val="0"/>
      <w:divBdr>
        <w:top w:val="none" w:sz="0" w:space="0" w:color="auto"/>
        <w:left w:val="none" w:sz="0" w:space="0" w:color="auto"/>
        <w:bottom w:val="none" w:sz="0" w:space="0" w:color="auto"/>
        <w:right w:val="none" w:sz="0" w:space="0" w:color="auto"/>
      </w:divBdr>
      <w:divsChild>
        <w:div w:id="1984458893">
          <w:marLeft w:val="0"/>
          <w:marRight w:val="0"/>
          <w:marTop w:val="0"/>
          <w:marBottom w:val="0"/>
          <w:divBdr>
            <w:top w:val="none" w:sz="0" w:space="0" w:color="auto"/>
            <w:left w:val="none" w:sz="0" w:space="0" w:color="auto"/>
            <w:bottom w:val="none" w:sz="0" w:space="0" w:color="auto"/>
            <w:right w:val="none" w:sz="0" w:space="0" w:color="auto"/>
          </w:divBdr>
          <w:divsChild>
            <w:div w:id="416052042">
              <w:marLeft w:val="0"/>
              <w:marRight w:val="0"/>
              <w:marTop w:val="0"/>
              <w:marBottom w:val="0"/>
              <w:divBdr>
                <w:top w:val="none" w:sz="0" w:space="0" w:color="auto"/>
                <w:left w:val="none" w:sz="0" w:space="0" w:color="auto"/>
                <w:bottom w:val="none" w:sz="0" w:space="0" w:color="auto"/>
                <w:right w:val="none" w:sz="0" w:space="0" w:color="auto"/>
              </w:divBdr>
              <w:divsChild>
                <w:div w:id="8325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3736">
      <w:bodyDiv w:val="1"/>
      <w:marLeft w:val="0"/>
      <w:marRight w:val="0"/>
      <w:marTop w:val="0"/>
      <w:marBottom w:val="0"/>
      <w:divBdr>
        <w:top w:val="none" w:sz="0" w:space="0" w:color="auto"/>
        <w:left w:val="none" w:sz="0" w:space="0" w:color="auto"/>
        <w:bottom w:val="none" w:sz="0" w:space="0" w:color="auto"/>
        <w:right w:val="none" w:sz="0" w:space="0" w:color="auto"/>
      </w:divBdr>
      <w:divsChild>
        <w:div w:id="960116776">
          <w:marLeft w:val="547"/>
          <w:marRight w:val="0"/>
          <w:marTop w:val="0"/>
          <w:marBottom w:val="0"/>
          <w:divBdr>
            <w:top w:val="none" w:sz="0" w:space="0" w:color="auto"/>
            <w:left w:val="none" w:sz="0" w:space="0" w:color="auto"/>
            <w:bottom w:val="none" w:sz="0" w:space="0" w:color="auto"/>
            <w:right w:val="none" w:sz="0" w:space="0" w:color="auto"/>
          </w:divBdr>
        </w:div>
      </w:divsChild>
    </w:div>
    <w:div w:id="1835795725">
      <w:bodyDiv w:val="1"/>
      <w:marLeft w:val="0"/>
      <w:marRight w:val="0"/>
      <w:marTop w:val="0"/>
      <w:marBottom w:val="0"/>
      <w:divBdr>
        <w:top w:val="none" w:sz="0" w:space="0" w:color="auto"/>
        <w:left w:val="none" w:sz="0" w:space="0" w:color="auto"/>
        <w:bottom w:val="none" w:sz="0" w:space="0" w:color="auto"/>
        <w:right w:val="none" w:sz="0" w:space="0" w:color="auto"/>
      </w:divBdr>
      <w:divsChild>
        <w:div w:id="1822306660">
          <w:marLeft w:val="0"/>
          <w:marRight w:val="0"/>
          <w:marTop w:val="0"/>
          <w:marBottom w:val="0"/>
          <w:divBdr>
            <w:top w:val="none" w:sz="0" w:space="0" w:color="auto"/>
            <w:left w:val="none" w:sz="0" w:space="0" w:color="auto"/>
            <w:bottom w:val="none" w:sz="0" w:space="0" w:color="auto"/>
            <w:right w:val="none" w:sz="0" w:space="0" w:color="auto"/>
          </w:divBdr>
          <w:divsChild>
            <w:div w:id="657423328">
              <w:marLeft w:val="0"/>
              <w:marRight w:val="0"/>
              <w:marTop w:val="0"/>
              <w:marBottom w:val="0"/>
              <w:divBdr>
                <w:top w:val="none" w:sz="0" w:space="0" w:color="auto"/>
                <w:left w:val="none" w:sz="0" w:space="0" w:color="auto"/>
                <w:bottom w:val="none" w:sz="0" w:space="0" w:color="auto"/>
                <w:right w:val="none" w:sz="0" w:space="0" w:color="auto"/>
              </w:divBdr>
              <w:divsChild>
                <w:div w:id="1447580332">
                  <w:marLeft w:val="0"/>
                  <w:marRight w:val="0"/>
                  <w:marTop w:val="0"/>
                  <w:marBottom w:val="0"/>
                  <w:divBdr>
                    <w:top w:val="none" w:sz="0" w:space="0" w:color="auto"/>
                    <w:left w:val="none" w:sz="0" w:space="0" w:color="auto"/>
                    <w:bottom w:val="none" w:sz="0" w:space="0" w:color="auto"/>
                    <w:right w:val="none" w:sz="0" w:space="0" w:color="auto"/>
                  </w:divBdr>
                  <w:divsChild>
                    <w:div w:id="15667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764192">
      <w:bodyDiv w:val="1"/>
      <w:marLeft w:val="0"/>
      <w:marRight w:val="0"/>
      <w:marTop w:val="0"/>
      <w:marBottom w:val="0"/>
      <w:divBdr>
        <w:top w:val="none" w:sz="0" w:space="0" w:color="auto"/>
        <w:left w:val="none" w:sz="0" w:space="0" w:color="auto"/>
        <w:bottom w:val="none" w:sz="0" w:space="0" w:color="auto"/>
        <w:right w:val="none" w:sz="0" w:space="0" w:color="auto"/>
      </w:divBdr>
      <w:divsChild>
        <w:div w:id="454374757">
          <w:marLeft w:val="0"/>
          <w:marRight w:val="0"/>
          <w:marTop w:val="0"/>
          <w:marBottom w:val="0"/>
          <w:divBdr>
            <w:top w:val="none" w:sz="0" w:space="0" w:color="auto"/>
            <w:left w:val="none" w:sz="0" w:space="0" w:color="auto"/>
            <w:bottom w:val="none" w:sz="0" w:space="0" w:color="auto"/>
            <w:right w:val="none" w:sz="0" w:space="0" w:color="auto"/>
          </w:divBdr>
          <w:divsChild>
            <w:div w:id="538052739">
              <w:marLeft w:val="0"/>
              <w:marRight w:val="0"/>
              <w:marTop w:val="0"/>
              <w:marBottom w:val="0"/>
              <w:divBdr>
                <w:top w:val="none" w:sz="0" w:space="0" w:color="auto"/>
                <w:left w:val="none" w:sz="0" w:space="0" w:color="auto"/>
                <w:bottom w:val="none" w:sz="0" w:space="0" w:color="auto"/>
                <w:right w:val="none" w:sz="0" w:space="0" w:color="auto"/>
              </w:divBdr>
              <w:divsChild>
                <w:div w:id="1557543540">
                  <w:marLeft w:val="0"/>
                  <w:marRight w:val="0"/>
                  <w:marTop w:val="0"/>
                  <w:marBottom w:val="0"/>
                  <w:divBdr>
                    <w:top w:val="none" w:sz="0" w:space="0" w:color="auto"/>
                    <w:left w:val="none" w:sz="0" w:space="0" w:color="auto"/>
                    <w:bottom w:val="none" w:sz="0" w:space="0" w:color="auto"/>
                    <w:right w:val="none" w:sz="0" w:space="0" w:color="auto"/>
                  </w:divBdr>
                  <w:divsChild>
                    <w:div w:id="6387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79663">
      <w:bodyDiv w:val="1"/>
      <w:marLeft w:val="0"/>
      <w:marRight w:val="0"/>
      <w:marTop w:val="0"/>
      <w:marBottom w:val="0"/>
      <w:divBdr>
        <w:top w:val="none" w:sz="0" w:space="0" w:color="auto"/>
        <w:left w:val="none" w:sz="0" w:space="0" w:color="auto"/>
        <w:bottom w:val="none" w:sz="0" w:space="0" w:color="auto"/>
        <w:right w:val="none" w:sz="0" w:space="0" w:color="auto"/>
      </w:divBdr>
      <w:divsChild>
        <w:div w:id="874078738">
          <w:marLeft w:val="0"/>
          <w:marRight w:val="0"/>
          <w:marTop w:val="0"/>
          <w:marBottom w:val="0"/>
          <w:divBdr>
            <w:top w:val="none" w:sz="0" w:space="0" w:color="auto"/>
            <w:left w:val="none" w:sz="0" w:space="0" w:color="auto"/>
            <w:bottom w:val="none" w:sz="0" w:space="0" w:color="auto"/>
            <w:right w:val="none" w:sz="0" w:space="0" w:color="auto"/>
          </w:divBdr>
          <w:divsChild>
            <w:div w:id="329525552">
              <w:marLeft w:val="0"/>
              <w:marRight w:val="0"/>
              <w:marTop w:val="0"/>
              <w:marBottom w:val="0"/>
              <w:divBdr>
                <w:top w:val="none" w:sz="0" w:space="0" w:color="auto"/>
                <w:left w:val="none" w:sz="0" w:space="0" w:color="auto"/>
                <w:bottom w:val="none" w:sz="0" w:space="0" w:color="auto"/>
                <w:right w:val="none" w:sz="0" w:space="0" w:color="auto"/>
              </w:divBdr>
              <w:divsChild>
                <w:div w:id="14614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710">
      <w:bodyDiv w:val="1"/>
      <w:marLeft w:val="0"/>
      <w:marRight w:val="0"/>
      <w:marTop w:val="0"/>
      <w:marBottom w:val="0"/>
      <w:divBdr>
        <w:top w:val="none" w:sz="0" w:space="0" w:color="auto"/>
        <w:left w:val="none" w:sz="0" w:space="0" w:color="auto"/>
        <w:bottom w:val="none" w:sz="0" w:space="0" w:color="auto"/>
        <w:right w:val="none" w:sz="0" w:space="0" w:color="auto"/>
      </w:divBdr>
      <w:divsChild>
        <w:div w:id="1361736318">
          <w:marLeft w:val="0"/>
          <w:marRight w:val="0"/>
          <w:marTop w:val="0"/>
          <w:marBottom w:val="0"/>
          <w:divBdr>
            <w:top w:val="none" w:sz="0" w:space="0" w:color="auto"/>
            <w:left w:val="none" w:sz="0" w:space="0" w:color="auto"/>
            <w:bottom w:val="none" w:sz="0" w:space="0" w:color="auto"/>
            <w:right w:val="none" w:sz="0" w:space="0" w:color="auto"/>
          </w:divBdr>
          <w:divsChild>
            <w:div w:id="1678120089">
              <w:marLeft w:val="0"/>
              <w:marRight w:val="0"/>
              <w:marTop w:val="0"/>
              <w:marBottom w:val="0"/>
              <w:divBdr>
                <w:top w:val="none" w:sz="0" w:space="0" w:color="auto"/>
                <w:left w:val="none" w:sz="0" w:space="0" w:color="auto"/>
                <w:bottom w:val="none" w:sz="0" w:space="0" w:color="auto"/>
                <w:right w:val="none" w:sz="0" w:space="0" w:color="auto"/>
              </w:divBdr>
              <w:divsChild>
                <w:div w:id="909272317">
                  <w:marLeft w:val="0"/>
                  <w:marRight w:val="0"/>
                  <w:marTop w:val="0"/>
                  <w:marBottom w:val="0"/>
                  <w:divBdr>
                    <w:top w:val="none" w:sz="0" w:space="0" w:color="auto"/>
                    <w:left w:val="none" w:sz="0" w:space="0" w:color="auto"/>
                    <w:bottom w:val="none" w:sz="0" w:space="0" w:color="auto"/>
                    <w:right w:val="none" w:sz="0" w:space="0" w:color="auto"/>
                  </w:divBdr>
                  <w:divsChild>
                    <w:div w:id="14180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353532">
      <w:bodyDiv w:val="1"/>
      <w:marLeft w:val="0"/>
      <w:marRight w:val="0"/>
      <w:marTop w:val="0"/>
      <w:marBottom w:val="0"/>
      <w:divBdr>
        <w:top w:val="none" w:sz="0" w:space="0" w:color="auto"/>
        <w:left w:val="none" w:sz="0" w:space="0" w:color="auto"/>
        <w:bottom w:val="none" w:sz="0" w:space="0" w:color="auto"/>
        <w:right w:val="none" w:sz="0" w:space="0" w:color="auto"/>
      </w:divBdr>
    </w:div>
    <w:div w:id="1843619910">
      <w:bodyDiv w:val="1"/>
      <w:marLeft w:val="0"/>
      <w:marRight w:val="0"/>
      <w:marTop w:val="0"/>
      <w:marBottom w:val="0"/>
      <w:divBdr>
        <w:top w:val="none" w:sz="0" w:space="0" w:color="auto"/>
        <w:left w:val="none" w:sz="0" w:space="0" w:color="auto"/>
        <w:bottom w:val="none" w:sz="0" w:space="0" w:color="auto"/>
        <w:right w:val="none" w:sz="0" w:space="0" w:color="auto"/>
      </w:divBdr>
      <w:divsChild>
        <w:div w:id="779373656">
          <w:marLeft w:val="0"/>
          <w:marRight w:val="0"/>
          <w:marTop w:val="0"/>
          <w:marBottom w:val="0"/>
          <w:divBdr>
            <w:top w:val="none" w:sz="0" w:space="0" w:color="auto"/>
            <w:left w:val="none" w:sz="0" w:space="0" w:color="auto"/>
            <w:bottom w:val="none" w:sz="0" w:space="0" w:color="auto"/>
            <w:right w:val="none" w:sz="0" w:space="0" w:color="auto"/>
          </w:divBdr>
          <w:divsChild>
            <w:div w:id="284046831">
              <w:marLeft w:val="0"/>
              <w:marRight w:val="0"/>
              <w:marTop w:val="0"/>
              <w:marBottom w:val="0"/>
              <w:divBdr>
                <w:top w:val="none" w:sz="0" w:space="0" w:color="auto"/>
                <w:left w:val="none" w:sz="0" w:space="0" w:color="auto"/>
                <w:bottom w:val="none" w:sz="0" w:space="0" w:color="auto"/>
                <w:right w:val="none" w:sz="0" w:space="0" w:color="auto"/>
              </w:divBdr>
              <w:divsChild>
                <w:div w:id="10932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5145">
      <w:bodyDiv w:val="1"/>
      <w:marLeft w:val="0"/>
      <w:marRight w:val="0"/>
      <w:marTop w:val="0"/>
      <w:marBottom w:val="0"/>
      <w:divBdr>
        <w:top w:val="none" w:sz="0" w:space="0" w:color="auto"/>
        <w:left w:val="none" w:sz="0" w:space="0" w:color="auto"/>
        <w:bottom w:val="none" w:sz="0" w:space="0" w:color="auto"/>
        <w:right w:val="none" w:sz="0" w:space="0" w:color="auto"/>
      </w:divBdr>
      <w:divsChild>
        <w:div w:id="379860992">
          <w:marLeft w:val="0"/>
          <w:marRight w:val="0"/>
          <w:marTop w:val="0"/>
          <w:marBottom w:val="0"/>
          <w:divBdr>
            <w:top w:val="none" w:sz="0" w:space="0" w:color="auto"/>
            <w:left w:val="none" w:sz="0" w:space="0" w:color="auto"/>
            <w:bottom w:val="none" w:sz="0" w:space="0" w:color="auto"/>
            <w:right w:val="none" w:sz="0" w:space="0" w:color="auto"/>
          </w:divBdr>
          <w:divsChild>
            <w:div w:id="1141458326">
              <w:marLeft w:val="0"/>
              <w:marRight w:val="0"/>
              <w:marTop w:val="0"/>
              <w:marBottom w:val="0"/>
              <w:divBdr>
                <w:top w:val="none" w:sz="0" w:space="0" w:color="auto"/>
                <w:left w:val="none" w:sz="0" w:space="0" w:color="auto"/>
                <w:bottom w:val="none" w:sz="0" w:space="0" w:color="auto"/>
                <w:right w:val="none" w:sz="0" w:space="0" w:color="auto"/>
              </w:divBdr>
              <w:divsChild>
                <w:div w:id="2076125072">
                  <w:marLeft w:val="0"/>
                  <w:marRight w:val="0"/>
                  <w:marTop w:val="0"/>
                  <w:marBottom w:val="0"/>
                  <w:divBdr>
                    <w:top w:val="none" w:sz="0" w:space="0" w:color="auto"/>
                    <w:left w:val="none" w:sz="0" w:space="0" w:color="auto"/>
                    <w:bottom w:val="none" w:sz="0" w:space="0" w:color="auto"/>
                    <w:right w:val="none" w:sz="0" w:space="0" w:color="auto"/>
                  </w:divBdr>
                  <w:divsChild>
                    <w:div w:id="11314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06627">
      <w:bodyDiv w:val="1"/>
      <w:marLeft w:val="0"/>
      <w:marRight w:val="0"/>
      <w:marTop w:val="0"/>
      <w:marBottom w:val="0"/>
      <w:divBdr>
        <w:top w:val="none" w:sz="0" w:space="0" w:color="auto"/>
        <w:left w:val="none" w:sz="0" w:space="0" w:color="auto"/>
        <w:bottom w:val="none" w:sz="0" w:space="0" w:color="auto"/>
        <w:right w:val="none" w:sz="0" w:space="0" w:color="auto"/>
      </w:divBdr>
    </w:div>
    <w:div w:id="1859928944">
      <w:bodyDiv w:val="1"/>
      <w:marLeft w:val="0"/>
      <w:marRight w:val="0"/>
      <w:marTop w:val="0"/>
      <w:marBottom w:val="0"/>
      <w:divBdr>
        <w:top w:val="none" w:sz="0" w:space="0" w:color="auto"/>
        <w:left w:val="none" w:sz="0" w:space="0" w:color="auto"/>
        <w:bottom w:val="none" w:sz="0" w:space="0" w:color="auto"/>
        <w:right w:val="none" w:sz="0" w:space="0" w:color="auto"/>
      </w:divBdr>
      <w:divsChild>
        <w:div w:id="293607242">
          <w:marLeft w:val="0"/>
          <w:marRight w:val="0"/>
          <w:marTop w:val="0"/>
          <w:marBottom w:val="0"/>
          <w:divBdr>
            <w:top w:val="none" w:sz="0" w:space="0" w:color="auto"/>
            <w:left w:val="none" w:sz="0" w:space="0" w:color="auto"/>
            <w:bottom w:val="none" w:sz="0" w:space="0" w:color="auto"/>
            <w:right w:val="none" w:sz="0" w:space="0" w:color="auto"/>
          </w:divBdr>
          <w:divsChild>
            <w:div w:id="1169443062">
              <w:marLeft w:val="0"/>
              <w:marRight w:val="0"/>
              <w:marTop w:val="0"/>
              <w:marBottom w:val="0"/>
              <w:divBdr>
                <w:top w:val="none" w:sz="0" w:space="0" w:color="auto"/>
                <w:left w:val="none" w:sz="0" w:space="0" w:color="auto"/>
                <w:bottom w:val="none" w:sz="0" w:space="0" w:color="auto"/>
                <w:right w:val="none" w:sz="0" w:space="0" w:color="auto"/>
              </w:divBdr>
              <w:divsChild>
                <w:div w:id="13691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6590">
      <w:bodyDiv w:val="1"/>
      <w:marLeft w:val="0"/>
      <w:marRight w:val="0"/>
      <w:marTop w:val="0"/>
      <w:marBottom w:val="0"/>
      <w:divBdr>
        <w:top w:val="none" w:sz="0" w:space="0" w:color="auto"/>
        <w:left w:val="none" w:sz="0" w:space="0" w:color="auto"/>
        <w:bottom w:val="none" w:sz="0" w:space="0" w:color="auto"/>
        <w:right w:val="none" w:sz="0" w:space="0" w:color="auto"/>
      </w:divBdr>
    </w:div>
    <w:div w:id="1869946404">
      <w:bodyDiv w:val="1"/>
      <w:marLeft w:val="0"/>
      <w:marRight w:val="0"/>
      <w:marTop w:val="0"/>
      <w:marBottom w:val="0"/>
      <w:divBdr>
        <w:top w:val="none" w:sz="0" w:space="0" w:color="auto"/>
        <w:left w:val="none" w:sz="0" w:space="0" w:color="auto"/>
        <w:bottom w:val="none" w:sz="0" w:space="0" w:color="auto"/>
        <w:right w:val="none" w:sz="0" w:space="0" w:color="auto"/>
      </w:divBdr>
      <w:divsChild>
        <w:div w:id="2119711868">
          <w:marLeft w:val="0"/>
          <w:marRight w:val="0"/>
          <w:marTop w:val="0"/>
          <w:marBottom w:val="0"/>
          <w:divBdr>
            <w:top w:val="none" w:sz="0" w:space="0" w:color="auto"/>
            <w:left w:val="none" w:sz="0" w:space="0" w:color="auto"/>
            <w:bottom w:val="none" w:sz="0" w:space="0" w:color="auto"/>
            <w:right w:val="none" w:sz="0" w:space="0" w:color="auto"/>
          </w:divBdr>
          <w:divsChild>
            <w:div w:id="1877044432">
              <w:marLeft w:val="0"/>
              <w:marRight w:val="0"/>
              <w:marTop w:val="0"/>
              <w:marBottom w:val="0"/>
              <w:divBdr>
                <w:top w:val="none" w:sz="0" w:space="0" w:color="auto"/>
                <w:left w:val="none" w:sz="0" w:space="0" w:color="auto"/>
                <w:bottom w:val="none" w:sz="0" w:space="0" w:color="auto"/>
                <w:right w:val="none" w:sz="0" w:space="0" w:color="auto"/>
              </w:divBdr>
              <w:divsChild>
                <w:div w:id="1056464442">
                  <w:marLeft w:val="0"/>
                  <w:marRight w:val="0"/>
                  <w:marTop w:val="0"/>
                  <w:marBottom w:val="0"/>
                  <w:divBdr>
                    <w:top w:val="none" w:sz="0" w:space="0" w:color="auto"/>
                    <w:left w:val="none" w:sz="0" w:space="0" w:color="auto"/>
                    <w:bottom w:val="none" w:sz="0" w:space="0" w:color="auto"/>
                    <w:right w:val="none" w:sz="0" w:space="0" w:color="auto"/>
                  </w:divBdr>
                  <w:divsChild>
                    <w:div w:id="1893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13370">
      <w:bodyDiv w:val="1"/>
      <w:marLeft w:val="0"/>
      <w:marRight w:val="0"/>
      <w:marTop w:val="0"/>
      <w:marBottom w:val="0"/>
      <w:divBdr>
        <w:top w:val="none" w:sz="0" w:space="0" w:color="auto"/>
        <w:left w:val="none" w:sz="0" w:space="0" w:color="auto"/>
        <w:bottom w:val="none" w:sz="0" w:space="0" w:color="auto"/>
        <w:right w:val="none" w:sz="0" w:space="0" w:color="auto"/>
      </w:divBdr>
    </w:div>
    <w:div w:id="1874613531">
      <w:bodyDiv w:val="1"/>
      <w:marLeft w:val="0"/>
      <w:marRight w:val="0"/>
      <w:marTop w:val="0"/>
      <w:marBottom w:val="0"/>
      <w:divBdr>
        <w:top w:val="none" w:sz="0" w:space="0" w:color="auto"/>
        <w:left w:val="none" w:sz="0" w:space="0" w:color="auto"/>
        <w:bottom w:val="none" w:sz="0" w:space="0" w:color="auto"/>
        <w:right w:val="none" w:sz="0" w:space="0" w:color="auto"/>
      </w:divBdr>
      <w:divsChild>
        <w:div w:id="1012103129">
          <w:marLeft w:val="0"/>
          <w:marRight w:val="0"/>
          <w:marTop w:val="0"/>
          <w:marBottom w:val="0"/>
          <w:divBdr>
            <w:top w:val="none" w:sz="0" w:space="0" w:color="auto"/>
            <w:left w:val="none" w:sz="0" w:space="0" w:color="auto"/>
            <w:bottom w:val="none" w:sz="0" w:space="0" w:color="auto"/>
            <w:right w:val="none" w:sz="0" w:space="0" w:color="auto"/>
          </w:divBdr>
          <w:divsChild>
            <w:div w:id="119500185">
              <w:marLeft w:val="0"/>
              <w:marRight w:val="0"/>
              <w:marTop w:val="0"/>
              <w:marBottom w:val="0"/>
              <w:divBdr>
                <w:top w:val="none" w:sz="0" w:space="0" w:color="auto"/>
                <w:left w:val="none" w:sz="0" w:space="0" w:color="auto"/>
                <w:bottom w:val="none" w:sz="0" w:space="0" w:color="auto"/>
                <w:right w:val="none" w:sz="0" w:space="0" w:color="auto"/>
              </w:divBdr>
              <w:divsChild>
                <w:div w:id="411975054">
                  <w:marLeft w:val="0"/>
                  <w:marRight w:val="0"/>
                  <w:marTop w:val="0"/>
                  <w:marBottom w:val="0"/>
                  <w:divBdr>
                    <w:top w:val="none" w:sz="0" w:space="0" w:color="auto"/>
                    <w:left w:val="none" w:sz="0" w:space="0" w:color="auto"/>
                    <w:bottom w:val="none" w:sz="0" w:space="0" w:color="auto"/>
                    <w:right w:val="none" w:sz="0" w:space="0" w:color="auto"/>
                  </w:divBdr>
                  <w:divsChild>
                    <w:div w:id="12185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78980">
      <w:bodyDiv w:val="1"/>
      <w:marLeft w:val="0"/>
      <w:marRight w:val="0"/>
      <w:marTop w:val="0"/>
      <w:marBottom w:val="0"/>
      <w:divBdr>
        <w:top w:val="none" w:sz="0" w:space="0" w:color="auto"/>
        <w:left w:val="none" w:sz="0" w:space="0" w:color="auto"/>
        <w:bottom w:val="none" w:sz="0" w:space="0" w:color="auto"/>
        <w:right w:val="none" w:sz="0" w:space="0" w:color="auto"/>
      </w:divBdr>
    </w:div>
    <w:div w:id="1898740101">
      <w:bodyDiv w:val="1"/>
      <w:marLeft w:val="0"/>
      <w:marRight w:val="0"/>
      <w:marTop w:val="0"/>
      <w:marBottom w:val="0"/>
      <w:divBdr>
        <w:top w:val="none" w:sz="0" w:space="0" w:color="auto"/>
        <w:left w:val="none" w:sz="0" w:space="0" w:color="auto"/>
        <w:bottom w:val="none" w:sz="0" w:space="0" w:color="auto"/>
        <w:right w:val="none" w:sz="0" w:space="0" w:color="auto"/>
      </w:divBdr>
    </w:div>
    <w:div w:id="1900675132">
      <w:bodyDiv w:val="1"/>
      <w:marLeft w:val="0"/>
      <w:marRight w:val="0"/>
      <w:marTop w:val="0"/>
      <w:marBottom w:val="0"/>
      <w:divBdr>
        <w:top w:val="none" w:sz="0" w:space="0" w:color="auto"/>
        <w:left w:val="none" w:sz="0" w:space="0" w:color="auto"/>
        <w:bottom w:val="none" w:sz="0" w:space="0" w:color="auto"/>
        <w:right w:val="none" w:sz="0" w:space="0" w:color="auto"/>
      </w:divBdr>
      <w:divsChild>
        <w:div w:id="542909932">
          <w:marLeft w:val="0"/>
          <w:marRight w:val="0"/>
          <w:marTop w:val="0"/>
          <w:marBottom w:val="0"/>
          <w:divBdr>
            <w:top w:val="none" w:sz="0" w:space="0" w:color="auto"/>
            <w:left w:val="none" w:sz="0" w:space="0" w:color="auto"/>
            <w:bottom w:val="none" w:sz="0" w:space="0" w:color="auto"/>
            <w:right w:val="none" w:sz="0" w:space="0" w:color="auto"/>
          </w:divBdr>
          <w:divsChild>
            <w:div w:id="1231303784">
              <w:marLeft w:val="0"/>
              <w:marRight w:val="0"/>
              <w:marTop w:val="0"/>
              <w:marBottom w:val="0"/>
              <w:divBdr>
                <w:top w:val="none" w:sz="0" w:space="0" w:color="auto"/>
                <w:left w:val="none" w:sz="0" w:space="0" w:color="auto"/>
                <w:bottom w:val="none" w:sz="0" w:space="0" w:color="auto"/>
                <w:right w:val="none" w:sz="0" w:space="0" w:color="auto"/>
              </w:divBdr>
              <w:divsChild>
                <w:div w:id="6357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6765">
      <w:bodyDiv w:val="1"/>
      <w:marLeft w:val="0"/>
      <w:marRight w:val="0"/>
      <w:marTop w:val="0"/>
      <w:marBottom w:val="0"/>
      <w:divBdr>
        <w:top w:val="none" w:sz="0" w:space="0" w:color="auto"/>
        <w:left w:val="none" w:sz="0" w:space="0" w:color="auto"/>
        <w:bottom w:val="none" w:sz="0" w:space="0" w:color="auto"/>
        <w:right w:val="none" w:sz="0" w:space="0" w:color="auto"/>
      </w:divBdr>
      <w:divsChild>
        <w:div w:id="1704091200">
          <w:marLeft w:val="0"/>
          <w:marRight w:val="0"/>
          <w:marTop w:val="0"/>
          <w:marBottom w:val="0"/>
          <w:divBdr>
            <w:top w:val="none" w:sz="0" w:space="0" w:color="auto"/>
            <w:left w:val="none" w:sz="0" w:space="0" w:color="auto"/>
            <w:bottom w:val="none" w:sz="0" w:space="0" w:color="auto"/>
            <w:right w:val="none" w:sz="0" w:space="0" w:color="auto"/>
          </w:divBdr>
          <w:divsChild>
            <w:div w:id="137378649">
              <w:marLeft w:val="0"/>
              <w:marRight w:val="0"/>
              <w:marTop w:val="0"/>
              <w:marBottom w:val="0"/>
              <w:divBdr>
                <w:top w:val="none" w:sz="0" w:space="0" w:color="auto"/>
                <w:left w:val="none" w:sz="0" w:space="0" w:color="auto"/>
                <w:bottom w:val="none" w:sz="0" w:space="0" w:color="auto"/>
                <w:right w:val="none" w:sz="0" w:space="0" w:color="auto"/>
              </w:divBdr>
              <w:divsChild>
                <w:div w:id="1664384116">
                  <w:marLeft w:val="0"/>
                  <w:marRight w:val="0"/>
                  <w:marTop w:val="0"/>
                  <w:marBottom w:val="0"/>
                  <w:divBdr>
                    <w:top w:val="none" w:sz="0" w:space="0" w:color="auto"/>
                    <w:left w:val="none" w:sz="0" w:space="0" w:color="auto"/>
                    <w:bottom w:val="none" w:sz="0" w:space="0" w:color="auto"/>
                    <w:right w:val="none" w:sz="0" w:space="0" w:color="auto"/>
                  </w:divBdr>
                  <w:divsChild>
                    <w:div w:id="5040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91910">
      <w:bodyDiv w:val="1"/>
      <w:marLeft w:val="0"/>
      <w:marRight w:val="0"/>
      <w:marTop w:val="0"/>
      <w:marBottom w:val="0"/>
      <w:divBdr>
        <w:top w:val="none" w:sz="0" w:space="0" w:color="auto"/>
        <w:left w:val="none" w:sz="0" w:space="0" w:color="auto"/>
        <w:bottom w:val="none" w:sz="0" w:space="0" w:color="auto"/>
        <w:right w:val="none" w:sz="0" w:space="0" w:color="auto"/>
      </w:divBdr>
    </w:div>
    <w:div w:id="1913008224">
      <w:bodyDiv w:val="1"/>
      <w:marLeft w:val="0"/>
      <w:marRight w:val="0"/>
      <w:marTop w:val="0"/>
      <w:marBottom w:val="0"/>
      <w:divBdr>
        <w:top w:val="none" w:sz="0" w:space="0" w:color="auto"/>
        <w:left w:val="none" w:sz="0" w:space="0" w:color="auto"/>
        <w:bottom w:val="none" w:sz="0" w:space="0" w:color="auto"/>
        <w:right w:val="none" w:sz="0" w:space="0" w:color="auto"/>
      </w:divBdr>
    </w:div>
    <w:div w:id="1915696631">
      <w:bodyDiv w:val="1"/>
      <w:marLeft w:val="0"/>
      <w:marRight w:val="0"/>
      <w:marTop w:val="0"/>
      <w:marBottom w:val="0"/>
      <w:divBdr>
        <w:top w:val="none" w:sz="0" w:space="0" w:color="auto"/>
        <w:left w:val="none" w:sz="0" w:space="0" w:color="auto"/>
        <w:bottom w:val="none" w:sz="0" w:space="0" w:color="auto"/>
        <w:right w:val="none" w:sz="0" w:space="0" w:color="auto"/>
      </w:divBdr>
      <w:divsChild>
        <w:div w:id="1563516801">
          <w:marLeft w:val="0"/>
          <w:marRight w:val="0"/>
          <w:marTop w:val="0"/>
          <w:marBottom w:val="0"/>
          <w:divBdr>
            <w:top w:val="none" w:sz="0" w:space="0" w:color="auto"/>
            <w:left w:val="none" w:sz="0" w:space="0" w:color="auto"/>
            <w:bottom w:val="none" w:sz="0" w:space="0" w:color="auto"/>
            <w:right w:val="none" w:sz="0" w:space="0" w:color="auto"/>
          </w:divBdr>
          <w:divsChild>
            <w:div w:id="1757751134">
              <w:marLeft w:val="0"/>
              <w:marRight w:val="0"/>
              <w:marTop w:val="0"/>
              <w:marBottom w:val="0"/>
              <w:divBdr>
                <w:top w:val="none" w:sz="0" w:space="0" w:color="auto"/>
                <w:left w:val="none" w:sz="0" w:space="0" w:color="auto"/>
                <w:bottom w:val="none" w:sz="0" w:space="0" w:color="auto"/>
                <w:right w:val="none" w:sz="0" w:space="0" w:color="auto"/>
              </w:divBdr>
              <w:divsChild>
                <w:div w:id="420685969">
                  <w:marLeft w:val="0"/>
                  <w:marRight w:val="0"/>
                  <w:marTop w:val="0"/>
                  <w:marBottom w:val="0"/>
                  <w:divBdr>
                    <w:top w:val="none" w:sz="0" w:space="0" w:color="auto"/>
                    <w:left w:val="none" w:sz="0" w:space="0" w:color="auto"/>
                    <w:bottom w:val="none" w:sz="0" w:space="0" w:color="auto"/>
                    <w:right w:val="none" w:sz="0" w:space="0" w:color="auto"/>
                  </w:divBdr>
                  <w:divsChild>
                    <w:div w:id="138340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64617">
      <w:bodyDiv w:val="1"/>
      <w:marLeft w:val="0"/>
      <w:marRight w:val="0"/>
      <w:marTop w:val="0"/>
      <w:marBottom w:val="0"/>
      <w:divBdr>
        <w:top w:val="none" w:sz="0" w:space="0" w:color="auto"/>
        <w:left w:val="none" w:sz="0" w:space="0" w:color="auto"/>
        <w:bottom w:val="none" w:sz="0" w:space="0" w:color="auto"/>
        <w:right w:val="none" w:sz="0" w:space="0" w:color="auto"/>
      </w:divBdr>
    </w:div>
    <w:div w:id="1930187252">
      <w:bodyDiv w:val="1"/>
      <w:marLeft w:val="0"/>
      <w:marRight w:val="0"/>
      <w:marTop w:val="0"/>
      <w:marBottom w:val="0"/>
      <w:divBdr>
        <w:top w:val="none" w:sz="0" w:space="0" w:color="auto"/>
        <w:left w:val="none" w:sz="0" w:space="0" w:color="auto"/>
        <w:bottom w:val="none" w:sz="0" w:space="0" w:color="auto"/>
        <w:right w:val="none" w:sz="0" w:space="0" w:color="auto"/>
      </w:divBdr>
      <w:divsChild>
        <w:div w:id="1966885439">
          <w:marLeft w:val="0"/>
          <w:marRight w:val="0"/>
          <w:marTop w:val="0"/>
          <w:marBottom w:val="0"/>
          <w:divBdr>
            <w:top w:val="none" w:sz="0" w:space="0" w:color="auto"/>
            <w:left w:val="none" w:sz="0" w:space="0" w:color="auto"/>
            <w:bottom w:val="none" w:sz="0" w:space="0" w:color="auto"/>
            <w:right w:val="none" w:sz="0" w:space="0" w:color="auto"/>
          </w:divBdr>
          <w:divsChild>
            <w:div w:id="1323697429">
              <w:marLeft w:val="0"/>
              <w:marRight w:val="0"/>
              <w:marTop w:val="0"/>
              <w:marBottom w:val="0"/>
              <w:divBdr>
                <w:top w:val="none" w:sz="0" w:space="0" w:color="auto"/>
                <w:left w:val="none" w:sz="0" w:space="0" w:color="auto"/>
                <w:bottom w:val="none" w:sz="0" w:space="0" w:color="auto"/>
                <w:right w:val="none" w:sz="0" w:space="0" w:color="auto"/>
              </w:divBdr>
              <w:divsChild>
                <w:div w:id="9228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74834">
      <w:bodyDiv w:val="1"/>
      <w:marLeft w:val="0"/>
      <w:marRight w:val="0"/>
      <w:marTop w:val="0"/>
      <w:marBottom w:val="0"/>
      <w:divBdr>
        <w:top w:val="none" w:sz="0" w:space="0" w:color="auto"/>
        <w:left w:val="none" w:sz="0" w:space="0" w:color="auto"/>
        <w:bottom w:val="none" w:sz="0" w:space="0" w:color="auto"/>
        <w:right w:val="none" w:sz="0" w:space="0" w:color="auto"/>
      </w:divBdr>
    </w:div>
    <w:div w:id="1955820319">
      <w:bodyDiv w:val="1"/>
      <w:marLeft w:val="0"/>
      <w:marRight w:val="0"/>
      <w:marTop w:val="0"/>
      <w:marBottom w:val="0"/>
      <w:divBdr>
        <w:top w:val="none" w:sz="0" w:space="0" w:color="auto"/>
        <w:left w:val="none" w:sz="0" w:space="0" w:color="auto"/>
        <w:bottom w:val="none" w:sz="0" w:space="0" w:color="auto"/>
        <w:right w:val="none" w:sz="0" w:space="0" w:color="auto"/>
      </w:divBdr>
      <w:divsChild>
        <w:div w:id="681082205">
          <w:marLeft w:val="0"/>
          <w:marRight w:val="0"/>
          <w:marTop w:val="0"/>
          <w:marBottom w:val="0"/>
          <w:divBdr>
            <w:top w:val="none" w:sz="0" w:space="0" w:color="auto"/>
            <w:left w:val="none" w:sz="0" w:space="0" w:color="auto"/>
            <w:bottom w:val="none" w:sz="0" w:space="0" w:color="auto"/>
            <w:right w:val="none" w:sz="0" w:space="0" w:color="auto"/>
          </w:divBdr>
          <w:divsChild>
            <w:div w:id="1102455011">
              <w:marLeft w:val="0"/>
              <w:marRight w:val="0"/>
              <w:marTop w:val="0"/>
              <w:marBottom w:val="0"/>
              <w:divBdr>
                <w:top w:val="none" w:sz="0" w:space="0" w:color="auto"/>
                <w:left w:val="none" w:sz="0" w:space="0" w:color="auto"/>
                <w:bottom w:val="none" w:sz="0" w:space="0" w:color="auto"/>
                <w:right w:val="none" w:sz="0" w:space="0" w:color="auto"/>
              </w:divBdr>
              <w:divsChild>
                <w:div w:id="511116150">
                  <w:marLeft w:val="0"/>
                  <w:marRight w:val="0"/>
                  <w:marTop w:val="0"/>
                  <w:marBottom w:val="0"/>
                  <w:divBdr>
                    <w:top w:val="none" w:sz="0" w:space="0" w:color="auto"/>
                    <w:left w:val="none" w:sz="0" w:space="0" w:color="auto"/>
                    <w:bottom w:val="none" w:sz="0" w:space="0" w:color="auto"/>
                    <w:right w:val="none" w:sz="0" w:space="0" w:color="auto"/>
                  </w:divBdr>
                  <w:divsChild>
                    <w:div w:id="1293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939741">
      <w:bodyDiv w:val="1"/>
      <w:marLeft w:val="0"/>
      <w:marRight w:val="0"/>
      <w:marTop w:val="0"/>
      <w:marBottom w:val="0"/>
      <w:divBdr>
        <w:top w:val="none" w:sz="0" w:space="0" w:color="auto"/>
        <w:left w:val="none" w:sz="0" w:space="0" w:color="auto"/>
        <w:bottom w:val="none" w:sz="0" w:space="0" w:color="auto"/>
        <w:right w:val="none" w:sz="0" w:space="0" w:color="auto"/>
      </w:divBdr>
      <w:divsChild>
        <w:div w:id="2021616237">
          <w:marLeft w:val="0"/>
          <w:marRight w:val="0"/>
          <w:marTop w:val="0"/>
          <w:marBottom w:val="0"/>
          <w:divBdr>
            <w:top w:val="none" w:sz="0" w:space="0" w:color="auto"/>
            <w:left w:val="none" w:sz="0" w:space="0" w:color="auto"/>
            <w:bottom w:val="none" w:sz="0" w:space="0" w:color="auto"/>
            <w:right w:val="none" w:sz="0" w:space="0" w:color="auto"/>
          </w:divBdr>
          <w:divsChild>
            <w:div w:id="1242568699">
              <w:marLeft w:val="0"/>
              <w:marRight w:val="0"/>
              <w:marTop w:val="0"/>
              <w:marBottom w:val="0"/>
              <w:divBdr>
                <w:top w:val="none" w:sz="0" w:space="0" w:color="auto"/>
                <w:left w:val="none" w:sz="0" w:space="0" w:color="auto"/>
                <w:bottom w:val="none" w:sz="0" w:space="0" w:color="auto"/>
                <w:right w:val="none" w:sz="0" w:space="0" w:color="auto"/>
              </w:divBdr>
              <w:divsChild>
                <w:div w:id="590503154">
                  <w:marLeft w:val="0"/>
                  <w:marRight w:val="0"/>
                  <w:marTop w:val="0"/>
                  <w:marBottom w:val="0"/>
                  <w:divBdr>
                    <w:top w:val="none" w:sz="0" w:space="0" w:color="auto"/>
                    <w:left w:val="none" w:sz="0" w:space="0" w:color="auto"/>
                    <w:bottom w:val="none" w:sz="0" w:space="0" w:color="auto"/>
                    <w:right w:val="none" w:sz="0" w:space="0" w:color="auto"/>
                  </w:divBdr>
                  <w:divsChild>
                    <w:div w:id="1408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400644">
      <w:bodyDiv w:val="1"/>
      <w:marLeft w:val="0"/>
      <w:marRight w:val="0"/>
      <w:marTop w:val="0"/>
      <w:marBottom w:val="0"/>
      <w:divBdr>
        <w:top w:val="none" w:sz="0" w:space="0" w:color="auto"/>
        <w:left w:val="none" w:sz="0" w:space="0" w:color="auto"/>
        <w:bottom w:val="none" w:sz="0" w:space="0" w:color="auto"/>
        <w:right w:val="none" w:sz="0" w:space="0" w:color="auto"/>
      </w:divBdr>
      <w:divsChild>
        <w:div w:id="1746412906">
          <w:marLeft w:val="0"/>
          <w:marRight w:val="0"/>
          <w:marTop w:val="0"/>
          <w:marBottom w:val="0"/>
          <w:divBdr>
            <w:top w:val="none" w:sz="0" w:space="0" w:color="auto"/>
            <w:left w:val="none" w:sz="0" w:space="0" w:color="auto"/>
            <w:bottom w:val="none" w:sz="0" w:space="0" w:color="auto"/>
            <w:right w:val="none" w:sz="0" w:space="0" w:color="auto"/>
          </w:divBdr>
          <w:divsChild>
            <w:div w:id="1520729723">
              <w:marLeft w:val="0"/>
              <w:marRight w:val="0"/>
              <w:marTop w:val="0"/>
              <w:marBottom w:val="0"/>
              <w:divBdr>
                <w:top w:val="none" w:sz="0" w:space="0" w:color="auto"/>
                <w:left w:val="none" w:sz="0" w:space="0" w:color="auto"/>
                <w:bottom w:val="none" w:sz="0" w:space="0" w:color="auto"/>
                <w:right w:val="none" w:sz="0" w:space="0" w:color="auto"/>
              </w:divBdr>
              <w:divsChild>
                <w:div w:id="2115248890">
                  <w:marLeft w:val="0"/>
                  <w:marRight w:val="0"/>
                  <w:marTop w:val="0"/>
                  <w:marBottom w:val="0"/>
                  <w:divBdr>
                    <w:top w:val="none" w:sz="0" w:space="0" w:color="auto"/>
                    <w:left w:val="none" w:sz="0" w:space="0" w:color="auto"/>
                    <w:bottom w:val="none" w:sz="0" w:space="0" w:color="auto"/>
                    <w:right w:val="none" w:sz="0" w:space="0" w:color="auto"/>
                  </w:divBdr>
                  <w:divsChild>
                    <w:div w:id="6576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30595">
      <w:bodyDiv w:val="1"/>
      <w:marLeft w:val="0"/>
      <w:marRight w:val="0"/>
      <w:marTop w:val="0"/>
      <w:marBottom w:val="0"/>
      <w:divBdr>
        <w:top w:val="none" w:sz="0" w:space="0" w:color="auto"/>
        <w:left w:val="none" w:sz="0" w:space="0" w:color="auto"/>
        <w:bottom w:val="none" w:sz="0" w:space="0" w:color="auto"/>
        <w:right w:val="none" w:sz="0" w:space="0" w:color="auto"/>
      </w:divBdr>
      <w:divsChild>
        <w:div w:id="1849519865">
          <w:marLeft w:val="0"/>
          <w:marRight w:val="0"/>
          <w:marTop w:val="0"/>
          <w:marBottom w:val="0"/>
          <w:divBdr>
            <w:top w:val="none" w:sz="0" w:space="0" w:color="auto"/>
            <w:left w:val="none" w:sz="0" w:space="0" w:color="auto"/>
            <w:bottom w:val="none" w:sz="0" w:space="0" w:color="auto"/>
            <w:right w:val="none" w:sz="0" w:space="0" w:color="auto"/>
          </w:divBdr>
          <w:divsChild>
            <w:div w:id="254557661">
              <w:marLeft w:val="0"/>
              <w:marRight w:val="0"/>
              <w:marTop w:val="0"/>
              <w:marBottom w:val="0"/>
              <w:divBdr>
                <w:top w:val="none" w:sz="0" w:space="0" w:color="auto"/>
                <w:left w:val="none" w:sz="0" w:space="0" w:color="auto"/>
                <w:bottom w:val="none" w:sz="0" w:space="0" w:color="auto"/>
                <w:right w:val="none" w:sz="0" w:space="0" w:color="auto"/>
              </w:divBdr>
              <w:divsChild>
                <w:div w:id="13011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2918">
      <w:bodyDiv w:val="1"/>
      <w:marLeft w:val="0"/>
      <w:marRight w:val="0"/>
      <w:marTop w:val="0"/>
      <w:marBottom w:val="0"/>
      <w:divBdr>
        <w:top w:val="none" w:sz="0" w:space="0" w:color="auto"/>
        <w:left w:val="none" w:sz="0" w:space="0" w:color="auto"/>
        <w:bottom w:val="none" w:sz="0" w:space="0" w:color="auto"/>
        <w:right w:val="none" w:sz="0" w:space="0" w:color="auto"/>
      </w:divBdr>
    </w:div>
    <w:div w:id="1980184609">
      <w:bodyDiv w:val="1"/>
      <w:marLeft w:val="0"/>
      <w:marRight w:val="0"/>
      <w:marTop w:val="0"/>
      <w:marBottom w:val="0"/>
      <w:divBdr>
        <w:top w:val="none" w:sz="0" w:space="0" w:color="auto"/>
        <w:left w:val="none" w:sz="0" w:space="0" w:color="auto"/>
        <w:bottom w:val="none" w:sz="0" w:space="0" w:color="auto"/>
        <w:right w:val="none" w:sz="0" w:space="0" w:color="auto"/>
      </w:divBdr>
      <w:divsChild>
        <w:div w:id="137574217">
          <w:marLeft w:val="0"/>
          <w:marRight w:val="0"/>
          <w:marTop w:val="0"/>
          <w:marBottom w:val="0"/>
          <w:divBdr>
            <w:top w:val="none" w:sz="0" w:space="0" w:color="auto"/>
            <w:left w:val="none" w:sz="0" w:space="0" w:color="auto"/>
            <w:bottom w:val="none" w:sz="0" w:space="0" w:color="auto"/>
            <w:right w:val="none" w:sz="0" w:space="0" w:color="auto"/>
          </w:divBdr>
          <w:divsChild>
            <w:div w:id="840700129">
              <w:marLeft w:val="0"/>
              <w:marRight w:val="0"/>
              <w:marTop w:val="0"/>
              <w:marBottom w:val="0"/>
              <w:divBdr>
                <w:top w:val="none" w:sz="0" w:space="0" w:color="auto"/>
                <w:left w:val="none" w:sz="0" w:space="0" w:color="auto"/>
                <w:bottom w:val="none" w:sz="0" w:space="0" w:color="auto"/>
                <w:right w:val="none" w:sz="0" w:space="0" w:color="auto"/>
              </w:divBdr>
              <w:divsChild>
                <w:div w:id="181869011">
                  <w:marLeft w:val="0"/>
                  <w:marRight w:val="0"/>
                  <w:marTop w:val="0"/>
                  <w:marBottom w:val="0"/>
                  <w:divBdr>
                    <w:top w:val="none" w:sz="0" w:space="0" w:color="auto"/>
                    <w:left w:val="none" w:sz="0" w:space="0" w:color="auto"/>
                    <w:bottom w:val="none" w:sz="0" w:space="0" w:color="auto"/>
                    <w:right w:val="none" w:sz="0" w:space="0" w:color="auto"/>
                  </w:divBdr>
                  <w:divsChild>
                    <w:div w:id="245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62122">
      <w:bodyDiv w:val="1"/>
      <w:marLeft w:val="0"/>
      <w:marRight w:val="0"/>
      <w:marTop w:val="0"/>
      <w:marBottom w:val="0"/>
      <w:divBdr>
        <w:top w:val="none" w:sz="0" w:space="0" w:color="auto"/>
        <w:left w:val="none" w:sz="0" w:space="0" w:color="auto"/>
        <w:bottom w:val="none" w:sz="0" w:space="0" w:color="auto"/>
        <w:right w:val="none" w:sz="0" w:space="0" w:color="auto"/>
      </w:divBdr>
      <w:divsChild>
        <w:div w:id="1510561117">
          <w:marLeft w:val="0"/>
          <w:marRight w:val="0"/>
          <w:marTop w:val="0"/>
          <w:marBottom w:val="0"/>
          <w:divBdr>
            <w:top w:val="none" w:sz="0" w:space="0" w:color="auto"/>
            <w:left w:val="none" w:sz="0" w:space="0" w:color="auto"/>
            <w:bottom w:val="none" w:sz="0" w:space="0" w:color="auto"/>
            <w:right w:val="none" w:sz="0" w:space="0" w:color="auto"/>
          </w:divBdr>
          <w:divsChild>
            <w:div w:id="1689600093">
              <w:marLeft w:val="0"/>
              <w:marRight w:val="0"/>
              <w:marTop w:val="0"/>
              <w:marBottom w:val="0"/>
              <w:divBdr>
                <w:top w:val="none" w:sz="0" w:space="0" w:color="auto"/>
                <w:left w:val="none" w:sz="0" w:space="0" w:color="auto"/>
                <w:bottom w:val="none" w:sz="0" w:space="0" w:color="auto"/>
                <w:right w:val="none" w:sz="0" w:space="0" w:color="auto"/>
              </w:divBdr>
              <w:divsChild>
                <w:div w:id="237250822">
                  <w:marLeft w:val="0"/>
                  <w:marRight w:val="0"/>
                  <w:marTop w:val="0"/>
                  <w:marBottom w:val="0"/>
                  <w:divBdr>
                    <w:top w:val="none" w:sz="0" w:space="0" w:color="auto"/>
                    <w:left w:val="none" w:sz="0" w:space="0" w:color="auto"/>
                    <w:bottom w:val="none" w:sz="0" w:space="0" w:color="auto"/>
                    <w:right w:val="none" w:sz="0" w:space="0" w:color="auto"/>
                  </w:divBdr>
                  <w:divsChild>
                    <w:div w:id="13760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45222">
      <w:bodyDiv w:val="1"/>
      <w:marLeft w:val="0"/>
      <w:marRight w:val="0"/>
      <w:marTop w:val="0"/>
      <w:marBottom w:val="0"/>
      <w:divBdr>
        <w:top w:val="none" w:sz="0" w:space="0" w:color="auto"/>
        <w:left w:val="none" w:sz="0" w:space="0" w:color="auto"/>
        <w:bottom w:val="none" w:sz="0" w:space="0" w:color="auto"/>
        <w:right w:val="none" w:sz="0" w:space="0" w:color="auto"/>
      </w:divBdr>
    </w:div>
    <w:div w:id="2010592122">
      <w:bodyDiv w:val="1"/>
      <w:marLeft w:val="0"/>
      <w:marRight w:val="0"/>
      <w:marTop w:val="0"/>
      <w:marBottom w:val="0"/>
      <w:divBdr>
        <w:top w:val="none" w:sz="0" w:space="0" w:color="auto"/>
        <w:left w:val="none" w:sz="0" w:space="0" w:color="auto"/>
        <w:bottom w:val="none" w:sz="0" w:space="0" w:color="auto"/>
        <w:right w:val="none" w:sz="0" w:space="0" w:color="auto"/>
      </w:divBdr>
    </w:div>
    <w:div w:id="2018344957">
      <w:bodyDiv w:val="1"/>
      <w:marLeft w:val="0"/>
      <w:marRight w:val="0"/>
      <w:marTop w:val="0"/>
      <w:marBottom w:val="0"/>
      <w:divBdr>
        <w:top w:val="none" w:sz="0" w:space="0" w:color="auto"/>
        <w:left w:val="none" w:sz="0" w:space="0" w:color="auto"/>
        <w:bottom w:val="none" w:sz="0" w:space="0" w:color="auto"/>
        <w:right w:val="none" w:sz="0" w:space="0" w:color="auto"/>
      </w:divBdr>
      <w:divsChild>
        <w:div w:id="169025151">
          <w:marLeft w:val="0"/>
          <w:marRight w:val="0"/>
          <w:marTop w:val="0"/>
          <w:marBottom w:val="0"/>
          <w:divBdr>
            <w:top w:val="none" w:sz="0" w:space="0" w:color="auto"/>
            <w:left w:val="none" w:sz="0" w:space="0" w:color="auto"/>
            <w:bottom w:val="none" w:sz="0" w:space="0" w:color="auto"/>
            <w:right w:val="none" w:sz="0" w:space="0" w:color="auto"/>
          </w:divBdr>
          <w:divsChild>
            <w:div w:id="1116413514">
              <w:marLeft w:val="0"/>
              <w:marRight w:val="0"/>
              <w:marTop w:val="0"/>
              <w:marBottom w:val="0"/>
              <w:divBdr>
                <w:top w:val="none" w:sz="0" w:space="0" w:color="auto"/>
                <w:left w:val="none" w:sz="0" w:space="0" w:color="auto"/>
                <w:bottom w:val="none" w:sz="0" w:space="0" w:color="auto"/>
                <w:right w:val="none" w:sz="0" w:space="0" w:color="auto"/>
              </w:divBdr>
              <w:divsChild>
                <w:div w:id="1858736247">
                  <w:marLeft w:val="0"/>
                  <w:marRight w:val="0"/>
                  <w:marTop w:val="0"/>
                  <w:marBottom w:val="0"/>
                  <w:divBdr>
                    <w:top w:val="none" w:sz="0" w:space="0" w:color="auto"/>
                    <w:left w:val="none" w:sz="0" w:space="0" w:color="auto"/>
                    <w:bottom w:val="none" w:sz="0" w:space="0" w:color="auto"/>
                    <w:right w:val="none" w:sz="0" w:space="0" w:color="auto"/>
                  </w:divBdr>
                  <w:divsChild>
                    <w:div w:id="14500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766596">
      <w:bodyDiv w:val="1"/>
      <w:marLeft w:val="0"/>
      <w:marRight w:val="0"/>
      <w:marTop w:val="0"/>
      <w:marBottom w:val="0"/>
      <w:divBdr>
        <w:top w:val="none" w:sz="0" w:space="0" w:color="auto"/>
        <w:left w:val="none" w:sz="0" w:space="0" w:color="auto"/>
        <w:bottom w:val="none" w:sz="0" w:space="0" w:color="auto"/>
        <w:right w:val="none" w:sz="0" w:space="0" w:color="auto"/>
      </w:divBdr>
    </w:div>
    <w:div w:id="2033991962">
      <w:bodyDiv w:val="1"/>
      <w:marLeft w:val="0"/>
      <w:marRight w:val="0"/>
      <w:marTop w:val="0"/>
      <w:marBottom w:val="0"/>
      <w:divBdr>
        <w:top w:val="none" w:sz="0" w:space="0" w:color="auto"/>
        <w:left w:val="none" w:sz="0" w:space="0" w:color="auto"/>
        <w:bottom w:val="none" w:sz="0" w:space="0" w:color="auto"/>
        <w:right w:val="none" w:sz="0" w:space="0" w:color="auto"/>
      </w:divBdr>
      <w:divsChild>
        <w:div w:id="313031275">
          <w:marLeft w:val="0"/>
          <w:marRight w:val="0"/>
          <w:marTop w:val="0"/>
          <w:marBottom w:val="0"/>
          <w:divBdr>
            <w:top w:val="none" w:sz="0" w:space="0" w:color="auto"/>
            <w:left w:val="none" w:sz="0" w:space="0" w:color="auto"/>
            <w:bottom w:val="none" w:sz="0" w:space="0" w:color="auto"/>
            <w:right w:val="none" w:sz="0" w:space="0" w:color="auto"/>
          </w:divBdr>
          <w:divsChild>
            <w:div w:id="996150567">
              <w:marLeft w:val="0"/>
              <w:marRight w:val="0"/>
              <w:marTop w:val="0"/>
              <w:marBottom w:val="0"/>
              <w:divBdr>
                <w:top w:val="none" w:sz="0" w:space="0" w:color="auto"/>
                <w:left w:val="none" w:sz="0" w:space="0" w:color="auto"/>
                <w:bottom w:val="none" w:sz="0" w:space="0" w:color="auto"/>
                <w:right w:val="none" w:sz="0" w:space="0" w:color="auto"/>
              </w:divBdr>
              <w:divsChild>
                <w:div w:id="1429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42668">
      <w:bodyDiv w:val="1"/>
      <w:marLeft w:val="0"/>
      <w:marRight w:val="0"/>
      <w:marTop w:val="0"/>
      <w:marBottom w:val="0"/>
      <w:divBdr>
        <w:top w:val="none" w:sz="0" w:space="0" w:color="auto"/>
        <w:left w:val="none" w:sz="0" w:space="0" w:color="auto"/>
        <w:bottom w:val="none" w:sz="0" w:space="0" w:color="auto"/>
        <w:right w:val="none" w:sz="0" w:space="0" w:color="auto"/>
      </w:divBdr>
      <w:divsChild>
        <w:div w:id="205799398">
          <w:marLeft w:val="0"/>
          <w:marRight w:val="0"/>
          <w:marTop w:val="0"/>
          <w:marBottom w:val="0"/>
          <w:divBdr>
            <w:top w:val="none" w:sz="0" w:space="0" w:color="auto"/>
            <w:left w:val="none" w:sz="0" w:space="0" w:color="auto"/>
            <w:bottom w:val="none" w:sz="0" w:space="0" w:color="auto"/>
            <w:right w:val="none" w:sz="0" w:space="0" w:color="auto"/>
          </w:divBdr>
          <w:divsChild>
            <w:div w:id="840242601">
              <w:marLeft w:val="0"/>
              <w:marRight w:val="0"/>
              <w:marTop w:val="0"/>
              <w:marBottom w:val="0"/>
              <w:divBdr>
                <w:top w:val="none" w:sz="0" w:space="0" w:color="auto"/>
                <w:left w:val="none" w:sz="0" w:space="0" w:color="auto"/>
                <w:bottom w:val="none" w:sz="0" w:space="0" w:color="auto"/>
                <w:right w:val="none" w:sz="0" w:space="0" w:color="auto"/>
              </w:divBdr>
              <w:divsChild>
                <w:div w:id="10785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1160">
      <w:bodyDiv w:val="1"/>
      <w:marLeft w:val="0"/>
      <w:marRight w:val="0"/>
      <w:marTop w:val="0"/>
      <w:marBottom w:val="0"/>
      <w:divBdr>
        <w:top w:val="none" w:sz="0" w:space="0" w:color="auto"/>
        <w:left w:val="none" w:sz="0" w:space="0" w:color="auto"/>
        <w:bottom w:val="none" w:sz="0" w:space="0" w:color="auto"/>
        <w:right w:val="none" w:sz="0" w:space="0" w:color="auto"/>
      </w:divBdr>
      <w:divsChild>
        <w:div w:id="1304848391">
          <w:marLeft w:val="547"/>
          <w:marRight w:val="0"/>
          <w:marTop w:val="0"/>
          <w:marBottom w:val="0"/>
          <w:divBdr>
            <w:top w:val="none" w:sz="0" w:space="0" w:color="auto"/>
            <w:left w:val="none" w:sz="0" w:space="0" w:color="auto"/>
            <w:bottom w:val="none" w:sz="0" w:space="0" w:color="auto"/>
            <w:right w:val="none" w:sz="0" w:space="0" w:color="auto"/>
          </w:divBdr>
        </w:div>
      </w:divsChild>
    </w:div>
    <w:div w:id="2063213348">
      <w:bodyDiv w:val="1"/>
      <w:marLeft w:val="0"/>
      <w:marRight w:val="0"/>
      <w:marTop w:val="0"/>
      <w:marBottom w:val="0"/>
      <w:divBdr>
        <w:top w:val="none" w:sz="0" w:space="0" w:color="auto"/>
        <w:left w:val="none" w:sz="0" w:space="0" w:color="auto"/>
        <w:bottom w:val="none" w:sz="0" w:space="0" w:color="auto"/>
        <w:right w:val="none" w:sz="0" w:space="0" w:color="auto"/>
      </w:divBdr>
      <w:divsChild>
        <w:div w:id="1699431795">
          <w:marLeft w:val="0"/>
          <w:marRight w:val="0"/>
          <w:marTop w:val="0"/>
          <w:marBottom w:val="0"/>
          <w:divBdr>
            <w:top w:val="none" w:sz="0" w:space="0" w:color="auto"/>
            <w:left w:val="none" w:sz="0" w:space="0" w:color="auto"/>
            <w:bottom w:val="none" w:sz="0" w:space="0" w:color="auto"/>
            <w:right w:val="none" w:sz="0" w:space="0" w:color="auto"/>
          </w:divBdr>
          <w:divsChild>
            <w:div w:id="148717482">
              <w:marLeft w:val="0"/>
              <w:marRight w:val="0"/>
              <w:marTop w:val="0"/>
              <w:marBottom w:val="0"/>
              <w:divBdr>
                <w:top w:val="none" w:sz="0" w:space="0" w:color="auto"/>
                <w:left w:val="none" w:sz="0" w:space="0" w:color="auto"/>
                <w:bottom w:val="none" w:sz="0" w:space="0" w:color="auto"/>
                <w:right w:val="none" w:sz="0" w:space="0" w:color="auto"/>
              </w:divBdr>
              <w:divsChild>
                <w:div w:id="1329213834">
                  <w:marLeft w:val="0"/>
                  <w:marRight w:val="0"/>
                  <w:marTop w:val="0"/>
                  <w:marBottom w:val="0"/>
                  <w:divBdr>
                    <w:top w:val="none" w:sz="0" w:space="0" w:color="auto"/>
                    <w:left w:val="none" w:sz="0" w:space="0" w:color="auto"/>
                    <w:bottom w:val="none" w:sz="0" w:space="0" w:color="auto"/>
                    <w:right w:val="none" w:sz="0" w:space="0" w:color="auto"/>
                  </w:divBdr>
                  <w:divsChild>
                    <w:div w:id="8664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01285">
      <w:bodyDiv w:val="1"/>
      <w:marLeft w:val="0"/>
      <w:marRight w:val="0"/>
      <w:marTop w:val="0"/>
      <w:marBottom w:val="0"/>
      <w:divBdr>
        <w:top w:val="none" w:sz="0" w:space="0" w:color="auto"/>
        <w:left w:val="none" w:sz="0" w:space="0" w:color="auto"/>
        <w:bottom w:val="none" w:sz="0" w:space="0" w:color="auto"/>
        <w:right w:val="none" w:sz="0" w:space="0" w:color="auto"/>
      </w:divBdr>
    </w:div>
    <w:div w:id="2076582452">
      <w:bodyDiv w:val="1"/>
      <w:marLeft w:val="0"/>
      <w:marRight w:val="0"/>
      <w:marTop w:val="0"/>
      <w:marBottom w:val="0"/>
      <w:divBdr>
        <w:top w:val="none" w:sz="0" w:space="0" w:color="auto"/>
        <w:left w:val="none" w:sz="0" w:space="0" w:color="auto"/>
        <w:bottom w:val="none" w:sz="0" w:space="0" w:color="auto"/>
        <w:right w:val="none" w:sz="0" w:space="0" w:color="auto"/>
      </w:divBdr>
    </w:div>
    <w:div w:id="2083748822">
      <w:bodyDiv w:val="1"/>
      <w:marLeft w:val="0"/>
      <w:marRight w:val="0"/>
      <w:marTop w:val="0"/>
      <w:marBottom w:val="0"/>
      <w:divBdr>
        <w:top w:val="none" w:sz="0" w:space="0" w:color="auto"/>
        <w:left w:val="none" w:sz="0" w:space="0" w:color="auto"/>
        <w:bottom w:val="none" w:sz="0" w:space="0" w:color="auto"/>
        <w:right w:val="none" w:sz="0" w:space="0" w:color="auto"/>
      </w:divBdr>
    </w:div>
    <w:div w:id="2091653249">
      <w:bodyDiv w:val="1"/>
      <w:marLeft w:val="0"/>
      <w:marRight w:val="0"/>
      <w:marTop w:val="0"/>
      <w:marBottom w:val="0"/>
      <w:divBdr>
        <w:top w:val="none" w:sz="0" w:space="0" w:color="auto"/>
        <w:left w:val="none" w:sz="0" w:space="0" w:color="auto"/>
        <w:bottom w:val="none" w:sz="0" w:space="0" w:color="auto"/>
        <w:right w:val="none" w:sz="0" w:space="0" w:color="auto"/>
      </w:divBdr>
      <w:divsChild>
        <w:div w:id="1558466532">
          <w:marLeft w:val="0"/>
          <w:marRight w:val="0"/>
          <w:marTop w:val="0"/>
          <w:marBottom w:val="0"/>
          <w:divBdr>
            <w:top w:val="none" w:sz="0" w:space="0" w:color="auto"/>
            <w:left w:val="none" w:sz="0" w:space="0" w:color="auto"/>
            <w:bottom w:val="none" w:sz="0" w:space="0" w:color="auto"/>
            <w:right w:val="none" w:sz="0" w:space="0" w:color="auto"/>
          </w:divBdr>
          <w:divsChild>
            <w:div w:id="1520269463">
              <w:marLeft w:val="0"/>
              <w:marRight w:val="0"/>
              <w:marTop w:val="0"/>
              <w:marBottom w:val="0"/>
              <w:divBdr>
                <w:top w:val="none" w:sz="0" w:space="0" w:color="auto"/>
                <w:left w:val="none" w:sz="0" w:space="0" w:color="auto"/>
                <w:bottom w:val="none" w:sz="0" w:space="0" w:color="auto"/>
                <w:right w:val="none" w:sz="0" w:space="0" w:color="auto"/>
              </w:divBdr>
              <w:divsChild>
                <w:div w:id="1550065428">
                  <w:marLeft w:val="0"/>
                  <w:marRight w:val="0"/>
                  <w:marTop w:val="0"/>
                  <w:marBottom w:val="0"/>
                  <w:divBdr>
                    <w:top w:val="none" w:sz="0" w:space="0" w:color="auto"/>
                    <w:left w:val="none" w:sz="0" w:space="0" w:color="auto"/>
                    <w:bottom w:val="none" w:sz="0" w:space="0" w:color="auto"/>
                    <w:right w:val="none" w:sz="0" w:space="0" w:color="auto"/>
                  </w:divBdr>
                  <w:divsChild>
                    <w:div w:id="16782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85553">
      <w:bodyDiv w:val="1"/>
      <w:marLeft w:val="0"/>
      <w:marRight w:val="0"/>
      <w:marTop w:val="0"/>
      <w:marBottom w:val="0"/>
      <w:divBdr>
        <w:top w:val="none" w:sz="0" w:space="0" w:color="auto"/>
        <w:left w:val="none" w:sz="0" w:space="0" w:color="auto"/>
        <w:bottom w:val="none" w:sz="0" w:space="0" w:color="auto"/>
        <w:right w:val="none" w:sz="0" w:space="0" w:color="auto"/>
      </w:divBdr>
    </w:div>
    <w:div w:id="2097093463">
      <w:bodyDiv w:val="1"/>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149831607">
              <w:marLeft w:val="0"/>
              <w:marRight w:val="0"/>
              <w:marTop w:val="0"/>
              <w:marBottom w:val="0"/>
              <w:divBdr>
                <w:top w:val="none" w:sz="0" w:space="0" w:color="auto"/>
                <w:left w:val="none" w:sz="0" w:space="0" w:color="auto"/>
                <w:bottom w:val="none" w:sz="0" w:space="0" w:color="auto"/>
                <w:right w:val="none" w:sz="0" w:space="0" w:color="auto"/>
              </w:divBdr>
              <w:divsChild>
                <w:div w:id="109520599">
                  <w:marLeft w:val="0"/>
                  <w:marRight w:val="0"/>
                  <w:marTop w:val="0"/>
                  <w:marBottom w:val="0"/>
                  <w:divBdr>
                    <w:top w:val="none" w:sz="0" w:space="0" w:color="auto"/>
                    <w:left w:val="none" w:sz="0" w:space="0" w:color="auto"/>
                    <w:bottom w:val="none" w:sz="0" w:space="0" w:color="auto"/>
                    <w:right w:val="none" w:sz="0" w:space="0" w:color="auto"/>
                  </w:divBdr>
                  <w:divsChild>
                    <w:div w:id="9484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26184">
      <w:bodyDiv w:val="1"/>
      <w:marLeft w:val="0"/>
      <w:marRight w:val="0"/>
      <w:marTop w:val="0"/>
      <w:marBottom w:val="0"/>
      <w:divBdr>
        <w:top w:val="none" w:sz="0" w:space="0" w:color="auto"/>
        <w:left w:val="none" w:sz="0" w:space="0" w:color="auto"/>
        <w:bottom w:val="none" w:sz="0" w:space="0" w:color="auto"/>
        <w:right w:val="none" w:sz="0" w:space="0" w:color="auto"/>
      </w:divBdr>
    </w:div>
    <w:div w:id="2108691706">
      <w:bodyDiv w:val="1"/>
      <w:marLeft w:val="0"/>
      <w:marRight w:val="0"/>
      <w:marTop w:val="0"/>
      <w:marBottom w:val="0"/>
      <w:divBdr>
        <w:top w:val="none" w:sz="0" w:space="0" w:color="auto"/>
        <w:left w:val="none" w:sz="0" w:space="0" w:color="auto"/>
        <w:bottom w:val="none" w:sz="0" w:space="0" w:color="auto"/>
        <w:right w:val="none" w:sz="0" w:space="0" w:color="auto"/>
      </w:divBdr>
      <w:divsChild>
        <w:div w:id="559942169">
          <w:marLeft w:val="0"/>
          <w:marRight w:val="0"/>
          <w:marTop w:val="0"/>
          <w:marBottom w:val="0"/>
          <w:divBdr>
            <w:top w:val="none" w:sz="0" w:space="0" w:color="auto"/>
            <w:left w:val="none" w:sz="0" w:space="0" w:color="auto"/>
            <w:bottom w:val="none" w:sz="0" w:space="0" w:color="auto"/>
            <w:right w:val="none" w:sz="0" w:space="0" w:color="auto"/>
          </w:divBdr>
          <w:divsChild>
            <w:div w:id="1672827053">
              <w:marLeft w:val="0"/>
              <w:marRight w:val="0"/>
              <w:marTop w:val="0"/>
              <w:marBottom w:val="0"/>
              <w:divBdr>
                <w:top w:val="none" w:sz="0" w:space="0" w:color="auto"/>
                <w:left w:val="none" w:sz="0" w:space="0" w:color="auto"/>
                <w:bottom w:val="none" w:sz="0" w:space="0" w:color="auto"/>
                <w:right w:val="none" w:sz="0" w:space="0" w:color="auto"/>
              </w:divBdr>
              <w:divsChild>
                <w:div w:id="136460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4275">
      <w:bodyDiv w:val="1"/>
      <w:marLeft w:val="0"/>
      <w:marRight w:val="0"/>
      <w:marTop w:val="0"/>
      <w:marBottom w:val="0"/>
      <w:divBdr>
        <w:top w:val="none" w:sz="0" w:space="0" w:color="auto"/>
        <w:left w:val="none" w:sz="0" w:space="0" w:color="auto"/>
        <w:bottom w:val="none" w:sz="0" w:space="0" w:color="auto"/>
        <w:right w:val="none" w:sz="0" w:space="0" w:color="auto"/>
      </w:divBdr>
      <w:divsChild>
        <w:div w:id="1117021101">
          <w:marLeft w:val="0"/>
          <w:marRight w:val="0"/>
          <w:marTop w:val="0"/>
          <w:marBottom w:val="0"/>
          <w:divBdr>
            <w:top w:val="none" w:sz="0" w:space="0" w:color="auto"/>
            <w:left w:val="none" w:sz="0" w:space="0" w:color="auto"/>
            <w:bottom w:val="none" w:sz="0" w:space="0" w:color="auto"/>
            <w:right w:val="none" w:sz="0" w:space="0" w:color="auto"/>
          </w:divBdr>
          <w:divsChild>
            <w:div w:id="188612710">
              <w:marLeft w:val="0"/>
              <w:marRight w:val="0"/>
              <w:marTop w:val="0"/>
              <w:marBottom w:val="0"/>
              <w:divBdr>
                <w:top w:val="none" w:sz="0" w:space="0" w:color="auto"/>
                <w:left w:val="none" w:sz="0" w:space="0" w:color="auto"/>
                <w:bottom w:val="none" w:sz="0" w:space="0" w:color="auto"/>
                <w:right w:val="none" w:sz="0" w:space="0" w:color="auto"/>
              </w:divBdr>
              <w:divsChild>
                <w:div w:id="15090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9271">
      <w:bodyDiv w:val="1"/>
      <w:marLeft w:val="0"/>
      <w:marRight w:val="0"/>
      <w:marTop w:val="0"/>
      <w:marBottom w:val="0"/>
      <w:divBdr>
        <w:top w:val="none" w:sz="0" w:space="0" w:color="auto"/>
        <w:left w:val="none" w:sz="0" w:space="0" w:color="auto"/>
        <w:bottom w:val="none" w:sz="0" w:space="0" w:color="auto"/>
        <w:right w:val="none" w:sz="0" w:space="0" w:color="auto"/>
      </w:divBdr>
      <w:divsChild>
        <w:div w:id="742727478">
          <w:marLeft w:val="0"/>
          <w:marRight w:val="0"/>
          <w:marTop w:val="0"/>
          <w:marBottom w:val="0"/>
          <w:divBdr>
            <w:top w:val="none" w:sz="0" w:space="0" w:color="auto"/>
            <w:left w:val="none" w:sz="0" w:space="0" w:color="auto"/>
            <w:bottom w:val="none" w:sz="0" w:space="0" w:color="auto"/>
            <w:right w:val="none" w:sz="0" w:space="0" w:color="auto"/>
          </w:divBdr>
          <w:divsChild>
            <w:div w:id="1335306437">
              <w:marLeft w:val="0"/>
              <w:marRight w:val="0"/>
              <w:marTop w:val="0"/>
              <w:marBottom w:val="0"/>
              <w:divBdr>
                <w:top w:val="none" w:sz="0" w:space="0" w:color="auto"/>
                <w:left w:val="none" w:sz="0" w:space="0" w:color="auto"/>
                <w:bottom w:val="none" w:sz="0" w:space="0" w:color="auto"/>
                <w:right w:val="none" w:sz="0" w:space="0" w:color="auto"/>
              </w:divBdr>
              <w:divsChild>
                <w:div w:id="1347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71526">
      <w:bodyDiv w:val="1"/>
      <w:marLeft w:val="0"/>
      <w:marRight w:val="0"/>
      <w:marTop w:val="0"/>
      <w:marBottom w:val="0"/>
      <w:divBdr>
        <w:top w:val="none" w:sz="0" w:space="0" w:color="auto"/>
        <w:left w:val="none" w:sz="0" w:space="0" w:color="auto"/>
        <w:bottom w:val="none" w:sz="0" w:space="0" w:color="auto"/>
        <w:right w:val="none" w:sz="0" w:space="0" w:color="auto"/>
      </w:divBdr>
      <w:divsChild>
        <w:div w:id="121075503">
          <w:marLeft w:val="0"/>
          <w:marRight w:val="0"/>
          <w:marTop w:val="0"/>
          <w:marBottom w:val="0"/>
          <w:divBdr>
            <w:top w:val="none" w:sz="0" w:space="0" w:color="auto"/>
            <w:left w:val="none" w:sz="0" w:space="0" w:color="auto"/>
            <w:bottom w:val="none" w:sz="0" w:space="0" w:color="auto"/>
            <w:right w:val="none" w:sz="0" w:space="0" w:color="auto"/>
          </w:divBdr>
          <w:divsChild>
            <w:div w:id="1482234799">
              <w:marLeft w:val="0"/>
              <w:marRight w:val="0"/>
              <w:marTop w:val="0"/>
              <w:marBottom w:val="0"/>
              <w:divBdr>
                <w:top w:val="none" w:sz="0" w:space="0" w:color="auto"/>
                <w:left w:val="none" w:sz="0" w:space="0" w:color="auto"/>
                <w:bottom w:val="none" w:sz="0" w:space="0" w:color="auto"/>
                <w:right w:val="none" w:sz="0" w:space="0" w:color="auto"/>
              </w:divBdr>
              <w:divsChild>
                <w:div w:id="6962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8619">
      <w:bodyDiv w:val="1"/>
      <w:marLeft w:val="0"/>
      <w:marRight w:val="0"/>
      <w:marTop w:val="0"/>
      <w:marBottom w:val="0"/>
      <w:divBdr>
        <w:top w:val="none" w:sz="0" w:space="0" w:color="auto"/>
        <w:left w:val="none" w:sz="0" w:space="0" w:color="auto"/>
        <w:bottom w:val="none" w:sz="0" w:space="0" w:color="auto"/>
        <w:right w:val="none" w:sz="0" w:space="0" w:color="auto"/>
      </w:divBdr>
    </w:div>
    <w:div w:id="2138797411">
      <w:bodyDiv w:val="1"/>
      <w:marLeft w:val="0"/>
      <w:marRight w:val="0"/>
      <w:marTop w:val="0"/>
      <w:marBottom w:val="0"/>
      <w:divBdr>
        <w:top w:val="none" w:sz="0" w:space="0" w:color="auto"/>
        <w:left w:val="none" w:sz="0" w:space="0" w:color="auto"/>
        <w:bottom w:val="none" w:sz="0" w:space="0" w:color="auto"/>
        <w:right w:val="none" w:sz="0" w:space="0" w:color="auto"/>
      </w:divBdr>
      <w:divsChild>
        <w:div w:id="1233543752">
          <w:marLeft w:val="0"/>
          <w:marRight w:val="0"/>
          <w:marTop w:val="0"/>
          <w:marBottom w:val="0"/>
          <w:divBdr>
            <w:top w:val="none" w:sz="0" w:space="0" w:color="auto"/>
            <w:left w:val="none" w:sz="0" w:space="0" w:color="auto"/>
            <w:bottom w:val="none" w:sz="0" w:space="0" w:color="auto"/>
            <w:right w:val="none" w:sz="0" w:space="0" w:color="auto"/>
          </w:divBdr>
          <w:divsChild>
            <w:div w:id="1913544002">
              <w:marLeft w:val="0"/>
              <w:marRight w:val="0"/>
              <w:marTop w:val="0"/>
              <w:marBottom w:val="0"/>
              <w:divBdr>
                <w:top w:val="none" w:sz="0" w:space="0" w:color="auto"/>
                <w:left w:val="none" w:sz="0" w:space="0" w:color="auto"/>
                <w:bottom w:val="none" w:sz="0" w:space="0" w:color="auto"/>
                <w:right w:val="none" w:sz="0" w:space="0" w:color="auto"/>
              </w:divBdr>
              <w:divsChild>
                <w:div w:id="91771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3498">
      <w:bodyDiv w:val="1"/>
      <w:marLeft w:val="0"/>
      <w:marRight w:val="0"/>
      <w:marTop w:val="0"/>
      <w:marBottom w:val="0"/>
      <w:divBdr>
        <w:top w:val="none" w:sz="0" w:space="0" w:color="auto"/>
        <w:left w:val="none" w:sz="0" w:space="0" w:color="auto"/>
        <w:bottom w:val="none" w:sz="0" w:space="0" w:color="auto"/>
        <w:right w:val="none" w:sz="0" w:space="0" w:color="auto"/>
      </w:divBdr>
      <w:divsChild>
        <w:div w:id="664745981">
          <w:marLeft w:val="547"/>
          <w:marRight w:val="0"/>
          <w:marTop w:val="101"/>
          <w:marBottom w:val="0"/>
          <w:divBdr>
            <w:top w:val="none" w:sz="0" w:space="0" w:color="auto"/>
            <w:left w:val="none" w:sz="0" w:space="0" w:color="auto"/>
            <w:bottom w:val="none" w:sz="0" w:space="0" w:color="auto"/>
            <w:right w:val="none" w:sz="0" w:space="0" w:color="auto"/>
          </w:divBdr>
        </w:div>
      </w:divsChild>
    </w:div>
    <w:div w:id="2144033386">
      <w:bodyDiv w:val="1"/>
      <w:marLeft w:val="0"/>
      <w:marRight w:val="0"/>
      <w:marTop w:val="0"/>
      <w:marBottom w:val="0"/>
      <w:divBdr>
        <w:top w:val="none" w:sz="0" w:space="0" w:color="auto"/>
        <w:left w:val="none" w:sz="0" w:space="0" w:color="auto"/>
        <w:bottom w:val="none" w:sz="0" w:space="0" w:color="auto"/>
        <w:right w:val="none" w:sz="0" w:space="0" w:color="auto"/>
      </w:divBdr>
      <w:divsChild>
        <w:div w:id="449208760">
          <w:marLeft w:val="0"/>
          <w:marRight w:val="0"/>
          <w:marTop w:val="0"/>
          <w:marBottom w:val="0"/>
          <w:divBdr>
            <w:top w:val="none" w:sz="0" w:space="0" w:color="auto"/>
            <w:left w:val="none" w:sz="0" w:space="0" w:color="auto"/>
            <w:bottom w:val="none" w:sz="0" w:space="0" w:color="auto"/>
            <w:right w:val="none" w:sz="0" w:space="0" w:color="auto"/>
          </w:divBdr>
          <w:divsChild>
            <w:div w:id="207108801">
              <w:marLeft w:val="0"/>
              <w:marRight w:val="0"/>
              <w:marTop w:val="0"/>
              <w:marBottom w:val="0"/>
              <w:divBdr>
                <w:top w:val="none" w:sz="0" w:space="0" w:color="auto"/>
                <w:left w:val="none" w:sz="0" w:space="0" w:color="auto"/>
                <w:bottom w:val="none" w:sz="0" w:space="0" w:color="auto"/>
                <w:right w:val="none" w:sz="0" w:space="0" w:color="auto"/>
              </w:divBdr>
              <w:divsChild>
                <w:div w:id="7766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microsoft.com/office/2007/relationships/diagramDrawing" Target="diagrams/drawing7.xml"/><Relationship Id="rId47" Type="http://schemas.microsoft.com/office/2007/relationships/diagramDrawing" Target="diagrams/drawing8.xml"/><Relationship Id="rId63" Type="http://schemas.openxmlformats.org/officeDocument/2006/relationships/diagramData" Target="diagrams/data12.xml"/><Relationship Id="rId68" Type="http://schemas.openxmlformats.org/officeDocument/2006/relationships/hyperlink" Target="https://en.wikipedia.org/wiki/Poverty_threshold" TargetMode="External"/><Relationship Id="rId84" Type="http://schemas.openxmlformats.org/officeDocument/2006/relationships/diagramColors" Target="diagrams/colors13.xml"/><Relationship Id="rId89" Type="http://schemas.openxmlformats.org/officeDocument/2006/relationships/hyperlink" Target="http://dx.doi.org/10.1108/QRFM-03-2020-0023" TargetMode="External"/><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Data" Target="diagrams/data10.xml"/><Relationship Id="rId58" Type="http://schemas.openxmlformats.org/officeDocument/2006/relationships/diagramData" Target="diagrams/data11.xml"/><Relationship Id="rId74" Type="http://schemas.openxmlformats.org/officeDocument/2006/relationships/chart" Target="charts/chart3.xml"/><Relationship Id="rId79" Type="http://schemas.openxmlformats.org/officeDocument/2006/relationships/chart" Target="charts/chart8.xml"/><Relationship Id="rId5" Type="http://schemas.openxmlformats.org/officeDocument/2006/relationships/webSettings" Target="webSettings.xml"/><Relationship Id="rId90" Type="http://schemas.openxmlformats.org/officeDocument/2006/relationships/hyperlink" Target="https://doi.org/10.1108/JIMA-09-2019-0182" TargetMode="External"/><Relationship Id="rId95" Type="http://schemas.openxmlformats.org/officeDocument/2006/relationships/image" Target="media/image8.png"/><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Data" Target="diagrams/data8.xml"/><Relationship Id="rId48" Type="http://schemas.openxmlformats.org/officeDocument/2006/relationships/diagramData" Target="diagrams/data9.xml"/><Relationship Id="rId64" Type="http://schemas.openxmlformats.org/officeDocument/2006/relationships/diagramLayout" Target="diagrams/layout12.xml"/><Relationship Id="rId69" Type="http://schemas.openxmlformats.org/officeDocument/2006/relationships/hyperlink" Target="https://en.wikipedia.org/wiki/Poverty_threshold" TargetMode="External"/><Relationship Id="rId80" Type="http://schemas.openxmlformats.org/officeDocument/2006/relationships/image" Target="media/image1.tiff"/><Relationship Id="rId85" Type="http://schemas.microsoft.com/office/2007/relationships/diagramDrawing" Target="diagrams/drawing13.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microsoft.com/office/2007/relationships/diagramDrawing" Target="diagrams/drawing12.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hyperlink" Target="https://en.wikipedia.org/wiki/Final_good" TargetMode="External"/><Relationship Id="rId75" Type="http://schemas.openxmlformats.org/officeDocument/2006/relationships/chart" Target="charts/chart4.xml"/><Relationship Id="rId83" Type="http://schemas.openxmlformats.org/officeDocument/2006/relationships/diagramQuickStyle" Target="diagrams/quickStyle13.xml"/><Relationship Id="rId88" Type="http://schemas.openxmlformats.org/officeDocument/2006/relationships/hyperlink" Target="https://doi.org/10.1108/JIABR-11-2020-0356" TargetMode="External"/><Relationship Id="rId91" Type="http://schemas.openxmlformats.org/officeDocument/2006/relationships/image" Target="media/image4.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73" Type="http://schemas.openxmlformats.org/officeDocument/2006/relationships/chart" Target="charts/chart2.xml"/><Relationship Id="rId78" Type="http://schemas.openxmlformats.org/officeDocument/2006/relationships/chart" Target="charts/chart7.xml"/><Relationship Id="rId81" Type="http://schemas.openxmlformats.org/officeDocument/2006/relationships/diagramData" Target="diagrams/data13.xml"/><Relationship Id="rId86" Type="http://schemas.openxmlformats.org/officeDocument/2006/relationships/image" Target="media/image2.tiff"/><Relationship Id="rId94" Type="http://schemas.openxmlformats.org/officeDocument/2006/relationships/image" Target="media/image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chart" Target="charts/chart5.xm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en.wikipedia.org/wiki/Final_good" TargetMode="External"/><Relationship Id="rId92"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openxmlformats.org/officeDocument/2006/relationships/diagramColors" Target="diagrams/colors12.xml"/><Relationship Id="rId87" Type="http://schemas.openxmlformats.org/officeDocument/2006/relationships/image" Target="media/image3.tiff"/><Relationship Id="rId61" Type="http://schemas.openxmlformats.org/officeDocument/2006/relationships/diagramColors" Target="diagrams/colors11.xml"/><Relationship Id="rId82" Type="http://schemas.openxmlformats.org/officeDocument/2006/relationships/diagramLayout" Target="diagrams/layout13.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diagramColors" Target="diagrams/colors10.xml"/><Relationship Id="rId77" Type="http://schemas.openxmlformats.org/officeDocument/2006/relationships/chart" Target="charts/chart6.xml"/><Relationship Id="rId8" Type="http://schemas.openxmlformats.org/officeDocument/2006/relationships/diagramData" Target="diagrams/data1.xml"/><Relationship Id="rId51" Type="http://schemas.openxmlformats.org/officeDocument/2006/relationships/diagramColors" Target="diagrams/colors9.xml"/><Relationship Id="rId72" Type="http://schemas.openxmlformats.org/officeDocument/2006/relationships/chart" Target="charts/chart1.xml"/><Relationship Id="rId93" Type="http://schemas.openxmlformats.org/officeDocument/2006/relationships/image" Target="media/image6.png"/><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cbook\Desktop\&#1050;&#1085;&#1080;&#1075;&#107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cbook\Downloads\statistic_id262860_brent-crude-oil-price-annually-1976-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cbook\Desktop\&#1050;&#1085;&#1080;&#1075;&#107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cbook\Desktop\&#1057;&#1090;&#1072;&#1090;&#1100;&#1080;%20&#1089;&#1074;&#1086;&#1080;\Scopus%201\&#1050;&#1085;&#1080;&#1075;&#107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cbook\Desktop\&#1057;&#1090;&#1072;&#1090;&#1100;&#1080;%20&#1089;&#1074;&#1086;&#1080;\Scopus%201\&#1050;&#1085;&#1080;&#1075;&#107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acbook\Desktop\Thesis%20PhD\Cas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acbook\Downloads\Islamic%20Financ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29"/>
              <c:layout>
                <c:manualLayout>
                  <c:x val="0"/>
                  <c:y val="9.2592592592592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FE-F246-BE04-B499C7E24E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Лист1!$C$9:$AF$9</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Лист1!$C$10:$AF$10</c:f>
              <c:numCache>
                <c:formatCode>General</c:formatCode>
                <c:ptCount val="30"/>
                <c:pt idx="0">
                  <c:v>-11</c:v>
                </c:pt>
                <c:pt idx="1">
                  <c:v>-5.3</c:v>
                </c:pt>
                <c:pt idx="2">
                  <c:v>-9.2000000020330788</c:v>
                </c:pt>
                <c:pt idx="3">
                  <c:v>-12.599999998316775</c:v>
                </c:pt>
                <c:pt idx="4">
                  <c:v>-8.2000000011824028</c:v>
                </c:pt>
                <c:pt idx="5">
                  <c:v>0.50000000207350581</c:v>
                </c:pt>
                <c:pt idx="6">
                  <c:v>1.6999999994951338</c:v>
                </c:pt>
                <c:pt idx="7">
                  <c:v>-1.8999999994247929</c:v>
                </c:pt>
                <c:pt idx="8">
                  <c:v>2.6999999978419851</c:v>
                </c:pt>
                <c:pt idx="9">
                  <c:v>9.8000000021415588</c:v>
                </c:pt>
                <c:pt idx="10">
                  <c:v>13.499999998435783</c:v>
                </c:pt>
                <c:pt idx="11">
                  <c:v>9.7999999996084171</c:v>
                </c:pt>
                <c:pt idx="12">
                  <c:v>9.3000000003375902</c:v>
                </c:pt>
                <c:pt idx="13">
                  <c:v>9.6000000013685423</c:v>
                </c:pt>
                <c:pt idx="14">
                  <c:v>9.6999999992268187</c:v>
                </c:pt>
                <c:pt idx="15">
                  <c:v>10.7</c:v>
                </c:pt>
                <c:pt idx="16">
                  <c:v>8.8999999999940513</c:v>
                </c:pt>
                <c:pt idx="17">
                  <c:v>3.3000000002109147</c:v>
                </c:pt>
                <c:pt idx="18">
                  <c:v>1.1999999994287265</c:v>
                </c:pt>
                <c:pt idx="19">
                  <c:v>7.3000000001620151</c:v>
                </c:pt>
                <c:pt idx="20">
                  <c:v>7.4000000006839315</c:v>
                </c:pt>
                <c:pt idx="21">
                  <c:v>4.7999999999927496</c:v>
                </c:pt>
                <c:pt idx="22">
                  <c:v>5.999999999255607</c:v>
                </c:pt>
                <c:pt idx="23">
                  <c:v>4.2000000006303821</c:v>
                </c:pt>
                <c:pt idx="24">
                  <c:v>1.1999999997680248</c:v>
                </c:pt>
                <c:pt idx="25">
                  <c:v>1.099999999901641</c:v>
                </c:pt>
                <c:pt idx="26">
                  <c:v>4.1000000003385395</c:v>
                </c:pt>
                <c:pt idx="27">
                  <c:v>4.0999999998712298</c:v>
                </c:pt>
                <c:pt idx="28">
                  <c:v>4.5</c:v>
                </c:pt>
                <c:pt idx="29">
                  <c:v>-2.6</c:v>
                </c:pt>
              </c:numCache>
            </c:numRef>
          </c:val>
          <c:smooth val="0"/>
          <c:extLst>
            <c:ext xmlns:c16="http://schemas.microsoft.com/office/drawing/2014/chart" uri="{C3380CC4-5D6E-409C-BE32-E72D297353CC}">
              <c16:uniqueId val="{00000001-31FE-F246-BE04-B499C7E24E74}"/>
            </c:ext>
          </c:extLst>
        </c:ser>
        <c:dLbls>
          <c:showLegendKey val="0"/>
          <c:showVal val="0"/>
          <c:showCatName val="0"/>
          <c:showSerName val="0"/>
          <c:showPercent val="0"/>
          <c:showBubbleSize val="0"/>
        </c:dLbls>
        <c:smooth val="0"/>
        <c:axId val="318172816"/>
        <c:axId val="318171136"/>
      </c:lineChart>
      <c:catAx>
        <c:axId val="31817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171136"/>
        <c:crosses val="autoZero"/>
        <c:auto val="1"/>
        <c:lblAlgn val="ctr"/>
        <c:lblOffset val="100"/>
        <c:noMultiLvlLbl val="0"/>
      </c:catAx>
      <c:valAx>
        <c:axId val="31817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172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Лист2!$B$5:$B$20</c:f>
              <c:numCache>
                <c:formatCode>General</c:formatCode>
                <c:ptCount val="16"/>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numCache>
            </c:numRef>
          </c:cat>
          <c:val>
            <c:numRef>
              <c:f>Лист2!$C$5:$C$20</c:f>
              <c:numCache>
                <c:formatCode>General</c:formatCode>
                <c:ptCount val="16"/>
                <c:pt idx="0">
                  <c:v>0.6</c:v>
                </c:pt>
                <c:pt idx="1">
                  <c:v>0.8</c:v>
                </c:pt>
                <c:pt idx="2">
                  <c:v>-1.7</c:v>
                </c:pt>
                <c:pt idx="3">
                  <c:v>-2.1</c:v>
                </c:pt>
                <c:pt idx="4">
                  <c:v>-2.9</c:v>
                </c:pt>
                <c:pt idx="5">
                  <c:v>-2.4</c:v>
                </c:pt>
                <c:pt idx="6">
                  <c:v>-2</c:v>
                </c:pt>
                <c:pt idx="7">
                  <c:v>-2.9</c:v>
                </c:pt>
                <c:pt idx="8">
                  <c:v>-1.9</c:v>
                </c:pt>
                <c:pt idx="9">
                  <c:v>-2.7</c:v>
                </c:pt>
                <c:pt idx="10">
                  <c:v>-2.2000000000000002</c:v>
                </c:pt>
                <c:pt idx="11">
                  <c:v>-1.6</c:v>
                </c:pt>
                <c:pt idx="12">
                  <c:v>-2.7</c:v>
                </c:pt>
                <c:pt idx="13">
                  <c:v>-1.3</c:v>
                </c:pt>
                <c:pt idx="14">
                  <c:v>-1.8</c:v>
                </c:pt>
                <c:pt idx="15">
                  <c:v>-4</c:v>
                </c:pt>
              </c:numCache>
            </c:numRef>
          </c:val>
          <c:extLst>
            <c:ext xmlns:c16="http://schemas.microsoft.com/office/drawing/2014/chart" uri="{C3380CC4-5D6E-409C-BE32-E72D297353CC}">
              <c16:uniqueId val="{00000000-5DB6-BA4F-9B56-11C7051D1804}"/>
            </c:ext>
          </c:extLst>
        </c:ser>
        <c:dLbls>
          <c:dLblPos val="outEnd"/>
          <c:showLegendKey val="0"/>
          <c:showVal val="1"/>
          <c:showCatName val="0"/>
          <c:showSerName val="0"/>
          <c:showPercent val="0"/>
          <c:showBubbleSize val="0"/>
        </c:dLbls>
        <c:gapWidth val="444"/>
        <c:overlap val="-90"/>
        <c:axId val="377862032"/>
        <c:axId val="377865952"/>
      </c:barChart>
      <c:catAx>
        <c:axId val="377862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77865952"/>
        <c:crosses val="autoZero"/>
        <c:auto val="1"/>
        <c:lblAlgn val="ctr"/>
        <c:lblOffset val="100"/>
        <c:noMultiLvlLbl val="0"/>
      </c:catAx>
      <c:valAx>
        <c:axId val="377865952"/>
        <c:scaling>
          <c:orientation val="minMax"/>
        </c:scaling>
        <c:delete val="1"/>
        <c:axPos val="l"/>
        <c:numFmt formatCode="General" sourceLinked="1"/>
        <c:majorTickMark val="none"/>
        <c:minorTickMark val="none"/>
        <c:tickLblPos val="nextTo"/>
        <c:crossAx val="377862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8149606299213"/>
          <c:y val="2.5428331875182269E-2"/>
          <c:w val="0.87830774278215218"/>
          <c:h val="0.78219342373869938"/>
        </c:manualLayout>
      </c:layout>
      <c:barChart>
        <c:barDir val="col"/>
        <c:grouping val="clustered"/>
        <c:varyColors val="0"/>
        <c:ser>
          <c:idx val="0"/>
          <c:order val="0"/>
          <c:spPr>
            <a:solidFill>
              <a:schemeClr val="accent1"/>
            </a:solidFill>
            <a:ln>
              <a:noFill/>
            </a:ln>
            <a:effectLst/>
          </c:spPr>
          <c:invertIfNegative val="0"/>
          <c:cat>
            <c:strRef>
              <c:f>Data!$B$35:$B$51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Data!$C$35:$C$51</c:f>
              <c:numCache>
                <c:formatCode>#,##0</c:formatCode>
                <c:ptCount val="17"/>
                <c:pt idx="0">
                  <c:v>54.38</c:v>
                </c:pt>
                <c:pt idx="1">
                  <c:v>65.14</c:v>
                </c:pt>
                <c:pt idx="2">
                  <c:v>72.52</c:v>
                </c:pt>
                <c:pt idx="3">
                  <c:v>96.99</c:v>
                </c:pt>
                <c:pt idx="4">
                  <c:v>61.51</c:v>
                </c:pt>
                <c:pt idx="5">
                  <c:v>79.47</c:v>
                </c:pt>
                <c:pt idx="6">
                  <c:v>111.26</c:v>
                </c:pt>
                <c:pt idx="7">
                  <c:v>111.63</c:v>
                </c:pt>
                <c:pt idx="8">
                  <c:v>108.56</c:v>
                </c:pt>
                <c:pt idx="9">
                  <c:v>98.97</c:v>
                </c:pt>
                <c:pt idx="10">
                  <c:v>52.32</c:v>
                </c:pt>
                <c:pt idx="11">
                  <c:v>43.67</c:v>
                </c:pt>
                <c:pt idx="12">
                  <c:v>54.25</c:v>
                </c:pt>
                <c:pt idx="13">
                  <c:v>71.34</c:v>
                </c:pt>
                <c:pt idx="14">
                  <c:v>64.3</c:v>
                </c:pt>
                <c:pt idx="15">
                  <c:v>41.96</c:v>
                </c:pt>
                <c:pt idx="16">
                  <c:v>58.53</c:v>
                </c:pt>
              </c:numCache>
            </c:numRef>
          </c:val>
          <c:extLst>
            <c:ext xmlns:c16="http://schemas.microsoft.com/office/drawing/2014/chart" uri="{C3380CC4-5D6E-409C-BE32-E72D297353CC}">
              <c16:uniqueId val="{00000000-5F70-2B41-9492-C4E21F79E5FF}"/>
            </c:ext>
          </c:extLst>
        </c:ser>
        <c:dLbls>
          <c:showLegendKey val="0"/>
          <c:showVal val="0"/>
          <c:showCatName val="0"/>
          <c:showSerName val="0"/>
          <c:showPercent val="0"/>
          <c:showBubbleSize val="0"/>
        </c:dLbls>
        <c:gapWidth val="219"/>
        <c:overlap val="-27"/>
        <c:axId val="377870992"/>
        <c:axId val="377871552"/>
      </c:barChart>
      <c:catAx>
        <c:axId val="37787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871552"/>
        <c:crosses val="autoZero"/>
        <c:auto val="1"/>
        <c:lblAlgn val="ctr"/>
        <c:lblOffset val="100"/>
        <c:noMultiLvlLbl val="0"/>
      </c:catAx>
      <c:valAx>
        <c:axId val="37787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870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Лист1!$C$1</c:f>
              <c:strCache>
                <c:ptCount val="1"/>
                <c:pt idx="0">
                  <c:v>kzt/usd</c:v>
                </c:pt>
              </c:strCache>
            </c:strRef>
          </c:tx>
          <c:spPr>
            <a:ln w="28575" cap="rnd">
              <a:solidFill>
                <a:schemeClr val="accent1"/>
              </a:solidFill>
              <a:round/>
            </a:ln>
            <a:effectLst/>
          </c:spPr>
          <c:marker>
            <c:symbol val="none"/>
          </c:marker>
          <c:dLbls>
            <c:delete val="1"/>
          </c:dLbls>
          <c:cat>
            <c:numRef>
              <c:f>Лист1!$B$2:$B$29</c:f>
              <c:numCache>
                <c:formatCode>General</c:formatCode>
                <c:ptCount val="28"/>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numCache>
            </c:numRef>
          </c:cat>
          <c:val>
            <c:numRef>
              <c:f>Лист1!$C$2:$C$29</c:f>
              <c:numCache>
                <c:formatCode>General</c:formatCode>
                <c:ptCount val="28"/>
                <c:pt idx="0">
                  <c:v>5.2549999999999999</c:v>
                </c:pt>
                <c:pt idx="1">
                  <c:v>35.64</c:v>
                </c:pt>
                <c:pt idx="2">
                  <c:v>60.95</c:v>
                </c:pt>
                <c:pt idx="3">
                  <c:v>67.3</c:v>
                </c:pt>
                <c:pt idx="4">
                  <c:v>75.44</c:v>
                </c:pt>
                <c:pt idx="5">
                  <c:v>78.3</c:v>
                </c:pt>
                <c:pt idx="6">
                  <c:v>119.52</c:v>
                </c:pt>
                <c:pt idx="7">
                  <c:v>142.13</c:v>
                </c:pt>
                <c:pt idx="8">
                  <c:v>146.74</c:v>
                </c:pt>
                <c:pt idx="9">
                  <c:v>153.28</c:v>
                </c:pt>
                <c:pt idx="10">
                  <c:v>168.79</c:v>
                </c:pt>
                <c:pt idx="11">
                  <c:v>136.04</c:v>
                </c:pt>
                <c:pt idx="12">
                  <c:v>132.88</c:v>
                </c:pt>
                <c:pt idx="13">
                  <c:v>126.09</c:v>
                </c:pt>
                <c:pt idx="14">
                  <c:v>122.55</c:v>
                </c:pt>
                <c:pt idx="15">
                  <c:v>120.3</c:v>
                </c:pt>
                <c:pt idx="16">
                  <c:v>147.5</c:v>
                </c:pt>
                <c:pt idx="17">
                  <c:v>147.35</c:v>
                </c:pt>
                <c:pt idx="18">
                  <c:v>146.62</c:v>
                </c:pt>
                <c:pt idx="19">
                  <c:v>149.11000000000001</c:v>
                </c:pt>
                <c:pt idx="20">
                  <c:v>152.13</c:v>
                </c:pt>
                <c:pt idx="21">
                  <c:v>179.19</c:v>
                </c:pt>
                <c:pt idx="22">
                  <c:v>221.73</c:v>
                </c:pt>
                <c:pt idx="23">
                  <c:v>342.16</c:v>
                </c:pt>
                <c:pt idx="24">
                  <c:v>326</c:v>
                </c:pt>
                <c:pt idx="25">
                  <c:v>319.83</c:v>
                </c:pt>
                <c:pt idx="26">
                  <c:v>382.75</c:v>
                </c:pt>
                <c:pt idx="27">
                  <c:v>412.95</c:v>
                </c:pt>
              </c:numCache>
            </c:numRef>
          </c:val>
          <c:smooth val="0"/>
          <c:extLst>
            <c:ext xmlns:c16="http://schemas.microsoft.com/office/drawing/2014/chart" uri="{C3380CC4-5D6E-409C-BE32-E72D297353CC}">
              <c16:uniqueId val="{00000000-5B94-F64E-A99C-A71132DC908A}"/>
            </c:ext>
          </c:extLst>
        </c:ser>
        <c:dLbls>
          <c:dLblPos val="ctr"/>
          <c:showLegendKey val="0"/>
          <c:showVal val="1"/>
          <c:showCatName val="0"/>
          <c:showSerName val="0"/>
          <c:showPercent val="0"/>
          <c:showBubbleSize val="0"/>
        </c:dLbls>
        <c:smooth val="0"/>
        <c:axId val="377873792"/>
        <c:axId val="322952832"/>
      </c:lineChart>
      <c:catAx>
        <c:axId val="377873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52832"/>
        <c:crosses val="autoZero"/>
        <c:auto val="1"/>
        <c:lblAlgn val="ctr"/>
        <c:lblOffset val="100"/>
        <c:noMultiLvlLbl val="0"/>
      </c:catAx>
      <c:valAx>
        <c:axId val="32295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kzt/usd</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873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Лист4!$E$10</c:f>
              <c:strCache>
                <c:ptCount val="1"/>
                <c:pt idx="0">
                  <c:v>Unemployed population, thousand people</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overflow" horzOverflow="overflow"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Лист4!$F$8:$Z$8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Лист4!$F$10:$Z$10</c:f>
              <c:numCache>
                <c:formatCode>0.0</c:formatCode>
                <c:ptCount val="21"/>
                <c:pt idx="0">
                  <c:v>906.4</c:v>
                </c:pt>
                <c:pt idx="1">
                  <c:v>780.3</c:v>
                </c:pt>
                <c:pt idx="2">
                  <c:v>690.7</c:v>
                </c:pt>
                <c:pt idx="3">
                  <c:v>672.1</c:v>
                </c:pt>
                <c:pt idx="4">
                  <c:v>658.8</c:v>
                </c:pt>
                <c:pt idx="5">
                  <c:v>640.70000000000005</c:v>
                </c:pt>
                <c:pt idx="6">
                  <c:v>625.4</c:v>
                </c:pt>
                <c:pt idx="7">
                  <c:v>597.20000000000005</c:v>
                </c:pt>
                <c:pt idx="8">
                  <c:v>557.79999999999995</c:v>
                </c:pt>
                <c:pt idx="9">
                  <c:v>554.5</c:v>
                </c:pt>
                <c:pt idx="10">
                  <c:v>496.5</c:v>
                </c:pt>
                <c:pt idx="11">
                  <c:v>473</c:v>
                </c:pt>
                <c:pt idx="12">
                  <c:v>474.8</c:v>
                </c:pt>
                <c:pt idx="13">
                  <c:v>470.7</c:v>
                </c:pt>
                <c:pt idx="14" formatCode="General">
                  <c:v>451.9</c:v>
                </c:pt>
                <c:pt idx="15">
                  <c:v>454.2</c:v>
                </c:pt>
                <c:pt idx="16" formatCode="General">
                  <c:v>445.5</c:v>
                </c:pt>
                <c:pt idx="17" formatCode="General">
                  <c:v>442.3</c:v>
                </c:pt>
                <c:pt idx="18">
                  <c:v>443.6</c:v>
                </c:pt>
                <c:pt idx="19" formatCode="General">
                  <c:v>440.7</c:v>
                </c:pt>
                <c:pt idx="20">
                  <c:v>453</c:v>
                </c:pt>
              </c:numCache>
            </c:numRef>
          </c:val>
          <c:extLst>
            <c:ext xmlns:c16="http://schemas.microsoft.com/office/drawing/2014/chart" uri="{C3380CC4-5D6E-409C-BE32-E72D297353CC}">
              <c16:uniqueId val="{00000000-CB08-C14A-A458-64B6BB078661}"/>
            </c:ext>
          </c:extLst>
        </c:ser>
        <c:ser>
          <c:idx val="2"/>
          <c:order val="2"/>
          <c:tx>
            <c:strRef>
              <c:f>Лист4!$E$12</c:f>
              <c:strCache>
                <c:ptCount val="1"/>
                <c:pt idx="0">
                  <c:v>registered as Unemployed , thousand people</c:v>
                </c:pt>
              </c:strCache>
            </c:strRef>
          </c:tx>
          <c:spPr>
            <a:solidFill>
              <a:schemeClr val="accent2">
                <a:lumMod val="50000"/>
              </a:schemeClr>
            </a:solidFill>
            <a:ln>
              <a:solidFill>
                <a:srgbClr val="002060"/>
              </a:solidFill>
            </a:ln>
            <a:effectLst/>
          </c:spPr>
          <c:invertIfNegative val="0"/>
          <c:val>
            <c:numRef>
              <c:f>Лист4!$F$12:$Z$12</c:f>
              <c:numCache>
                <c:formatCode>0.0</c:formatCode>
                <c:ptCount val="21"/>
                <c:pt idx="0">
                  <c:v>231.4</c:v>
                </c:pt>
                <c:pt idx="1">
                  <c:v>216.1</c:v>
                </c:pt>
                <c:pt idx="2">
                  <c:v>193.7</c:v>
                </c:pt>
                <c:pt idx="3">
                  <c:v>142.80000000000001</c:v>
                </c:pt>
                <c:pt idx="4">
                  <c:v>117.7</c:v>
                </c:pt>
                <c:pt idx="5">
                  <c:v>94</c:v>
                </c:pt>
                <c:pt idx="6">
                  <c:v>75.099999999999994</c:v>
                </c:pt>
                <c:pt idx="7">
                  <c:v>54.7</c:v>
                </c:pt>
                <c:pt idx="8">
                  <c:v>48.4</c:v>
                </c:pt>
                <c:pt idx="9">
                  <c:v>53.4</c:v>
                </c:pt>
                <c:pt idx="10">
                  <c:v>35.4</c:v>
                </c:pt>
                <c:pt idx="11">
                  <c:v>36.6</c:v>
                </c:pt>
                <c:pt idx="12">
                  <c:v>34.6</c:v>
                </c:pt>
                <c:pt idx="13">
                  <c:v>30</c:v>
                </c:pt>
                <c:pt idx="14" formatCode="General">
                  <c:v>33.4</c:v>
                </c:pt>
                <c:pt idx="15">
                  <c:v>34.6</c:v>
                </c:pt>
                <c:pt idx="16">
                  <c:v>37.5</c:v>
                </c:pt>
                <c:pt idx="17" formatCode="General">
                  <c:v>70.3</c:v>
                </c:pt>
                <c:pt idx="18">
                  <c:v>91.6</c:v>
                </c:pt>
                <c:pt idx="19" formatCode="General">
                  <c:v>97.5</c:v>
                </c:pt>
                <c:pt idx="20" formatCode="General">
                  <c:v>141.80000000000001</c:v>
                </c:pt>
              </c:numCache>
            </c:numRef>
          </c:val>
          <c:extLst>
            <c:ext xmlns:c16="http://schemas.microsoft.com/office/drawing/2014/chart" uri="{C3380CC4-5D6E-409C-BE32-E72D297353CC}">
              <c16:uniqueId val="{00000001-CB08-C14A-A458-64B6BB078661}"/>
            </c:ext>
          </c:extLst>
        </c:ser>
        <c:dLbls>
          <c:showLegendKey val="0"/>
          <c:showVal val="0"/>
          <c:showCatName val="0"/>
          <c:showSerName val="0"/>
          <c:showPercent val="0"/>
          <c:showBubbleSize val="0"/>
        </c:dLbls>
        <c:gapWidth val="49"/>
        <c:axId val="322950592"/>
        <c:axId val="322953952"/>
      </c:barChart>
      <c:lineChart>
        <c:grouping val="standard"/>
        <c:varyColors val="0"/>
        <c:ser>
          <c:idx val="1"/>
          <c:order val="1"/>
          <c:tx>
            <c:strRef>
              <c:f>Лист4!$E$11</c:f>
              <c:strCache>
                <c:ptCount val="1"/>
                <c:pt idx="0">
                  <c:v>% of the previous year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Лист4!$F$11:$Z$11</c:f>
              <c:numCache>
                <c:formatCode>0.0%</c:formatCode>
                <c:ptCount val="21"/>
                <c:pt idx="0">
                  <c:v>0.128</c:v>
                </c:pt>
                <c:pt idx="1">
                  <c:v>0.104</c:v>
                </c:pt>
                <c:pt idx="2">
                  <c:v>9.2999999999999999E-2</c:v>
                </c:pt>
                <c:pt idx="3">
                  <c:v>8.7999999999999995E-2</c:v>
                </c:pt>
                <c:pt idx="4">
                  <c:v>8.4000000000000005E-2</c:v>
                </c:pt>
                <c:pt idx="5">
                  <c:v>8.1000000000000003E-2</c:v>
                </c:pt>
                <c:pt idx="6">
                  <c:v>7.8E-2</c:v>
                </c:pt>
                <c:pt idx="7">
                  <c:v>7.2999999999999995E-2</c:v>
                </c:pt>
                <c:pt idx="8">
                  <c:v>6.6000000000000003E-2</c:v>
                </c:pt>
                <c:pt idx="9">
                  <c:v>6.6000000000000003E-2</c:v>
                </c:pt>
                <c:pt idx="10">
                  <c:v>5.8000000000000003E-2</c:v>
                </c:pt>
                <c:pt idx="11">
                  <c:v>5.3999999999999999E-2</c:v>
                </c:pt>
                <c:pt idx="12">
                  <c:v>5.2999999999999999E-2</c:v>
                </c:pt>
                <c:pt idx="13">
                  <c:v>5.1999999999999998E-2</c:v>
                </c:pt>
                <c:pt idx="14">
                  <c:v>0.05</c:v>
                </c:pt>
                <c:pt idx="15">
                  <c:v>5.0999999999999997E-2</c:v>
                </c:pt>
                <c:pt idx="16">
                  <c:v>0.05</c:v>
                </c:pt>
                <c:pt idx="17">
                  <c:v>4.9000000000000002E-2</c:v>
                </c:pt>
                <c:pt idx="18">
                  <c:v>4.9000000000000002E-2</c:v>
                </c:pt>
                <c:pt idx="19">
                  <c:v>4.8000000000000001E-2</c:v>
                </c:pt>
                <c:pt idx="20">
                  <c:v>4.9000000000000002E-2</c:v>
                </c:pt>
              </c:numCache>
            </c:numRef>
          </c:val>
          <c:smooth val="0"/>
          <c:extLst>
            <c:ext xmlns:c16="http://schemas.microsoft.com/office/drawing/2014/chart" uri="{C3380CC4-5D6E-409C-BE32-E72D297353CC}">
              <c16:uniqueId val="{00000002-CB08-C14A-A458-64B6BB078661}"/>
            </c:ext>
          </c:extLst>
        </c:ser>
        <c:dLbls>
          <c:showLegendKey val="0"/>
          <c:showVal val="0"/>
          <c:showCatName val="0"/>
          <c:showSerName val="0"/>
          <c:showPercent val="0"/>
          <c:showBubbleSize val="0"/>
        </c:dLbls>
        <c:marker val="1"/>
        <c:smooth val="0"/>
        <c:axId val="322944992"/>
        <c:axId val="322955072"/>
      </c:lineChart>
      <c:catAx>
        <c:axId val="32295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ru-RU"/>
          </a:p>
        </c:txPr>
        <c:crossAx val="322953952"/>
        <c:crosses val="autoZero"/>
        <c:auto val="1"/>
        <c:lblAlgn val="ctr"/>
        <c:lblOffset val="100"/>
        <c:noMultiLvlLbl val="0"/>
      </c:catAx>
      <c:valAx>
        <c:axId val="322953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50592"/>
        <c:crosses val="autoZero"/>
        <c:crossBetween val="between"/>
      </c:valAx>
      <c:valAx>
        <c:axId val="322955072"/>
        <c:scaling>
          <c:orientation val="minMax"/>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44992"/>
        <c:crosses val="max"/>
        <c:crossBetween val="between"/>
      </c:valAx>
      <c:catAx>
        <c:axId val="322944992"/>
        <c:scaling>
          <c:orientation val="minMax"/>
        </c:scaling>
        <c:delete val="1"/>
        <c:axPos val="b"/>
        <c:numFmt formatCode="General" sourceLinked="1"/>
        <c:majorTickMark val="out"/>
        <c:minorTickMark val="none"/>
        <c:tickLblPos val="nextTo"/>
        <c:crossAx val="322955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Minimum wage in USD</c:v>
          </c:tx>
          <c:spPr>
            <a:solidFill>
              <a:schemeClr val="accent1">
                <a:lumMod val="60000"/>
                <a:lumOff val="40000"/>
              </a:scheme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BE-0C4A-A581-E5A6CC40B9C8}"/>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BE-0C4A-A581-E5A6CC40B9C8}"/>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BE-0C4A-A581-E5A6CC40B9C8}"/>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BE-0C4A-A581-E5A6CC40B9C8}"/>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BE-0C4A-A581-E5A6CC40B9C8}"/>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BE-0C4A-A581-E5A6CC40B9C8}"/>
                </c:ext>
              </c:extLst>
            </c:dLbl>
            <c:dLbl>
              <c:idx val="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BE-0C4A-A581-E5A6CC40B9C8}"/>
                </c:ext>
              </c:extLst>
            </c:dLbl>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BE-0C4A-A581-E5A6CC40B9C8}"/>
                </c:ext>
              </c:extLst>
            </c:dLbl>
            <c:dLbl>
              <c:idx val="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BE-0C4A-A581-E5A6CC40B9C8}"/>
                </c:ext>
              </c:extLst>
            </c:dLbl>
            <c:dLbl>
              <c:idx val="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BE-0C4A-A581-E5A6CC40B9C8}"/>
                </c:ext>
              </c:extLst>
            </c:dLbl>
            <c:dLbl>
              <c:idx val="1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BE-0C4A-A581-E5A6CC40B9C8}"/>
                </c:ext>
              </c:extLst>
            </c:dLbl>
            <c:dLbl>
              <c:idx val="1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BE-0C4A-A581-E5A6CC40B9C8}"/>
                </c:ext>
              </c:extLst>
            </c:dLbl>
            <c:dLbl>
              <c:idx val="1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BE-0C4A-A581-E5A6CC40B9C8}"/>
                </c:ext>
              </c:extLst>
            </c:dLbl>
            <c:dLbl>
              <c:idx val="1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BE-0C4A-A581-E5A6CC40B9C8}"/>
                </c:ext>
              </c:extLst>
            </c:dLbl>
            <c:dLbl>
              <c:idx val="1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BE-0C4A-A581-E5A6CC40B9C8}"/>
                </c:ext>
              </c:extLst>
            </c:dLbl>
            <c:dLbl>
              <c:idx val="1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BE-0C4A-A581-E5A6CC40B9C8}"/>
                </c:ext>
              </c:extLst>
            </c:dLbl>
            <c:dLbl>
              <c:idx val="1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3BE-0C4A-A581-E5A6CC40B9C8}"/>
                </c:ext>
              </c:extLst>
            </c:dLbl>
            <c:dLbl>
              <c:idx val="1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BE-0C4A-A581-E5A6CC40B9C8}"/>
                </c:ext>
              </c:extLst>
            </c:dLbl>
            <c:dLbl>
              <c:idx val="1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3BE-0C4A-A581-E5A6CC40B9C8}"/>
                </c:ext>
              </c:extLst>
            </c:dLbl>
            <c:dLbl>
              <c:idx val="1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3BE-0C4A-A581-E5A6CC40B9C8}"/>
                </c:ext>
              </c:extLst>
            </c:dLbl>
            <c:dLbl>
              <c:idx val="2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3BE-0C4A-A581-E5A6CC40B9C8}"/>
                </c:ext>
              </c:extLst>
            </c:dLbl>
            <c:spPr>
              <a:noFill/>
              <a:ln>
                <a:noFill/>
              </a:ln>
              <a:effectLst/>
            </c:spPr>
            <c:txPr>
              <a:bodyPr rot="-5400000" spcFirstLastPara="1" vertOverflow="clip" horzOverflow="clip"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Лист3!$P$3:$AJ$3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Лист3!$P$5:$AJ$5</c:f>
              <c:numCache>
                <c:formatCode>0</c:formatCode>
                <c:ptCount val="21"/>
                <c:pt idx="0">
                  <c:v>18.855976922535707</c:v>
                </c:pt>
                <c:pt idx="1">
                  <c:v>23.742674117486711</c:v>
                </c:pt>
                <c:pt idx="2">
                  <c:v>27.27687891440501</c:v>
                </c:pt>
                <c:pt idx="3">
                  <c:v>29.622607974406069</c:v>
                </c:pt>
                <c:pt idx="4">
                  <c:v>48.515142605116147</c:v>
                </c:pt>
                <c:pt idx="5">
                  <c:v>60.957254665863942</c:v>
                </c:pt>
                <c:pt idx="6">
                  <c:v>72.963756047267822</c:v>
                </c:pt>
                <c:pt idx="7">
                  <c:v>79.575683394532845</c:v>
                </c:pt>
                <c:pt idx="8">
                  <c:v>93.682460515378224</c:v>
                </c:pt>
                <c:pt idx="9">
                  <c:v>92.159322033898306</c:v>
                </c:pt>
                <c:pt idx="10">
                  <c:v>101.47268408551069</c:v>
                </c:pt>
                <c:pt idx="11">
                  <c:v>109.11881053062338</c:v>
                </c:pt>
                <c:pt idx="12">
                  <c:v>116.95392663134598</c:v>
                </c:pt>
                <c:pt idx="13">
                  <c:v>122.65825281009663</c:v>
                </c:pt>
                <c:pt idx="14">
                  <c:v>111.42362855070037</c:v>
                </c:pt>
                <c:pt idx="15">
                  <c:v>96.35141839173771</c:v>
                </c:pt>
                <c:pt idx="16">
                  <c:v>66.807926116436747</c:v>
                </c:pt>
                <c:pt idx="17">
                  <c:v>75.027607361963192</c:v>
                </c:pt>
                <c:pt idx="18">
                  <c:v>88.434480817934528</c:v>
                </c:pt>
                <c:pt idx="19">
                  <c:v>111.03853690398432</c:v>
                </c:pt>
                <c:pt idx="20">
                  <c:v>102.91802881704807</c:v>
                </c:pt>
              </c:numCache>
            </c:numRef>
          </c:val>
          <c:extLst>
            <c:ext xmlns:c16="http://schemas.microsoft.com/office/drawing/2014/chart" uri="{C3380CC4-5D6E-409C-BE32-E72D297353CC}">
              <c16:uniqueId val="{00000015-A3BE-0C4A-A581-E5A6CC40B9C8}"/>
            </c:ext>
          </c:extLst>
        </c:ser>
        <c:ser>
          <c:idx val="2"/>
          <c:order val="2"/>
          <c:tx>
            <c:strRef>
              <c:f>Лист3!$O$7</c:f>
              <c:strCache>
                <c:ptCount val="1"/>
                <c:pt idx="0">
                  <c:v>Minimum living costs in USD</c:v>
                </c:pt>
              </c:strCache>
            </c:strRef>
          </c:tx>
          <c:spPr>
            <a:solidFill>
              <a:srgbClr val="522C39"/>
            </a:solidFill>
            <a:ln>
              <a:noFill/>
            </a:ln>
            <a:effectLst/>
          </c:spPr>
          <c:invertIfNegative val="0"/>
          <c:val>
            <c:numRef>
              <c:f>Лист3!$P$7:$AJ$7</c:f>
              <c:numCache>
                <c:formatCode>0.00</c:formatCode>
                <c:ptCount val="21"/>
                <c:pt idx="0">
                  <c:v>28.19</c:v>
                </c:pt>
                <c:pt idx="1">
                  <c:v>31.32</c:v>
                </c:pt>
                <c:pt idx="2">
                  <c:v>31.06</c:v>
                </c:pt>
                <c:pt idx="3">
                  <c:v>34.28</c:v>
                </c:pt>
                <c:pt idx="4">
                  <c:v>39.89</c:v>
                </c:pt>
                <c:pt idx="5">
                  <c:v>45.26</c:v>
                </c:pt>
                <c:pt idx="6">
                  <c:v>66.7</c:v>
                </c:pt>
                <c:pt idx="7">
                  <c:v>78.77</c:v>
                </c:pt>
                <c:pt idx="8">
                  <c:v>102.78</c:v>
                </c:pt>
                <c:pt idx="9">
                  <c:v>85.83</c:v>
                </c:pt>
                <c:pt idx="10">
                  <c:v>91.53</c:v>
                </c:pt>
                <c:pt idx="11">
                  <c:v>109.62</c:v>
                </c:pt>
                <c:pt idx="12">
                  <c:v>112.77</c:v>
                </c:pt>
                <c:pt idx="13" formatCode="General">
                  <c:v>116.93</c:v>
                </c:pt>
                <c:pt idx="14" formatCode="General">
                  <c:v>106.41</c:v>
                </c:pt>
                <c:pt idx="15" formatCode="General">
                  <c:v>88.61</c:v>
                </c:pt>
                <c:pt idx="16" formatCode="General">
                  <c:v>63.16</c:v>
                </c:pt>
                <c:pt idx="17" formatCode="General">
                  <c:v>72.95</c:v>
                </c:pt>
                <c:pt idx="18" formatCode="0.0">
                  <c:v>78.5</c:v>
                </c:pt>
                <c:pt idx="19" formatCode="General">
                  <c:v>76.66</c:v>
                </c:pt>
                <c:pt idx="20">
                  <c:v>83.063324857730962</c:v>
                </c:pt>
              </c:numCache>
            </c:numRef>
          </c:val>
          <c:extLst>
            <c:ext xmlns:c16="http://schemas.microsoft.com/office/drawing/2014/chart" uri="{C3380CC4-5D6E-409C-BE32-E72D297353CC}">
              <c16:uniqueId val="{00000016-A3BE-0C4A-A581-E5A6CC40B9C8}"/>
            </c:ext>
          </c:extLst>
        </c:ser>
        <c:dLbls>
          <c:showLegendKey val="0"/>
          <c:showVal val="0"/>
          <c:showCatName val="0"/>
          <c:showSerName val="0"/>
          <c:showPercent val="0"/>
          <c:showBubbleSize val="0"/>
        </c:dLbls>
        <c:gapWidth val="41"/>
        <c:overlap val="-51"/>
        <c:axId val="322954512"/>
        <c:axId val="322955632"/>
      </c:barChart>
      <c:lineChart>
        <c:grouping val="standard"/>
        <c:varyColors val="0"/>
        <c:ser>
          <c:idx val="1"/>
          <c:order val="1"/>
          <c:tx>
            <c:strRef>
              <c:f>Лист3!$O$6</c:f>
              <c:strCache>
                <c:ptCount val="1"/>
                <c:pt idx="0">
                  <c:v>Poverty headcount ratio at national poverty line (% of total population)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Лист3!$P$6:$AJ$6</c:f>
              <c:numCache>
                <c:formatCode>0.0%</c:formatCode>
                <c:ptCount val="21"/>
                <c:pt idx="0">
                  <c:v>0.318</c:v>
                </c:pt>
                <c:pt idx="1">
                  <c:v>0.46700000000000003</c:v>
                </c:pt>
                <c:pt idx="2">
                  <c:v>0.44500000000000001</c:v>
                </c:pt>
                <c:pt idx="3">
                  <c:v>0.375</c:v>
                </c:pt>
                <c:pt idx="4">
                  <c:v>0.33900000000000002</c:v>
                </c:pt>
                <c:pt idx="5">
                  <c:v>0.316</c:v>
                </c:pt>
                <c:pt idx="6">
                  <c:v>0.182</c:v>
                </c:pt>
                <c:pt idx="7">
                  <c:v>0.127</c:v>
                </c:pt>
                <c:pt idx="8">
                  <c:v>0.121</c:v>
                </c:pt>
                <c:pt idx="9">
                  <c:v>8.2000000000000003E-2</c:v>
                </c:pt>
                <c:pt idx="10">
                  <c:v>6.5000000000000002E-2</c:v>
                </c:pt>
                <c:pt idx="11">
                  <c:v>5.5E-2</c:v>
                </c:pt>
                <c:pt idx="12">
                  <c:v>3.7999999999999999E-2</c:v>
                </c:pt>
                <c:pt idx="13">
                  <c:v>2.9000000000000001E-2</c:v>
                </c:pt>
                <c:pt idx="14">
                  <c:v>2.8000000000000001E-2</c:v>
                </c:pt>
                <c:pt idx="15">
                  <c:v>2.7E-2</c:v>
                </c:pt>
                <c:pt idx="16">
                  <c:v>2.5999999999999999E-2</c:v>
                </c:pt>
                <c:pt idx="17">
                  <c:v>2.5999999999999999E-2</c:v>
                </c:pt>
                <c:pt idx="18">
                  <c:v>4.2999999999999997E-2</c:v>
                </c:pt>
                <c:pt idx="19">
                  <c:v>4.2999999999999997E-2</c:v>
                </c:pt>
                <c:pt idx="20">
                  <c:v>5.7000000000000002E-2</c:v>
                </c:pt>
              </c:numCache>
            </c:numRef>
          </c:val>
          <c:smooth val="0"/>
          <c:extLst>
            <c:ext xmlns:c16="http://schemas.microsoft.com/office/drawing/2014/chart" uri="{C3380CC4-5D6E-409C-BE32-E72D297353CC}">
              <c16:uniqueId val="{00000017-A3BE-0C4A-A581-E5A6CC40B9C8}"/>
            </c:ext>
          </c:extLst>
        </c:ser>
        <c:dLbls>
          <c:showLegendKey val="0"/>
          <c:showVal val="0"/>
          <c:showCatName val="0"/>
          <c:showSerName val="0"/>
          <c:showPercent val="0"/>
          <c:showBubbleSize val="0"/>
        </c:dLbls>
        <c:marker val="1"/>
        <c:smooth val="0"/>
        <c:axId val="322956752"/>
        <c:axId val="322957312"/>
      </c:lineChart>
      <c:catAx>
        <c:axId val="322954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55632"/>
        <c:crosses val="autoZero"/>
        <c:auto val="1"/>
        <c:lblAlgn val="ctr"/>
        <c:lblOffset val="100"/>
        <c:noMultiLvlLbl val="0"/>
      </c:catAx>
      <c:valAx>
        <c:axId val="32295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USD</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54512"/>
        <c:crosses val="autoZero"/>
        <c:crossBetween val="between"/>
      </c:valAx>
      <c:valAx>
        <c:axId val="322957312"/>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56752"/>
        <c:crosses val="max"/>
        <c:crossBetween val="between"/>
      </c:valAx>
      <c:catAx>
        <c:axId val="322956752"/>
        <c:scaling>
          <c:orientation val="minMax"/>
        </c:scaling>
        <c:delete val="1"/>
        <c:axPos val="b"/>
        <c:majorTickMark val="out"/>
        <c:minorTickMark val="none"/>
        <c:tickLblPos val="nextTo"/>
        <c:crossAx val="322957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Лист6!$E$2</c:f>
              <c:strCache>
                <c:ptCount val="1"/>
                <c:pt idx="0">
                  <c:v>Conventional financial assets, %</c:v>
                </c:pt>
              </c:strCache>
            </c:strRef>
          </c:tx>
          <c:spPr>
            <a:ln w="28575" cap="rnd">
              <a:solidFill>
                <a:schemeClr val="accent1"/>
              </a:solidFill>
              <a:round/>
            </a:ln>
            <a:effectLst/>
          </c:spPr>
          <c:marker>
            <c:symbol val="none"/>
          </c:marker>
          <c:dLbls>
            <c:dLbl>
              <c:idx val="9"/>
              <c:delete val="1"/>
              <c:extLst>
                <c:ext xmlns:c15="http://schemas.microsoft.com/office/drawing/2012/chart" uri="{CE6537A1-D6FC-4f65-9D91-7224C49458BB}"/>
                <c:ext xmlns:c16="http://schemas.microsoft.com/office/drawing/2014/chart" uri="{C3380CC4-5D6E-409C-BE32-E72D297353CC}">
                  <c16:uniqueId val="{00000000-C941-0E4B-9ABB-A7A7996376B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Лист6!$B$3:$B$15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Лист6!$E$4:$E$16</c:f>
              <c:numCache>
                <c:formatCode>0.0</c:formatCode>
                <c:ptCount val="13"/>
                <c:pt idx="0">
                  <c:v>0.70011668611432754</c:v>
                </c:pt>
                <c:pt idx="1">
                  <c:v>4.5191193511008407</c:v>
                </c:pt>
                <c:pt idx="2">
                  <c:v>5.8758314855875682</c:v>
                </c:pt>
                <c:pt idx="3">
                  <c:v>5.5846422338568971</c:v>
                </c:pt>
                <c:pt idx="4">
                  <c:v>5.8181818181818272</c:v>
                </c:pt>
                <c:pt idx="5">
                  <c:v>2.7491408934707806</c:v>
                </c:pt>
                <c:pt idx="6">
                  <c:v>0.60808756460930624</c:v>
                </c:pt>
                <c:pt idx="7">
                  <c:v>-1.7830160169235398</c:v>
                </c:pt>
                <c:pt idx="8">
                  <c:v>4.5846153846153896</c:v>
                </c:pt>
                <c:pt idx="9">
                  <c:v>12.474257134451321</c:v>
                </c:pt>
                <c:pt idx="10">
                  <c:v>-0.88935391054145896</c:v>
                </c:pt>
                <c:pt idx="11">
                  <c:v>6.6508313539192443</c:v>
                </c:pt>
              </c:numCache>
            </c:numRef>
          </c:val>
          <c:smooth val="0"/>
          <c:extLst>
            <c:ext xmlns:c16="http://schemas.microsoft.com/office/drawing/2014/chart" uri="{C3380CC4-5D6E-409C-BE32-E72D297353CC}">
              <c16:uniqueId val="{00000001-C941-0E4B-9ABB-A7A7996376B7}"/>
            </c:ext>
          </c:extLst>
        </c:ser>
        <c:ser>
          <c:idx val="1"/>
          <c:order val="1"/>
          <c:tx>
            <c:strRef>
              <c:f>Лист6!$F$2</c:f>
              <c:strCache>
                <c:ptCount val="1"/>
                <c:pt idx="0">
                  <c:v>Islamic financial assests,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Лист6!$B$3:$B$15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Лист6!$F$4:$F$15</c:f>
              <c:numCache>
                <c:formatCode>0.0</c:formatCode>
                <c:ptCount val="12"/>
                <c:pt idx="0">
                  <c:v>28.638497652582146</c:v>
                </c:pt>
                <c:pt idx="1">
                  <c:v>26.034063260340645</c:v>
                </c:pt>
                <c:pt idx="2">
                  <c:v>9.9420849420849464</c:v>
                </c:pt>
                <c:pt idx="3">
                  <c:v>19.13959613696224</c:v>
                </c:pt>
                <c:pt idx="4">
                  <c:v>20.191599115696391</c:v>
                </c:pt>
                <c:pt idx="5">
                  <c:v>11.158798283261788</c:v>
                </c:pt>
                <c:pt idx="6">
                  <c:v>9.2664092664092834</c:v>
                </c:pt>
                <c:pt idx="7">
                  <c:v>8.1776880363452733</c:v>
                </c:pt>
                <c:pt idx="8">
                  <c:v>6.9995333644423852</c:v>
                </c:pt>
                <c:pt idx="9">
                  <c:v>6.018316615787171</c:v>
                </c:pt>
                <c:pt idx="10">
                  <c:v>6.5816536404771711</c:v>
                </c:pt>
                <c:pt idx="11">
                  <c:v>11.153994596680803</c:v>
                </c:pt>
              </c:numCache>
            </c:numRef>
          </c:val>
          <c:smooth val="0"/>
          <c:extLst>
            <c:ext xmlns:c16="http://schemas.microsoft.com/office/drawing/2014/chart" uri="{C3380CC4-5D6E-409C-BE32-E72D297353CC}">
              <c16:uniqueId val="{00000002-C941-0E4B-9ABB-A7A7996376B7}"/>
            </c:ext>
          </c:extLst>
        </c:ser>
        <c:dLbls>
          <c:showLegendKey val="0"/>
          <c:showVal val="0"/>
          <c:showCatName val="0"/>
          <c:showSerName val="0"/>
          <c:showPercent val="0"/>
          <c:showBubbleSize val="0"/>
        </c:dLbls>
        <c:smooth val="0"/>
        <c:axId val="316121472"/>
        <c:axId val="160738336"/>
      </c:lineChart>
      <c:catAx>
        <c:axId val="31612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738336"/>
        <c:crosses val="autoZero"/>
        <c:auto val="1"/>
        <c:lblAlgn val="ctr"/>
        <c:lblOffset val="100"/>
        <c:noMultiLvlLbl val="0"/>
      </c:catAx>
      <c:valAx>
        <c:axId val="160738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12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1'!$B$45</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1'!$A$46:$A$50</c:f>
              <c:strCache>
                <c:ptCount val="5"/>
                <c:pt idx="0">
                  <c:v>It helps by assisting financial inclusion (individuals, small and medium business)</c:v>
                </c:pt>
                <c:pt idx="1">
                  <c:v>Reducing the impact of harmful products and practices</c:v>
                </c:pt>
                <c:pt idx="2">
                  <c:v>Principle of financial justice</c:v>
                </c:pt>
                <c:pt idx="3">
                  <c:v>Encouraging stability in investments</c:v>
                </c:pt>
                <c:pt idx="4">
                  <c:v>Accelerating economic development</c:v>
                </c:pt>
              </c:strCache>
            </c:strRef>
          </c:cat>
          <c:val>
            <c:numRef>
              <c:f>'Question 1'!$B$46:$B$50</c:f>
              <c:numCache>
                <c:formatCode>General</c:formatCode>
                <c:ptCount val="5"/>
                <c:pt idx="0">
                  <c:v>0</c:v>
                </c:pt>
                <c:pt idx="1">
                  <c:v>2.56</c:v>
                </c:pt>
                <c:pt idx="2">
                  <c:v>0</c:v>
                </c:pt>
                <c:pt idx="3">
                  <c:v>2.56</c:v>
                </c:pt>
                <c:pt idx="4">
                  <c:v>2.5</c:v>
                </c:pt>
              </c:numCache>
            </c:numRef>
          </c:val>
          <c:extLst>
            <c:ext xmlns:c16="http://schemas.microsoft.com/office/drawing/2014/chart" uri="{C3380CC4-5D6E-409C-BE32-E72D297353CC}">
              <c16:uniqueId val="{00000000-6D87-0E48-A608-42791C6AC197}"/>
            </c:ext>
          </c:extLst>
        </c:ser>
        <c:ser>
          <c:idx val="1"/>
          <c:order val="1"/>
          <c:tx>
            <c:strRef>
              <c:f>'Question 1'!$C$45</c:f>
              <c:strCache>
                <c:ptCount val="1"/>
                <c:pt idx="0">
                  <c:v>MINOR–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1'!$A$46:$A$50</c:f>
              <c:strCache>
                <c:ptCount val="5"/>
                <c:pt idx="0">
                  <c:v>It helps by assisting financial inclusion (individuals, small and medium business)</c:v>
                </c:pt>
                <c:pt idx="1">
                  <c:v>Reducing the impact of harmful products and practices</c:v>
                </c:pt>
                <c:pt idx="2">
                  <c:v>Principle of financial justice</c:v>
                </c:pt>
                <c:pt idx="3">
                  <c:v>Encouraging stability in investments</c:v>
                </c:pt>
                <c:pt idx="4">
                  <c:v>Accelerating economic development</c:v>
                </c:pt>
              </c:strCache>
            </c:strRef>
          </c:cat>
          <c:val>
            <c:numRef>
              <c:f>'Question 1'!$C$46:$C$50</c:f>
              <c:numCache>
                <c:formatCode>General</c:formatCode>
                <c:ptCount val="5"/>
                <c:pt idx="0">
                  <c:v>25.64</c:v>
                </c:pt>
                <c:pt idx="1">
                  <c:v>7.69</c:v>
                </c:pt>
                <c:pt idx="2">
                  <c:v>12.82</c:v>
                </c:pt>
                <c:pt idx="3">
                  <c:v>23.08</c:v>
                </c:pt>
                <c:pt idx="4">
                  <c:v>17.5</c:v>
                </c:pt>
              </c:numCache>
            </c:numRef>
          </c:val>
          <c:extLst>
            <c:ext xmlns:c16="http://schemas.microsoft.com/office/drawing/2014/chart" uri="{C3380CC4-5D6E-409C-BE32-E72D297353CC}">
              <c16:uniqueId val="{00000001-6D87-0E48-A608-42791C6AC197}"/>
            </c:ext>
          </c:extLst>
        </c:ser>
        <c:ser>
          <c:idx val="2"/>
          <c:order val="2"/>
          <c:tx>
            <c:strRef>
              <c:f>'Question 1'!$D$45</c:f>
              <c:strCache>
                <c:ptCount val="1"/>
                <c:pt idx="0">
                  <c:v>SIFNIFICANT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1'!$A$46:$A$50</c:f>
              <c:strCache>
                <c:ptCount val="5"/>
                <c:pt idx="0">
                  <c:v>It helps by assisting financial inclusion (individuals, small and medium business)</c:v>
                </c:pt>
                <c:pt idx="1">
                  <c:v>Reducing the impact of harmful products and practices</c:v>
                </c:pt>
                <c:pt idx="2">
                  <c:v>Principle of financial justice</c:v>
                </c:pt>
                <c:pt idx="3">
                  <c:v>Encouraging stability in investments</c:v>
                </c:pt>
                <c:pt idx="4">
                  <c:v>Accelerating economic development</c:v>
                </c:pt>
              </c:strCache>
            </c:strRef>
          </c:cat>
          <c:val>
            <c:numRef>
              <c:f>'Question 1'!$D$46:$D$50</c:f>
              <c:numCache>
                <c:formatCode>General</c:formatCode>
                <c:ptCount val="5"/>
                <c:pt idx="0">
                  <c:v>35.9</c:v>
                </c:pt>
                <c:pt idx="1">
                  <c:v>53.85</c:v>
                </c:pt>
                <c:pt idx="2">
                  <c:v>35.9</c:v>
                </c:pt>
                <c:pt idx="3">
                  <c:v>43.59</c:v>
                </c:pt>
                <c:pt idx="4">
                  <c:v>45</c:v>
                </c:pt>
              </c:numCache>
            </c:numRef>
          </c:val>
          <c:extLst>
            <c:ext xmlns:c16="http://schemas.microsoft.com/office/drawing/2014/chart" uri="{C3380CC4-5D6E-409C-BE32-E72D297353CC}">
              <c16:uniqueId val="{00000002-6D87-0E48-A608-42791C6AC197}"/>
            </c:ext>
          </c:extLst>
        </c:ser>
        <c:ser>
          <c:idx val="3"/>
          <c:order val="3"/>
          <c:tx>
            <c:strRef>
              <c:f>'Question 1'!$E$45</c:f>
              <c:strCache>
                <c:ptCount val="1"/>
                <c:pt idx="0">
                  <c:v>MAJOR–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1'!$A$46:$A$50</c:f>
              <c:strCache>
                <c:ptCount val="5"/>
                <c:pt idx="0">
                  <c:v>It helps by assisting financial inclusion (individuals, small and medium business)</c:v>
                </c:pt>
                <c:pt idx="1">
                  <c:v>Reducing the impact of harmful products and practices</c:v>
                </c:pt>
                <c:pt idx="2">
                  <c:v>Principle of financial justice</c:v>
                </c:pt>
                <c:pt idx="3">
                  <c:v>Encouraging stability in investments</c:v>
                </c:pt>
                <c:pt idx="4">
                  <c:v>Accelerating economic development</c:v>
                </c:pt>
              </c:strCache>
            </c:strRef>
          </c:cat>
          <c:val>
            <c:numRef>
              <c:f>'Question 1'!$E$46:$E$50</c:f>
              <c:numCache>
                <c:formatCode>General</c:formatCode>
                <c:ptCount val="5"/>
                <c:pt idx="0">
                  <c:v>41.03</c:v>
                </c:pt>
                <c:pt idx="1">
                  <c:v>38.46</c:v>
                </c:pt>
                <c:pt idx="2">
                  <c:v>53.85</c:v>
                </c:pt>
                <c:pt idx="3">
                  <c:v>33.33</c:v>
                </c:pt>
                <c:pt idx="4">
                  <c:v>37.5</c:v>
                </c:pt>
              </c:numCache>
            </c:numRef>
          </c:val>
          <c:extLst>
            <c:ext xmlns:c16="http://schemas.microsoft.com/office/drawing/2014/chart" uri="{C3380CC4-5D6E-409C-BE32-E72D297353CC}">
              <c16:uniqueId val="{00000003-6D87-0E48-A608-42791C6AC197}"/>
            </c:ext>
          </c:extLst>
        </c:ser>
        <c:dLbls>
          <c:dLblPos val="outEnd"/>
          <c:showLegendKey val="0"/>
          <c:showVal val="1"/>
          <c:showCatName val="0"/>
          <c:showSerName val="0"/>
          <c:showPercent val="0"/>
          <c:showBubbleSize val="0"/>
        </c:dLbls>
        <c:gapWidth val="182"/>
        <c:axId val="64777456"/>
        <c:axId val="162083952"/>
      </c:barChart>
      <c:catAx>
        <c:axId val="6477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Arial" panose="020B0604020202020204" pitchFamily="34" charset="0"/>
              </a:defRPr>
            </a:pPr>
            <a:endParaRPr lang="ru-RU"/>
          </a:p>
        </c:txPr>
        <c:crossAx val="162083952"/>
        <c:crosses val="autoZero"/>
        <c:auto val="1"/>
        <c:lblAlgn val="ctr"/>
        <c:lblOffset val="100"/>
        <c:noMultiLvlLbl val="0"/>
      </c:catAx>
      <c:valAx>
        <c:axId val="16208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ru-RU"/>
          </a:p>
        </c:txPr>
        <c:crossAx val="6477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latin typeface="Times New Roman" panose="02020603050405020304" pitchFamily="18" charset="0"/>
          <a:cs typeface="Arial" panose="020B0604020202020204" pitchFamily="34"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1DC00B-22E5-3C4B-B262-B365932A4D26}" type="doc">
      <dgm:prSet loTypeId="urn:microsoft.com/office/officeart/2005/8/layout/bProcess4" loCatId="" qsTypeId="urn:microsoft.com/office/officeart/2005/8/quickstyle/simple1" qsCatId="simple" csTypeId="urn:microsoft.com/office/officeart/2005/8/colors/accent0_1" csCatId="mainScheme" phldr="1"/>
      <dgm:spPr/>
      <dgm:t>
        <a:bodyPr/>
        <a:lstStyle/>
        <a:p>
          <a:endParaRPr lang="ru-RU"/>
        </a:p>
      </dgm:t>
    </dgm:pt>
    <dgm:pt modelId="{F60A1428-7C36-EF49-90F7-0225F07D9EF1}">
      <dgm:prSet phldrT="[Текст]" custT="1"/>
      <dgm:spPr/>
      <dgm:t>
        <a:bodyPr/>
        <a:lstStyle/>
        <a:p>
          <a:r>
            <a:rPr lang="en-US" sz="900" b="1" i="0">
              <a:latin typeface="Times New Roman" panose="02020603050405020304" pitchFamily="18" charset="0"/>
              <a:cs typeface="Times New Roman" panose="02020603050405020304" pitchFamily="18" charset="0"/>
            </a:rPr>
            <a:t>Efficiency</a:t>
          </a:r>
          <a:r>
            <a:rPr lang="en-US" sz="900" i="0">
              <a:latin typeface="Times New Roman" panose="02020603050405020304" pitchFamily="18" charset="0"/>
              <a:cs typeface="Times New Roman" panose="02020603050405020304" pitchFamily="18" charset="0"/>
            </a:rPr>
            <a:t> </a:t>
          </a:r>
          <a:endParaRPr lang="ru-RU" sz="900" i="0">
            <a:latin typeface="Times New Roman" panose="02020603050405020304" pitchFamily="18" charset="0"/>
            <a:cs typeface="Times New Roman" panose="02020603050405020304" pitchFamily="18" charset="0"/>
          </a:endParaRPr>
        </a:p>
        <a:p>
          <a:r>
            <a:rPr lang="en-US" sz="900" i="0">
              <a:latin typeface="Times New Roman" panose="02020603050405020304" pitchFamily="18" charset="0"/>
              <a:cs typeface="Times New Roman" panose="02020603050405020304" pitchFamily="18" charset="0"/>
            </a:rPr>
            <a:t>profit and loss sharing (PLS) or Mudaraba;</a:t>
          </a:r>
          <a:endParaRPr lang="ru-RU" sz="900" i="0">
            <a:latin typeface="Times New Roman" panose="02020603050405020304" pitchFamily="18" charset="0"/>
            <a:cs typeface="Times New Roman" panose="02020603050405020304" pitchFamily="18" charset="0"/>
          </a:endParaRPr>
        </a:p>
        <a:p>
          <a:r>
            <a:rPr lang="en-US" sz="900" i="0">
              <a:latin typeface="Times New Roman" panose="02020603050405020304" pitchFamily="18" charset="0"/>
              <a:cs typeface="Times New Roman" panose="02020603050405020304" pitchFamily="18" charset="0"/>
            </a:rPr>
            <a:t>efficient financial resources</a:t>
          </a:r>
          <a:r>
            <a:rPr lang="ru-RU" sz="900" i="0">
              <a:latin typeface="Times New Roman" panose="02020603050405020304" pitchFamily="18" charset="0"/>
              <a:cs typeface="Times New Roman" panose="02020603050405020304" pitchFamily="18" charset="0"/>
            </a:rPr>
            <a:t> </a:t>
          </a:r>
          <a:r>
            <a:rPr lang="en-US" sz="900" i="0">
              <a:latin typeface="Times New Roman" panose="02020603050405020304" pitchFamily="18" charset="0"/>
              <a:cs typeface="Times New Roman" panose="02020603050405020304" pitchFamily="18" charset="0"/>
            </a:rPr>
            <a:t>allocation</a:t>
          </a:r>
          <a:endParaRPr lang="ru-RU" sz="900" i="0">
            <a:latin typeface="Times New Roman" panose="02020603050405020304" pitchFamily="18" charset="0"/>
            <a:cs typeface="Times New Roman" panose="02020603050405020304" pitchFamily="18" charset="0"/>
          </a:endParaRPr>
        </a:p>
      </dgm:t>
    </dgm:pt>
    <dgm:pt modelId="{6391D7C1-83FA-DB40-B981-6EFE1DF031D0}" type="parTrans" cxnId="{D6299F5D-41FD-4147-B64E-21051095FABF}">
      <dgm:prSet/>
      <dgm:spPr/>
      <dgm:t>
        <a:bodyPr/>
        <a:lstStyle/>
        <a:p>
          <a:endParaRPr lang="ru-RU"/>
        </a:p>
      </dgm:t>
    </dgm:pt>
    <dgm:pt modelId="{4CBD6844-F05C-E647-A48A-06C59F3BE717}" type="sibTrans" cxnId="{D6299F5D-41FD-4147-B64E-21051095FABF}">
      <dgm:prSet/>
      <dgm:spPr/>
      <dgm:t>
        <a:bodyPr/>
        <a:lstStyle/>
        <a:p>
          <a:endParaRPr lang="ru-RU"/>
        </a:p>
      </dgm:t>
    </dgm:pt>
    <dgm:pt modelId="{1D788182-6633-1B47-B8E7-927F44C16CD8}">
      <dgm:prSet phldrT="[Текст]" custT="1"/>
      <dgm:spPr/>
      <dgm:t>
        <a:bodyPr/>
        <a:lstStyle/>
        <a:p>
          <a:r>
            <a:rPr lang="en-US" sz="900" b="1" i="0">
              <a:latin typeface="Times New Roman" panose="02020603050405020304" pitchFamily="18" charset="0"/>
              <a:cs typeface="Times New Roman" panose="02020603050405020304" pitchFamily="18" charset="0"/>
            </a:rPr>
            <a:t>Stability</a:t>
          </a:r>
        </a:p>
        <a:p>
          <a:r>
            <a:rPr lang="en-US" sz="900" b="0" i="0">
              <a:latin typeface="Times New Roman" panose="02020603050405020304" pitchFamily="18" charset="0"/>
              <a:cs typeface="Times New Roman" panose="02020603050405020304" pitchFamily="18" charset="0"/>
            </a:rPr>
            <a:t>debt and risk trading prohibition;</a:t>
          </a:r>
        </a:p>
        <a:p>
          <a:r>
            <a:rPr lang="en-US" sz="900" b="0" i="0">
              <a:latin typeface="Times New Roman" panose="02020603050405020304" pitchFamily="18" charset="0"/>
              <a:cs typeface="Times New Roman" panose="02020603050405020304" pitchFamily="18" charset="0"/>
            </a:rPr>
            <a:t>strong connection between finance operations and real assets;</a:t>
          </a:r>
          <a:endParaRPr lang="ru-RU" sz="900" b="0" i="0">
            <a:latin typeface="Times New Roman" panose="02020603050405020304" pitchFamily="18" charset="0"/>
            <a:cs typeface="Times New Roman" panose="02020603050405020304" pitchFamily="18" charset="0"/>
          </a:endParaRPr>
        </a:p>
      </dgm:t>
    </dgm:pt>
    <dgm:pt modelId="{9F565DE3-538C-E84C-8A3B-14F2A466477C}" type="parTrans" cxnId="{37803337-37D2-6F41-9381-08AB8F536998}">
      <dgm:prSet/>
      <dgm:spPr/>
      <dgm:t>
        <a:bodyPr/>
        <a:lstStyle/>
        <a:p>
          <a:endParaRPr lang="ru-RU"/>
        </a:p>
      </dgm:t>
    </dgm:pt>
    <dgm:pt modelId="{5AEAE912-CEE5-EB49-A35D-B25327343A32}" type="sibTrans" cxnId="{37803337-37D2-6F41-9381-08AB8F536998}">
      <dgm:prSet/>
      <dgm:spPr/>
      <dgm:t>
        <a:bodyPr/>
        <a:lstStyle/>
        <a:p>
          <a:endParaRPr lang="ru-RU"/>
        </a:p>
      </dgm:t>
    </dgm:pt>
    <dgm:pt modelId="{B7880732-D870-D749-8A9F-86892D862D51}">
      <dgm:prSet phldrT="[Текст]" custT="1"/>
      <dgm:spPr/>
      <dgm:t>
        <a:bodyPr/>
        <a:lstStyle/>
        <a:p>
          <a:r>
            <a:rPr lang="en-US" sz="900" b="1" i="0">
              <a:latin typeface="Times New Roman" panose="02020603050405020304" pitchFamily="18" charset="0"/>
              <a:cs typeface="Times New Roman" panose="02020603050405020304" pitchFamily="18" charset="0"/>
            </a:rPr>
            <a:t>Reducing information-asymmetry risks</a:t>
          </a:r>
        </a:p>
        <a:p>
          <a:r>
            <a:rPr lang="en-US" sz="900" i="0">
              <a:latin typeface="Times New Roman" panose="02020603050405020304" pitchFamily="18" charset="0"/>
              <a:cs typeface="Times New Roman" panose="02020603050405020304" pitchFamily="18" charset="0"/>
            </a:rPr>
            <a:t>about all of 20 Islamic contracts are informational symmetric (except wakala, salam, mudaraba)</a:t>
          </a:r>
          <a:endParaRPr lang="ru-RU" sz="900" i="0">
            <a:latin typeface="Times New Roman" panose="02020603050405020304" pitchFamily="18" charset="0"/>
            <a:cs typeface="Times New Roman" panose="02020603050405020304" pitchFamily="18" charset="0"/>
          </a:endParaRPr>
        </a:p>
      </dgm:t>
    </dgm:pt>
    <dgm:pt modelId="{DE14CE0A-EA75-4944-AF7C-7BC02963EB24}" type="parTrans" cxnId="{687811F7-0D84-5D40-BED8-D27EF04C4F42}">
      <dgm:prSet/>
      <dgm:spPr/>
      <dgm:t>
        <a:bodyPr/>
        <a:lstStyle/>
        <a:p>
          <a:endParaRPr lang="ru-RU"/>
        </a:p>
      </dgm:t>
    </dgm:pt>
    <dgm:pt modelId="{D121EA94-15EC-E24E-9AAE-89CC0469499D}" type="sibTrans" cxnId="{687811F7-0D84-5D40-BED8-D27EF04C4F42}">
      <dgm:prSet/>
      <dgm:spPr/>
      <dgm:t>
        <a:bodyPr/>
        <a:lstStyle/>
        <a:p>
          <a:endParaRPr lang="ru-RU"/>
        </a:p>
      </dgm:t>
    </dgm:pt>
    <dgm:pt modelId="{EB8A5D18-2EA4-754D-B427-5F14F1573BFC}">
      <dgm:prSet phldrT="[Текст]" custT="1"/>
      <dgm:spPr/>
      <dgm:t>
        <a:bodyPr/>
        <a:lstStyle/>
        <a:p>
          <a:r>
            <a:rPr lang="en-US" sz="900" b="1" i="0">
              <a:latin typeface="Times New Roman" panose="02020603050405020304" pitchFamily="18" charset="0"/>
              <a:cs typeface="Times New Roman" panose="02020603050405020304" pitchFamily="18" charset="0"/>
            </a:rPr>
            <a:t>Establishing equity</a:t>
          </a:r>
        </a:p>
        <a:p>
          <a:r>
            <a:rPr lang="en-US" sz="900" b="0" i="0">
              <a:latin typeface="Times New Roman" panose="02020603050405020304" pitchFamily="18" charset="0"/>
              <a:cs typeface="Times New Roman" panose="02020603050405020304" pitchFamily="18" charset="0"/>
            </a:rPr>
            <a:t>special account for charity where generated profit from Shariah non-compliant activity;</a:t>
          </a:r>
        </a:p>
        <a:p>
          <a:r>
            <a:rPr lang="en-US" sz="900" b="0" i="0">
              <a:latin typeface="Times New Roman" panose="02020603050405020304" pitchFamily="18" charset="0"/>
              <a:cs typeface="Times New Roman" panose="02020603050405020304" pitchFamily="18" charset="0"/>
            </a:rPr>
            <a:t>equal capacity in obtaining finance for clients</a:t>
          </a:r>
          <a:endParaRPr lang="ru-RU" sz="900" b="0" i="0">
            <a:latin typeface="Times New Roman" panose="02020603050405020304" pitchFamily="18" charset="0"/>
            <a:cs typeface="Times New Roman" panose="02020603050405020304" pitchFamily="18" charset="0"/>
          </a:endParaRPr>
        </a:p>
      </dgm:t>
    </dgm:pt>
    <dgm:pt modelId="{985E2C90-DC07-8A40-B091-0CF64442D89D}" type="parTrans" cxnId="{79B7AEA0-0CE8-774B-89CF-B99195C15F2A}">
      <dgm:prSet/>
      <dgm:spPr/>
      <dgm:t>
        <a:bodyPr/>
        <a:lstStyle/>
        <a:p>
          <a:endParaRPr lang="ru-RU"/>
        </a:p>
      </dgm:t>
    </dgm:pt>
    <dgm:pt modelId="{D2B3BA5D-0951-C94E-A67C-C5A8B5A9390B}" type="sibTrans" cxnId="{79B7AEA0-0CE8-774B-89CF-B99195C15F2A}">
      <dgm:prSet/>
      <dgm:spPr/>
      <dgm:t>
        <a:bodyPr/>
        <a:lstStyle/>
        <a:p>
          <a:endParaRPr lang="ru-RU"/>
        </a:p>
      </dgm:t>
    </dgm:pt>
    <dgm:pt modelId="{A8C844A0-4062-4146-88FE-12074197B5B4}">
      <dgm:prSet phldrT="[Текст]" custT="1"/>
      <dgm:spPr/>
      <dgm:t>
        <a:bodyPr/>
        <a:lstStyle/>
        <a:p>
          <a:r>
            <a:rPr lang="en-US" sz="900" b="1" i="0">
              <a:latin typeface="Times New Roman" panose="02020603050405020304" pitchFamily="18" charset="0"/>
              <a:cs typeface="Times New Roman" panose="02020603050405020304" pitchFamily="18" charset="0"/>
            </a:rPr>
            <a:t>Systemic integrity</a:t>
          </a:r>
        </a:p>
        <a:p>
          <a:r>
            <a:rPr lang="en-US" sz="900" i="0">
              <a:latin typeface="Times New Roman" panose="02020603050405020304" pitchFamily="18" charset="0"/>
              <a:cs typeface="Times New Roman" panose="02020603050405020304" pitchFamily="18" charset="0"/>
            </a:rPr>
            <a:t>linking of financial transactions with real sector;</a:t>
          </a:r>
        </a:p>
        <a:p>
          <a:r>
            <a:rPr lang="en-US" sz="900">
              <a:latin typeface="Times New Roman" panose="02020603050405020304" pitchFamily="18" charset="0"/>
              <a:cs typeface="Times New Roman" panose="02020603050405020304" pitchFamily="18" charset="0"/>
            </a:rPr>
            <a:t>stronger market mechanism </a:t>
          </a:r>
          <a:endParaRPr lang="en-US" sz="900" i="0">
            <a:latin typeface="Times New Roman" panose="02020603050405020304" pitchFamily="18" charset="0"/>
            <a:cs typeface="Times New Roman" panose="02020603050405020304" pitchFamily="18" charset="0"/>
          </a:endParaRPr>
        </a:p>
      </dgm:t>
    </dgm:pt>
    <dgm:pt modelId="{2CA95A53-2244-C547-8061-0D7008AD0999}" type="parTrans" cxnId="{A02797FB-B585-8F42-B309-0E090A58CC66}">
      <dgm:prSet/>
      <dgm:spPr/>
      <dgm:t>
        <a:bodyPr/>
        <a:lstStyle/>
        <a:p>
          <a:endParaRPr lang="ru-RU"/>
        </a:p>
      </dgm:t>
    </dgm:pt>
    <dgm:pt modelId="{2718955E-1B6B-834F-84DD-DD2DD2EBE021}" type="sibTrans" cxnId="{A02797FB-B585-8F42-B309-0E090A58CC66}">
      <dgm:prSet/>
      <dgm:spPr/>
      <dgm:t>
        <a:bodyPr/>
        <a:lstStyle/>
        <a:p>
          <a:endParaRPr lang="ru-RU"/>
        </a:p>
      </dgm:t>
    </dgm:pt>
    <dgm:pt modelId="{2EC3C8DB-875B-CB43-BCD5-F72B36B2D56A}">
      <dgm:prSet phldrT="[Текст]" custT="1"/>
      <dgm:spPr/>
      <dgm:t>
        <a:bodyPr/>
        <a:lstStyle/>
        <a:p>
          <a:r>
            <a:rPr lang="en-US" sz="900" b="1" i="0">
              <a:latin typeface="Times New Roman" panose="02020603050405020304" pitchFamily="18" charset="0"/>
              <a:cs typeface="Times New Roman" panose="02020603050405020304" pitchFamily="18" charset="0"/>
            </a:rPr>
            <a:t>Financing economic development</a:t>
          </a:r>
        </a:p>
        <a:p>
          <a:r>
            <a:rPr lang="en-US" sz="900" i="0">
              <a:latin typeface="Times New Roman" panose="02020603050405020304" pitchFamily="18" charset="0"/>
              <a:cs typeface="Times New Roman" panose="02020603050405020304" pitchFamily="18" charset="0"/>
            </a:rPr>
            <a:t>ability to mobilize resources in ethical investments </a:t>
          </a:r>
          <a:endParaRPr lang="ru-RU" sz="900" i="0">
            <a:latin typeface="Times New Roman" panose="02020603050405020304" pitchFamily="18" charset="0"/>
            <a:cs typeface="Times New Roman" panose="02020603050405020304" pitchFamily="18" charset="0"/>
          </a:endParaRPr>
        </a:p>
      </dgm:t>
    </dgm:pt>
    <dgm:pt modelId="{6791B018-C1A7-884F-B4D6-DA3CAF6AF8C8}" type="parTrans" cxnId="{6E3B7EB4-BBB3-094E-94AF-4DB566704640}">
      <dgm:prSet/>
      <dgm:spPr/>
      <dgm:t>
        <a:bodyPr/>
        <a:lstStyle/>
        <a:p>
          <a:endParaRPr lang="ru-RU"/>
        </a:p>
      </dgm:t>
    </dgm:pt>
    <dgm:pt modelId="{06077A4F-D613-5646-9D6B-71EEAF1D5FD0}" type="sibTrans" cxnId="{6E3B7EB4-BBB3-094E-94AF-4DB566704640}">
      <dgm:prSet/>
      <dgm:spPr/>
      <dgm:t>
        <a:bodyPr/>
        <a:lstStyle/>
        <a:p>
          <a:endParaRPr lang="ru-RU"/>
        </a:p>
      </dgm:t>
    </dgm:pt>
    <dgm:pt modelId="{D42CEC4E-FC4E-0E42-BF3C-304586A4DC1E}">
      <dgm:prSet phldrT="[Текст]" custT="1"/>
      <dgm:spPr/>
      <dgm:t>
        <a:bodyPr/>
        <a:lstStyle/>
        <a:p>
          <a:r>
            <a:rPr lang="en-US" sz="900" b="1" i="0">
              <a:latin typeface="Times New Roman" panose="02020603050405020304" pitchFamily="18" charset="0"/>
              <a:cs typeface="Times New Roman" panose="02020603050405020304" pitchFamily="18" charset="0"/>
            </a:rPr>
            <a:t>Sustainability</a:t>
          </a:r>
        </a:p>
        <a:p>
          <a:r>
            <a:rPr lang="en-US" sz="900" i="0">
              <a:latin typeface="Times New Roman" panose="02020603050405020304" pitchFamily="18" charset="0"/>
              <a:cs typeface="Times New Roman" panose="02020603050405020304" pitchFamily="18" charset="0"/>
            </a:rPr>
            <a:t>absence of institutional features exposed to crises;</a:t>
          </a:r>
        </a:p>
        <a:p>
          <a:r>
            <a:rPr lang="en-US" sz="900" i="0">
              <a:latin typeface="Times New Roman" panose="02020603050405020304" pitchFamily="18" charset="0"/>
              <a:cs typeface="Times New Roman" panose="02020603050405020304" pitchFamily="18" charset="0"/>
            </a:rPr>
            <a:t>tools for weakening crises' effects</a:t>
          </a:r>
        </a:p>
        <a:p>
          <a:r>
            <a:rPr lang="en-US" sz="900" i="0">
              <a:latin typeface="Times New Roman" panose="02020603050405020304" pitchFamily="18" charset="0"/>
              <a:cs typeface="Times New Roman" panose="02020603050405020304" pitchFamily="18" charset="0"/>
            </a:rPr>
            <a:t> </a:t>
          </a:r>
          <a:endParaRPr lang="ru-RU" sz="900" i="0">
            <a:latin typeface="Times New Roman" panose="02020603050405020304" pitchFamily="18" charset="0"/>
            <a:cs typeface="Times New Roman" panose="02020603050405020304" pitchFamily="18" charset="0"/>
          </a:endParaRPr>
        </a:p>
      </dgm:t>
    </dgm:pt>
    <dgm:pt modelId="{E8A78E55-4704-E745-A096-5A04C3B74A40}" type="parTrans" cxnId="{F87B3377-DAD6-1842-BCEA-CC4028F642D4}">
      <dgm:prSet/>
      <dgm:spPr/>
      <dgm:t>
        <a:bodyPr/>
        <a:lstStyle/>
        <a:p>
          <a:endParaRPr lang="ru-RU"/>
        </a:p>
      </dgm:t>
    </dgm:pt>
    <dgm:pt modelId="{83B58D8F-6448-E94B-9922-7AE25686E07B}" type="sibTrans" cxnId="{F87B3377-DAD6-1842-BCEA-CC4028F642D4}">
      <dgm:prSet/>
      <dgm:spPr/>
      <dgm:t>
        <a:bodyPr/>
        <a:lstStyle/>
        <a:p>
          <a:endParaRPr lang="ru-RU"/>
        </a:p>
      </dgm:t>
    </dgm:pt>
    <dgm:pt modelId="{3FBA0E79-AB3F-0D42-87A6-896D152206DE}">
      <dgm:prSet phldrT="[Текст]" custT="1"/>
      <dgm:spPr/>
      <dgm:t>
        <a:bodyPr/>
        <a:lstStyle/>
        <a:p>
          <a:r>
            <a:rPr lang="en-US" sz="900" b="1" i="0">
              <a:latin typeface="Times New Roman" panose="02020603050405020304" pitchFamily="18" charset="0"/>
              <a:cs typeface="Times New Roman" panose="02020603050405020304" pitchFamily="18" charset="0"/>
            </a:rPr>
            <a:t>Revolutionary formula for reforming international monetary and financial reform </a:t>
          </a:r>
          <a:endParaRPr lang="ru-RU" sz="900" b="1" i="0">
            <a:latin typeface="Times New Roman" panose="02020603050405020304" pitchFamily="18" charset="0"/>
            <a:cs typeface="Times New Roman" panose="02020603050405020304" pitchFamily="18" charset="0"/>
          </a:endParaRPr>
        </a:p>
      </dgm:t>
    </dgm:pt>
    <dgm:pt modelId="{0AA68883-969A-4F40-A78C-EAC576F38450}" type="parTrans" cxnId="{EF7F9377-DB2D-C04A-ABCC-FBEA83106654}">
      <dgm:prSet/>
      <dgm:spPr/>
      <dgm:t>
        <a:bodyPr/>
        <a:lstStyle/>
        <a:p>
          <a:endParaRPr lang="ru-RU"/>
        </a:p>
      </dgm:t>
    </dgm:pt>
    <dgm:pt modelId="{A3224736-765E-1A46-8D98-1431AD5696E1}" type="sibTrans" cxnId="{EF7F9377-DB2D-C04A-ABCC-FBEA83106654}">
      <dgm:prSet/>
      <dgm:spPr/>
      <dgm:t>
        <a:bodyPr/>
        <a:lstStyle/>
        <a:p>
          <a:endParaRPr lang="ru-RU"/>
        </a:p>
      </dgm:t>
    </dgm:pt>
    <dgm:pt modelId="{B7B19EF3-C610-0C4D-AB43-A1F252DE0FCF}">
      <dgm:prSet custT="1"/>
      <dgm:spPr/>
      <dgm:t>
        <a:bodyPr/>
        <a:lstStyle/>
        <a:p>
          <a:r>
            <a:rPr lang="en" sz="900" b="1" i="0">
              <a:latin typeface="Times New Roman" panose="02020603050405020304" pitchFamily="18" charset="0"/>
              <a:cs typeface="Times New Roman" panose="02020603050405020304" pitchFamily="18" charset="0"/>
            </a:rPr>
            <a:t>Society-oriented financing </a:t>
          </a:r>
          <a:r>
            <a:rPr lang="en-US" sz="900" b="0" i="0">
              <a:latin typeface="Times New Roman" panose="02020603050405020304" pitchFamily="18" charset="0"/>
              <a:cs typeface="Times New Roman" panose="02020603050405020304" pitchFamily="18" charset="0"/>
            </a:rPr>
            <a:t>poverty eradication through zakat and  charity funds</a:t>
          </a:r>
          <a:endParaRPr lang="ru-RU" sz="900" b="0" i="0">
            <a:latin typeface="Times New Roman" panose="02020603050405020304" pitchFamily="18" charset="0"/>
            <a:cs typeface="Times New Roman" panose="02020603050405020304" pitchFamily="18" charset="0"/>
          </a:endParaRPr>
        </a:p>
        <a:p>
          <a:r>
            <a:rPr lang="en-US" sz="900">
              <a:latin typeface="Times New Roman" panose="02020603050405020304" pitchFamily="18" charset="0"/>
              <a:cs typeface="Times New Roman" panose="02020603050405020304" pitchFamily="18" charset="0"/>
            </a:rPr>
            <a:t>qard-hasan for microfinance</a:t>
          </a:r>
          <a:endParaRPr lang="ru-RU" sz="900">
            <a:latin typeface="Times New Roman" panose="02020603050405020304" pitchFamily="18" charset="0"/>
            <a:cs typeface="Times New Roman" panose="02020603050405020304" pitchFamily="18" charset="0"/>
          </a:endParaRPr>
        </a:p>
      </dgm:t>
    </dgm:pt>
    <dgm:pt modelId="{5349AEAC-10A5-1E42-84EF-A9D2BF6D783F}" type="parTrans" cxnId="{A5A7E1D5-F108-A341-BF95-691BCA13A411}">
      <dgm:prSet/>
      <dgm:spPr/>
      <dgm:t>
        <a:bodyPr/>
        <a:lstStyle/>
        <a:p>
          <a:endParaRPr lang="ru-RU"/>
        </a:p>
      </dgm:t>
    </dgm:pt>
    <dgm:pt modelId="{F7B409F7-956E-6F45-A87F-79B4F27D53FE}" type="sibTrans" cxnId="{A5A7E1D5-F108-A341-BF95-691BCA13A411}">
      <dgm:prSet/>
      <dgm:spPr/>
      <dgm:t>
        <a:bodyPr/>
        <a:lstStyle/>
        <a:p>
          <a:endParaRPr lang="ru-RU"/>
        </a:p>
      </dgm:t>
    </dgm:pt>
    <dgm:pt modelId="{5C253591-54C7-4C4A-9618-32F15F90B498}" type="pres">
      <dgm:prSet presAssocID="{7E1DC00B-22E5-3C4B-B262-B365932A4D26}" presName="Name0" presStyleCnt="0">
        <dgm:presLayoutVars>
          <dgm:dir/>
          <dgm:resizeHandles/>
        </dgm:presLayoutVars>
      </dgm:prSet>
      <dgm:spPr/>
    </dgm:pt>
    <dgm:pt modelId="{5A9869AB-7C2E-4F40-A045-14404B72E837}" type="pres">
      <dgm:prSet presAssocID="{F60A1428-7C36-EF49-90F7-0225F07D9EF1}" presName="compNode" presStyleCnt="0"/>
      <dgm:spPr/>
    </dgm:pt>
    <dgm:pt modelId="{DDEC4F99-9742-E546-BBC5-F44D470022A4}" type="pres">
      <dgm:prSet presAssocID="{F60A1428-7C36-EF49-90F7-0225F07D9EF1}" presName="dummyConnPt" presStyleCnt="0"/>
      <dgm:spPr/>
    </dgm:pt>
    <dgm:pt modelId="{76D6B00C-6798-DF4D-AF8D-3E4399E8EAD6}" type="pres">
      <dgm:prSet presAssocID="{F60A1428-7C36-EF49-90F7-0225F07D9EF1}" presName="node" presStyleLbl="node1" presStyleIdx="0" presStyleCnt="9">
        <dgm:presLayoutVars>
          <dgm:bulletEnabled val="1"/>
        </dgm:presLayoutVars>
      </dgm:prSet>
      <dgm:spPr/>
    </dgm:pt>
    <dgm:pt modelId="{0598761B-C26A-EC4C-80B3-061637A30106}" type="pres">
      <dgm:prSet presAssocID="{4CBD6844-F05C-E647-A48A-06C59F3BE717}" presName="sibTrans" presStyleLbl="bgSibTrans2D1" presStyleIdx="0" presStyleCnt="8"/>
      <dgm:spPr/>
    </dgm:pt>
    <dgm:pt modelId="{6A1792A9-E0EA-F843-9CB2-66BE7B41E04C}" type="pres">
      <dgm:prSet presAssocID="{1D788182-6633-1B47-B8E7-927F44C16CD8}" presName="compNode" presStyleCnt="0"/>
      <dgm:spPr/>
    </dgm:pt>
    <dgm:pt modelId="{A2E8110A-30B4-0F45-8C73-D7898869AC32}" type="pres">
      <dgm:prSet presAssocID="{1D788182-6633-1B47-B8E7-927F44C16CD8}" presName="dummyConnPt" presStyleCnt="0"/>
      <dgm:spPr/>
    </dgm:pt>
    <dgm:pt modelId="{D5224237-2268-4342-9B32-F8A84C63923E}" type="pres">
      <dgm:prSet presAssocID="{1D788182-6633-1B47-B8E7-927F44C16CD8}" presName="node" presStyleLbl="node1" presStyleIdx="1" presStyleCnt="9">
        <dgm:presLayoutVars>
          <dgm:bulletEnabled val="1"/>
        </dgm:presLayoutVars>
      </dgm:prSet>
      <dgm:spPr/>
    </dgm:pt>
    <dgm:pt modelId="{475A6ABD-421F-6441-8534-6D2D5102EE82}" type="pres">
      <dgm:prSet presAssocID="{5AEAE912-CEE5-EB49-A35D-B25327343A32}" presName="sibTrans" presStyleLbl="bgSibTrans2D1" presStyleIdx="1" presStyleCnt="8"/>
      <dgm:spPr/>
    </dgm:pt>
    <dgm:pt modelId="{7830AE1E-D578-F04D-835D-EFBAC67AC532}" type="pres">
      <dgm:prSet presAssocID="{B7880732-D870-D749-8A9F-86892D862D51}" presName="compNode" presStyleCnt="0"/>
      <dgm:spPr/>
    </dgm:pt>
    <dgm:pt modelId="{7EE13C84-C8FD-9D42-AB41-838FEBA68FB9}" type="pres">
      <dgm:prSet presAssocID="{B7880732-D870-D749-8A9F-86892D862D51}" presName="dummyConnPt" presStyleCnt="0"/>
      <dgm:spPr/>
    </dgm:pt>
    <dgm:pt modelId="{350F2551-1CEC-0F4E-9E8A-B8CFD6E0BAAA}" type="pres">
      <dgm:prSet presAssocID="{B7880732-D870-D749-8A9F-86892D862D51}" presName="node" presStyleLbl="node1" presStyleIdx="2" presStyleCnt="9" custScaleY="111052" custLinFactNeighborY="0">
        <dgm:presLayoutVars>
          <dgm:bulletEnabled val="1"/>
        </dgm:presLayoutVars>
      </dgm:prSet>
      <dgm:spPr/>
    </dgm:pt>
    <dgm:pt modelId="{1380DF29-DA75-0849-98C6-05533B07585C}" type="pres">
      <dgm:prSet presAssocID="{D121EA94-15EC-E24E-9AAE-89CC0469499D}" presName="sibTrans" presStyleLbl="bgSibTrans2D1" presStyleIdx="2" presStyleCnt="8"/>
      <dgm:spPr/>
    </dgm:pt>
    <dgm:pt modelId="{F9A9B5C6-C444-6E4F-8782-6E99597FF8DC}" type="pres">
      <dgm:prSet presAssocID="{EB8A5D18-2EA4-754D-B427-5F14F1573BFC}" presName="compNode" presStyleCnt="0"/>
      <dgm:spPr/>
    </dgm:pt>
    <dgm:pt modelId="{4BFD9C30-CA52-3D47-B8F6-681304591791}" type="pres">
      <dgm:prSet presAssocID="{EB8A5D18-2EA4-754D-B427-5F14F1573BFC}" presName="dummyConnPt" presStyleCnt="0"/>
      <dgm:spPr/>
    </dgm:pt>
    <dgm:pt modelId="{F01D7804-64EF-0B4C-B3A6-292BAAA2CFEE}" type="pres">
      <dgm:prSet presAssocID="{EB8A5D18-2EA4-754D-B427-5F14F1573BFC}" presName="node" presStyleLbl="node1" presStyleIdx="3" presStyleCnt="9" custScaleY="110868">
        <dgm:presLayoutVars>
          <dgm:bulletEnabled val="1"/>
        </dgm:presLayoutVars>
      </dgm:prSet>
      <dgm:spPr/>
    </dgm:pt>
    <dgm:pt modelId="{0F330487-A6AD-C44E-9F99-B1D56137D21E}" type="pres">
      <dgm:prSet presAssocID="{D2B3BA5D-0951-C94E-A67C-C5A8B5A9390B}" presName="sibTrans" presStyleLbl="bgSibTrans2D1" presStyleIdx="3" presStyleCnt="8"/>
      <dgm:spPr/>
    </dgm:pt>
    <dgm:pt modelId="{FB52DCD6-096A-A348-8229-CD8C368A5B69}" type="pres">
      <dgm:prSet presAssocID="{A8C844A0-4062-4146-88FE-12074197B5B4}" presName="compNode" presStyleCnt="0"/>
      <dgm:spPr/>
    </dgm:pt>
    <dgm:pt modelId="{AADA8308-D5F0-F04A-901E-256724951727}" type="pres">
      <dgm:prSet presAssocID="{A8C844A0-4062-4146-88FE-12074197B5B4}" presName="dummyConnPt" presStyleCnt="0"/>
      <dgm:spPr/>
    </dgm:pt>
    <dgm:pt modelId="{C9A45B87-2667-5743-A5D6-E56C088EEC3D}" type="pres">
      <dgm:prSet presAssocID="{A8C844A0-4062-4146-88FE-12074197B5B4}" presName="node" presStyleLbl="node1" presStyleIdx="4" presStyleCnt="9">
        <dgm:presLayoutVars>
          <dgm:bulletEnabled val="1"/>
        </dgm:presLayoutVars>
      </dgm:prSet>
      <dgm:spPr/>
    </dgm:pt>
    <dgm:pt modelId="{B7AD7173-0DBA-C84F-B066-1FAEFF097ED3}" type="pres">
      <dgm:prSet presAssocID="{2718955E-1B6B-834F-84DD-DD2DD2EBE021}" presName="sibTrans" presStyleLbl="bgSibTrans2D1" presStyleIdx="4" presStyleCnt="8"/>
      <dgm:spPr/>
    </dgm:pt>
    <dgm:pt modelId="{E69806DC-BA59-5647-9DBC-0AEB0545B380}" type="pres">
      <dgm:prSet presAssocID="{2EC3C8DB-875B-CB43-BCD5-F72B36B2D56A}" presName="compNode" presStyleCnt="0"/>
      <dgm:spPr/>
    </dgm:pt>
    <dgm:pt modelId="{418023F8-AE87-2F47-9EE2-736FA8CBA3CC}" type="pres">
      <dgm:prSet presAssocID="{2EC3C8DB-875B-CB43-BCD5-F72B36B2D56A}" presName="dummyConnPt" presStyleCnt="0"/>
      <dgm:spPr/>
    </dgm:pt>
    <dgm:pt modelId="{464EEE9F-73B8-DA47-8043-C196F753384F}" type="pres">
      <dgm:prSet presAssocID="{2EC3C8DB-875B-CB43-BCD5-F72B36B2D56A}" presName="node" presStyleLbl="node1" presStyleIdx="5" presStyleCnt="9">
        <dgm:presLayoutVars>
          <dgm:bulletEnabled val="1"/>
        </dgm:presLayoutVars>
      </dgm:prSet>
      <dgm:spPr/>
    </dgm:pt>
    <dgm:pt modelId="{78763C99-D630-8F4D-8C16-70EE39E48ED5}" type="pres">
      <dgm:prSet presAssocID="{06077A4F-D613-5646-9D6B-71EEAF1D5FD0}" presName="sibTrans" presStyleLbl="bgSibTrans2D1" presStyleIdx="5" presStyleCnt="8"/>
      <dgm:spPr/>
    </dgm:pt>
    <dgm:pt modelId="{7B9AEE2B-CC56-8744-B90A-A09CC6798259}" type="pres">
      <dgm:prSet presAssocID="{D42CEC4E-FC4E-0E42-BF3C-304586A4DC1E}" presName="compNode" presStyleCnt="0"/>
      <dgm:spPr/>
    </dgm:pt>
    <dgm:pt modelId="{F0143A9D-703D-354B-8C48-1E8D08B9BA83}" type="pres">
      <dgm:prSet presAssocID="{D42CEC4E-FC4E-0E42-BF3C-304586A4DC1E}" presName="dummyConnPt" presStyleCnt="0"/>
      <dgm:spPr/>
    </dgm:pt>
    <dgm:pt modelId="{50A51725-D6F9-7547-8015-B924B1C5824F}" type="pres">
      <dgm:prSet presAssocID="{D42CEC4E-FC4E-0E42-BF3C-304586A4DC1E}" presName="node" presStyleLbl="node1" presStyleIdx="6" presStyleCnt="9">
        <dgm:presLayoutVars>
          <dgm:bulletEnabled val="1"/>
        </dgm:presLayoutVars>
      </dgm:prSet>
      <dgm:spPr/>
    </dgm:pt>
    <dgm:pt modelId="{5DFB61E7-B350-3540-B978-1851DC4F4EAA}" type="pres">
      <dgm:prSet presAssocID="{83B58D8F-6448-E94B-9922-7AE25686E07B}" presName="sibTrans" presStyleLbl="bgSibTrans2D1" presStyleIdx="6" presStyleCnt="8"/>
      <dgm:spPr/>
    </dgm:pt>
    <dgm:pt modelId="{B89268C0-4E38-7448-8759-176B84F0E7EE}" type="pres">
      <dgm:prSet presAssocID="{B7B19EF3-C610-0C4D-AB43-A1F252DE0FCF}" presName="compNode" presStyleCnt="0"/>
      <dgm:spPr/>
    </dgm:pt>
    <dgm:pt modelId="{F0710A42-1116-FA42-B305-BC79AD084C96}" type="pres">
      <dgm:prSet presAssocID="{B7B19EF3-C610-0C4D-AB43-A1F252DE0FCF}" presName="dummyConnPt" presStyleCnt="0"/>
      <dgm:spPr/>
    </dgm:pt>
    <dgm:pt modelId="{D640390A-69C6-FB4C-BA2D-CDBC5C045FEB}" type="pres">
      <dgm:prSet presAssocID="{B7B19EF3-C610-0C4D-AB43-A1F252DE0FCF}" presName="node" presStyleLbl="node1" presStyleIdx="7" presStyleCnt="9">
        <dgm:presLayoutVars>
          <dgm:bulletEnabled val="1"/>
        </dgm:presLayoutVars>
      </dgm:prSet>
      <dgm:spPr/>
    </dgm:pt>
    <dgm:pt modelId="{1438D1EE-E156-2344-A661-4D7D2FD22E1C}" type="pres">
      <dgm:prSet presAssocID="{F7B409F7-956E-6F45-A87F-79B4F27D53FE}" presName="sibTrans" presStyleLbl="bgSibTrans2D1" presStyleIdx="7" presStyleCnt="8"/>
      <dgm:spPr/>
    </dgm:pt>
    <dgm:pt modelId="{C4C56B16-2AEB-4B4C-B60D-80FBFB0D1623}" type="pres">
      <dgm:prSet presAssocID="{3FBA0E79-AB3F-0D42-87A6-896D152206DE}" presName="compNode" presStyleCnt="0"/>
      <dgm:spPr/>
    </dgm:pt>
    <dgm:pt modelId="{217F79CE-F5C5-1647-85DC-7091C50030F3}" type="pres">
      <dgm:prSet presAssocID="{3FBA0E79-AB3F-0D42-87A6-896D152206DE}" presName="dummyConnPt" presStyleCnt="0"/>
      <dgm:spPr/>
    </dgm:pt>
    <dgm:pt modelId="{43DB1EBA-16FF-3641-B219-8C86188AF002}" type="pres">
      <dgm:prSet presAssocID="{3FBA0E79-AB3F-0D42-87A6-896D152206DE}" presName="node" presStyleLbl="node1" presStyleIdx="8" presStyleCnt="9">
        <dgm:presLayoutVars>
          <dgm:bulletEnabled val="1"/>
        </dgm:presLayoutVars>
      </dgm:prSet>
      <dgm:spPr/>
    </dgm:pt>
  </dgm:ptLst>
  <dgm:cxnLst>
    <dgm:cxn modelId="{47780F04-56B5-4FD6-838E-5E428B205415}" type="presOf" srcId="{D2B3BA5D-0951-C94E-A67C-C5A8B5A9390B}" destId="{0F330487-A6AD-C44E-9F99-B1D56137D21E}" srcOrd="0" destOrd="0" presId="urn:microsoft.com/office/officeart/2005/8/layout/bProcess4"/>
    <dgm:cxn modelId="{F3EB3805-0A3C-467B-BD3A-CE26AA062BE0}" type="presOf" srcId="{D121EA94-15EC-E24E-9AAE-89CC0469499D}" destId="{1380DF29-DA75-0849-98C6-05533B07585C}" srcOrd="0" destOrd="0" presId="urn:microsoft.com/office/officeart/2005/8/layout/bProcess4"/>
    <dgm:cxn modelId="{A31E1809-5C89-44F8-9804-05DA2E2BE4AD}" type="presOf" srcId="{4CBD6844-F05C-E647-A48A-06C59F3BE717}" destId="{0598761B-C26A-EC4C-80B3-061637A30106}" srcOrd="0" destOrd="0" presId="urn:microsoft.com/office/officeart/2005/8/layout/bProcess4"/>
    <dgm:cxn modelId="{9C66E50A-798F-45A1-8F6E-7EE1D92B7CEF}" type="presOf" srcId="{83B58D8F-6448-E94B-9922-7AE25686E07B}" destId="{5DFB61E7-B350-3540-B978-1851DC4F4EAA}" srcOrd="0" destOrd="0" presId="urn:microsoft.com/office/officeart/2005/8/layout/bProcess4"/>
    <dgm:cxn modelId="{C100DB0D-379C-4DCB-B6FB-5451212A314E}" type="presOf" srcId="{5AEAE912-CEE5-EB49-A35D-B25327343A32}" destId="{475A6ABD-421F-6441-8534-6D2D5102EE82}" srcOrd="0" destOrd="0" presId="urn:microsoft.com/office/officeart/2005/8/layout/bProcess4"/>
    <dgm:cxn modelId="{32F6061C-AC10-4817-9464-C1A9EC336259}" type="presOf" srcId="{B7B19EF3-C610-0C4D-AB43-A1F252DE0FCF}" destId="{D640390A-69C6-FB4C-BA2D-CDBC5C045FEB}" srcOrd="0" destOrd="0" presId="urn:microsoft.com/office/officeart/2005/8/layout/bProcess4"/>
    <dgm:cxn modelId="{C16D6C23-DFED-4D05-86E4-74D7126BFC0D}" type="presOf" srcId="{3FBA0E79-AB3F-0D42-87A6-896D152206DE}" destId="{43DB1EBA-16FF-3641-B219-8C86188AF002}" srcOrd="0" destOrd="0" presId="urn:microsoft.com/office/officeart/2005/8/layout/bProcess4"/>
    <dgm:cxn modelId="{2794822C-B604-4A84-A97D-EB31C22F8F7A}" type="presOf" srcId="{A8C844A0-4062-4146-88FE-12074197B5B4}" destId="{C9A45B87-2667-5743-A5D6-E56C088EEC3D}" srcOrd="0" destOrd="0" presId="urn:microsoft.com/office/officeart/2005/8/layout/bProcess4"/>
    <dgm:cxn modelId="{37803337-37D2-6F41-9381-08AB8F536998}" srcId="{7E1DC00B-22E5-3C4B-B262-B365932A4D26}" destId="{1D788182-6633-1B47-B8E7-927F44C16CD8}" srcOrd="1" destOrd="0" parTransId="{9F565DE3-538C-E84C-8A3B-14F2A466477C}" sibTransId="{5AEAE912-CEE5-EB49-A35D-B25327343A32}"/>
    <dgm:cxn modelId="{1EF64741-4316-4781-9106-A26338DD3B80}" type="presOf" srcId="{2718955E-1B6B-834F-84DD-DD2DD2EBE021}" destId="{B7AD7173-0DBA-C84F-B066-1FAEFF097ED3}" srcOrd="0" destOrd="0" presId="urn:microsoft.com/office/officeart/2005/8/layout/bProcess4"/>
    <dgm:cxn modelId="{22380F55-F7DC-464B-93B4-AF6FC8664E84}" type="presOf" srcId="{2EC3C8DB-875B-CB43-BCD5-F72B36B2D56A}" destId="{464EEE9F-73B8-DA47-8043-C196F753384F}" srcOrd="0" destOrd="0" presId="urn:microsoft.com/office/officeart/2005/8/layout/bProcess4"/>
    <dgm:cxn modelId="{45220156-2018-4F61-BDE3-FAD8C277C97F}" type="presOf" srcId="{EB8A5D18-2EA4-754D-B427-5F14F1573BFC}" destId="{F01D7804-64EF-0B4C-B3A6-292BAAA2CFEE}" srcOrd="0" destOrd="0" presId="urn:microsoft.com/office/officeart/2005/8/layout/bProcess4"/>
    <dgm:cxn modelId="{D6299F5D-41FD-4147-B64E-21051095FABF}" srcId="{7E1DC00B-22E5-3C4B-B262-B365932A4D26}" destId="{F60A1428-7C36-EF49-90F7-0225F07D9EF1}" srcOrd="0" destOrd="0" parTransId="{6391D7C1-83FA-DB40-B981-6EFE1DF031D0}" sibTransId="{4CBD6844-F05C-E647-A48A-06C59F3BE717}"/>
    <dgm:cxn modelId="{E885C05D-7BBD-47EB-8D41-A17B1C6F1748}" type="presOf" srcId="{F60A1428-7C36-EF49-90F7-0225F07D9EF1}" destId="{76D6B00C-6798-DF4D-AF8D-3E4399E8EAD6}" srcOrd="0" destOrd="0" presId="urn:microsoft.com/office/officeart/2005/8/layout/bProcess4"/>
    <dgm:cxn modelId="{CE36FB5E-CCB5-44B0-B7BF-A9EEA1469206}" type="presOf" srcId="{06077A4F-D613-5646-9D6B-71EEAF1D5FD0}" destId="{78763C99-D630-8F4D-8C16-70EE39E48ED5}" srcOrd="0" destOrd="0" presId="urn:microsoft.com/office/officeart/2005/8/layout/bProcess4"/>
    <dgm:cxn modelId="{F69EB067-7FAB-46A8-801C-D7031EAAD5C2}" type="presOf" srcId="{1D788182-6633-1B47-B8E7-927F44C16CD8}" destId="{D5224237-2268-4342-9B32-F8A84C63923E}" srcOrd="0" destOrd="0" presId="urn:microsoft.com/office/officeart/2005/8/layout/bProcess4"/>
    <dgm:cxn modelId="{F87B3377-DAD6-1842-BCEA-CC4028F642D4}" srcId="{7E1DC00B-22E5-3C4B-B262-B365932A4D26}" destId="{D42CEC4E-FC4E-0E42-BF3C-304586A4DC1E}" srcOrd="6" destOrd="0" parTransId="{E8A78E55-4704-E745-A096-5A04C3B74A40}" sibTransId="{83B58D8F-6448-E94B-9922-7AE25686E07B}"/>
    <dgm:cxn modelId="{EF7F9377-DB2D-C04A-ABCC-FBEA83106654}" srcId="{7E1DC00B-22E5-3C4B-B262-B365932A4D26}" destId="{3FBA0E79-AB3F-0D42-87A6-896D152206DE}" srcOrd="8" destOrd="0" parTransId="{0AA68883-969A-4F40-A78C-EAC576F38450}" sibTransId="{A3224736-765E-1A46-8D98-1431AD5696E1}"/>
    <dgm:cxn modelId="{DFDC607D-A914-4EB8-B32C-BEA03CE2FEA6}" type="presOf" srcId="{7E1DC00B-22E5-3C4B-B262-B365932A4D26}" destId="{5C253591-54C7-4C4A-9618-32F15F90B498}" srcOrd="0" destOrd="0" presId="urn:microsoft.com/office/officeart/2005/8/layout/bProcess4"/>
    <dgm:cxn modelId="{79B7AEA0-0CE8-774B-89CF-B99195C15F2A}" srcId="{7E1DC00B-22E5-3C4B-B262-B365932A4D26}" destId="{EB8A5D18-2EA4-754D-B427-5F14F1573BFC}" srcOrd="3" destOrd="0" parTransId="{985E2C90-DC07-8A40-B091-0CF64442D89D}" sibTransId="{D2B3BA5D-0951-C94E-A67C-C5A8B5A9390B}"/>
    <dgm:cxn modelId="{F8779AA3-AD85-473D-BBDF-93A9AB4AF697}" type="presOf" srcId="{F7B409F7-956E-6F45-A87F-79B4F27D53FE}" destId="{1438D1EE-E156-2344-A661-4D7D2FD22E1C}" srcOrd="0" destOrd="0" presId="urn:microsoft.com/office/officeart/2005/8/layout/bProcess4"/>
    <dgm:cxn modelId="{6E3B7EB4-BBB3-094E-94AF-4DB566704640}" srcId="{7E1DC00B-22E5-3C4B-B262-B365932A4D26}" destId="{2EC3C8DB-875B-CB43-BCD5-F72B36B2D56A}" srcOrd="5" destOrd="0" parTransId="{6791B018-C1A7-884F-B4D6-DA3CAF6AF8C8}" sibTransId="{06077A4F-D613-5646-9D6B-71EEAF1D5FD0}"/>
    <dgm:cxn modelId="{435853BC-96A1-4C09-A04E-B4E2F10E5E96}" type="presOf" srcId="{B7880732-D870-D749-8A9F-86892D862D51}" destId="{350F2551-1CEC-0F4E-9E8A-B8CFD6E0BAAA}" srcOrd="0" destOrd="0" presId="urn:microsoft.com/office/officeart/2005/8/layout/bProcess4"/>
    <dgm:cxn modelId="{D940F4C8-211F-4922-8398-C6F7F273088E}" type="presOf" srcId="{D42CEC4E-FC4E-0E42-BF3C-304586A4DC1E}" destId="{50A51725-D6F9-7547-8015-B924B1C5824F}" srcOrd="0" destOrd="0" presId="urn:microsoft.com/office/officeart/2005/8/layout/bProcess4"/>
    <dgm:cxn modelId="{A5A7E1D5-F108-A341-BF95-691BCA13A411}" srcId="{7E1DC00B-22E5-3C4B-B262-B365932A4D26}" destId="{B7B19EF3-C610-0C4D-AB43-A1F252DE0FCF}" srcOrd="7" destOrd="0" parTransId="{5349AEAC-10A5-1E42-84EF-A9D2BF6D783F}" sibTransId="{F7B409F7-956E-6F45-A87F-79B4F27D53FE}"/>
    <dgm:cxn modelId="{687811F7-0D84-5D40-BED8-D27EF04C4F42}" srcId="{7E1DC00B-22E5-3C4B-B262-B365932A4D26}" destId="{B7880732-D870-D749-8A9F-86892D862D51}" srcOrd="2" destOrd="0" parTransId="{DE14CE0A-EA75-4944-AF7C-7BC02963EB24}" sibTransId="{D121EA94-15EC-E24E-9AAE-89CC0469499D}"/>
    <dgm:cxn modelId="{A02797FB-B585-8F42-B309-0E090A58CC66}" srcId="{7E1DC00B-22E5-3C4B-B262-B365932A4D26}" destId="{A8C844A0-4062-4146-88FE-12074197B5B4}" srcOrd="4" destOrd="0" parTransId="{2CA95A53-2244-C547-8061-0D7008AD0999}" sibTransId="{2718955E-1B6B-834F-84DD-DD2DD2EBE021}"/>
    <dgm:cxn modelId="{7777BD3C-9811-42A6-AE92-6EB5D936F659}" type="presParOf" srcId="{5C253591-54C7-4C4A-9618-32F15F90B498}" destId="{5A9869AB-7C2E-4F40-A045-14404B72E837}" srcOrd="0" destOrd="0" presId="urn:microsoft.com/office/officeart/2005/8/layout/bProcess4"/>
    <dgm:cxn modelId="{6027A219-F730-4E8C-95E0-679D1F891790}" type="presParOf" srcId="{5A9869AB-7C2E-4F40-A045-14404B72E837}" destId="{DDEC4F99-9742-E546-BBC5-F44D470022A4}" srcOrd="0" destOrd="0" presId="urn:microsoft.com/office/officeart/2005/8/layout/bProcess4"/>
    <dgm:cxn modelId="{312DF038-D40B-4541-92C5-80548F2DBF61}" type="presParOf" srcId="{5A9869AB-7C2E-4F40-A045-14404B72E837}" destId="{76D6B00C-6798-DF4D-AF8D-3E4399E8EAD6}" srcOrd="1" destOrd="0" presId="urn:microsoft.com/office/officeart/2005/8/layout/bProcess4"/>
    <dgm:cxn modelId="{D82CB3A5-58A2-4025-912A-A39D90A5CAA9}" type="presParOf" srcId="{5C253591-54C7-4C4A-9618-32F15F90B498}" destId="{0598761B-C26A-EC4C-80B3-061637A30106}" srcOrd="1" destOrd="0" presId="urn:microsoft.com/office/officeart/2005/8/layout/bProcess4"/>
    <dgm:cxn modelId="{0E23B876-32D9-4664-A6BD-F828CB60CE85}" type="presParOf" srcId="{5C253591-54C7-4C4A-9618-32F15F90B498}" destId="{6A1792A9-E0EA-F843-9CB2-66BE7B41E04C}" srcOrd="2" destOrd="0" presId="urn:microsoft.com/office/officeart/2005/8/layout/bProcess4"/>
    <dgm:cxn modelId="{CD9D2DC7-311B-472F-A50D-5083C63D160F}" type="presParOf" srcId="{6A1792A9-E0EA-F843-9CB2-66BE7B41E04C}" destId="{A2E8110A-30B4-0F45-8C73-D7898869AC32}" srcOrd="0" destOrd="0" presId="urn:microsoft.com/office/officeart/2005/8/layout/bProcess4"/>
    <dgm:cxn modelId="{884B57BF-64A7-44DE-9B7A-D96804851ED7}" type="presParOf" srcId="{6A1792A9-E0EA-F843-9CB2-66BE7B41E04C}" destId="{D5224237-2268-4342-9B32-F8A84C63923E}" srcOrd="1" destOrd="0" presId="urn:microsoft.com/office/officeart/2005/8/layout/bProcess4"/>
    <dgm:cxn modelId="{9FF04175-FFE7-4856-86F9-E11264AE6622}" type="presParOf" srcId="{5C253591-54C7-4C4A-9618-32F15F90B498}" destId="{475A6ABD-421F-6441-8534-6D2D5102EE82}" srcOrd="3" destOrd="0" presId="urn:microsoft.com/office/officeart/2005/8/layout/bProcess4"/>
    <dgm:cxn modelId="{74377395-E984-45D0-9141-EC8A1A0C91ED}" type="presParOf" srcId="{5C253591-54C7-4C4A-9618-32F15F90B498}" destId="{7830AE1E-D578-F04D-835D-EFBAC67AC532}" srcOrd="4" destOrd="0" presId="urn:microsoft.com/office/officeart/2005/8/layout/bProcess4"/>
    <dgm:cxn modelId="{406FFDAD-DA4A-4937-91CF-81EE1D603DBD}" type="presParOf" srcId="{7830AE1E-D578-F04D-835D-EFBAC67AC532}" destId="{7EE13C84-C8FD-9D42-AB41-838FEBA68FB9}" srcOrd="0" destOrd="0" presId="urn:microsoft.com/office/officeart/2005/8/layout/bProcess4"/>
    <dgm:cxn modelId="{025CFF69-7944-4190-BA96-B80007F451EF}" type="presParOf" srcId="{7830AE1E-D578-F04D-835D-EFBAC67AC532}" destId="{350F2551-1CEC-0F4E-9E8A-B8CFD6E0BAAA}" srcOrd="1" destOrd="0" presId="urn:microsoft.com/office/officeart/2005/8/layout/bProcess4"/>
    <dgm:cxn modelId="{454C816E-9ECE-41FF-BE6D-F1069BA7CF2C}" type="presParOf" srcId="{5C253591-54C7-4C4A-9618-32F15F90B498}" destId="{1380DF29-DA75-0849-98C6-05533B07585C}" srcOrd="5" destOrd="0" presId="urn:microsoft.com/office/officeart/2005/8/layout/bProcess4"/>
    <dgm:cxn modelId="{4A9E3DEE-47F6-4305-97EA-72703FB8CDAC}" type="presParOf" srcId="{5C253591-54C7-4C4A-9618-32F15F90B498}" destId="{F9A9B5C6-C444-6E4F-8782-6E99597FF8DC}" srcOrd="6" destOrd="0" presId="urn:microsoft.com/office/officeart/2005/8/layout/bProcess4"/>
    <dgm:cxn modelId="{817E93E4-DD6B-4CAD-AF02-223CC2AEBA30}" type="presParOf" srcId="{F9A9B5C6-C444-6E4F-8782-6E99597FF8DC}" destId="{4BFD9C30-CA52-3D47-B8F6-681304591791}" srcOrd="0" destOrd="0" presId="urn:microsoft.com/office/officeart/2005/8/layout/bProcess4"/>
    <dgm:cxn modelId="{02F4779E-B1C7-441E-BC39-7C5A19E68263}" type="presParOf" srcId="{F9A9B5C6-C444-6E4F-8782-6E99597FF8DC}" destId="{F01D7804-64EF-0B4C-B3A6-292BAAA2CFEE}" srcOrd="1" destOrd="0" presId="urn:microsoft.com/office/officeart/2005/8/layout/bProcess4"/>
    <dgm:cxn modelId="{26CFAC10-25F0-4494-A238-DDD97C7A991B}" type="presParOf" srcId="{5C253591-54C7-4C4A-9618-32F15F90B498}" destId="{0F330487-A6AD-C44E-9F99-B1D56137D21E}" srcOrd="7" destOrd="0" presId="urn:microsoft.com/office/officeart/2005/8/layout/bProcess4"/>
    <dgm:cxn modelId="{085F1B3B-2914-4FE9-884A-3D0769C1E401}" type="presParOf" srcId="{5C253591-54C7-4C4A-9618-32F15F90B498}" destId="{FB52DCD6-096A-A348-8229-CD8C368A5B69}" srcOrd="8" destOrd="0" presId="urn:microsoft.com/office/officeart/2005/8/layout/bProcess4"/>
    <dgm:cxn modelId="{32B1A398-4124-43EE-86A3-92B245BEB0D4}" type="presParOf" srcId="{FB52DCD6-096A-A348-8229-CD8C368A5B69}" destId="{AADA8308-D5F0-F04A-901E-256724951727}" srcOrd="0" destOrd="0" presId="urn:microsoft.com/office/officeart/2005/8/layout/bProcess4"/>
    <dgm:cxn modelId="{B856F432-2201-4CD3-8045-ED3A227C28B2}" type="presParOf" srcId="{FB52DCD6-096A-A348-8229-CD8C368A5B69}" destId="{C9A45B87-2667-5743-A5D6-E56C088EEC3D}" srcOrd="1" destOrd="0" presId="urn:microsoft.com/office/officeart/2005/8/layout/bProcess4"/>
    <dgm:cxn modelId="{6847895F-AD2F-475A-AC6D-24D282BADE54}" type="presParOf" srcId="{5C253591-54C7-4C4A-9618-32F15F90B498}" destId="{B7AD7173-0DBA-C84F-B066-1FAEFF097ED3}" srcOrd="9" destOrd="0" presId="urn:microsoft.com/office/officeart/2005/8/layout/bProcess4"/>
    <dgm:cxn modelId="{2A985180-5672-499A-BC6B-A1EFBB4B2CBA}" type="presParOf" srcId="{5C253591-54C7-4C4A-9618-32F15F90B498}" destId="{E69806DC-BA59-5647-9DBC-0AEB0545B380}" srcOrd="10" destOrd="0" presId="urn:microsoft.com/office/officeart/2005/8/layout/bProcess4"/>
    <dgm:cxn modelId="{2BABD149-6120-4F42-89FB-FCBF6923F552}" type="presParOf" srcId="{E69806DC-BA59-5647-9DBC-0AEB0545B380}" destId="{418023F8-AE87-2F47-9EE2-736FA8CBA3CC}" srcOrd="0" destOrd="0" presId="urn:microsoft.com/office/officeart/2005/8/layout/bProcess4"/>
    <dgm:cxn modelId="{678A0217-D3E8-435C-BA5A-0061481C9D23}" type="presParOf" srcId="{E69806DC-BA59-5647-9DBC-0AEB0545B380}" destId="{464EEE9F-73B8-DA47-8043-C196F753384F}" srcOrd="1" destOrd="0" presId="urn:microsoft.com/office/officeart/2005/8/layout/bProcess4"/>
    <dgm:cxn modelId="{D7443DC6-86A3-4632-BDF5-00FCFE6DAB98}" type="presParOf" srcId="{5C253591-54C7-4C4A-9618-32F15F90B498}" destId="{78763C99-D630-8F4D-8C16-70EE39E48ED5}" srcOrd="11" destOrd="0" presId="urn:microsoft.com/office/officeart/2005/8/layout/bProcess4"/>
    <dgm:cxn modelId="{6B248FBF-C8D6-4C27-ABFA-CD5BC195C55B}" type="presParOf" srcId="{5C253591-54C7-4C4A-9618-32F15F90B498}" destId="{7B9AEE2B-CC56-8744-B90A-A09CC6798259}" srcOrd="12" destOrd="0" presId="urn:microsoft.com/office/officeart/2005/8/layout/bProcess4"/>
    <dgm:cxn modelId="{6A4184A8-9DB4-422D-8D94-7F7822C8DA3D}" type="presParOf" srcId="{7B9AEE2B-CC56-8744-B90A-A09CC6798259}" destId="{F0143A9D-703D-354B-8C48-1E8D08B9BA83}" srcOrd="0" destOrd="0" presId="urn:microsoft.com/office/officeart/2005/8/layout/bProcess4"/>
    <dgm:cxn modelId="{BA1E8F15-8143-481A-9652-1F524E49C343}" type="presParOf" srcId="{7B9AEE2B-CC56-8744-B90A-A09CC6798259}" destId="{50A51725-D6F9-7547-8015-B924B1C5824F}" srcOrd="1" destOrd="0" presId="urn:microsoft.com/office/officeart/2005/8/layout/bProcess4"/>
    <dgm:cxn modelId="{885B24BE-82D1-433A-87CB-4A8E472C279A}" type="presParOf" srcId="{5C253591-54C7-4C4A-9618-32F15F90B498}" destId="{5DFB61E7-B350-3540-B978-1851DC4F4EAA}" srcOrd="13" destOrd="0" presId="urn:microsoft.com/office/officeart/2005/8/layout/bProcess4"/>
    <dgm:cxn modelId="{EE1CFE53-08FF-40FF-8F07-79630E80FE57}" type="presParOf" srcId="{5C253591-54C7-4C4A-9618-32F15F90B498}" destId="{B89268C0-4E38-7448-8759-176B84F0E7EE}" srcOrd="14" destOrd="0" presId="urn:microsoft.com/office/officeart/2005/8/layout/bProcess4"/>
    <dgm:cxn modelId="{90309EE6-8BDC-49F3-A98E-15F24E2206D2}" type="presParOf" srcId="{B89268C0-4E38-7448-8759-176B84F0E7EE}" destId="{F0710A42-1116-FA42-B305-BC79AD084C96}" srcOrd="0" destOrd="0" presId="urn:microsoft.com/office/officeart/2005/8/layout/bProcess4"/>
    <dgm:cxn modelId="{F8FE2BDB-6E27-4398-9DA1-22213F2F895E}" type="presParOf" srcId="{B89268C0-4E38-7448-8759-176B84F0E7EE}" destId="{D640390A-69C6-FB4C-BA2D-CDBC5C045FEB}" srcOrd="1" destOrd="0" presId="urn:microsoft.com/office/officeart/2005/8/layout/bProcess4"/>
    <dgm:cxn modelId="{F89123AD-591D-42B8-AB2B-5D462DF75921}" type="presParOf" srcId="{5C253591-54C7-4C4A-9618-32F15F90B498}" destId="{1438D1EE-E156-2344-A661-4D7D2FD22E1C}" srcOrd="15" destOrd="0" presId="urn:microsoft.com/office/officeart/2005/8/layout/bProcess4"/>
    <dgm:cxn modelId="{44209E4A-4F44-4C9C-94D6-7CCCD1AD41E4}" type="presParOf" srcId="{5C253591-54C7-4C4A-9618-32F15F90B498}" destId="{C4C56B16-2AEB-4B4C-B60D-80FBFB0D1623}" srcOrd="16" destOrd="0" presId="urn:microsoft.com/office/officeart/2005/8/layout/bProcess4"/>
    <dgm:cxn modelId="{3EC2577D-DC17-4B90-B267-41B79AB64EC1}" type="presParOf" srcId="{C4C56B16-2AEB-4B4C-B60D-80FBFB0D1623}" destId="{217F79CE-F5C5-1647-85DC-7091C50030F3}" srcOrd="0" destOrd="0" presId="urn:microsoft.com/office/officeart/2005/8/layout/bProcess4"/>
    <dgm:cxn modelId="{32B2FB5C-EF6E-444F-B893-B1341082D9E9}" type="presParOf" srcId="{C4C56B16-2AEB-4B4C-B60D-80FBFB0D1623}" destId="{43DB1EBA-16FF-3641-B219-8C86188AF002}" srcOrd="1" destOrd="0" presId="urn:microsoft.com/office/officeart/2005/8/layout/b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B1DA368-85EB-4847-A90E-0331C6C39961}"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ru-RU"/>
        </a:p>
      </dgm:t>
    </dgm:pt>
    <dgm:pt modelId="{7988778E-4B25-674D-80C8-39560D2DAD2F}">
      <dgm:prSet phldrT="[Текст]" custT="1"/>
      <dgm:spPr>
        <a:solidFill>
          <a:schemeClr val="bg1"/>
        </a:solidFill>
        <a:ln>
          <a:solidFill>
            <a:schemeClr val="tx1"/>
          </a:solidFill>
        </a:ln>
      </dgm:spPr>
      <dgm:t>
        <a:bodyPr/>
        <a:lstStyle/>
        <a:p>
          <a:r>
            <a:rPr lang="en-US" sz="1400">
              <a:solidFill>
                <a:schemeClr val="tx1"/>
              </a:solidFill>
              <a:latin typeface="Times New Roman" panose="02020603050405020304" pitchFamily="18" charset="0"/>
              <a:cs typeface="Times New Roman" panose="02020603050405020304" pitchFamily="18" charset="0"/>
            </a:rPr>
            <a:t>Cooperative-Waqf model (CWM)</a:t>
          </a:r>
          <a:endParaRPr lang="ru-RU" sz="1400">
            <a:solidFill>
              <a:schemeClr val="tx1"/>
            </a:solidFill>
            <a:latin typeface="Times New Roman" panose="02020603050405020304" pitchFamily="18" charset="0"/>
            <a:cs typeface="Times New Roman" panose="02020603050405020304" pitchFamily="18" charset="0"/>
          </a:endParaRPr>
        </a:p>
      </dgm:t>
    </dgm:pt>
    <dgm:pt modelId="{4C684CA5-8530-5F4E-A683-77FF932F96DF}" type="parTrans" cxnId="{B8DB6BFA-512B-F746-A97F-971D6AD11446}">
      <dgm:prSet/>
      <dgm:spPr/>
      <dgm:t>
        <a:bodyPr/>
        <a:lstStyle/>
        <a:p>
          <a:endParaRPr lang="ru-RU"/>
        </a:p>
      </dgm:t>
    </dgm:pt>
    <dgm:pt modelId="{FBDCF82F-4B29-CE43-9209-670204450854}" type="sibTrans" cxnId="{B8DB6BFA-512B-F746-A97F-971D6AD11446}">
      <dgm:prSet/>
      <dgm:spPr/>
      <dgm:t>
        <a:bodyPr/>
        <a:lstStyle/>
        <a:p>
          <a:endParaRPr lang="ru-RU"/>
        </a:p>
      </dgm:t>
    </dgm:pt>
    <dgm:pt modelId="{88A0AE6A-7F00-9E47-9AF6-3504D7D81C33}">
      <dgm:prSet phldrT="[Текст]" custT="1"/>
      <dgm:spPr>
        <a:solidFill>
          <a:schemeClr val="bg1"/>
        </a:solidFill>
        <a:ln>
          <a:solidFill>
            <a:schemeClr val="tx1"/>
          </a:solidFill>
        </a:ln>
      </dgm:spPr>
      <dgm:t>
        <a:bodyPr/>
        <a:lstStyle/>
        <a:p>
          <a:pPr>
            <a:buFont typeface="Arial" panose="020B0604020202020204" pitchFamily="34" charset="0"/>
            <a:buChar char="•"/>
          </a:pPr>
          <a:r>
            <a:rPr lang="en-US" sz="1000">
              <a:solidFill>
                <a:schemeClr val="tx1"/>
              </a:solidFill>
              <a:latin typeface="Times New Roman" panose="02020603050405020304" pitchFamily="18" charset="0"/>
              <a:cs typeface="Times New Roman" panose="02020603050405020304" pitchFamily="18" charset="0"/>
            </a:rPr>
            <a:t>Donors</a:t>
          </a:r>
          <a:r>
            <a:rPr lang="en-US" sz="1000" baseline="0">
              <a:solidFill>
                <a:schemeClr val="tx1"/>
              </a:solidFill>
              <a:latin typeface="Times New Roman" panose="02020603050405020304" pitchFamily="18" charset="0"/>
              <a:cs typeface="Times New Roman" panose="02020603050405020304" pitchFamily="18" charset="0"/>
            </a:rPr>
            <a:t> contribuet cash waqf, waqf institution issues waqf sertificates of specified project</a:t>
          </a:r>
          <a:endParaRPr lang="ru-RU" sz="1000">
            <a:solidFill>
              <a:schemeClr val="tx1"/>
            </a:solidFill>
            <a:latin typeface="Times New Roman" panose="02020603050405020304" pitchFamily="18" charset="0"/>
            <a:cs typeface="Times New Roman" panose="02020603050405020304" pitchFamily="18" charset="0"/>
          </a:endParaRPr>
        </a:p>
      </dgm:t>
    </dgm:pt>
    <dgm:pt modelId="{51A8290F-3B6E-C843-8C93-35D2D689FB00}" type="parTrans" cxnId="{2FBF65F4-4069-4C4C-A6B2-66D093173B3D}">
      <dgm:prSet/>
      <dgm:spPr>
        <a:ln>
          <a:solidFill>
            <a:schemeClr val="tx1"/>
          </a:solidFill>
        </a:ln>
      </dgm:spPr>
      <dgm:t>
        <a:bodyPr/>
        <a:lstStyle/>
        <a:p>
          <a:endParaRPr lang="ru-RU"/>
        </a:p>
      </dgm:t>
    </dgm:pt>
    <dgm:pt modelId="{2D5F26E2-52FB-0C4D-86AC-15BF7A5F6637}" type="sibTrans" cxnId="{2FBF65F4-4069-4C4C-A6B2-66D093173B3D}">
      <dgm:prSet/>
      <dgm:spPr/>
      <dgm:t>
        <a:bodyPr/>
        <a:lstStyle/>
        <a:p>
          <a:endParaRPr lang="ru-RU"/>
        </a:p>
      </dgm:t>
    </dgm:pt>
    <dgm:pt modelId="{62D229F8-A6DB-4449-AB22-E4A76951A1B6}">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waqf institution starts developing the projects </a:t>
          </a:r>
          <a:endParaRPr lang="ru-RU" sz="1000">
            <a:solidFill>
              <a:schemeClr val="tx1"/>
            </a:solidFill>
            <a:latin typeface="Times New Roman" panose="02020603050405020304" pitchFamily="18" charset="0"/>
            <a:cs typeface="Times New Roman" panose="02020603050405020304" pitchFamily="18" charset="0"/>
          </a:endParaRPr>
        </a:p>
      </dgm:t>
    </dgm:pt>
    <dgm:pt modelId="{6C9EC94C-F066-6A43-A8A8-B82466A0BED7}" type="parTrans" cxnId="{894B31CC-DD10-3F4D-BB0C-2D97458FCA1E}">
      <dgm:prSet/>
      <dgm:spPr>
        <a:ln>
          <a:solidFill>
            <a:schemeClr val="tx1"/>
          </a:solidFill>
        </a:ln>
      </dgm:spPr>
      <dgm:t>
        <a:bodyPr/>
        <a:lstStyle/>
        <a:p>
          <a:endParaRPr lang="ru-RU"/>
        </a:p>
      </dgm:t>
    </dgm:pt>
    <dgm:pt modelId="{E2E7B770-A8EC-BD4C-9602-D1397F378883}" type="sibTrans" cxnId="{894B31CC-DD10-3F4D-BB0C-2D97458FCA1E}">
      <dgm:prSet/>
      <dgm:spPr/>
      <dgm:t>
        <a:bodyPr/>
        <a:lstStyle/>
        <a:p>
          <a:endParaRPr lang="ru-RU"/>
        </a:p>
      </dgm:t>
    </dgm:pt>
    <dgm:pt modelId="{71BD18B6-1980-1E48-8CA0-1080FA8D7F44}">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waqf institution issues membership cards for donors who donate more than specific ammount, which based on cooperative concept </a:t>
          </a:r>
          <a:endParaRPr lang="ru-RU" sz="1000">
            <a:solidFill>
              <a:schemeClr val="tx1"/>
            </a:solidFill>
            <a:latin typeface="Times New Roman" panose="02020603050405020304" pitchFamily="18" charset="0"/>
            <a:cs typeface="Times New Roman" panose="02020603050405020304" pitchFamily="18" charset="0"/>
          </a:endParaRPr>
        </a:p>
      </dgm:t>
    </dgm:pt>
    <dgm:pt modelId="{91A07B26-D583-D448-94CF-F33622B950EB}" type="parTrans" cxnId="{76F395D0-9B0B-A44F-8304-F211738DE45D}">
      <dgm:prSet/>
      <dgm:spPr>
        <a:ln>
          <a:solidFill>
            <a:schemeClr val="tx1"/>
          </a:solidFill>
        </a:ln>
      </dgm:spPr>
      <dgm:t>
        <a:bodyPr/>
        <a:lstStyle/>
        <a:p>
          <a:endParaRPr lang="ru-RU"/>
        </a:p>
      </dgm:t>
    </dgm:pt>
    <dgm:pt modelId="{19BD272F-9391-1C46-B73E-81AA5AA41208}" type="sibTrans" cxnId="{76F395D0-9B0B-A44F-8304-F211738DE45D}">
      <dgm:prSet/>
      <dgm:spPr/>
      <dgm:t>
        <a:bodyPr/>
        <a:lstStyle/>
        <a:p>
          <a:endParaRPr lang="ru-RU"/>
        </a:p>
      </dgm:t>
    </dgm:pt>
    <dgm:pt modelId="{088644EB-1A01-F34A-869E-5519D4E1D128}">
      <dgm:prSet custT="1"/>
      <dgm:spPr>
        <a:solidFill>
          <a:schemeClr val="bg1"/>
        </a:solidFill>
        <a:ln>
          <a:solidFill>
            <a:schemeClr val="tx1"/>
          </a:solidFill>
        </a:ln>
      </dgm:spPr>
      <dgm:t>
        <a:bodyPr/>
        <a:lstStyle/>
        <a:p>
          <a:r>
            <a:rPr lang="en" sz="1000">
              <a:solidFill>
                <a:schemeClr val="tx1"/>
              </a:solidFill>
              <a:latin typeface="Times New Roman" panose="02020603050405020304" pitchFamily="18" charset="0"/>
              <a:cs typeface="Times New Roman" panose="02020603050405020304" pitchFamily="18" charset="0"/>
            </a:rPr>
            <a:t>The membership provides a preveleged options to the donors at waqf-based commercial projects (servisec or goods)</a:t>
          </a:r>
          <a:endParaRPr lang="ru-RU" sz="1000">
            <a:solidFill>
              <a:schemeClr val="tx1"/>
            </a:solidFill>
            <a:latin typeface="Times New Roman" panose="02020603050405020304" pitchFamily="18" charset="0"/>
            <a:cs typeface="Times New Roman" panose="02020603050405020304" pitchFamily="18" charset="0"/>
          </a:endParaRPr>
        </a:p>
      </dgm:t>
    </dgm:pt>
    <dgm:pt modelId="{880FAB20-45C1-C849-AAB0-30D59FAFCC18}" type="parTrans" cxnId="{42AFA90C-D0FD-C246-9F24-1641252BC5B4}">
      <dgm:prSet/>
      <dgm:spPr>
        <a:ln>
          <a:solidFill>
            <a:schemeClr val="tx1"/>
          </a:solidFill>
        </a:ln>
      </dgm:spPr>
      <dgm:t>
        <a:bodyPr/>
        <a:lstStyle/>
        <a:p>
          <a:endParaRPr lang="ru-RU"/>
        </a:p>
      </dgm:t>
    </dgm:pt>
    <dgm:pt modelId="{2770C6A1-184A-174D-8C78-5480DE81DA05}" type="sibTrans" cxnId="{42AFA90C-D0FD-C246-9F24-1641252BC5B4}">
      <dgm:prSet/>
      <dgm:spPr/>
      <dgm:t>
        <a:bodyPr/>
        <a:lstStyle/>
        <a:p>
          <a:endParaRPr lang="ru-RU"/>
        </a:p>
      </dgm:t>
    </dgm:pt>
    <dgm:pt modelId="{24CDE542-B4F5-4644-A936-3719CE433E22}" type="pres">
      <dgm:prSet presAssocID="{2B1DA368-85EB-4847-A90E-0331C6C39961}" presName="Name0" presStyleCnt="0">
        <dgm:presLayoutVars>
          <dgm:chPref val="1"/>
          <dgm:dir/>
          <dgm:animOne val="branch"/>
          <dgm:animLvl val="lvl"/>
          <dgm:resizeHandles val="exact"/>
        </dgm:presLayoutVars>
      </dgm:prSet>
      <dgm:spPr/>
    </dgm:pt>
    <dgm:pt modelId="{0AB76CE6-D3BC-D048-A485-045B165D443D}" type="pres">
      <dgm:prSet presAssocID="{7988778E-4B25-674D-80C8-39560D2DAD2F}" presName="root1" presStyleCnt="0"/>
      <dgm:spPr/>
    </dgm:pt>
    <dgm:pt modelId="{E9CE77FA-6EB7-E94D-B8E9-12CFB0D727E6}" type="pres">
      <dgm:prSet presAssocID="{7988778E-4B25-674D-80C8-39560D2DAD2F}" presName="LevelOneTextNode" presStyleLbl="node0" presStyleIdx="0" presStyleCnt="1">
        <dgm:presLayoutVars>
          <dgm:chPref val="3"/>
        </dgm:presLayoutVars>
      </dgm:prSet>
      <dgm:spPr/>
    </dgm:pt>
    <dgm:pt modelId="{B2FF2C25-ECE6-B942-A258-1CB28BDF7BD0}" type="pres">
      <dgm:prSet presAssocID="{7988778E-4B25-674D-80C8-39560D2DAD2F}" presName="level2hierChild" presStyleCnt="0"/>
      <dgm:spPr/>
    </dgm:pt>
    <dgm:pt modelId="{B70DD5B2-0A58-204B-8B08-71627147140F}" type="pres">
      <dgm:prSet presAssocID="{51A8290F-3B6E-C843-8C93-35D2D689FB00}" presName="conn2-1" presStyleLbl="parChTrans1D2" presStyleIdx="0" presStyleCnt="4"/>
      <dgm:spPr/>
    </dgm:pt>
    <dgm:pt modelId="{4D908951-DA49-C543-B631-C5EE62AA9148}" type="pres">
      <dgm:prSet presAssocID="{51A8290F-3B6E-C843-8C93-35D2D689FB00}" presName="connTx" presStyleLbl="parChTrans1D2" presStyleIdx="0" presStyleCnt="4"/>
      <dgm:spPr/>
    </dgm:pt>
    <dgm:pt modelId="{737F36B4-DBD5-434E-9A98-4DB7FAE1A4E9}" type="pres">
      <dgm:prSet presAssocID="{88A0AE6A-7F00-9E47-9AF6-3504D7D81C33}" presName="root2" presStyleCnt="0"/>
      <dgm:spPr/>
    </dgm:pt>
    <dgm:pt modelId="{971CFD60-D38D-2142-A66B-9B872B1F0007}" type="pres">
      <dgm:prSet presAssocID="{88A0AE6A-7F00-9E47-9AF6-3504D7D81C33}" presName="LevelTwoTextNode" presStyleLbl="node2" presStyleIdx="0" presStyleCnt="4" custScaleX="257173">
        <dgm:presLayoutVars>
          <dgm:chPref val="3"/>
        </dgm:presLayoutVars>
      </dgm:prSet>
      <dgm:spPr/>
    </dgm:pt>
    <dgm:pt modelId="{2602A20A-E9E7-E842-ACD8-39F895E69257}" type="pres">
      <dgm:prSet presAssocID="{88A0AE6A-7F00-9E47-9AF6-3504D7D81C33}" presName="level3hierChild" presStyleCnt="0"/>
      <dgm:spPr/>
    </dgm:pt>
    <dgm:pt modelId="{B4C384AC-7C97-CF47-879C-C5FFF9C80814}" type="pres">
      <dgm:prSet presAssocID="{6C9EC94C-F066-6A43-A8A8-B82466A0BED7}" presName="conn2-1" presStyleLbl="parChTrans1D2" presStyleIdx="1" presStyleCnt="4"/>
      <dgm:spPr/>
    </dgm:pt>
    <dgm:pt modelId="{1F431099-B252-3041-9627-6EDB41B73583}" type="pres">
      <dgm:prSet presAssocID="{6C9EC94C-F066-6A43-A8A8-B82466A0BED7}" presName="connTx" presStyleLbl="parChTrans1D2" presStyleIdx="1" presStyleCnt="4"/>
      <dgm:spPr/>
    </dgm:pt>
    <dgm:pt modelId="{1DF85284-7400-634E-B642-99F4BF45C381}" type="pres">
      <dgm:prSet presAssocID="{62D229F8-A6DB-4449-AB22-E4A76951A1B6}" presName="root2" presStyleCnt="0"/>
      <dgm:spPr/>
    </dgm:pt>
    <dgm:pt modelId="{91581BEB-B850-5347-A1FC-4620561F6C39}" type="pres">
      <dgm:prSet presAssocID="{62D229F8-A6DB-4449-AB22-E4A76951A1B6}" presName="LevelTwoTextNode" presStyleLbl="node2" presStyleIdx="1" presStyleCnt="4" custScaleX="258337" custLinFactNeighborY="-3767">
        <dgm:presLayoutVars>
          <dgm:chPref val="3"/>
        </dgm:presLayoutVars>
      </dgm:prSet>
      <dgm:spPr/>
    </dgm:pt>
    <dgm:pt modelId="{F0E36B45-0220-C540-8390-8451FD1614B7}" type="pres">
      <dgm:prSet presAssocID="{62D229F8-A6DB-4449-AB22-E4A76951A1B6}" presName="level3hierChild" presStyleCnt="0"/>
      <dgm:spPr/>
    </dgm:pt>
    <dgm:pt modelId="{5304A340-383F-064D-B43A-64091D05D714}" type="pres">
      <dgm:prSet presAssocID="{91A07B26-D583-D448-94CF-F33622B950EB}" presName="conn2-1" presStyleLbl="parChTrans1D2" presStyleIdx="2" presStyleCnt="4"/>
      <dgm:spPr/>
    </dgm:pt>
    <dgm:pt modelId="{72DB4CA3-18FF-8B4D-8C69-AD2A845D8EF2}" type="pres">
      <dgm:prSet presAssocID="{91A07B26-D583-D448-94CF-F33622B950EB}" presName="connTx" presStyleLbl="parChTrans1D2" presStyleIdx="2" presStyleCnt="4"/>
      <dgm:spPr/>
    </dgm:pt>
    <dgm:pt modelId="{C729FBCC-89A4-2B4C-B41B-6BD7F486F3CF}" type="pres">
      <dgm:prSet presAssocID="{71BD18B6-1980-1E48-8CA0-1080FA8D7F44}" presName="root2" presStyleCnt="0"/>
      <dgm:spPr/>
    </dgm:pt>
    <dgm:pt modelId="{8AC56ED4-1573-9A46-9484-0E5F6D389AE7}" type="pres">
      <dgm:prSet presAssocID="{71BD18B6-1980-1E48-8CA0-1080FA8D7F44}" presName="LevelTwoTextNode" presStyleLbl="node2" presStyleIdx="2" presStyleCnt="4" custScaleX="258337" custLinFactNeighborX="-1101" custLinFactNeighborY="7222">
        <dgm:presLayoutVars>
          <dgm:chPref val="3"/>
        </dgm:presLayoutVars>
      </dgm:prSet>
      <dgm:spPr/>
    </dgm:pt>
    <dgm:pt modelId="{5F7CDBF3-7522-ED46-A88A-9E5F68B63EDE}" type="pres">
      <dgm:prSet presAssocID="{71BD18B6-1980-1E48-8CA0-1080FA8D7F44}" presName="level3hierChild" presStyleCnt="0"/>
      <dgm:spPr/>
    </dgm:pt>
    <dgm:pt modelId="{164F099F-2E55-5342-B4F0-9DEE5D2A3D31}" type="pres">
      <dgm:prSet presAssocID="{880FAB20-45C1-C849-AAB0-30D59FAFCC18}" presName="conn2-1" presStyleLbl="parChTrans1D2" presStyleIdx="3" presStyleCnt="4"/>
      <dgm:spPr/>
    </dgm:pt>
    <dgm:pt modelId="{F2CCCDD2-8BD1-7D48-92E6-C9CBDC1BCB1B}" type="pres">
      <dgm:prSet presAssocID="{880FAB20-45C1-C849-AAB0-30D59FAFCC18}" presName="connTx" presStyleLbl="parChTrans1D2" presStyleIdx="3" presStyleCnt="4"/>
      <dgm:spPr/>
    </dgm:pt>
    <dgm:pt modelId="{BE3FE130-DDFB-BB4F-8AE1-60595F71A0B7}" type="pres">
      <dgm:prSet presAssocID="{088644EB-1A01-F34A-869E-5519D4E1D128}" presName="root2" presStyleCnt="0"/>
      <dgm:spPr/>
    </dgm:pt>
    <dgm:pt modelId="{3A42ACA9-4B25-BE43-B6F8-BE8E6834D4E4}" type="pres">
      <dgm:prSet presAssocID="{088644EB-1A01-F34A-869E-5519D4E1D128}" presName="LevelTwoTextNode" presStyleLbl="node2" presStyleIdx="3" presStyleCnt="4" custScaleX="256255" custLinFactNeighborX="3445" custLinFactNeighborY="-1883">
        <dgm:presLayoutVars>
          <dgm:chPref val="3"/>
        </dgm:presLayoutVars>
      </dgm:prSet>
      <dgm:spPr/>
    </dgm:pt>
    <dgm:pt modelId="{217FB43D-C05D-D742-AB2E-85B6E56B422D}" type="pres">
      <dgm:prSet presAssocID="{088644EB-1A01-F34A-869E-5519D4E1D128}" presName="level3hierChild" presStyleCnt="0"/>
      <dgm:spPr/>
    </dgm:pt>
  </dgm:ptLst>
  <dgm:cxnLst>
    <dgm:cxn modelId="{42AFA90C-D0FD-C246-9F24-1641252BC5B4}" srcId="{7988778E-4B25-674D-80C8-39560D2DAD2F}" destId="{088644EB-1A01-F34A-869E-5519D4E1D128}" srcOrd="3" destOrd="0" parTransId="{880FAB20-45C1-C849-AAB0-30D59FAFCC18}" sibTransId="{2770C6A1-184A-174D-8C78-5480DE81DA05}"/>
    <dgm:cxn modelId="{5566350F-BD9C-46C7-BE2D-2DB20B6230CB}" type="presOf" srcId="{62D229F8-A6DB-4449-AB22-E4A76951A1B6}" destId="{91581BEB-B850-5347-A1FC-4620561F6C39}" srcOrd="0" destOrd="0" presId="urn:microsoft.com/office/officeart/2008/layout/HorizontalMultiLevelHierarchy"/>
    <dgm:cxn modelId="{EDAAC118-0E4A-4537-BDF6-4B030766D006}" type="presOf" srcId="{7988778E-4B25-674D-80C8-39560D2DAD2F}" destId="{E9CE77FA-6EB7-E94D-B8E9-12CFB0D727E6}" srcOrd="0" destOrd="0" presId="urn:microsoft.com/office/officeart/2008/layout/HorizontalMultiLevelHierarchy"/>
    <dgm:cxn modelId="{A5CD1F35-DCD9-47F7-B647-E5B597D3145E}" type="presOf" srcId="{088644EB-1A01-F34A-869E-5519D4E1D128}" destId="{3A42ACA9-4B25-BE43-B6F8-BE8E6834D4E4}" srcOrd="0" destOrd="0" presId="urn:microsoft.com/office/officeart/2008/layout/HorizontalMultiLevelHierarchy"/>
    <dgm:cxn modelId="{D1F3B135-262A-460E-BAD4-0BFF26390E4E}" type="presOf" srcId="{51A8290F-3B6E-C843-8C93-35D2D689FB00}" destId="{B70DD5B2-0A58-204B-8B08-71627147140F}" srcOrd="0" destOrd="0" presId="urn:microsoft.com/office/officeart/2008/layout/HorizontalMultiLevelHierarchy"/>
    <dgm:cxn modelId="{A547C04C-862B-41B5-BD7E-73FAC7C45B9E}" type="presOf" srcId="{91A07B26-D583-D448-94CF-F33622B950EB}" destId="{72DB4CA3-18FF-8B4D-8C69-AD2A845D8EF2}" srcOrd="1" destOrd="0" presId="urn:microsoft.com/office/officeart/2008/layout/HorizontalMultiLevelHierarchy"/>
    <dgm:cxn modelId="{9C0E8D61-BA82-407D-AC86-6CCD07614886}" type="presOf" srcId="{88A0AE6A-7F00-9E47-9AF6-3504D7D81C33}" destId="{971CFD60-D38D-2142-A66B-9B872B1F0007}" srcOrd="0" destOrd="0" presId="urn:microsoft.com/office/officeart/2008/layout/HorizontalMultiLevelHierarchy"/>
    <dgm:cxn modelId="{C0BD9163-6BB5-49E1-8B2F-83DF6789BDCE}" type="presOf" srcId="{51A8290F-3B6E-C843-8C93-35D2D689FB00}" destId="{4D908951-DA49-C543-B631-C5EE62AA9148}" srcOrd="1" destOrd="0" presId="urn:microsoft.com/office/officeart/2008/layout/HorizontalMultiLevelHierarchy"/>
    <dgm:cxn modelId="{3365218A-6374-43CF-934C-BFD2BFF2BA00}" type="presOf" srcId="{71BD18B6-1980-1E48-8CA0-1080FA8D7F44}" destId="{8AC56ED4-1573-9A46-9484-0E5F6D389AE7}" srcOrd="0" destOrd="0" presId="urn:microsoft.com/office/officeart/2008/layout/HorizontalMultiLevelHierarchy"/>
    <dgm:cxn modelId="{55C786A1-EC3C-4F07-AEBA-47A4292EED1E}" type="presOf" srcId="{6C9EC94C-F066-6A43-A8A8-B82466A0BED7}" destId="{B4C384AC-7C97-CF47-879C-C5FFF9C80814}" srcOrd="0" destOrd="0" presId="urn:microsoft.com/office/officeart/2008/layout/HorizontalMultiLevelHierarchy"/>
    <dgm:cxn modelId="{92A463AA-D588-45C3-8F53-AFED6DA5870A}" type="presOf" srcId="{880FAB20-45C1-C849-AAB0-30D59FAFCC18}" destId="{164F099F-2E55-5342-B4F0-9DEE5D2A3D31}" srcOrd="0" destOrd="0" presId="urn:microsoft.com/office/officeart/2008/layout/HorizontalMultiLevelHierarchy"/>
    <dgm:cxn modelId="{3AD80EAF-0354-49D6-AB92-6DC1952F343D}" type="presOf" srcId="{2B1DA368-85EB-4847-A90E-0331C6C39961}" destId="{24CDE542-B4F5-4644-A936-3719CE433E22}" srcOrd="0" destOrd="0" presId="urn:microsoft.com/office/officeart/2008/layout/HorizontalMultiLevelHierarchy"/>
    <dgm:cxn modelId="{E70513C1-2205-45AF-B133-2528FDFC528D}" type="presOf" srcId="{91A07B26-D583-D448-94CF-F33622B950EB}" destId="{5304A340-383F-064D-B43A-64091D05D714}" srcOrd="0" destOrd="0" presId="urn:microsoft.com/office/officeart/2008/layout/HorizontalMultiLevelHierarchy"/>
    <dgm:cxn modelId="{894B31CC-DD10-3F4D-BB0C-2D97458FCA1E}" srcId="{7988778E-4B25-674D-80C8-39560D2DAD2F}" destId="{62D229F8-A6DB-4449-AB22-E4A76951A1B6}" srcOrd="1" destOrd="0" parTransId="{6C9EC94C-F066-6A43-A8A8-B82466A0BED7}" sibTransId="{E2E7B770-A8EC-BD4C-9602-D1397F378883}"/>
    <dgm:cxn modelId="{76F395D0-9B0B-A44F-8304-F211738DE45D}" srcId="{7988778E-4B25-674D-80C8-39560D2DAD2F}" destId="{71BD18B6-1980-1E48-8CA0-1080FA8D7F44}" srcOrd="2" destOrd="0" parTransId="{91A07B26-D583-D448-94CF-F33622B950EB}" sibTransId="{19BD272F-9391-1C46-B73E-81AA5AA41208}"/>
    <dgm:cxn modelId="{3B14B9D0-5575-409F-8718-BD7F3CF47D6D}" type="presOf" srcId="{880FAB20-45C1-C849-AAB0-30D59FAFCC18}" destId="{F2CCCDD2-8BD1-7D48-92E6-C9CBDC1BCB1B}" srcOrd="1" destOrd="0" presId="urn:microsoft.com/office/officeart/2008/layout/HorizontalMultiLevelHierarchy"/>
    <dgm:cxn modelId="{907BB3EA-D82C-447F-B1D7-F5BB2CACBF28}" type="presOf" srcId="{6C9EC94C-F066-6A43-A8A8-B82466A0BED7}" destId="{1F431099-B252-3041-9627-6EDB41B73583}" srcOrd="1" destOrd="0" presId="urn:microsoft.com/office/officeart/2008/layout/HorizontalMultiLevelHierarchy"/>
    <dgm:cxn modelId="{2FBF65F4-4069-4C4C-A6B2-66D093173B3D}" srcId="{7988778E-4B25-674D-80C8-39560D2DAD2F}" destId="{88A0AE6A-7F00-9E47-9AF6-3504D7D81C33}" srcOrd="0" destOrd="0" parTransId="{51A8290F-3B6E-C843-8C93-35D2D689FB00}" sibTransId="{2D5F26E2-52FB-0C4D-86AC-15BF7A5F6637}"/>
    <dgm:cxn modelId="{B8DB6BFA-512B-F746-A97F-971D6AD11446}" srcId="{2B1DA368-85EB-4847-A90E-0331C6C39961}" destId="{7988778E-4B25-674D-80C8-39560D2DAD2F}" srcOrd="0" destOrd="0" parTransId="{4C684CA5-8530-5F4E-A683-77FF932F96DF}" sibTransId="{FBDCF82F-4B29-CE43-9209-670204450854}"/>
    <dgm:cxn modelId="{8952D1E6-B4F3-4994-9B42-8F9E70AF60AB}" type="presParOf" srcId="{24CDE542-B4F5-4644-A936-3719CE433E22}" destId="{0AB76CE6-D3BC-D048-A485-045B165D443D}" srcOrd="0" destOrd="0" presId="urn:microsoft.com/office/officeart/2008/layout/HorizontalMultiLevelHierarchy"/>
    <dgm:cxn modelId="{C8AEE45A-EDF6-4DB5-89B6-902A4DCB8456}" type="presParOf" srcId="{0AB76CE6-D3BC-D048-A485-045B165D443D}" destId="{E9CE77FA-6EB7-E94D-B8E9-12CFB0D727E6}" srcOrd="0" destOrd="0" presId="urn:microsoft.com/office/officeart/2008/layout/HorizontalMultiLevelHierarchy"/>
    <dgm:cxn modelId="{78441F34-D17D-4392-9DDB-1B225E7FE7E9}" type="presParOf" srcId="{0AB76CE6-D3BC-D048-A485-045B165D443D}" destId="{B2FF2C25-ECE6-B942-A258-1CB28BDF7BD0}" srcOrd="1" destOrd="0" presId="urn:microsoft.com/office/officeart/2008/layout/HorizontalMultiLevelHierarchy"/>
    <dgm:cxn modelId="{43D97419-FC3B-4454-8518-8C7DF164D8D1}" type="presParOf" srcId="{B2FF2C25-ECE6-B942-A258-1CB28BDF7BD0}" destId="{B70DD5B2-0A58-204B-8B08-71627147140F}" srcOrd="0" destOrd="0" presId="urn:microsoft.com/office/officeart/2008/layout/HorizontalMultiLevelHierarchy"/>
    <dgm:cxn modelId="{D73B2B7B-A133-4AC0-BDB4-70D7CC26593B}" type="presParOf" srcId="{B70DD5B2-0A58-204B-8B08-71627147140F}" destId="{4D908951-DA49-C543-B631-C5EE62AA9148}" srcOrd="0" destOrd="0" presId="urn:microsoft.com/office/officeart/2008/layout/HorizontalMultiLevelHierarchy"/>
    <dgm:cxn modelId="{30ED8DC3-1093-4458-B14B-4021382FB907}" type="presParOf" srcId="{B2FF2C25-ECE6-B942-A258-1CB28BDF7BD0}" destId="{737F36B4-DBD5-434E-9A98-4DB7FAE1A4E9}" srcOrd="1" destOrd="0" presId="urn:microsoft.com/office/officeart/2008/layout/HorizontalMultiLevelHierarchy"/>
    <dgm:cxn modelId="{AF378D2F-B246-48E1-BC44-C30BC792EE3D}" type="presParOf" srcId="{737F36B4-DBD5-434E-9A98-4DB7FAE1A4E9}" destId="{971CFD60-D38D-2142-A66B-9B872B1F0007}" srcOrd="0" destOrd="0" presId="urn:microsoft.com/office/officeart/2008/layout/HorizontalMultiLevelHierarchy"/>
    <dgm:cxn modelId="{5BAEF10F-A846-45D8-8E4D-5550C623F003}" type="presParOf" srcId="{737F36B4-DBD5-434E-9A98-4DB7FAE1A4E9}" destId="{2602A20A-E9E7-E842-ACD8-39F895E69257}" srcOrd="1" destOrd="0" presId="urn:microsoft.com/office/officeart/2008/layout/HorizontalMultiLevelHierarchy"/>
    <dgm:cxn modelId="{BB636926-937F-48ED-9855-6B066665E3E6}" type="presParOf" srcId="{B2FF2C25-ECE6-B942-A258-1CB28BDF7BD0}" destId="{B4C384AC-7C97-CF47-879C-C5FFF9C80814}" srcOrd="2" destOrd="0" presId="urn:microsoft.com/office/officeart/2008/layout/HorizontalMultiLevelHierarchy"/>
    <dgm:cxn modelId="{0E57931F-5C5F-4263-8DF6-ED9D90E474DE}" type="presParOf" srcId="{B4C384AC-7C97-CF47-879C-C5FFF9C80814}" destId="{1F431099-B252-3041-9627-6EDB41B73583}" srcOrd="0" destOrd="0" presId="urn:microsoft.com/office/officeart/2008/layout/HorizontalMultiLevelHierarchy"/>
    <dgm:cxn modelId="{DDC184BF-A6A2-4B38-B27A-0DE0EC40607B}" type="presParOf" srcId="{B2FF2C25-ECE6-B942-A258-1CB28BDF7BD0}" destId="{1DF85284-7400-634E-B642-99F4BF45C381}" srcOrd="3" destOrd="0" presId="urn:microsoft.com/office/officeart/2008/layout/HorizontalMultiLevelHierarchy"/>
    <dgm:cxn modelId="{D198306A-17E6-41AA-8448-9A16D2F9BE81}" type="presParOf" srcId="{1DF85284-7400-634E-B642-99F4BF45C381}" destId="{91581BEB-B850-5347-A1FC-4620561F6C39}" srcOrd="0" destOrd="0" presId="urn:microsoft.com/office/officeart/2008/layout/HorizontalMultiLevelHierarchy"/>
    <dgm:cxn modelId="{A559827A-7872-420D-9E05-B30642D7FC9A}" type="presParOf" srcId="{1DF85284-7400-634E-B642-99F4BF45C381}" destId="{F0E36B45-0220-C540-8390-8451FD1614B7}" srcOrd="1" destOrd="0" presId="urn:microsoft.com/office/officeart/2008/layout/HorizontalMultiLevelHierarchy"/>
    <dgm:cxn modelId="{20A7A08A-7270-42FE-A4DE-72193C50BC7C}" type="presParOf" srcId="{B2FF2C25-ECE6-B942-A258-1CB28BDF7BD0}" destId="{5304A340-383F-064D-B43A-64091D05D714}" srcOrd="4" destOrd="0" presId="urn:microsoft.com/office/officeart/2008/layout/HorizontalMultiLevelHierarchy"/>
    <dgm:cxn modelId="{589FC5A4-A892-4606-BF50-383718A88B1E}" type="presParOf" srcId="{5304A340-383F-064D-B43A-64091D05D714}" destId="{72DB4CA3-18FF-8B4D-8C69-AD2A845D8EF2}" srcOrd="0" destOrd="0" presId="urn:microsoft.com/office/officeart/2008/layout/HorizontalMultiLevelHierarchy"/>
    <dgm:cxn modelId="{C31336D5-121B-4960-B53A-426CF2F24770}" type="presParOf" srcId="{B2FF2C25-ECE6-B942-A258-1CB28BDF7BD0}" destId="{C729FBCC-89A4-2B4C-B41B-6BD7F486F3CF}" srcOrd="5" destOrd="0" presId="urn:microsoft.com/office/officeart/2008/layout/HorizontalMultiLevelHierarchy"/>
    <dgm:cxn modelId="{A978AA65-E0C4-45CB-A3DE-5091D6B7C7ED}" type="presParOf" srcId="{C729FBCC-89A4-2B4C-B41B-6BD7F486F3CF}" destId="{8AC56ED4-1573-9A46-9484-0E5F6D389AE7}" srcOrd="0" destOrd="0" presId="urn:microsoft.com/office/officeart/2008/layout/HorizontalMultiLevelHierarchy"/>
    <dgm:cxn modelId="{3AA0DCBA-ECA5-428F-AA1D-7679FA7621C0}" type="presParOf" srcId="{C729FBCC-89A4-2B4C-B41B-6BD7F486F3CF}" destId="{5F7CDBF3-7522-ED46-A88A-9E5F68B63EDE}" srcOrd="1" destOrd="0" presId="urn:microsoft.com/office/officeart/2008/layout/HorizontalMultiLevelHierarchy"/>
    <dgm:cxn modelId="{424EF61A-0F7A-463A-897C-33BD6ADB2662}" type="presParOf" srcId="{B2FF2C25-ECE6-B942-A258-1CB28BDF7BD0}" destId="{164F099F-2E55-5342-B4F0-9DEE5D2A3D31}" srcOrd="6" destOrd="0" presId="urn:microsoft.com/office/officeart/2008/layout/HorizontalMultiLevelHierarchy"/>
    <dgm:cxn modelId="{BD37A6C5-28AF-4643-850B-7D799FCEDF92}" type="presParOf" srcId="{164F099F-2E55-5342-B4F0-9DEE5D2A3D31}" destId="{F2CCCDD2-8BD1-7D48-92E6-C9CBDC1BCB1B}" srcOrd="0" destOrd="0" presId="urn:microsoft.com/office/officeart/2008/layout/HorizontalMultiLevelHierarchy"/>
    <dgm:cxn modelId="{11836EA1-9CBA-4F54-B5F6-E46C445E2883}" type="presParOf" srcId="{B2FF2C25-ECE6-B942-A258-1CB28BDF7BD0}" destId="{BE3FE130-DDFB-BB4F-8AE1-60595F71A0B7}" srcOrd="7" destOrd="0" presId="urn:microsoft.com/office/officeart/2008/layout/HorizontalMultiLevelHierarchy"/>
    <dgm:cxn modelId="{F63484CF-3DB1-4A31-BDAC-A950C9A27C53}" type="presParOf" srcId="{BE3FE130-DDFB-BB4F-8AE1-60595F71A0B7}" destId="{3A42ACA9-4B25-BE43-B6F8-BE8E6834D4E4}" srcOrd="0" destOrd="0" presId="urn:microsoft.com/office/officeart/2008/layout/HorizontalMultiLevelHierarchy"/>
    <dgm:cxn modelId="{B5419D5E-29BF-4056-894C-6CBEA6B756C1}" type="presParOf" srcId="{BE3FE130-DDFB-BB4F-8AE1-60595F71A0B7}" destId="{217FB43D-C05D-D742-AB2E-85B6E56B422D}" srcOrd="1" destOrd="0" presId="urn:microsoft.com/office/officeart/2008/layout/HorizontalMultiLevelHierarchy"/>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5EDFA86-18D8-9B43-A803-95D3AC4F7A23}" type="doc">
      <dgm:prSet loTypeId="urn:microsoft.com/office/officeart/2005/8/layout/process1" loCatId="" qsTypeId="urn:microsoft.com/office/officeart/2005/8/quickstyle/simple1" qsCatId="simple" csTypeId="urn:microsoft.com/office/officeart/2005/8/colors/accent0_1" csCatId="mainScheme" phldr="1"/>
      <dgm:spPr/>
      <dgm:t>
        <a:bodyPr/>
        <a:lstStyle/>
        <a:p>
          <a:endParaRPr lang="ru-RU"/>
        </a:p>
      </dgm:t>
    </dgm:pt>
    <dgm:pt modelId="{89763DE3-3B63-4743-8681-9D10E309B8C8}">
      <dgm:prSet phldrT="[Текст]"/>
      <dgm:spPr/>
      <dgm:t>
        <a:bodyPr/>
        <a:lstStyle/>
        <a:p>
          <a:r>
            <a:rPr lang="en-US">
              <a:latin typeface="Times New Roman" panose="02020603050405020304" pitchFamily="18" charset="0"/>
              <a:cs typeface="Times New Roman" panose="02020603050405020304" pitchFamily="18" charset="0"/>
            </a:rPr>
            <a:t>Inputs</a:t>
          </a:r>
          <a:endParaRPr lang="ru-RU">
            <a:latin typeface="Times New Roman" panose="02020603050405020304" pitchFamily="18" charset="0"/>
            <a:cs typeface="Times New Roman" panose="02020603050405020304" pitchFamily="18" charset="0"/>
          </a:endParaRPr>
        </a:p>
      </dgm:t>
    </dgm:pt>
    <dgm:pt modelId="{7B377BA4-D297-1144-A71D-4D7840CEAA6C}" type="parTrans" cxnId="{A77B8364-422B-F84E-AFEC-B7DD434880CD}">
      <dgm:prSet/>
      <dgm:spPr/>
      <dgm:t>
        <a:bodyPr/>
        <a:lstStyle/>
        <a:p>
          <a:endParaRPr lang="ru-RU"/>
        </a:p>
      </dgm:t>
    </dgm:pt>
    <dgm:pt modelId="{8435D20A-0C6F-944A-AF45-40542A6297FE}" type="sibTrans" cxnId="{A77B8364-422B-F84E-AFEC-B7DD434880CD}">
      <dgm:prSet/>
      <dgm:spPr/>
      <dgm:t>
        <a:bodyPr/>
        <a:lstStyle/>
        <a:p>
          <a:endParaRPr lang="ru-RU"/>
        </a:p>
      </dgm:t>
    </dgm:pt>
    <dgm:pt modelId="{8CDEA74E-3B1B-914C-BAD1-1C2F609D17CE}">
      <dgm:prSet phldrT="[Текст]"/>
      <dgm:spPr/>
      <dgm:t>
        <a:bodyPr/>
        <a:lstStyle/>
        <a:p>
          <a:r>
            <a:rPr lang="en-US">
              <a:latin typeface="Times New Roman" panose="02020603050405020304" pitchFamily="18" charset="0"/>
              <a:cs typeface="Times New Roman" panose="02020603050405020304" pitchFamily="18" charset="0"/>
            </a:rPr>
            <a:t>Activity</a:t>
          </a:r>
          <a:endParaRPr lang="ru-RU">
            <a:latin typeface="Times New Roman" panose="02020603050405020304" pitchFamily="18" charset="0"/>
            <a:cs typeface="Times New Roman" panose="02020603050405020304" pitchFamily="18" charset="0"/>
          </a:endParaRPr>
        </a:p>
      </dgm:t>
    </dgm:pt>
    <dgm:pt modelId="{A7DD50FA-912D-8848-A307-297359615C78}" type="parTrans" cxnId="{B69F5637-8CFB-0A42-B9A9-BE5DBE76ED75}">
      <dgm:prSet/>
      <dgm:spPr/>
      <dgm:t>
        <a:bodyPr/>
        <a:lstStyle/>
        <a:p>
          <a:endParaRPr lang="ru-RU"/>
        </a:p>
      </dgm:t>
    </dgm:pt>
    <dgm:pt modelId="{79DBD00B-DC77-244C-980F-F4A5AB648C5C}" type="sibTrans" cxnId="{B69F5637-8CFB-0A42-B9A9-BE5DBE76ED75}">
      <dgm:prSet/>
      <dgm:spPr/>
      <dgm:t>
        <a:bodyPr/>
        <a:lstStyle/>
        <a:p>
          <a:endParaRPr lang="ru-RU"/>
        </a:p>
      </dgm:t>
    </dgm:pt>
    <dgm:pt modelId="{CE926D09-7B80-CD4F-99AF-F0952C8A2CA4}">
      <dgm:prSet phldrT="[Текст]"/>
      <dgm:spPr/>
      <dgm:t>
        <a:bodyPr/>
        <a:lstStyle/>
        <a:p>
          <a:r>
            <a:rPr lang="en-US">
              <a:latin typeface="Times New Roman" panose="02020603050405020304" pitchFamily="18" charset="0"/>
              <a:cs typeface="Times New Roman" panose="02020603050405020304" pitchFamily="18" charset="0"/>
            </a:rPr>
            <a:t>Output</a:t>
          </a:r>
          <a:endParaRPr lang="ru-RU">
            <a:latin typeface="Times New Roman" panose="02020603050405020304" pitchFamily="18" charset="0"/>
            <a:cs typeface="Times New Roman" panose="02020603050405020304" pitchFamily="18" charset="0"/>
          </a:endParaRPr>
        </a:p>
      </dgm:t>
    </dgm:pt>
    <dgm:pt modelId="{D23CBFC8-8AA2-D941-9D36-B62E9D16B472}" type="parTrans" cxnId="{4AD129A8-DF57-5B49-8E26-365DDD392102}">
      <dgm:prSet/>
      <dgm:spPr/>
      <dgm:t>
        <a:bodyPr/>
        <a:lstStyle/>
        <a:p>
          <a:endParaRPr lang="ru-RU"/>
        </a:p>
      </dgm:t>
    </dgm:pt>
    <dgm:pt modelId="{738BF1DD-9379-5A44-B0E9-7A6AE69025D8}" type="sibTrans" cxnId="{4AD129A8-DF57-5B49-8E26-365DDD392102}">
      <dgm:prSet/>
      <dgm:spPr/>
      <dgm:t>
        <a:bodyPr/>
        <a:lstStyle/>
        <a:p>
          <a:endParaRPr lang="ru-RU"/>
        </a:p>
      </dgm:t>
    </dgm:pt>
    <dgm:pt modelId="{D8E841EE-74D0-1A4B-8307-958544C89FA4}">
      <dgm:prSet/>
      <dgm:spPr/>
      <dgm:t>
        <a:bodyPr/>
        <a:lstStyle/>
        <a:p>
          <a:r>
            <a:rPr lang="en-US">
              <a:latin typeface="Times New Roman" panose="02020603050405020304" pitchFamily="18" charset="0"/>
              <a:cs typeface="Times New Roman" panose="02020603050405020304" pitchFamily="18" charset="0"/>
            </a:rPr>
            <a:t>Quality</a:t>
          </a:r>
          <a:endParaRPr lang="ru-RU">
            <a:latin typeface="Times New Roman" panose="02020603050405020304" pitchFamily="18" charset="0"/>
            <a:cs typeface="Times New Roman" panose="02020603050405020304" pitchFamily="18" charset="0"/>
          </a:endParaRPr>
        </a:p>
      </dgm:t>
    </dgm:pt>
    <dgm:pt modelId="{8AB47BDA-4437-AC4F-AA5B-F55C0B4853A2}" type="parTrans" cxnId="{D2BA8EB7-4DA1-6B49-A562-E8B0B07FE777}">
      <dgm:prSet/>
      <dgm:spPr/>
      <dgm:t>
        <a:bodyPr/>
        <a:lstStyle/>
        <a:p>
          <a:endParaRPr lang="ru-RU"/>
        </a:p>
      </dgm:t>
    </dgm:pt>
    <dgm:pt modelId="{A10C6E5A-0D75-A24A-B724-9F42A18D437F}" type="sibTrans" cxnId="{D2BA8EB7-4DA1-6B49-A562-E8B0B07FE777}">
      <dgm:prSet/>
      <dgm:spPr/>
      <dgm:t>
        <a:bodyPr/>
        <a:lstStyle/>
        <a:p>
          <a:endParaRPr lang="ru-RU"/>
        </a:p>
      </dgm:t>
    </dgm:pt>
    <dgm:pt modelId="{9E1FEBB8-E0C2-0F41-8DD8-DB38049EF2D6}">
      <dgm:prSet/>
      <dgm:spPr/>
      <dgm:t>
        <a:bodyPr/>
        <a:lstStyle/>
        <a:p>
          <a:r>
            <a:rPr lang="en-US">
              <a:latin typeface="Times New Roman" panose="02020603050405020304" pitchFamily="18" charset="0"/>
              <a:cs typeface="Times New Roman" panose="02020603050405020304" pitchFamily="18" charset="0"/>
            </a:rPr>
            <a:t>Outcome</a:t>
          </a:r>
        </a:p>
        <a:p>
          <a:r>
            <a:rPr lang="en-US">
              <a:latin typeface="Times New Roman" panose="02020603050405020304" pitchFamily="18" charset="0"/>
              <a:cs typeface="Times New Roman" panose="02020603050405020304" pitchFamily="18" charset="0"/>
            </a:rPr>
            <a:t>(social) </a:t>
          </a:r>
          <a:endParaRPr lang="ru-RU">
            <a:latin typeface="Times New Roman" panose="02020603050405020304" pitchFamily="18" charset="0"/>
            <a:cs typeface="Times New Roman" panose="02020603050405020304" pitchFamily="18" charset="0"/>
          </a:endParaRPr>
        </a:p>
      </dgm:t>
    </dgm:pt>
    <dgm:pt modelId="{40CF0057-9A2B-0146-B8ED-58FC9D96DF31}" type="parTrans" cxnId="{B57AF159-624D-1542-941F-5F1179A12F96}">
      <dgm:prSet/>
      <dgm:spPr/>
      <dgm:t>
        <a:bodyPr/>
        <a:lstStyle/>
        <a:p>
          <a:endParaRPr lang="ru-RU"/>
        </a:p>
      </dgm:t>
    </dgm:pt>
    <dgm:pt modelId="{98A07B0D-F02E-7C43-86FF-9A655B81CEC1}" type="sibTrans" cxnId="{B57AF159-624D-1542-941F-5F1179A12F96}">
      <dgm:prSet/>
      <dgm:spPr/>
      <dgm:t>
        <a:bodyPr/>
        <a:lstStyle/>
        <a:p>
          <a:endParaRPr lang="ru-RU"/>
        </a:p>
      </dgm:t>
    </dgm:pt>
    <dgm:pt modelId="{25E7A333-8D17-C442-8E87-3A7CAC579663}">
      <dgm:prSet/>
      <dgm:spPr/>
      <dgm:t>
        <a:bodyPr/>
        <a:lstStyle/>
        <a:p>
          <a:r>
            <a:rPr lang="en-US">
              <a:latin typeface="Times New Roman" panose="02020603050405020304" pitchFamily="18" charset="0"/>
              <a:cs typeface="Times New Roman" panose="02020603050405020304" pitchFamily="18" charset="0"/>
            </a:rPr>
            <a:t>Ipmpact</a:t>
          </a:r>
        </a:p>
        <a:p>
          <a:r>
            <a:rPr lang="en-US">
              <a:latin typeface="Times New Roman" panose="02020603050405020304" pitchFamily="18" charset="0"/>
              <a:cs typeface="Times New Roman" panose="02020603050405020304" pitchFamily="18" charset="0"/>
            </a:rPr>
            <a:t>(social)</a:t>
          </a:r>
          <a:endParaRPr lang="ru-RU">
            <a:latin typeface="Times New Roman" panose="02020603050405020304" pitchFamily="18" charset="0"/>
            <a:cs typeface="Times New Roman" panose="02020603050405020304" pitchFamily="18" charset="0"/>
          </a:endParaRPr>
        </a:p>
      </dgm:t>
    </dgm:pt>
    <dgm:pt modelId="{FD5955BD-632D-FF44-B01D-9F59748F342F}" type="parTrans" cxnId="{6E0808BB-70E2-6442-86AF-41976DE9A7CA}">
      <dgm:prSet/>
      <dgm:spPr/>
      <dgm:t>
        <a:bodyPr/>
        <a:lstStyle/>
        <a:p>
          <a:endParaRPr lang="ru-RU"/>
        </a:p>
      </dgm:t>
    </dgm:pt>
    <dgm:pt modelId="{D227123A-FA9F-1C43-A990-32797C7AB2EC}" type="sibTrans" cxnId="{6E0808BB-70E2-6442-86AF-41976DE9A7CA}">
      <dgm:prSet/>
      <dgm:spPr/>
      <dgm:t>
        <a:bodyPr/>
        <a:lstStyle/>
        <a:p>
          <a:endParaRPr lang="ru-RU"/>
        </a:p>
      </dgm:t>
    </dgm:pt>
    <dgm:pt modelId="{6EE069DB-7E74-6342-8DCD-059DD753F38F}" type="pres">
      <dgm:prSet presAssocID="{D5EDFA86-18D8-9B43-A803-95D3AC4F7A23}" presName="Name0" presStyleCnt="0">
        <dgm:presLayoutVars>
          <dgm:dir/>
          <dgm:resizeHandles val="exact"/>
        </dgm:presLayoutVars>
      </dgm:prSet>
      <dgm:spPr/>
    </dgm:pt>
    <dgm:pt modelId="{660CFD55-47DA-214D-9950-32A52240D0AA}" type="pres">
      <dgm:prSet presAssocID="{89763DE3-3B63-4743-8681-9D10E309B8C8}" presName="node" presStyleLbl="node1" presStyleIdx="0" presStyleCnt="6">
        <dgm:presLayoutVars>
          <dgm:bulletEnabled val="1"/>
        </dgm:presLayoutVars>
      </dgm:prSet>
      <dgm:spPr/>
    </dgm:pt>
    <dgm:pt modelId="{3D020830-3424-034A-A1A1-0AC0BB10C547}" type="pres">
      <dgm:prSet presAssocID="{8435D20A-0C6F-944A-AF45-40542A6297FE}" presName="sibTrans" presStyleLbl="sibTrans2D1" presStyleIdx="0" presStyleCnt="5"/>
      <dgm:spPr/>
    </dgm:pt>
    <dgm:pt modelId="{C5078932-EF65-704E-A3E6-7C497D7A90A4}" type="pres">
      <dgm:prSet presAssocID="{8435D20A-0C6F-944A-AF45-40542A6297FE}" presName="connectorText" presStyleLbl="sibTrans2D1" presStyleIdx="0" presStyleCnt="5"/>
      <dgm:spPr/>
    </dgm:pt>
    <dgm:pt modelId="{3BEE9346-D77A-EF4C-8785-48A07A612A90}" type="pres">
      <dgm:prSet presAssocID="{8CDEA74E-3B1B-914C-BAD1-1C2F609D17CE}" presName="node" presStyleLbl="node1" presStyleIdx="1" presStyleCnt="6">
        <dgm:presLayoutVars>
          <dgm:bulletEnabled val="1"/>
        </dgm:presLayoutVars>
      </dgm:prSet>
      <dgm:spPr/>
    </dgm:pt>
    <dgm:pt modelId="{91F8B4A2-5BA7-B242-B57B-186183A16F4C}" type="pres">
      <dgm:prSet presAssocID="{79DBD00B-DC77-244C-980F-F4A5AB648C5C}" presName="sibTrans" presStyleLbl="sibTrans2D1" presStyleIdx="1" presStyleCnt="5"/>
      <dgm:spPr/>
    </dgm:pt>
    <dgm:pt modelId="{7E87E72D-CA1F-7049-A24C-0FB67D4A04BB}" type="pres">
      <dgm:prSet presAssocID="{79DBD00B-DC77-244C-980F-F4A5AB648C5C}" presName="connectorText" presStyleLbl="sibTrans2D1" presStyleIdx="1" presStyleCnt="5"/>
      <dgm:spPr/>
    </dgm:pt>
    <dgm:pt modelId="{5E4787D7-3589-764F-91A5-8A88CA9684BD}" type="pres">
      <dgm:prSet presAssocID="{CE926D09-7B80-CD4F-99AF-F0952C8A2CA4}" presName="node" presStyleLbl="node1" presStyleIdx="2" presStyleCnt="6">
        <dgm:presLayoutVars>
          <dgm:bulletEnabled val="1"/>
        </dgm:presLayoutVars>
      </dgm:prSet>
      <dgm:spPr/>
    </dgm:pt>
    <dgm:pt modelId="{02A181D9-E11F-7648-A9E3-639CDC54A6FD}" type="pres">
      <dgm:prSet presAssocID="{738BF1DD-9379-5A44-B0E9-7A6AE69025D8}" presName="sibTrans" presStyleLbl="sibTrans2D1" presStyleIdx="2" presStyleCnt="5"/>
      <dgm:spPr/>
    </dgm:pt>
    <dgm:pt modelId="{3CB20643-3436-FF40-9A83-D3E865EF0056}" type="pres">
      <dgm:prSet presAssocID="{738BF1DD-9379-5A44-B0E9-7A6AE69025D8}" presName="connectorText" presStyleLbl="sibTrans2D1" presStyleIdx="2" presStyleCnt="5"/>
      <dgm:spPr/>
    </dgm:pt>
    <dgm:pt modelId="{56ED1337-3C6C-1E43-9118-9F5F2C812F1C}" type="pres">
      <dgm:prSet presAssocID="{D8E841EE-74D0-1A4B-8307-958544C89FA4}" presName="node" presStyleLbl="node1" presStyleIdx="3" presStyleCnt="6">
        <dgm:presLayoutVars>
          <dgm:bulletEnabled val="1"/>
        </dgm:presLayoutVars>
      </dgm:prSet>
      <dgm:spPr/>
    </dgm:pt>
    <dgm:pt modelId="{67608750-86B3-B845-B828-6086BE14D574}" type="pres">
      <dgm:prSet presAssocID="{A10C6E5A-0D75-A24A-B724-9F42A18D437F}" presName="sibTrans" presStyleLbl="sibTrans2D1" presStyleIdx="3" presStyleCnt="5"/>
      <dgm:spPr/>
    </dgm:pt>
    <dgm:pt modelId="{695E61D9-54CF-6649-96EF-6488B286AAE6}" type="pres">
      <dgm:prSet presAssocID="{A10C6E5A-0D75-A24A-B724-9F42A18D437F}" presName="connectorText" presStyleLbl="sibTrans2D1" presStyleIdx="3" presStyleCnt="5"/>
      <dgm:spPr/>
    </dgm:pt>
    <dgm:pt modelId="{84BFAA8C-6951-A348-ACE9-A2867457AD1F}" type="pres">
      <dgm:prSet presAssocID="{9E1FEBB8-E0C2-0F41-8DD8-DB38049EF2D6}" presName="node" presStyleLbl="node1" presStyleIdx="4" presStyleCnt="6">
        <dgm:presLayoutVars>
          <dgm:bulletEnabled val="1"/>
        </dgm:presLayoutVars>
      </dgm:prSet>
      <dgm:spPr/>
    </dgm:pt>
    <dgm:pt modelId="{1E4F134A-031C-DC44-B6B1-6C81D832040D}" type="pres">
      <dgm:prSet presAssocID="{98A07B0D-F02E-7C43-86FF-9A655B81CEC1}" presName="sibTrans" presStyleLbl="sibTrans2D1" presStyleIdx="4" presStyleCnt="5"/>
      <dgm:spPr/>
    </dgm:pt>
    <dgm:pt modelId="{2C3C6DE5-7B72-0849-BA7F-7B103819EF64}" type="pres">
      <dgm:prSet presAssocID="{98A07B0D-F02E-7C43-86FF-9A655B81CEC1}" presName="connectorText" presStyleLbl="sibTrans2D1" presStyleIdx="4" presStyleCnt="5"/>
      <dgm:spPr/>
    </dgm:pt>
    <dgm:pt modelId="{770CF1E4-B53A-764B-A97F-F59B79F59A38}" type="pres">
      <dgm:prSet presAssocID="{25E7A333-8D17-C442-8E87-3A7CAC579663}" presName="node" presStyleLbl="node1" presStyleIdx="5" presStyleCnt="6">
        <dgm:presLayoutVars>
          <dgm:bulletEnabled val="1"/>
        </dgm:presLayoutVars>
      </dgm:prSet>
      <dgm:spPr/>
    </dgm:pt>
  </dgm:ptLst>
  <dgm:cxnLst>
    <dgm:cxn modelId="{AFAF0F14-2FF7-44B5-9CCC-9D4A76F9D841}" type="presOf" srcId="{98A07B0D-F02E-7C43-86FF-9A655B81CEC1}" destId="{2C3C6DE5-7B72-0849-BA7F-7B103819EF64}" srcOrd="1" destOrd="0" presId="urn:microsoft.com/office/officeart/2005/8/layout/process1"/>
    <dgm:cxn modelId="{7300EA28-2E3A-4FDD-8DAB-1560BAB3CA66}" type="presOf" srcId="{A10C6E5A-0D75-A24A-B724-9F42A18D437F}" destId="{695E61D9-54CF-6649-96EF-6488B286AAE6}" srcOrd="1" destOrd="0" presId="urn:microsoft.com/office/officeart/2005/8/layout/process1"/>
    <dgm:cxn modelId="{B69F5637-8CFB-0A42-B9A9-BE5DBE76ED75}" srcId="{D5EDFA86-18D8-9B43-A803-95D3AC4F7A23}" destId="{8CDEA74E-3B1B-914C-BAD1-1C2F609D17CE}" srcOrd="1" destOrd="0" parTransId="{A7DD50FA-912D-8848-A307-297359615C78}" sibTransId="{79DBD00B-DC77-244C-980F-F4A5AB648C5C}"/>
    <dgm:cxn modelId="{0D966243-091D-409C-8EFE-B1A8490D7A90}" type="presOf" srcId="{CE926D09-7B80-CD4F-99AF-F0952C8A2CA4}" destId="{5E4787D7-3589-764F-91A5-8A88CA9684BD}" srcOrd="0" destOrd="0" presId="urn:microsoft.com/office/officeart/2005/8/layout/process1"/>
    <dgm:cxn modelId="{B57AF159-624D-1542-941F-5F1179A12F96}" srcId="{D5EDFA86-18D8-9B43-A803-95D3AC4F7A23}" destId="{9E1FEBB8-E0C2-0F41-8DD8-DB38049EF2D6}" srcOrd="4" destOrd="0" parTransId="{40CF0057-9A2B-0146-B8ED-58FC9D96DF31}" sibTransId="{98A07B0D-F02E-7C43-86FF-9A655B81CEC1}"/>
    <dgm:cxn modelId="{A77B8364-422B-F84E-AFEC-B7DD434880CD}" srcId="{D5EDFA86-18D8-9B43-A803-95D3AC4F7A23}" destId="{89763DE3-3B63-4743-8681-9D10E309B8C8}" srcOrd="0" destOrd="0" parTransId="{7B377BA4-D297-1144-A71D-4D7840CEAA6C}" sibTransId="{8435D20A-0C6F-944A-AF45-40542A6297FE}"/>
    <dgm:cxn modelId="{CAEAE464-431C-46B3-8DEB-25A2F35E4168}" type="presOf" srcId="{9E1FEBB8-E0C2-0F41-8DD8-DB38049EF2D6}" destId="{84BFAA8C-6951-A348-ACE9-A2867457AD1F}" srcOrd="0" destOrd="0" presId="urn:microsoft.com/office/officeart/2005/8/layout/process1"/>
    <dgm:cxn modelId="{0180D466-79A4-4C98-83C6-F6B06CAE552F}" type="presOf" srcId="{25E7A333-8D17-C442-8E87-3A7CAC579663}" destId="{770CF1E4-B53A-764B-A97F-F59B79F59A38}" srcOrd="0" destOrd="0" presId="urn:microsoft.com/office/officeart/2005/8/layout/process1"/>
    <dgm:cxn modelId="{F5066669-8E8C-42DE-8EE1-68EB297ACC30}" type="presOf" srcId="{8435D20A-0C6F-944A-AF45-40542A6297FE}" destId="{C5078932-EF65-704E-A3E6-7C497D7A90A4}" srcOrd="1" destOrd="0" presId="urn:microsoft.com/office/officeart/2005/8/layout/process1"/>
    <dgm:cxn modelId="{3FD9EB73-3F3F-422B-AF9D-E88A1D2F4995}" type="presOf" srcId="{A10C6E5A-0D75-A24A-B724-9F42A18D437F}" destId="{67608750-86B3-B845-B828-6086BE14D574}" srcOrd="0" destOrd="0" presId="urn:microsoft.com/office/officeart/2005/8/layout/process1"/>
    <dgm:cxn modelId="{EE1BF78C-0A43-451B-B3E7-9F82685064EC}" type="presOf" srcId="{89763DE3-3B63-4743-8681-9D10E309B8C8}" destId="{660CFD55-47DA-214D-9950-32A52240D0AA}" srcOrd="0" destOrd="0" presId="urn:microsoft.com/office/officeart/2005/8/layout/process1"/>
    <dgm:cxn modelId="{4925038F-74C1-41C4-90FD-EACDE8138A35}" type="presOf" srcId="{98A07B0D-F02E-7C43-86FF-9A655B81CEC1}" destId="{1E4F134A-031C-DC44-B6B1-6C81D832040D}" srcOrd="0" destOrd="0" presId="urn:microsoft.com/office/officeart/2005/8/layout/process1"/>
    <dgm:cxn modelId="{66FB188F-2728-4C1F-8710-CD58306C2095}" type="presOf" srcId="{8CDEA74E-3B1B-914C-BAD1-1C2F609D17CE}" destId="{3BEE9346-D77A-EF4C-8785-48A07A612A90}" srcOrd="0" destOrd="0" presId="urn:microsoft.com/office/officeart/2005/8/layout/process1"/>
    <dgm:cxn modelId="{4AD129A8-DF57-5B49-8E26-365DDD392102}" srcId="{D5EDFA86-18D8-9B43-A803-95D3AC4F7A23}" destId="{CE926D09-7B80-CD4F-99AF-F0952C8A2CA4}" srcOrd="2" destOrd="0" parTransId="{D23CBFC8-8AA2-D941-9D36-B62E9D16B472}" sibTransId="{738BF1DD-9379-5A44-B0E9-7A6AE69025D8}"/>
    <dgm:cxn modelId="{F8C60EAB-95F5-4E98-A4C8-6881F006481A}" type="presOf" srcId="{D5EDFA86-18D8-9B43-A803-95D3AC4F7A23}" destId="{6EE069DB-7E74-6342-8DCD-059DD753F38F}" srcOrd="0" destOrd="0" presId="urn:microsoft.com/office/officeart/2005/8/layout/process1"/>
    <dgm:cxn modelId="{7DE0DDAD-6E57-4807-8D37-9ADA368C4B60}" type="presOf" srcId="{79DBD00B-DC77-244C-980F-F4A5AB648C5C}" destId="{91F8B4A2-5BA7-B242-B57B-186183A16F4C}" srcOrd="0" destOrd="0" presId="urn:microsoft.com/office/officeart/2005/8/layout/process1"/>
    <dgm:cxn modelId="{D2BA8EB7-4DA1-6B49-A562-E8B0B07FE777}" srcId="{D5EDFA86-18D8-9B43-A803-95D3AC4F7A23}" destId="{D8E841EE-74D0-1A4B-8307-958544C89FA4}" srcOrd="3" destOrd="0" parTransId="{8AB47BDA-4437-AC4F-AA5B-F55C0B4853A2}" sibTransId="{A10C6E5A-0D75-A24A-B724-9F42A18D437F}"/>
    <dgm:cxn modelId="{D10A1FB9-F96A-478F-9C59-A16E7E50AAA1}" type="presOf" srcId="{D8E841EE-74D0-1A4B-8307-958544C89FA4}" destId="{56ED1337-3C6C-1E43-9118-9F5F2C812F1C}" srcOrd="0" destOrd="0" presId="urn:microsoft.com/office/officeart/2005/8/layout/process1"/>
    <dgm:cxn modelId="{6E0808BB-70E2-6442-86AF-41976DE9A7CA}" srcId="{D5EDFA86-18D8-9B43-A803-95D3AC4F7A23}" destId="{25E7A333-8D17-C442-8E87-3A7CAC579663}" srcOrd="5" destOrd="0" parTransId="{FD5955BD-632D-FF44-B01D-9F59748F342F}" sibTransId="{D227123A-FA9F-1C43-A990-32797C7AB2EC}"/>
    <dgm:cxn modelId="{EE652BC1-D577-4DC3-914C-F9934BD1C86F}" type="presOf" srcId="{8435D20A-0C6F-944A-AF45-40542A6297FE}" destId="{3D020830-3424-034A-A1A1-0AC0BB10C547}" srcOrd="0" destOrd="0" presId="urn:microsoft.com/office/officeart/2005/8/layout/process1"/>
    <dgm:cxn modelId="{E80038C8-820B-4CA8-AF89-3C0ADA0FE52E}" type="presOf" srcId="{738BF1DD-9379-5A44-B0E9-7A6AE69025D8}" destId="{3CB20643-3436-FF40-9A83-D3E865EF0056}" srcOrd="1" destOrd="0" presId="urn:microsoft.com/office/officeart/2005/8/layout/process1"/>
    <dgm:cxn modelId="{D9B227E2-9DF8-43F4-8289-A9E838169CEB}" type="presOf" srcId="{79DBD00B-DC77-244C-980F-F4A5AB648C5C}" destId="{7E87E72D-CA1F-7049-A24C-0FB67D4A04BB}" srcOrd="1" destOrd="0" presId="urn:microsoft.com/office/officeart/2005/8/layout/process1"/>
    <dgm:cxn modelId="{4DE909E9-A7CA-473B-A3D3-6BEDDEFC2832}" type="presOf" srcId="{738BF1DD-9379-5A44-B0E9-7A6AE69025D8}" destId="{02A181D9-E11F-7648-A9E3-639CDC54A6FD}" srcOrd="0" destOrd="0" presId="urn:microsoft.com/office/officeart/2005/8/layout/process1"/>
    <dgm:cxn modelId="{F6C921EB-701F-4AAA-B668-D6485D3525B9}" type="presParOf" srcId="{6EE069DB-7E74-6342-8DCD-059DD753F38F}" destId="{660CFD55-47DA-214D-9950-32A52240D0AA}" srcOrd="0" destOrd="0" presId="urn:microsoft.com/office/officeart/2005/8/layout/process1"/>
    <dgm:cxn modelId="{FE4BAD3B-49A4-4ADF-8430-38542C1497BE}" type="presParOf" srcId="{6EE069DB-7E74-6342-8DCD-059DD753F38F}" destId="{3D020830-3424-034A-A1A1-0AC0BB10C547}" srcOrd="1" destOrd="0" presId="urn:microsoft.com/office/officeart/2005/8/layout/process1"/>
    <dgm:cxn modelId="{89A7CBA5-6CFD-4F61-AA5C-EF86FBE34B02}" type="presParOf" srcId="{3D020830-3424-034A-A1A1-0AC0BB10C547}" destId="{C5078932-EF65-704E-A3E6-7C497D7A90A4}" srcOrd="0" destOrd="0" presId="urn:microsoft.com/office/officeart/2005/8/layout/process1"/>
    <dgm:cxn modelId="{8B9AB372-E72D-476A-B605-A744B55D2B92}" type="presParOf" srcId="{6EE069DB-7E74-6342-8DCD-059DD753F38F}" destId="{3BEE9346-D77A-EF4C-8785-48A07A612A90}" srcOrd="2" destOrd="0" presId="urn:microsoft.com/office/officeart/2005/8/layout/process1"/>
    <dgm:cxn modelId="{CE00B76A-F1B5-4108-896F-92FCAF0FB7CB}" type="presParOf" srcId="{6EE069DB-7E74-6342-8DCD-059DD753F38F}" destId="{91F8B4A2-5BA7-B242-B57B-186183A16F4C}" srcOrd="3" destOrd="0" presId="urn:microsoft.com/office/officeart/2005/8/layout/process1"/>
    <dgm:cxn modelId="{90903301-D974-412C-9E28-0FDEDF738BF5}" type="presParOf" srcId="{91F8B4A2-5BA7-B242-B57B-186183A16F4C}" destId="{7E87E72D-CA1F-7049-A24C-0FB67D4A04BB}" srcOrd="0" destOrd="0" presId="urn:microsoft.com/office/officeart/2005/8/layout/process1"/>
    <dgm:cxn modelId="{2AC52D2D-0CBB-40DA-BF94-37A50C1C3FB5}" type="presParOf" srcId="{6EE069DB-7E74-6342-8DCD-059DD753F38F}" destId="{5E4787D7-3589-764F-91A5-8A88CA9684BD}" srcOrd="4" destOrd="0" presId="urn:microsoft.com/office/officeart/2005/8/layout/process1"/>
    <dgm:cxn modelId="{F4536C8A-3F25-42E9-89C5-EAE9530BDA19}" type="presParOf" srcId="{6EE069DB-7E74-6342-8DCD-059DD753F38F}" destId="{02A181D9-E11F-7648-A9E3-639CDC54A6FD}" srcOrd="5" destOrd="0" presId="urn:microsoft.com/office/officeart/2005/8/layout/process1"/>
    <dgm:cxn modelId="{0D1D455D-8B64-4F9D-88E0-3B7A7C586532}" type="presParOf" srcId="{02A181D9-E11F-7648-A9E3-639CDC54A6FD}" destId="{3CB20643-3436-FF40-9A83-D3E865EF0056}" srcOrd="0" destOrd="0" presId="urn:microsoft.com/office/officeart/2005/8/layout/process1"/>
    <dgm:cxn modelId="{438B1BF7-1378-4E92-8C58-3B33C8720300}" type="presParOf" srcId="{6EE069DB-7E74-6342-8DCD-059DD753F38F}" destId="{56ED1337-3C6C-1E43-9118-9F5F2C812F1C}" srcOrd="6" destOrd="0" presId="urn:microsoft.com/office/officeart/2005/8/layout/process1"/>
    <dgm:cxn modelId="{BD429B6B-8356-4A52-84BE-4045E212FFF5}" type="presParOf" srcId="{6EE069DB-7E74-6342-8DCD-059DD753F38F}" destId="{67608750-86B3-B845-B828-6086BE14D574}" srcOrd="7" destOrd="0" presId="urn:microsoft.com/office/officeart/2005/8/layout/process1"/>
    <dgm:cxn modelId="{8B71BB13-EC03-40C2-921C-90F39450853C}" type="presParOf" srcId="{67608750-86B3-B845-B828-6086BE14D574}" destId="{695E61D9-54CF-6649-96EF-6488B286AAE6}" srcOrd="0" destOrd="0" presId="urn:microsoft.com/office/officeart/2005/8/layout/process1"/>
    <dgm:cxn modelId="{CA2FD0B3-4965-4359-8C7F-2B7DE91FB754}" type="presParOf" srcId="{6EE069DB-7E74-6342-8DCD-059DD753F38F}" destId="{84BFAA8C-6951-A348-ACE9-A2867457AD1F}" srcOrd="8" destOrd="0" presId="urn:microsoft.com/office/officeart/2005/8/layout/process1"/>
    <dgm:cxn modelId="{DAB05AC6-2DBF-43ED-876E-8FC59E038611}" type="presParOf" srcId="{6EE069DB-7E74-6342-8DCD-059DD753F38F}" destId="{1E4F134A-031C-DC44-B6B1-6C81D832040D}" srcOrd="9" destOrd="0" presId="urn:microsoft.com/office/officeart/2005/8/layout/process1"/>
    <dgm:cxn modelId="{2E7EB4BC-36C7-4AF9-BCFE-7376A7649040}" type="presParOf" srcId="{1E4F134A-031C-DC44-B6B1-6C81D832040D}" destId="{2C3C6DE5-7B72-0849-BA7F-7B103819EF64}" srcOrd="0" destOrd="0" presId="urn:microsoft.com/office/officeart/2005/8/layout/process1"/>
    <dgm:cxn modelId="{5865CBAB-A7EA-4D02-A811-F660CC3D481C}" type="presParOf" srcId="{6EE069DB-7E74-6342-8DCD-059DD753F38F}" destId="{770CF1E4-B53A-764B-A97F-F59B79F59A38}" srcOrd="10"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8D0717F-3021-094A-937F-DC52AD9DF640}" type="doc">
      <dgm:prSet loTypeId="urn:microsoft.com/office/officeart/2005/8/layout/hierarchy1" loCatId="" qsTypeId="urn:microsoft.com/office/officeart/2005/8/quickstyle/simple1" qsCatId="simple" csTypeId="urn:microsoft.com/office/officeart/2005/8/colors/accent3_5" csCatId="accent3" phldr="1"/>
      <dgm:spPr/>
      <dgm:t>
        <a:bodyPr/>
        <a:lstStyle/>
        <a:p>
          <a:endParaRPr lang="ru-RU"/>
        </a:p>
      </dgm:t>
    </dgm:pt>
    <dgm:pt modelId="{343A8C1A-2DFE-0E43-9BB4-114463C86C40}">
      <dgm:prSet phldrT="[Текст]" custT="1"/>
      <dgm:spPr/>
      <dgm:t>
        <a:bodyPr/>
        <a:lstStyle/>
        <a:p>
          <a:r>
            <a:rPr lang="en-US" sz="1200">
              <a:latin typeface="Times New Roman" panose="02020603050405020304" pitchFamily="18" charset="0"/>
              <a:cs typeface="Times New Roman" panose="02020603050405020304" pitchFamily="18" charset="0"/>
            </a:rPr>
            <a:t>Goal</a:t>
          </a:r>
          <a:endParaRPr lang="ru-RU" sz="1200">
            <a:latin typeface="Times New Roman" panose="02020603050405020304" pitchFamily="18" charset="0"/>
            <a:cs typeface="Times New Roman" panose="02020603050405020304" pitchFamily="18" charset="0"/>
          </a:endParaRPr>
        </a:p>
      </dgm:t>
    </dgm:pt>
    <dgm:pt modelId="{09DEC83E-3FF9-5A4B-818C-49ADBC2BD0C1}" type="parTrans" cxnId="{A84D7FD0-0705-6342-8E65-A4A34B62482F}">
      <dgm:prSet/>
      <dgm:spPr/>
      <dgm:t>
        <a:bodyPr/>
        <a:lstStyle/>
        <a:p>
          <a:endParaRPr lang="ru-RU"/>
        </a:p>
      </dgm:t>
    </dgm:pt>
    <dgm:pt modelId="{BDA7B131-EA69-FE43-BFEA-C8A578A2C2DE}" type="sibTrans" cxnId="{A84D7FD0-0705-6342-8E65-A4A34B62482F}">
      <dgm:prSet/>
      <dgm:spPr/>
      <dgm:t>
        <a:bodyPr/>
        <a:lstStyle/>
        <a:p>
          <a:endParaRPr lang="ru-RU"/>
        </a:p>
      </dgm:t>
    </dgm:pt>
    <dgm:pt modelId="{E52238E0-A0B9-7144-B634-5811314382BE}">
      <dgm:prSet phldrT="[Текст]" custT="1"/>
      <dgm:spPr/>
      <dgm:t>
        <a:bodyPr/>
        <a:lstStyle/>
        <a:p>
          <a:r>
            <a:rPr lang="en-US" sz="1100">
              <a:latin typeface="Times New Roman" panose="02020603050405020304" pitchFamily="18" charset="0"/>
              <a:cs typeface="Times New Roman" panose="02020603050405020304" pitchFamily="18" charset="0"/>
            </a:rPr>
            <a:t>Criterion 1</a:t>
          </a:r>
          <a:endParaRPr lang="ru-RU" sz="1100">
            <a:latin typeface="Times New Roman" panose="02020603050405020304" pitchFamily="18" charset="0"/>
            <a:cs typeface="Times New Roman" panose="02020603050405020304" pitchFamily="18" charset="0"/>
          </a:endParaRPr>
        </a:p>
      </dgm:t>
    </dgm:pt>
    <dgm:pt modelId="{2C9D16BF-ACB2-CC4F-8141-1F61EFC69D54}" type="parTrans" cxnId="{2D5CD7F3-34C8-EF43-B60E-1B8D104FF7F8}">
      <dgm:prSet/>
      <dgm:spPr/>
      <dgm:t>
        <a:bodyPr/>
        <a:lstStyle/>
        <a:p>
          <a:endParaRPr lang="ru-RU"/>
        </a:p>
      </dgm:t>
    </dgm:pt>
    <dgm:pt modelId="{9882C1CE-7869-4B4F-91C8-60D88D539C92}" type="sibTrans" cxnId="{2D5CD7F3-34C8-EF43-B60E-1B8D104FF7F8}">
      <dgm:prSet/>
      <dgm:spPr/>
      <dgm:t>
        <a:bodyPr/>
        <a:lstStyle/>
        <a:p>
          <a:endParaRPr lang="ru-RU"/>
        </a:p>
      </dgm:t>
    </dgm:pt>
    <dgm:pt modelId="{4959EE35-7E5D-0A44-8AB1-079D6E45C3D5}">
      <dgm:prSet phldrT="[Текст]" custT="1"/>
      <dgm:spPr/>
      <dgm:t>
        <a:bodyPr/>
        <a:lstStyle/>
        <a:p>
          <a:r>
            <a:rPr lang="en-US" sz="1100">
              <a:latin typeface="Times New Roman" panose="02020603050405020304" pitchFamily="18" charset="0"/>
              <a:cs typeface="Times New Roman" panose="02020603050405020304" pitchFamily="18" charset="0"/>
            </a:rPr>
            <a:t>Alternative 1</a:t>
          </a:r>
          <a:endParaRPr lang="ru-RU" sz="1100">
            <a:latin typeface="Times New Roman" panose="02020603050405020304" pitchFamily="18" charset="0"/>
            <a:cs typeface="Times New Roman" panose="02020603050405020304" pitchFamily="18" charset="0"/>
          </a:endParaRPr>
        </a:p>
      </dgm:t>
    </dgm:pt>
    <dgm:pt modelId="{EFBBC6E9-2D81-7044-BA89-BD759C697390}" type="parTrans" cxnId="{8C836365-E61C-7B41-9D00-8414BB30BCB3}">
      <dgm:prSet/>
      <dgm:spPr/>
      <dgm:t>
        <a:bodyPr/>
        <a:lstStyle/>
        <a:p>
          <a:endParaRPr lang="ru-RU"/>
        </a:p>
      </dgm:t>
    </dgm:pt>
    <dgm:pt modelId="{111F411F-FBAD-A244-B7F3-27AD367EA494}" type="sibTrans" cxnId="{8C836365-E61C-7B41-9D00-8414BB30BCB3}">
      <dgm:prSet/>
      <dgm:spPr/>
      <dgm:t>
        <a:bodyPr/>
        <a:lstStyle/>
        <a:p>
          <a:endParaRPr lang="ru-RU"/>
        </a:p>
      </dgm:t>
    </dgm:pt>
    <dgm:pt modelId="{D76470FB-A8A5-3941-9B63-CB5EA02CDDFD}">
      <dgm:prSet phldrT="[Текст]" custT="1"/>
      <dgm:spPr/>
      <dgm:t>
        <a:bodyPr/>
        <a:lstStyle/>
        <a:p>
          <a:r>
            <a:rPr lang="en-US" sz="1100">
              <a:latin typeface="Times New Roman" panose="02020603050405020304" pitchFamily="18" charset="0"/>
              <a:cs typeface="Times New Roman" panose="02020603050405020304" pitchFamily="18" charset="0"/>
            </a:rPr>
            <a:t>Alternative 2</a:t>
          </a:r>
          <a:endParaRPr lang="ru-RU" sz="1100">
            <a:latin typeface="Times New Roman" panose="02020603050405020304" pitchFamily="18" charset="0"/>
            <a:cs typeface="Times New Roman" panose="02020603050405020304" pitchFamily="18" charset="0"/>
          </a:endParaRPr>
        </a:p>
      </dgm:t>
    </dgm:pt>
    <dgm:pt modelId="{EFAACFF8-0922-2848-ADF5-37FCFB5DCAA5}" type="parTrans" cxnId="{63CD2954-0E99-9D4A-B085-4A440A668CBC}">
      <dgm:prSet/>
      <dgm:spPr/>
      <dgm:t>
        <a:bodyPr/>
        <a:lstStyle/>
        <a:p>
          <a:endParaRPr lang="ru-RU"/>
        </a:p>
      </dgm:t>
    </dgm:pt>
    <dgm:pt modelId="{72EB8D18-7AF5-9640-8673-90716ADBC45A}" type="sibTrans" cxnId="{63CD2954-0E99-9D4A-B085-4A440A668CBC}">
      <dgm:prSet/>
      <dgm:spPr/>
      <dgm:t>
        <a:bodyPr/>
        <a:lstStyle/>
        <a:p>
          <a:endParaRPr lang="ru-RU"/>
        </a:p>
      </dgm:t>
    </dgm:pt>
    <dgm:pt modelId="{3AC00E06-9079-4543-9C97-0C81566B16BA}">
      <dgm:prSet phldrT="[Текст]" custT="1"/>
      <dgm:spPr/>
      <dgm:t>
        <a:bodyPr/>
        <a:lstStyle/>
        <a:p>
          <a:r>
            <a:rPr lang="en-US" sz="1100">
              <a:latin typeface="Times New Roman" panose="02020603050405020304" pitchFamily="18" charset="0"/>
              <a:cs typeface="Times New Roman" panose="02020603050405020304" pitchFamily="18" charset="0"/>
            </a:rPr>
            <a:t>Criterion 2</a:t>
          </a:r>
          <a:endParaRPr lang="ru-RU" sz="1100">
            <a:latin typeface="Times New Roman" panose="02020603050405020304" pitchFamily="18" charset="0"/>
            <a:cs typeface="Times New Roman" panose="02020603050405020304" pitchFamily="18" charset="0"/>
          </a:endParaRPr>
        </a:p>
      </dgm:t>
    </dgm:pt>
    <dgm:pt modelId="{0CDE0619-BE72-4747-801F-1194FDE0C78F}" type="parTrans" cxnId="{50113940-20BC-D84A-BED6-660200AD0A2B}">
      <dgm:prSet/>
      <dgm:spPr/>
      <dgm:t>
        <a:bodyPr/>
        <a:lstStyle/>
        <a:p>
          <a:endParaRPr lang="ru-RU"/>
        </a:p>
      </dgm:t>
    </dgm:pt>
    <dgm:pt modelId="{2E0CDB3B-B09C-5A43-9547-88559AB96A93}" type="sibTrans" cxnId="{50113940-20BC-D84A-BED6-660200AD0A2B}">
      <dgm:prSet/>
      <dgm:spPr/>
      <dgm:t>
        <a:bodyPr/>
        <a:lstStyle/>
        <a:p>
          <a:endParaRPr lang="ru-RU"/>
        </a:p>
      </dgm:t>
    </dgm:pt>
    <dgm:pt modelId="{1F9F6980-B77B-504B-BB4D-D08F598B8564}">
      <dgm:prSet phldrT="[Текст]" custT="1"/>
      <dgm:spPr/>
      <dgm:t>
        <a:bodyPr/>
        <a:lstStyle/>
        <a:p>
          <a:r>
            <a:rPr lang="en-US" sz="1100">
              <a:latin typeface="Times New Roman" panose="02020603050405020304" pitchFamily="18" charset="0"/>
              <a:cs typeface="Times New Roman" panose="02020603050405020304" pitchFamily="18" charset="0"/>
            </a:rPr>
            <a:t>Alternative 1</a:t>
          </a:r>
          <a:endParaRPr lang="ru-RU" sz="1100">
            <a:latin typeface="Times New Roman" panose="02020603050405020304" pitchFamily="18" charset="0"/>
            <a:cs typeface="Times New Roman" panose="02020603050405020304" pitchFamily="18" charset="0"/>
          </a:endParaRPr>
        </a:p>
      </dgm:t>
    </dgm:pt>
    <dgm:pt modelId="{33911CCD-DE0F-9545-91B1-D7D21A4A9799}" type="parTrans" cxnId="{38E30F4B-020E-D245-8F1D-26CF4357F5C7}">
      <dgm:prSet/>
      <dgm:spPr/>
      <dgm:t>
        <a:bodyPr/>
        <a:lstStyle/>
        <a:p>
          <a:endParaRPr lang="ru-RU"/>
        </a:p>
      </dgm:t>
    </dgm:pt>
    <dgm:pt modelId="{FB6F5DF5-E267-1A42-9AC1-47185E2C3E3E}" type="sibTrans" cxnId="{38E30F4B-020E-D245-8F1D-26CF4357F5C7}">
      <dgm:prSet/>
      <dgm:spPr/>
      <dgm:t>
        <a:bodyPr/>
        <a:lstStyle/>
        <a:p>
          <a:endParaRPr lang="ru-RU"/>
        </a:p>
      </dgm:t>
    </dgm:pt>
    <dgm:pt modelId="{73DCCE8F-0DC5-6440-A5E6-DFE342B193ED}">
      <dgm:prSet custT="1"/>
      <dgm:spPr/>
      <dgm:t>
        <a:bodyPr/>
        <a:lstStyle/>
        <a:p>
          <a:r>
            <a:rPr lang="en-US" sz="1100">
              <a:latin typeface="Times New Roman" panose="02020603050405020304" pitchFamily="18" charset="0"/>
              <a:cs typeface="Times New Roman" panose="02020603050405020304" pitchFamily="18" charset="0"/>
            </a:rPr>
            <a:t>Alternative3</a:t>
          </a:r>
          <a:endParaRPr lang="ru-RU" sz="1100">
            <a:latin typeface="Times New Roman" panose="02020603050405020304" pitchFamily="18" charset="0"/>
            <a:cs typeface="Times New Roman" panose="02020603050405020304" pitchFamily="18" charset="0"/>
          </a:endParaRPr>
        </a:p>
      </dgm:t>
    </dgm:pt>
    <dgm:pt modelId="{A202CF92-8161-DB4B-A70B-FE1551B2879C}" type="parTrans" cxnId="{ABBDBD95-2979-934B-A6AB-4E8060A76B1C}">
      <dgm:prSet/>
      <dgm:spPr/>
      <dgm:t>
        <a:bodyPr/>
        <a:lstStyle/>
        <a:p>
          <a:endParaRPr lang="ru-RU"/>
        </a:p>
      </dgm:t>
    </dgm:pt>
    <dgm:pt modelId="{5B871ADE-AA2E-654B-8899-F6F8B6F448A8}" type="sibTrans" cxnId="{ABBDBD95-2979-934B-A6AB-4E8060A76B1C}">
      <dgm:prSet/>
      <dgm:spPr/>
      <dgm:t>
        <a:bodyPr/>
        <a:lstStyle/>
        <a:p>
          <a:endParaRPr lang="ru-RU"/>
        </a:p>
      </dgm:t>
    </dgm:pt>
    <dgm:pt modelId="{04AE7946-E61F-B549-8716-CF0371E5ACBF}">
      <dgm:prSet custT="1"/>
      <dgm:spPr/>
      <dgm:t>
        <a:bodyPr/>
        <a:lstStyle/>
        <a:p>
          <a:r>
            <a:rPr lang="en-US" sz="1100">
              <a:latin typeface="Times New Roman" panose="02020603050405020304" pitchFamily="18" charset="0"/>
              <a:cs typeface="Times New Roman" panose="02020603050405020304" pitchFamily="18" charset="0"/>
            </a:rPr>
            <a:t>Criterion 3</a:t>
          </a:r>
          <a:endParaRPr lang="ru-RU" sz="1100">
            <a:latin typeface="Times New Roman" panose="02020603050405020304" pitchFamily="18" charset="0"/>
            <a:cs typeface="Times New Roman" panose="02020603050405020304" pitchFamily="18" charset="0"/>
          </a:endParaRPr>
        </a:p>
      </dgm:t>
    </dgm:pt>
    <dgm:pt modelId="{03058F06-795F-CF47-89B9-653EC833356E}" type="parTrans" cxnId="{A8408ED2-12B8-D84A-A572-6EC771079CB9}">
      <dgm:prSet/>
      <dgm:spPr/>
      <dgm:t>
        <a:bodyPr/>
        <a:lstStyle/>
        <a:p>
          <a:endParaRPr lang="ru-RU"/>
        </a:p>
      </dgm:t>
    </dgm:pt>
    <dgm:pt modelId="{0DA3B572-3495-2240-B47A-4F4E060010A6}" type="sibTrans" cxnId="{A8408ED2-12B8-D84A-A572-6EC771079CB9}">
      <dgm:prSet/>
      <dgm:spPr/>
      <dgm:t>
        <a:bodyPr/>
        <a:lstStyle/>
        <a:p>
          <a:endParaRPr lang="ru-RU"/>
        </a:p>
      </dgm:t>
    </dgm:pt>
    <dgm:pt modelId="{2E6CAAEA-A7AC-CF4F-B237-0D1E530AA912}">
      <dgm:prSet custT="1"/>
      <dgm:spPr/>
      <dgm:t>
        <a:bodyPr/>
        <a:lstStyle/>
        <a:p>
          <a:r>
            <a:rPr lang="en-US" sz="1100">
              <a:latin typeface="Times New Roman" panose="02020603050405020304" pitchFamily="18" charset="0"/>
              <a:cs typeface="Times New Roman" panose="02020603050405020304" pitchFamily="18" charset="0"/>
            </a:rPr>
            <a:t>Alternative 2</a:t>
          </a:r>
          <a:endParaRPr lang="ru-RU" sz="1100">
            <a:latin typeface="Times New Roman" panose="02020603050405020304" pitchFamily="18" charset="0"/>
            <a:cs typeface="Times New Roman" panose="02020603050405020304" pitchFamily="18" charset="0"/>
          </a:endParaRPr>
        </a:p>
      </dgm:t>
    </dgm:pt>
    <dgm:pt modelId="{0CAFDA50-7755-A44A-93EE-701DE31F054E}" type="parTrans" cxnId="{1EA58772-7B34-3D44-B3C8-2D4239905D1D}">
      <dgm:prSet/>
      <dgm:spPr/>
      <dgm:t>
        <a:bodyPr/>
        <a:lstStyle/>
        <a:p>
          <a:endParaRPr lang="ru-RU"/>
        </a:p>
      </dgm:t>
    </dgm:pt>
    <dgm:pt modelId="{0E6AA52D-C2FC-324F-A40E-1BB300C1CC4F}" type="sibTrans" cxnId="{1EA58772-7B34-3D44-B3C8-2D4239905D1D}">
      <dgm:prSet/>
      <dgm:spPr/>
      <dgm:t>
        <a:bodyPr/>
        <a:lstStyle/>
        <a:p>
          <a:endParaRPr lang="ru-RU"/>
        </a:p>
      </dgm:t>
    </dgm:pt>
    <dgm:pt modelId="{59EB5883-523E-FB44-9BA4-DE73D02559BA}">
      <dgm:prSet custT="1"/>
      <dgm:spPr/>
      <dgm:t>
        <a:bodyPr/>
        <a:lstStyle/>
        <a:p>
          <a:r>
            <a:rPr lang="en-US" sz="1100">
              <a:latin typeface="Times New Roman" panose="02020603050405020304" pitchFamily="18" charset="0"/>
              <a:cs typeface="Times New Roman" panose="02020603050405020304" pitchFamily="18" charset="0"/>
            </a:rPr>
            <a:t>Alternative 3</a:t>
          </a:r>
          <a:endParaRPr lang="ru-RU" sz="1100">
            <a:latin typeface="Times New Roman" panose="02020603050405020304" pitchFamily="18" charset="0"/>
            <a:cs typeface="Times New Roman" panose="02020603050405020304" pitchFamily="18" charset="0"/>
          </a:endParaRPr>
        </a:p>
      </dgm:t>
    </dgm:pt>
    <dgm:pt modelId="{D6F338E4-3AA7-8947-AE85-5D3B04BC45CB}" type="parTrans" cxnId="{F07457FE-34FB-4643-8B0C-D576F3685F0F}">
      <dgm:prSet/>
      <dgm:spPr/>
      <dgm:t>
        <a:bodyPr/>
        <a:lstStyle/>
        <a:p>
          <a:endParaRPr lang="ru-RU"/>
        </a:p>
      </dgm:t>
    </dgm:pt>
    <dgm:pt modelId="{2B9FC817-3FB9-AD4E-BFA1-8C55A556D3D3}" type="sibTrans" cxnId="{F07457FE-34FB-4643-8B0C-D576F3685F0F}">
      <dgm:prSet/>
      <dgm:spPr/>
      <dgm:t>
        <a:bodyPr/>
        <a:lstStyle/>
        <a:p>
          <a:endParaRPr lang="ru-RU"/>
        </a:p>
      </dgm:t>
    </dgm:pt>
    <dgm:pt modelId="{C4F163E2-3D34-B94C-96E3-2A62D8B52358}">
      <dgm:prSet custT="1"/>
      <dgm:spPr/>
      <dgm:t>
        <a:bodyPr/>
        <a:lstStyle/>
        <a:p>
          <a:r>
            <a:rPr lang="en-US" sz="1100">
              <a:latin typeface="Times New Roman" panose="02020603050405020304" pitchFamily="18" charset="0"/>
              <a:cs typeface="Times New Roman" panose="02020603050405020304" pitchFamily="18" charset="0"/>
            </a:rPr>
            <a:t>Alternative 1</a:t>
          </a:r>
          <a:endParaRPr lang="ru-RU" sz="1100">
            <a:latin typeface="Times New Roman" panose="02020603050405020304" pitchFamily="18" charset="0"/>
            <a:cs typeface="Times New Roman" panose="02020603050405020304" pitchFamily="18" charset="0"/>
          </a:endParaRPr>
        </a:p>
      </dgm:t>
    </dgm:pt>
    <dgm:pt modelId="{D78580C1-0129-984A-835D-0FEA165A1D63}" type="parTrans" cxnId="{A531A200-3D11-7144-A240-C54BC0B55079}">
      <dgm:prSet/>
      <dgm:spPr/>
      <dgm:t>
        <a:bodyPr/>
        <a:lstStyle/>
        <a:p>
          <a:endParaRPr lang="ru-RU"/>
        </a:p>
      </dgm:t>
    </dgm:pt>
    <dgm:pt modelId="{FC4BF899-A62C-6E40-926C-16D4D3D4F838}" type="sibTrans" cxnId="{A531A200-3D11-7144-A240-C54BC0B55079}">
      <dgm:prSet/>
      <dgm:spPr/>
      <dgm:t>
        <a:bodyPr/>
        <a:lstStyle/>
        <a:p>
          <a:endParaRPr lang="ru-RU"/>
        </a:p>
      </dgm:t>
    </dgm:pt>
    <dgm:pt modelId="{A9DB6680-B55C-4947-A5B7-6BFD69ACF82B}">
      <dgm:prSet custT="1"/>
      <dgm:spPr/>
      <dgm:t>
        <a:bodyPr/>
        <a:lstStyle/>
        <a:p>
          <a:r>
            <a:rPr lang="en-US" sz="1100">
              <a:latin typeface="Times New Roman" panose="02020603050405020304" pitchFamily="18" charset="0"/>
              <a:cs typeface="Times New Roman" panose="02020603050405020304" pitchFamily="18" charset="0"/>
            </a:rPr>
            <a:t>Alternative 2</a:t>
          </a:r>
          <a:endParaRPr lang="ru-RU" sz="1100">
            <a:latin typeface="Times New Roman" panose="02020603050405020304" pitchFamily="18" charset="0"/>
            <a:cs typeface="Times New Roman" panose="02020603050405020304" pitchFamily="18" charset="0"/>
          </a:endParaRPr>
        </a:p>
      </dgm:t>
    </dgm:pt>
    <dgm:pt modelId="{2F87104C-8F23-6E4C-9035-B40B4B6FE478}" type="parTrans" cxnId="{4271EF4C-9EC2-FF41-9E5C-562AA0164ED8}">
      <dgm:prSet/>
      <dgm:spPr/>
      <dgm:t>
        <a:bodyPr/>
        <a:lstStyle/>
        <a:p>
          <a:endParaRPr lang="ru-RU"/>
        </a:p>
      </dgm:t>
    </dgm:pt>
    <dgm:pt modelId="{203ABE53-A53E-7C47-BFE6-3E792AAFE02F}" type="sibTrans" cxnId="{4271EF4C-9EC2-FF41-9E5C-562AA0164ED8}">
      <dgm:prSet/>
      <dgm:spPr/>
      <dgm:t>
        <a:bodyPr/>
        <a:lstStyle/>
        <a:p>
          <a:endParaRPr lang="ru-RU"/>
        </a:p>
      </dgm:t>
    </dgm:pt>
    <dgm:pt modelId="{F720BCDE-5C63-0146-B148-3EE8505A4CA2}">
      <dgm:prSet custT="1"/>
      <dgm:spPr/>
      <dgm:t>
        <a:bodyPr/>
        <a:lstStyle/>
        <a:p>
          <a:r>
            <a:rPr lang="en-US" sz="1100">
              <a:latin typeface="Times New Roman" panose="02020603050405020304" pitchFamily="18" charset="0"/>
              <a:cs typeface="Times New Roman" panose="02020603050405020304" pitchFamily="18" charset="0"/>
            </a:rPr>
            <a:t>Alternative 3</a:t>
          </a:r>
          <a:endParaRPr lang="ru-RU" sz="1100">
            <a:latin typeface="Times New Roman" panose="02020603050405020304" pitchFamily="18" charset="0"/>
            <a:cs typeface="Times New Roman" panose="02020603050405020304" pitchFamily="18" charset="0"/>
          </a:endParaRPr>
        </a:p>
      </dgm:t>
    </dgm:pt>
    <dgm:pt modelId="{4172A721-8021-2140-9B26-1183DCAEFB5A}" type="parTrans" cxnId="{F3462E16-5BF2-5C41-8489-14913431DFAD}">
      <dgm:prSet/>
      <dgm:spPr/>
      <dgm:t>
        <a:bodyPr/>
        <a:lstStyle/>
        <a:p>
          <a:endParaRPr lang="ru-RU"/>
        </a:p>
      </dgm:t>
    </dgm:pt>
    <dgm:pt modelId="{AA65196E-D827-FD48-9E39-A93D68759DCD}" type="sibTrans" cxnId="{F3462E16-5BF2-5C41-8489-14913431DFAD}">
      <dgm:prSet/>
      <dgm:spPr/>
      <dgm:t>
        <a:bodyPr/>
        <a:lstStyle/>
        <a:p>
          <a:endParaRPr lang="ru-RU"/>
        </a:p>
      </dgm:t>
    </dgm:pt>
    <dgm:pt modelId="{0C4BA3BC-46BE-6044-AEBD-CF47A209520A}" type="pres">
      <dgm:prSet presAssocID="{C8D0717F-3021-094A-937F-DC52AD9DF640}" presName="hierChild1" presStyleCnt="0">
        <dgm:presLayoutVars>
          <dgm:chPref val="1"/>
          <dgm:dir/>
          <dgm:animOne val="branch"/>
          <dgm:animLvl val="lvl"/>
          <dgm:resizeHandles/>
        </dgm:presLayoutVars>
      </dgm:prSet>
      <dgm:spPr/>
    </dgm:pt>
    <dgm:pt modelId="{00954365-578A-FA4D-8A47-5D5898CDA4AB}" type="pres">
      <dgm:prSet presAssocID="{343A8C1A-2DFE-0E43-9BB4-114463C86C40}" presName="hierRoot1" presStyleCnt="0"/>
      <dgm:spPr/>
    </dgm:pt>
    <dgm:pt modelId="{EE2CAC83-EE35-DF4D-8991-03EF62369024}" type="pres">
      <dgm:prSet presAssocID="{343A8C1A-2DFE-0E43-9BB4-114463C86C40}" presName="composite" presStyleCnt="0"/>
      <dgm:spPr/>
    </dgm:pt>
    <dgm:pt modelId="{EBF5DBF8-2F76-6742-8707-24450A6592EC}" type="pres">
      <dgm:prSet presAssocID="{343A8C1A-2DFE-0E43-9BB4-114463C86C40}" presName="background" presStyleLbl="node0" presStyleIdx="0" presStyleCnt="1"/>
      <dgm:spPr/>
    </dgm:pt>
    <dgm:pt modelId="{710E5713-15AC-064B-BF20-BE1D08090422}" type="pres">
      <dgm:prSet presAssocID="{343A8C1A-2DFE-0E43-9BB4-114463C86C40}" presName="text" presStyleLbl="fgAcc0" presStyleIdx="0" presStyleCnt="1" custScaleX="438751" custScaleY="523223">
        <dgm:presLayoutVars>
          <dgm:chPref val="3"/>
        </dgm:presLayoutVars>
      </dgm:prSet>
      <dgm:spPr/>
    </dgm:pt>
    <dgm:pt modelId="{86209829-1521-B241-84C1-765A584B37C8}" type="pres">
      <dgm:prSet presAssocID="{343A8C1A-2DFE-0E43-9BB4-114463C86C40}" presName="hierChild2" presStyleCnt="0"/>
      <dgm:spPr/>
    </dgm:pt>
    <dgm:pt modelId="{243E44BE-5947-934F-91C3-1F4B50DBF773}" type="pres">
      <dgm:prSet presAssocID="{2C9D16BF-ACB2-CC4F-8141-1F61EFC69D54}" presName="Name10" presStyleLbl="parChTrans1D2" presStyleIdx="0" presStyleCnt="3"/>
      <dgm:spPr/>
    </dgm:pt>
    <dgm:pt modelId="{8FF6394E-742E-084C-BBDF-1C783B4FEA40}" type="pres">
      <dgm:prSet presAssocID="{E52238E0-A0B9-7144-B634-5811314382BE}" presName="hierRoot2" presStyleCnt="0"/>
      <dgm:spPr/>
    </dgm:pt>
    <dgm:pt modelId="{0EFFEFE0-0C27-DD40-8471-D152E7A6E39D}" type="pres">
      <dgm:prSet presAssocID="{E52238E0-A0B9-7144-B634-5811314382BE}" presName="composite2" presStyleCnt="0"/>
      <dgm:spPr/>
    </dgm:pt>
    <dgm:pt modelId="{1F2497F8-796E-A242-8CF2-6C43845866A4}" type="pres">
      <dgm:prSet presAssocID="{E52238E0-A0B9-7144-B634-5811314382BE}" presName="background2" presStyleLbl="node2" presStyleIdx="0" presStyleCnt="3"/>
      <dgm:spPr/>
    </dgm:pt>
    <dgm:pt modelId="{08C04B55-700A-2B42-B302-4323B1E68019}" type="pres">
      <dgm:prSet presAssocID="{E52238E0-A0B9-7144-B634-5811314382BE}" presName="text2" presStyleLbl="fgAcc2" presStyleIdx="0" presStyleCnt="3" custScaleX="350093" custScaleY="199044">
        <dgm:presLayoutVars>
          <dgm:chPref val="3"/>
        </dgm:presLayoutVars>
      </dgm:prSet>
      <dgm:spPr/>
    </dgm:pt>
    <dgm:pt modelId="{65CA5135-6008-FF4F-88B7-881D7422C870}" type="pres">
      <dgm:prSet presAssocID="{E52238E0-A0B9-7144-B634-5811314382BE}" presName="hierChild3" presStyleCnt="0"/>
      <dgm:spPr/>
    </dgm:pt>
    <dgm:pt modelId="{E53A809A-3B6D-0A4D-B097-7C9AA729141B}" type="pres">
      <dgm:prSet presAssocID="{EFBBC6E9-2D81-7044-BA89-BD759C697390}" presName="Name17" presStyleLbl="parChTrans1D3" presStyleIdx="0" presStyleCnt="9"/>
      <dgm:spPr/>
    </dgm:pt>
    <dgm:pt modelId="{F2CEF3EC-E924-4A48-B8CD-17CF05D629C4}" type="pres">
      <dgm:prSet presAssocID="{4959EE35-7E5D-0A44-8AB1-079D6E45C3D5}" presName="hierRoot3" presStyleCnt="0"/>
      <dgm:spPr/>
    </dgm:pt>
    <dgm:pt modelId="{3CA6420E-9B1F-1D4F-813C-5852C0FB29D1}" type="pres">
      <dgm:prSet presAssocID="{4959EE35-7E5D-0A44-8AB1-079D6E45C3D5}" presName="composite3" presStyleCnt="0"/>
      <dgm:spPr/>
    </dgm:pt>
    <dgm:pt modelId="{68F860DF-9BD5-EF46-BFD5-41124E5834F4}" type="pres">
      <dgm:prSet presAssocID="{4959EE35-7E5D-0A44-8AB1-079D6E45C3D5}" presName="background3" presStyleLbl="node3" presStyleIdx="0" presStyleCnt="9"/>
      <dgm:spPr/>
    </dgm:pt>
    <dgm:pt modelId="{16080705-6E06-E141-A57F-456028BBA13B}" type="pres">
      <dgm:prSet presAssocID="{4959EE35-7E5D-0A44-8AB1-079D6E45C3D5}" presName="text3" presStyleLbl="fgAcc3" presStyleIdx="0" presStyleCnt="9" custScaleX="350093" custScaleY="199044">
        <dgm:presLayoutVars>
          <dgm:chPref val="3"/>
        </dgm:presLayoutVars>
      </dgm:prSet>
      <dgm:spPr/>
    </dgm:pt>
    <dgm:pt modelId="{837951E8-BBB1-014C-BDE6-3AB46FA80D6A}" type="pres">
      <dgm:prSet presAssocID="{4959EE35-7E5D-0A44-8AB1-079D6E45C3D5}" presName="hierChild4" presStyleCnt="0"/>
      <dgm:spPr/>
    </dgm:pt>
    <dgm:pt modelId="{D8366AF4-AF6F-F142-849C-6864C021AD03}" type="pres">
      <dgm:prSet presAssocID="{EFAACFF8-0922-2848-ADF5-37FCFB5DCAA5}" presName="Name17" presStyleLbl="parChTrans1D3" presStyleIdx="1" presStyleCnt="9"/>
      <dgm:spPr/>
    </dgm:pt>
    <dgm:pt modelId="{9D1BDBBF-ADE1-0E46-A735-7995358B6641}" type="pres">
      <dgm:prSet presAssocID="{D76470FB-A8A5-3941-9B63-CB5EA02CDDFD}" presName="hierRoot3" presStyleCnt="0"/>
      <dgm:spPr/>
    </dgm:pt>
    <dgm:pt modelId="{AB994148-5226-CE4F-B2FB-15B403AB7984}" type="pres">
      <dgm:prSet presAssocID="{D76470FB-A8A5-3941-9B63-CB5EA02CDDFD}" presName="composite3" presStyleCnt="0"/>
      <dgm:spPr/>
    </dgm:pt>
    <dgm:pt modelId="{212761F2-8056-2B41-B1BE-F89D1B43AD0A}" type="pres">
      <dgm:prSet presAssocID="{D76470FB-A8A5-3941-9B63-CB5EA02CDDFD}" presName="background3" presStyleLbl="node3" presStyleIdx="1" presStyleCnt="9"/>
      <dgm:spPr/>
    </dgm:pt>
    <dgm:pt modelId="{51363EFD-007D-D64A-8C1E-58BE5DB970DD}" type="pres">
      <dgm:prSet presAssocID="{D76470FB-A8A5-3941-9B63-CB5EA02CDDFD}" presName="text3" presStyleLbl="fgAcc3" presStyleIdx="1" presStyleCnt="9" custScaleX="350093" custScaleY="199044">
        <dgm:presLayoutVars>
          <dgm:chPref val="3"/>
        </dgm:presLayoutVars>
      </dgm:prSet>
      <dgm:spPr/>
    </dgm:pt>
    <dgm:pt modelId="{1EF1D8EB-0572-DC49-8D17-CBC61D49C9DF}" type="pres">
      <dgm:prSet presAssocID="{D76470FB-A8A5-3941-9B63-CB5EA02CDDFD}" presName="hierChild4" presStyleCnt="0"/>
      <dgm:spPr/>
    </dgm:pt>
    <dgm:pt modelId="{84F761D2-86CD-5A48-8073-31FB131BE757}" type="pres">
      <dgm:prSet presAssocID="{A202CF92-8161-DB4B-A70B-FE1551B2879C}" presName="Name17" presStyleLbl="parChTrans1D3" presStyleIdx="2" presStyleCnt="9"/>
      <dgm:spPr/>
    </dgm:pt>
    <dgm:pt modelId="{5CCCE84F-2CEB-5547-BD96-B40E4787B613}" type="pres">
      <dgm:prSet presAssocID="{73DCCE8F-0DC5-6440-A5E6-DFE342B193ED}" presName="hierRoot3" presStyleCnt="0"/>
      <dgm:spPr/>
    </dgm:pt>
    <dgm:pt modelId="{7E89A99E-4966-7A41-B21B-2F748149D5E7}" type="pres">
      <dgm:prSet presAssocID="{73DCCE8F-0DC5-6440-A5E6-DFE342B193ED}" presName="composite3" presStyleCnt="0"/>
      <dgm:spPr/>
    </dgm:pt>
    <dgm:pt modelId="{569DCE40-B31F-1B42-8076-8F6E76F17528}" type="pres">
      <dgm:prSet presAssocID="{73DCCE8F-0DC5-6440-A5E6-DFE342B193ED}" presName="background3" presStyleLbl="node3" presStyleIdx="2" presStyleCnt="9"/>
      <dgm:spPr/>
    </dgm:pt>
    <dgm:pt modelId="{A6F2855F-CC51-3945-A377-7A013A913DB6}" type="pres">
      <dgm:prSet presAssocID="{73DCCE8F-0DC5-6440-A5E6-DFE342B193ED}" presName="text3" presStyleLbl="fgAcc3" presStyleIdx="2" presStyleCnt="9" custScaleX="350093" custScaleY="199044">
        <dgm:presLayoutVars>
          <dgm:chPref val="3"/>
        </dgm:presLayoutVars>
      </dgm:prSet>
      <dgm:spPr/>
    </dgm:pt>
    <dgm:pt modelId="{2CE6B003-74D0-0944-91EF-1FBC96FAE25B}" type="pres">
      <dgm:prSet presAssocID="{73DCCE8F-0DC5-6440-A5E6-DFE342B193ED}" presName="hierChild4" presStyleCnt="0"/>
      <dgm:spPr/>
    </dgm:pt>
    <dgm:pt modelId="{2B6F6F91-FF46-7647-93E9-1AD42EBC3F40}" type="pres">
      <dgm:prSet presAssocID="{0CDE0619-BE72-4747-801F-1194FDE0C78F}" presName="Name10" presStyleLbl="parChTrans1D2" presStyleIdx="1" presStyleCnt="3"/>
      <dgm:spPr/>
    </dgm:pt>
    <dgm:pt modelId="{94A67A62-6E2F-2346-834C-493E8206F861}" type="pres">
      <dgm:prSet presAssocID="{3AC00E06-9079-4543-9C97-0C81566B16BA}" presName="hierRoot2" presStyleCnt="0"/>
      <dgm:spPr/>
    </dgm:pt>
    <dgm:pt modelId="{CD7D5F0D-E39B-844D-9603-43085AB3F711}" type="pres">
      <dgm:prSet presAssocID="{3AC00E06-9079-4543-9C97-0C81566B16BA}" presName="composite2" presStyleCnt="0"/>
      <dgm:spPr/>
    </dgm:pt>
    <dgm:pt modelId="{91AE157C-D9A3-404B-A58D-6AD3776DBC8B}" type="pres">
      <dgm:prSet presAssocID="{3AC00E06-9079-4543-9C97-0C81566B16BA}" presName="background2" presStyleLbl="node2" presStyleIdx="1" presStyleCnt="3"/>
      <dgm:spPr/>
    </dgm:pt>
    <dgm:pt modelId="{691D3764-19D3-0C42-B422-4144C76442A1}" type="pres">
      <dgm:prSet presAssocID="{3AC00E06-9079-4543-9C97-0C81566B16BA}" presName="text2" presStyleLbl="fgAcc2" presStyleIdx="1" presStyleCnt="3" custScaleX="350093" custScaleY="199044">
        <dgm:presLayoutVars>
          <dgm:chPref val="3"/>
        </dgm:presLayoutVars>
      </dgm:prSet>
      <dgm:spPr/>
    </dgm:pt>
    <dgm:pt modelId="{9AFF33F4-C6E9-2649-9092-1E71D520A50B}" type="pres">
      <dgm:prSet presAssocID="{3AC00E06-9079-4543-9C97-0C81566B16BA}" presName="hierChild3" presStyleCnt="0"/>
      <dgm:spPr/>
    </dgm:pt>
    <dgm:pt modelId="{2A39FE3D-5CFF-444C-B975-DFF80409F60C}" type="pres">
      <dgm:prSet presAssocID="{33911CCD-DE0F-9545-91B1-D7D21A4A9799}" presName="Name17" presStyleLbl="parChTrans1D3" presStyleIdx="3" presStyleCnt="9"/>
      <dgm:spPr/>
    </dgm:pt>
    <dgm:pt modelId="{0C581919-B629-9A4E-8A2E-2319E4F6094D}" type="pres">
      <dgm:prSet presAssocID="{1F9F6980-B77B-504B-BB4D-D08F598B8564}" presName="hierRoot3" presStyleCnt="0"/>
      <dgm:spPr/>
    </dgm:pt>
    <dgm:pt modelId="{3BD3693D-FDD3-994F-804F-53AADAC0FDA1}" type="pres">
      <dgm:prSet presAssocID="{1F9F6980-B77B-504B-BB4D-D08F598B8564}" presName="composite3" presStyleCnt="0"/>
      <dgm:spPr/>
    </dgm:pt>
    <dgm:pt modelId="{6E9130DC-A14D-CA49-B921-7204A426E656}" type="pres">
      <dgm:prSet presAssocID="{1F9F6980-B77B-504B-BB4D-D08F598B8564}" presName="background3" presStyleLbl="node3" presStyleIdx="3" presStyleCnt="9"/>
      <dgm:spPr/>
    </dgm:pt>
    <dgm:pt modelId="{46713B52-B9E5-6D42-80F2-220165708A59}" type="pres">
      <dgm:prSet presAssocID="{1F9F6980-B77B-504B-BB4D-D08F598B8564}" presName="text3" presStyleLbl="fgAcc3" presStyleIdx="3" presStyleCnt="9" custScaleX="350093" custScaleY="199044">
        <dgm:presLayoutVars>
          <dgm:chPref val="3"/>
        </dgm:presLayoutVars>
      </dgm:prSet>
      <dgm:spPr/>
    </dgm:pt>
    <dgm:pt modelId="{7287052C-0A83-8A42-9C8F-ABA4820A6AAE}" type="pres">
      <dgm:prSet presAssocID="{1F9F6980-B77B-504B-BB4D-D08F598B8564}" presName="hierChild4" presStyleCnt="0"/>
      <dgm:spPr/>
    </dgm:pt>
    <dgm:pt modelId="{3AF8E520-2947-F041-9FA7-AEB4CC1E927B}" type="pres">
      <dgm:prSet presAssocID="{0CAFDA50-7755-A44A-93EE-701DE31F054E}" presName="Name17" presStyleLbl="parChTrans1D3" presStyleIdx="4" presStyleCnt="9"/>
      <dgm:spPr/>
    </dgm:pt>
    <dgm:pt modelId="{BFE8DD31-C325-9C4F-9FB8-8CB718211D14}" type="pres">
      <dgm:prSet presAssocID="{2E6CAAEA-A7AC-CF4F-B237-0D1E530AA912}" presName="hierRoot3" presStyleCnt="0"/>
      <dgm:spPr/>
    </dgm:pt>
    <dgm:pt modelId="{228B0CF8-E45D-844B-9A4A-1FB535A32C31}" type="pres">
      <dgm:prSet presAssocID="{2E6CAAEA-A7AC-CF4F-B237-0D1E530AA912}" presName="composite3" presStyleCnt="0"/>
      <dgm:spPr/>
    </dgm:pt>
    <dgm:pt modelId="{A84D2051-B2D1-D445-961F-EA67B098AEDE}" type="pres">
      <dgm:prSet presAssocID="{2E6CAAEA-A7AC-CF4F-B237-0D1E530AA912}" presName="background3" presStyleLbl="node3" presStyleIdx="4" presStyleCnt="9"/>
      <dgm:spPr/>
    </dgm:pt>
    <dgm:pt modelId="{55E0AB18-92FF-F446-A8DF-D6620DCA1CB9}" type="pres">
      <dgm:prSet presAssocID="{2E6CAAEA-A7AC-CF4F-B237-0D1E530AA912}" presName="text3" presStyleLbl="fgAcc3" presStyleIdx="4" presStyleCnt="9" custScaleX="350093" custScaleY="199044">
        <dgm:presLayoutVars>
          <dgm:chPref val="3"/>
        </dgm:presLayoutVars>
      </dgm:prSet>
      <dgm:spPr/>
    </dgm:pt>
    <dgm:pt modelId="{2BD0827E-9672-924E-A625-262A40879278}" type="pres">
      <dgm:prSet presAssocID="{2E6CAAEA-A7AC-CF4F-B237-0D1E530AA912}" presName="hierChild4" presStyleCnt="0"/>
      <dgm:spPr/>
    </dgm:pt>
    <dgm:pt modelId="{38022F59-C1A1-3341-AEBA-6A586481E209}" type="pres">
      <dgm:prSet presAssocID="{D6F338E4-3AA7-8947-AE85-5D3B04BC45CB}" presName="Name17" presStyleLbl="parChTrans1D3" presStyleIdx="5" presStyleCnt="9"/>
      <dgm:spPr/>
    </dgm:pt>
    <dgm:pt modelId="{18A3F3AD-2277-A44F-B0C3-675329FD0984}" type="pres">
      <dgm:prSet presAssocID="{59EB5883-523E-FB44-9BA4-DE73D02559BA}" presName="hierRoot3" presStyleCnt="0"/>
      <dgm:spPr/>
    </dgm:pt>
    <dgm:pt modelId="{0B0080A2-0BC3-CB4F-9BF4-B0A0DDBCBFCF}" type="pres">
      <dgm:prSet presAssocID="{59EB5883-523E-FB44-9BA4-DE73D02559BA}" presName="composite3" presStyleCnt="0"/>
      <dgm:spPr/>
    </dgm:pt>
    <dgm:pt modelId="{028001E7-91F1-724C-AA77-C9BBF2680926}" type="pres">
      <dgm:prSet presAssocID="{59EB5883-523E-FB44-9BA4-DE73D02559BA}" presName="background3" presStyleLbl="node3" presStyleIdx="5" presStyleCnt="9"/>
      <dgm:spPr/>
    </dgm:pt>
    <dgm:pt modelId="{6AAAA7BC-0C50-B149-B0B3-1567C5367E84}" type="pres">
      <dgm:prSet presAssocID="{59EB5883-523E-FB44-9BA4-DE73D02559BA}" presName="text3" presStyleLbl="fgAcc3" presStyleIdx="5" presStyleCnt="9" custScaleX="350093" custScaleY="199044">
        <dgm:presLayoutVars>
          <dgm:chPref val="3"/>
        </dgm:presLayoutVars>
      </dgm:prSet>
      <dgm:spPr/>
    </dgm:pt>
    <dgm:pt modelId="{F5D72D59-987E-124A-B8F6-1F1D720AE00E}" type="pres">
      <dgm:prSet presAssocID="{59EB5883-523E-FB44-9BA4-DE73D02559BA}" presName="hierChild4" presStyleCnt="0"/>
      <dgm:spPr/>
    </dgm:pt>
    <dgm:pt modelId="{CCC19296-A347-6649-A2FC-43845FA66230}" type="pres">
      <dgm:prSet presAssocID="{03058F06-795F-CF47-89B9-653EC833356E}" presName="Name10" presStyleLbl="parChTrans1D2" presStyleIdx="2" presStyleCnt="3"/>
      <dgm:spPr/>
    </dgm:pt>
    <dgm:pt modelId="{93513418-E862-7246-B6AA-F2964EA7D78B}" type="pres">
      <dgm:prSet presAssocID="{04AE7946-E61F-B549-8716-CF0371E5ACBF}" presName="hierRoot2" presStyleCnt="0"/>
      <dgm:spPr/>
    </dgm:pt>
    <dgm:pt modelId="{AA687EFC-CFA5-BC42-8BD9-475590CB6B0F}" type="pres">
      <dgm:prSet presAssocID="{04AE7946-E61F-B549-8716-CF0371E5ACBF}" presName="composite2" presStyleCnt="0"/>
      <dgm:spPr/>
    </dgm:pt>
    <dgm:pt modelId="{AE5A1695-5863-1146-82B0-E516CD7577BA}" type="pres">
      <dgm:prSet presAssocID="{04AE7946-E61F-B549-8716-CF0371E5ACBF}" presName="background2" presStyleLbl="node2" presStyleIdx="2" presStyleCnt="3"/>
      <dgm:spPr/>
    </dgm:pt>
    <dgm:pt modelId="{52E77718-5906-A545-A962-26E7A3FF1CD3}" type="pres">
      <dgm:prSet presAssocID="{04AE7946-E61F-B549-8716-CF0371E5ACBF}" presName="text2" presStyleLbl="fgAcc2" presStyleIdx="2" presStyleCnt="3" custScaleX="350093" custScaleY="199044">
        <dgm:presLayoutVars>
          <dgm:chPref val="3"/>
        </dgm:presLayoutVars>
      </dgm:prSet>
      <dgm:spPr/>
    </dgm:pt>
    <dgm:pt modelId="{BC13B04C-7ED1-2447-A331-F8321139FED4}" type="pres">
      <dgm:prSet presAssocID="{04AE7946-E61F-B549-8716-CF0371E5ACBF}" presName="hierChild3" presStyleCnt="0"/>
      <dgm:spPr/>
    </dgm:pt>
    <dgm:pt modelId="{C23D336B-E4F2-BF44-BD9B-DB3419F52265}" type="pres">
      <dgm:prSet presAssocID="{D78580C1-0129-984A-835D-0FEA165A1D63}" presName="Name17" presStyleLbl="parChTrans1D3" presStyleIdx="6" presStyleCnt="9"/>
      <dgm:spPr/>
    </dgm:pt>
    <dgm:pt modelId="{D2BF822A-5D68-B64D-844E-67AC1F8A22BF}" type="pres">
      <dgm:prSet presAssocID="{C4F163E2-3D34-B94C-96E3-2A62D8B52358}" presName="hierRoot3" presStyleCnt="0"/>
      <dgm:spPr/>
    </dgm:pt>
    <dgm:pt modelId="{9392BE8E-67EA-7B4C-A1DD-6704ACF96805}" type="pres">
      <dgm:prSet presAssocID="{C4F163E2-3D34-B94C-96E3-2A62D8B52358}" presName="composite3" presStyleCnt="0"/>
      <dgm:spPr/>
    </dgm:pt>
    <dgm:pt modelId="{3AD9F72D-7410-F04F-A541-DF3822BA5BB8}" type="pres">
      <dgm:prSet presAssocID="{C4F163E2-3D34-B94C-96E3-2A62D8B52358}" presName="background3" presStyleLbl="node3" presStyleIdx="6" presStyleCnt="9"/>
      <dgm:spPr/>
    </dgm:pt>
    <dgm:pt modelId="{FC7CD5D9-5445-E544-BB4A-6A95C1CB19BB}" type="pres">
      <dgm:prSet presAssocID="{C4F163E2-3D34-B94C-96E3-2A62D8B52358}" presName="text3" presStyleLbl="fgAcc3" presStyleIdx="6" presStyleCnt="9" custScaleX="350093" custScaleY="199044">
        <dgm:presLayoutVars>
          <dgm:chPref val="3"/>
        </dgm:presLayoutVars>
      </dgm:prSet>
      <dgm:spPr/>
    </dgm:pt>
    <dgm:pt modelId="{2113C55D-2E04-D14C-A1AA-EBA1C747804F}" type="pres">
      <dgm:prSet presAssocID="{C4F163E2-3D34-B94C-96E3-2A62D8B52358}" presName="hierChild4" presStyleCnt="0"/>
      <dgm:spPr/>
    </dgm:pt>
    <dgm:pt modelId="{9A05D5F3-2C74-524E-BFF4-8B55D5933E67}" type="pres">
      <dgm:prSet presAssocID="{2F87104C-8F23-6E4C-9035-B40B4B6FE478}" presName="Name17" presStyleLbl="parChTrans1D3" presStyleIdx="7" presStyleCnt="9"/>
      <dgm:spPr/>
    </dgm:pt>
    <dgm:pt modelId="{10CDA503-5CC5-BF45-BEAE-C4A1A92D4ABB}" type="pres">
      <dgm:prSet presAssocID="{A9DB6680-B55C-4947-A5B7-6BFD69ACF82B}" presName="hierRoot3" presStyleCnt="0"/>
      <dgm:spPr/>
    </dgm:pt>
    <dgm:pt modelId="{72A8BA1E-1D2C-1C4B-A9A3-20245AA077E3}" type="pres">
      <dgm:prSet presAssocID="{A9DB6680-B55C-4947-A5B7-6BFD69ACF82B}" presName="composite3" presStyleCnt="0"/>
      <dgm:spPr/>
    </dgm:pt>
    <dgm:pt modelId="{B6485415-6192-4247-A0FB-2126BBABF3F2}" type="pres">
      <dgm:prSet presAssocID="{A9DB6680-B55C-4947-A5B7-6BFD69ACF82B}" presName="background3" presStyleLbl="node3" presStyleIdx="7" presStyleCnt="9"/>
      <dgm:spPr/>
    </dgm:pt>
    <dgm:pt modelId="{87C92CB3-EDA5-D44E-A163-9ADEF495361C}" type="pres">
      <dgm:prSet presAssocID="{A9DB6680-B55C-4947-A5B7-6BFD69ACF82B}" presName="text3" presStyleLbl="fgAcc3" presStyleIdx="7" presStyleCnt="9" custScaleX="350093" custScaleY="199044">
        <dgm:presLayoutVars>
          <dgm:chPref val="3"/>
        </dgm:presLayoutVars>
      </dgm:prSet>
      <dgm:spPr/>
    </dgm:pt>
    <dgm:pt modelId="{79768EF5-0696-7E49-B4E3-5715C8D307E1}" type="pres">
      <dgm:prSet presAssocID="{A9DB6680-B55C-4947-A5B7-6BFD69ACF82B}" presName="hierChild4" presStyleCnt="0"/>
      <dgm:spPr/>
    </dgm:pt>
    <dgm:pt modelId="{8A311F07-46F6-E444-948A-8DAB134EB0ED}" type="pres">
      <dgm:prSet presAssocID="{4172A721-8021-2140-9B26-1183DCAEFB5A}" presName="Name17" presStyleLbl="parChTrans1D3" presStyleIdx="8" presStyleCnt="9"/>
      <dgm:spPr/>
    </dgm:pt>
    <dgm:pt modelId="{88A3D514-A7AC-534F-A969-4D887719F764}" type="pres">
      <dgm:prSet presAssocID="{F720BCDE-5C63-0146-B148-3EE8505A4CA2}" presName="hierRoot3" presStyleCnt="0"/>
      <dgm:spPr/>
    </dgm:pt>
    <dgm:pt modelId="{564457B1-9DD4-6A45-B1FC-246B27F7C65F}" type="pres">
      <dgm:prSet presAssocID="{F720BCDE-5C63-0146-B148-3EE8505A4CA2}" presName="composite3" presStyleCnt="0"/>
      <dgm:spPr/>
    </dgm:pt>
    <dgm:pt modelId="{78E9D969-514E-7245-B37E-887535B96F03}" type="pres">
      <dgm:prSet presAssocID="{F720BCDE-5C63-0146-B148-3EE8505A4CA2}" presName="background3" presStyleLbl="node3" presStyleIdx="8" presStyleCnt="9"/>
      <dgm:spPr/>
    </dgm:pt>
    <dgm:pt modelId="{FCCFF630-C906-574F-9779-87BDC9523E8D}" type="pres">
      <dgm:prSet presAssocID="{F720BCDE-5C63-0146-B148-3EE8505A4CA2}" presName="text3" presStyleLbl="fgAcc3" presStyleIdx="8" presStyleCnt="9" custScaleX="350093" custScaleY="199044">
        <dgm:presLayoutVars>
          <dgm:chPref val="3"/>
        </dgm:presLayoutVars>
      </dgm:prSet>
      <dgm:spPr/>
    </dgm:pt>
    <dgm:pt modelId="{99752E67-572F-F94D-B659-1AC8CD8B0E94}" type="pres">
      <dgm:prSet presAssocID="{F720BCDE-5C63-0146-B148-3EE8505A4CA2}" presName="hierChild4" presStyleCnt="0"/>
      <dgm:spPr/>
    </dgm:pt>
  </dgm:ptLst>
  <dgm:cxnLst>
    <dgm:cxn modelId="{A531A200-3D11-7144-A240-C54BC0B55079}" srcId="{04AE7946-E61F-B549-8716-CF0371E5ACBF}" destId="{C4F163E2-3D34-B94C-96E3-2A62D8B52358}" srcOrd="0" destOrd="0" parTransId="{D78580C1-0129-984A-835D-0FEA165A1D63}" sibTransId="{FC4BF899-A62C-6E40-926C-16D4D3D4F838}"/>
    <dgm:cxn modelId="{4BC6A706-2236-4D08-A981-FFA491EA7DA2}" type="presOf" srcId="{EFBBC6E9-2D81-7044-BA89-BD759C697390}" destId="{E53A809A-3B6D-0A4D-B097-7C9AA729141B}" srcOrd="0" destOrd="0" presId="urn:microsoft.com/office/officeart/2005/8/layout/hierarchy1"/>
    <dgm:cxn modelId="{3044BA13-73B6-4B3B-A0BF-3AB483170259}" type="presOf" srcId="{3AC00E06-9079-4543-9C97-0C81566B16BA}" destId="{691D3764-19D3-0C42-B422-4144C76442A1}" srcOrd="0" destOrd="0" presId="urn:microsoft.com/office/officeart/2005/8/layout/hierarchy1"/>
    <dgm:cxn modelId="{F3462E16-5BF2-5C41-8489-14913431DFAD}" srcId="{04AE7946-E61F-B549-8716-CF0371E5ACBF}" destId="{F720BCDE-5C63-0146-B148-3EE8505A4CA2}" srcOrd="2" destOrd="0" parTransId="{4172A721-8021-2140-9B26-1183DCAEFB5A}" sibTransId="{AA65196E-D827-FD48-9E39-A93D68759DCD}"/>
    <dgm:cxn modelId="{3A299619-C7C4-4105-845E-77A177C2BC33}" type="presOf" srcId="{04AE7946-E61F-B549-8716-CF0371E5ACBF}" destId="{52E77718-5906-A545-A962-26E7A3FF1CD3}" srcOrd="0" destOrd="0" presId="urn:microsoft.com/office/officeart/2005/8/layout/hierarchy1"/>
    <dgm:cxn modelId="{DC0B542C-0063-44F0-A2BE-28EF7197BD5A}" type="presOf" srcId="{33911CCD-DE0F-9545-91B1-D7D21A4A9799}" destId="{2A39FE3D-5CFF-444C-B975-DFF80409F60C}" srcOrd="0" destOrd="0" presId="urn:microsoft.com/office/officeart/2005/8/layout/hierarchy1"/>
    <dgm:cxn modelId="{E38DF639-BEDA-4158-B367-D8EEE9592AD0}" type="presOf" srcId="{F720BCDE-5C63-0146-B148-3EE8505A4CA2}" destId="{FCCFF630-C906-574F-9779-87BDC9523E8D}" srcOrd="0" destOrd="0" presId="urn:microsoft.com/office/officeart/2005/8/layout/hierarchy1"/>
    <dgm:cxn modelId="{C2A80D3D-4C55-47F5-B206-8ECEFC6CD28D}" type="presOf" srcId="{4959EE35-7E5D-0A44-8AB1-079D6E45C3D5}" destId="{16080705-6E06-E141-A57F-456028BBA13B}" srcOrd="0" destOrd="0" presId="urn:microsoft.com/office/officeart/2005/8/layout/hierarchy1"/>
    <dgm:cxn modelId="{0178CB3F-43E3-4539-93E6-FF832F32DF94}" type="presOf" srcId="{0CAFDA50-7755-A44A-93EE-701DE31F054E}" destId="{3AF8E520-2947-F041-9FA7-AEB4CC1E927B}" srcOrd="0" destOrd="0" presId="urn:microsoft.com/office/officeart/2005/8/layout/hierarchy1"/>
    <dgm:cxn modelId="{50113940-20BC-D84A-BED6-660200AD0A2B}" srcId="{343A8C1A-2DFE-0E43-9BB4-114463C86C40}" destId="{3AC00E06-9079-4543-9C97-0C81566B16BA}" srcOrd="1" destOrd="0" parTransId="{0CDE0619-BE72-4747-801F-1194FDE0C78F}" sibTransId="{2E0CDB3B-B09C-5A43-9547-88559AB96A93}"/>
    <dgm:cxn modelId="{2E5CD140-D6C0-46C0-B612-F1F6E6204CFB}" type="presOf" srcId="{2F87104C-8F23-6E4C-9035-B40B4B6FE478}" destId="{9A05D5F3-2C74-524E-BFF4-8B55D5933E67}" srcOrd="0" destOrd="0" presId="urn:microsoft.com/office/officeart/2005/8/layout/hierarchy1"/>
    <dgm:cxn modelId="{6E3CD349-3942-45FE-99E3-3345C2222C81}" type="presOf" srcId="{59EB5883-523E-FB44-9BA4-DE73D02559BA}" destId="{6AAAA7BC-0C50-B149-B0B3-1567C5367E84}" srcOrd="0" destOrd="0" presId="urn:microsoft.com/office/officeart/2005/8/layout/hierarchy1"/>
    <dgm:cxn modelId="{38E30F4B-020E-D245-8F1D-26CF4357F5C7}" srcId="{3AC00E06-9079-4543-9C97-0C81566B16BA}" destId="{1F9F6980-B77B-504B-BB4D-D08F598B8564}" srcOrd="0" destOrd="0" parTransId="{33911CCD-DE0F-9545-91B1-D7D21A4A9799}" sibTransId="{FB6F5DF5-E267-1A42-9AC1-47185E2C3E3E}"/>
    <dgm:cxn modelId="{4271EF4C-9EC2-FF41-9E5C-562AA0164ED8}" srcId="{04AE7946-E61F-B549-8716-CF0371E5ACBF}" destId="{A9DB6680-B55C-4947-A5B7-6BFD69ACF82B}" srcOrd="1" destOrd="0" parTransId="{2F87104C-8F23-6E4C-9035-B40B4B6FE478}" sibTransId="{203ABE53-A53E-7C47-BFE6-3E792AAFE02F}"/>
    <dgm:cxn modelId="{04DFCA50-C77E-4202-AD18-EF633AE5EECC}" type="presOf" srcId="{73DCCE8F-0DC5-6440-A5E6-DFE342B193ED}" destId="{A6F2855F-CC51-3945-A377-7A013A913DB6}" srcOrd="0" destOrd="0" presId="urn:microsoft.com/office/officeart/2005/8/layout/hierarchy1"/>
    <dgm:cxn modelId="{63CD2954-0E99-9D4A-B085-4A440A668CBC}" srcId="{E52238E0-A0B9-7144-B634-5811314382BE}" destId="{D76470FB-A8A5-3941-9B63-CB5EA02CDDFD}" srcOrd="1" destOrd="0" parTransId="{EFAACFF8-0922-2848-ADF5-37FCFB5DCAA5}" sibTransId="{72EB8D18-7AF5-9640-8673-90716ADBC45A}"/>
    <dgm:cxn modelId="{8C836365-E61C-7B41-9D00-8414BB30BCB3}" srcId="{E52238E0-A0B9-7144-B634-5811314382BE}" destId="{4959EE35-7E5D-0A44-8AB1-079D6E45C3D5}" srcOrd="0" destOrd="0" parTransId="{EFBBC6E9-2D81-7044-BA89-BD759C697390}" sibTransId="{111F411F-FBAD-A244-B7F3-27AD367EA494}"/>
    <dgm:cxn modelId="{A5EDBD6A-EA8E-4C2C-9E94-D417B8D11D5D}" type="presOf" srcId="{D76470FB-A8A5-3941-9B63-CB5EA02CDDFD}" destId="{51363EFD-007D-D64A-8C1E-58BE5DB970DD}" srcOrd="0" destOrd="0" presId="urn:microsoft.com/office/officeart/2005/8/layout/hierarchy1"/>
    <dgm:cxn modelId="{496DE571-368F-45DE-B047-62EF8B49CC36}" type="presOf" srcId="{1F9F6980-B77B-504B-BB4D-D08F598B8564}" destId="{46713B52-B9E5-6D42-80F2-220165708A59}" srcOrd="0" destOrd="0" presId="urn:microsoft.com/office/officeart/2005/8/layout/hierarchy1"/>
    <dgm:cxn modelId="{1EA58772-7B34-3D44-B3C8-2D4239905D1D}" srcId="{3AC00E06-9079-4543-9C97-0C81566B16BA}" destId="{2E6CAAEA-A7AC-CF4F-B237-0D1E530AA912}" srcOrd="1" destOrd="0" parTransId="{0CAFDA50-7755-A44A-93EE-701DE31F054E}" sibTransId="{0E6AA52D-C2FC-324F-A40E-1BB300C1CC4F}"/>
    <dgm:cxn modelId="{FDF39877-96BC-4A98-9946-7F500D548F83}" type="presOf" srcId="{03058F06-795F-CF47-89B9-653EC833356E}" destId="{CCC19296-A347-6649-A2FC-43845FA66230}" srcOrd="0" destOrd="0" presId="urn:microsoft.com/office/officeart/2005/8/layout/hierarchy1"/>
    <dgm:cxn modelId="{22778C7A-B568-42CA-B4ED-81235DABA125}" type="presOf" srcId="{343A8C1A-2DFE-0E43-9BB4-114463C86C40}" destId="{710E5713-15AC-064B-BF20-BE1D08090422}" srcOrd="0" destOrd="0" presId="urn:microsoft.com/office/officeart/2005/8/layout/hierarchy1"/>
    <dgm:cxn modelId="{03F3678A-CA16-4748-AD14-D502809EB09F}" type="presOf" srcId="{C4F163E2-3D34-B94C-96E3-2A62D8B52358}" destId="{FC7CD5D9-5445-E544-BB4A-6A95C1CB19BB}" srcOrd="0" destOrd="0" presId="urn:microsoft.com/office/officeart/2005/8/layout/hierarchy1"/>
    <dgm:cxn modelId="{3E44DF8A-7A57-42B5-8A73-A5E3936EBC11}" type="presOf" srcId="{A9DB6680-B55C-4947-A5B7-6BFD69ACF82B}" destId="{87C92CB3-EDA5-D44E-A163-9ADEF495361C}" srcOrd="0" destOrd="0" presId="urn:microsoft.com/office/officeart/2005/8/layout/hierarchy1"/>
    <dgm:cxn modelId="{ABBDBD95-2979-934B-A6AB-4E8060A76B1C}" srcId="{E52238E0-A0B9-7144-B634-5811314382BE}" destId="{73DCCE8F-0DC5-6440-A5E6-DFE342B193ED}" srcOrd="2" destOrd="0" parTransId="{A202CF92-8161-DB4B-A70B-FE1551B2879C}" sibTransId="{5B871ADE-AA2E-654B-8899-F6F8B6F448A8}"/>
    <dgm:cxn modelId="{69ED8397-45C4-465D-8E19-5ED76A724275}" type="presOf" srcId="{D6F338E4-3AA7-8947-AE85-5D3B04BC45CB}" destId="{38022F59-C1A1-3341-AEBA-6A586481E209}" srcOrd="0" destOrd="0" presId="urn:microsoft.com/office/officeart/2005/8/layout/hierarchy1"/>
    <dgm:cxn modelId="{4F79ADA1-9D36-482A-BC0D-6EF5574107E5}" type="presOf" srcId="{2C9D16BF-ACB2-CC4F-8141-1F61EFC69D54}" destId="{243E44BE-5947-934F-91C3-1F4B50DBF773}" srcOrd="0" destOrd="0" presId="urn:microsoft.com/office/officeart/2005/8/layout/hierarchy1"/>
    <dgm:cxn modelId="{87CB09AF-C282-4196-A48F-E8507EAE723B}" type="presOf" srcId="{D78580C1-0129-984A-835D-0FEA165A1D63}" destId="{C23D336B-E4F2-BF44-BD9B-DB3419F52265}" srcOrd="0" destOrd="0" presId="urn:microsoft.com/office/officeart/2005/8/layout/hierarchy1"/>
    <dgm:cxn modelId="{AD9545B1-CF00-4B72-B70D-5ACDCCA04C0F}" type="presOf" srcId="{0CDE0619-BE72-4747-801F-1194FDE0C78F}" destId="{2B6F6F91-FF46-7647-93E9-1AD42EBC3F40}" srcOrd="0" destOrd="0" presId="urn:microsoft.com/office/officeart/2005/8/layout/hierarchy1"/>
    <dgm:cxn modelId="{C41EF4C0-A520-472E-95A0-7393617F9EF0}" type="presOf" srcId="{2E6CAAEA-A7AC-CF4F-B237-0D1E530AA912}" destId="{55E0AB18-92FF-F446-A8DF-D6620DCA1CB9}" srcOrd="0" destOrd="0" presId="urn:microsoft.com/office/officeart/2005/8/layout/hierarchy1"/>
    <dgm:cxn modelId="{9CD95EC3-F75D-4011-B8B8-B9C587CCAF28}" type="presOf" srcId="{4172A721-8021-2140-9B26-1183DCAEFB5A}" destId="{8A311F07-46F6-E444-948A-8DAB134EB0ED}" srcOrd="0" destOrd="0" presId="urn:microsoft.com/office/officeart/2005/8/layout/hierarchy1"/>
    <dgm:cxn modelId="{E475D4C9-3C77-4E95-B36E-112487A03515}" type="presOf" srcId="{A202CF92-8161-DB4B-A70B-FE1551B2879C}" destId="{84F761D2-86CD-5A48-8073-31FB131BE757}" srcOrd="0" destOrd="0" presId="urn:microsoft.com/office/officeart/2005/8/layout/hierarchy1"/>
    <dgm:cxn modelId="{A84D7FD0-0705-6342-8E65-A4A34B62482F}" srcId="{C8D0717F-3021-094A-937F-DC52AD9DF640}" destId="{343A8C1A-2DFE-0E43-9BB4-114463C86C40}" srcOrd="0" destOrd="0" parTransId="{09DEC83E-3FF9-5A4B-818C-49ADBC2BD0C1}" sibTransId="{BDA7B131-EA69-FE43-BFEA-C8A578A2C2DE}"/>
    <dgm:cxn modelId="{A8408ED2-12B8-D84A-A572-6EC771079CB9}" srcId="{343A8C1A-2DFE-0E43-9BB4-114463C86C40}" destId="{04AE7946-E61F-B549-8716-CF0371E5ACBF}" srcOrd="2" destOrd="0" parTransId="{03058F06-795F-CF47-89B9-653EC833356E}" sibTransId="{0DA3B572-3495-2240-B47A-4F4E060010A6}"/>
    <dgm:cxn modelId="{04965FE2-67E2-47C2-8B94-8F919E4AF693}" type="presOf" srcId="{E52238E0-A0B9-7144-B634-5811314382BE}" destId="{08C04B55-700A-2B42-B302-4323B1E68019}" srcOrd="0" destOrd="0" presId="urn:microsoft.com/office/officeart/2005/8/layout/hierarchy1"/>
    <dgm:cxn modelId="{F70B82F2-92D3-47EC-912D-B038BA8459B6}" type="presOf" srcId="{EFAACFF8-0922-2848-ADF5-37FCFB5DCAA5}" destId="{D8366AF4-AF6F-F142-849C-6864C021AD03}" srcOrd="0" destOrd="0" presId="urn:microsoft.com/office/officeart/2005/8/layout/hierarchy1"/>
    <dgm:cxn modelId="{2D5CD7F3-34C8-EF43-B60E-1B8D104FF7F8}" srcId="{343A8C1A-2DFE-0E43-9BB4-114463C86C40}" destId="{E52238E0-A0B9-7144-B634-5811314382BE}" srcOrd="0" destOrd="0" parTransId="{2C9D16BF-ACB2-CC4F-8141-1F61EFC69D54}" sibTransId="{9882C1CE-7869-4B4F-91C8-60D88D539C92}"/>
    <dgm:cxn modelId="{820C52F9-6D9E-482E-B647-A513D1FA8EE4}" type="presOf" srcId="{C8D0717F-3021-094A-937F-DC52AD9DF640}" destId="{0C4BA3BC-46BE-6044-AEBD-CF47A209520A}" srcOrd="0" destOrd="0" presId="urn:microsoft.com/office/officeart/2005/8/layout/hierarchy1"/>
    <dgm:cxn modelId="{F07457FE-34FB-4643-8B0C-D576F3685F0F}" srcId="{3AC00E06-9079-4543-9C97-0C81566B16BA}" destId="{59EB5883-523E-FB44-9BA4-DE73D02559BA}" srcOrd="2" destOrd="0" parTransId="{D6F338E4-3AA7-8947-AE85-5D3B04BC45CB}" sibTransId="{2B9FC817-3FB9-AD4E-BFA1-8C55A556D3D3}"/>
    <dgm:cxn modelId="{A6097BC4-9A2F-4E37-A0D4-12C343E43477}" type="presParOf" srcId="{0C4BA3BC-46BE-6044-AEBD-CF47A209520A}" destId="{00954365-578A-FA4D-8A47-5D5898CDA4AB}" srcOrd="0" destOrd="0" presId="urn:microsoft.com/office/officeart/2005/8/layout/hierarchy1"/>
    <dgm:cxn modelId="{92851F7C-3922-4722-98CE-91115EFD7F8E}" type="presParOf" srcId="{00954365-578A-FA4D-8A47-5D5898CDA4AB}" destId="{EE2CAC83-EE35-DF4D-8991-03EF62369024}" srcOrd="0" destOrd="0" presId="urn:microsoft.com/office/officeart/2005/8/layout/hierarchy1"/>
    <dgm:cxn modelId="{D1653991-5EC4-41CE-9686-DA54C300FA63}" type="presParOf" srcId="{EE2CAC83-EE35-DF4D-8991-03EF62369024}" destId="{EBF5DBF8-2F76-6742-8707-24450A6592EC}" srcOrd="0" destOrd="0" presId="urn:microsoft.com/office/officeart/2005/8/layout/hierarchy1"/>
    <dgm:cxn modelId="{652250BF-9B72-4794-8015-A9354B83A56D}" type="presParOf" srcId="{EE2CAC83-EE35-DF4D-8991-03EF62369024}" destId="{710E5713-15AC-064B-BF20-BE1D08090422}" srcOrd="1" destOrd="0" presId="urn:microsoft.com/office/officeart/2005/8/layout/hierarchy1"/>
    <dgm:cxn modelId="{26739C16-21EA-47DD-81F3-70CE86870478}" type="presParOf" srcId="{00954365-578A-FA4D-8A47-5D5898CDA4AB}" destId="{86209829-1521-B241-84C1-765A584B37C8}" srcOrd="1" destOrd="0" presId="urn:microsoft.com/office/officeart/2005/8/layout/hierarchy1"/>
    <dgm:cxn modelId="{69249C27-961E-45BA-BC3E-75F42FA03912}" type="presParOf" srcId="{86209829-1521-B241-84C1-765A584B37C8}" destId="{243E44BE-5947-934F-91C3-1F4B50DBF773}" srcOrd="0" destOrd="0" presId="urn:microsoft.com/office/officeart/2005/8/layout/hierarchy1"/>
    <dgm:cxn modelId="{776C34C2-EBC8-4CB1-8AD9-27154B752241}" type="presParOf" srcId="{86209829-1521-B241-84C1-765A584B37C8}" destId="{8FF6394E-742E-084C-BBDF-1C783B4FEA40}" srcOrd="1" destOrd="0" presId="urn:microsoft.com/office/officeart/2005/8/layout/hierarchy1"/>
    <dgm:cxn modelId="{3502818E-B777-4E0F-A808-A9D1CDB401FF}" type="presParOf" srcId="{8FF6394E-742E-084C-BBDF-1C783B4FEA40}" destId="{0EFFEFE0-0C27-DD40-8471-D152E7A6E39D}" srcOrd="0" destOrd="0" presId="urn:microsoft.com/office/officeart/2005/8/layout/hierarchy1"/>
    <dgm:cxn modelId="{5E1A18F2-55A9-4DA7-82C5-D0A67E68F9B5}" type="presParOf" srcId="{0EFFEFE0-0C27-DD40-8471-D152E7A6E39D}" destId="{1F2497F8-796E-A242-8CF2-6C43845866A4}" srcOrd="0" destOrd="0" presId="urn:microsoft.com/office/officeart/2005/8/layout/hierarchy1"/>
    <dgm:cxn modelId="{77623478-03E3-4048-A042-8824335181B6}" type="presParOf" srcId="{0EFFEFE0-0C27-DD40-8471-D152E7A6E39D}" destId="{08C04B55-700A-2B42-B302-4323B1E68019}" srcOrd="1" destOrd="0" presId="urn:microsoft.com/office/officeart/2005/8/layout/hierarchy1"/>
    <dgm:cxn modelId="{B3EBBF91-AB1E-43E6-BA52-3E5C66E4C2F5}" type="presParOf" srcId="{8FF6394E-742E-084C-BBDF-1C783B4FEA40}" destId="{65CA5135-6008-FF4F-88B7-881D7422C870}" srcOrd="1" destOrd="0" presId="urn:microsoft.com/office/officeart/2005/8/layout/hierarchy1"/>
    <dgm:cxn modelId="{589E9089-0C62-4CC1-81E8-538BECFF904E}" type="presParOf" srcId="{65CA5135-6008-FF4F-88B7-881D7422C870}" destId="{E53A809A-3B6D-0A4D-B097-7C9AA729141B}" srcOrd="0" destOrd="0" presId="urn:microsoft.com/office/officeart/2005/8/layout/hierarchy1"/>
    <dgm:cxn modelId="{571E1659-5669-47DC-B6C7-350FD7960D1B}" type="presParOf" srcId="{65CA5135-6008-FF4F-88B7-881D7422C870}" destId="{F2CEF3EC-E924-4A48-B8CD-17CF05D629C4}" srcOrd="1" destOrd="0" presId="urn:microsoft.com/office/officeart/2005/8/layout/hierarchy1"/>
    <dgm:cxn modelId="{722E1F6E-9472-4AD9-973B-2637C446C7F8}" type="presParOf" srcId="{F2CEF3EC-E924-4A48-B8CD-17CF05D629C4}" destId="{3CA6420E-9B1F-1D4F-813C-5852C0FB29D1}" srcOrd="0" destOrd="0" presId="urn:microsoft.com/office/officeart/2005/8/layout/hierarchy1"/>
    <dgm:cxn modelId="{37FEF3AB-DD82-4659-9EC7-BCE284BC47AC}" type="presParOf" srcId="{3CA6420E-9B1F-1D4F-813C-5852C0FB29D1}" destId="{68F860DF-9BD5-EF46-BFD5-41124E5834F4}" srcOrd="0" destOrd="0" presId="urn:microsoft.com/office/officeart/2005/8/layout/hierarchy1"/>
    <dgm:cxn modelId="{2ECA967F-0C6D-4346-B665-B1874BD4F28F}" type="presParOf" srcId="{3CA6420E-9B1F-1D4F-813C-5852C0FB29D1}" destId="{16080705-6E06-E141-A57F-456028BBA13B}" srcOrd="1" destOrd="0" presId="urn:microsoft.com/office/officeart/2005/8/layout/hierarchy1"/>
    <dgm:cxn modelId="{FD00EA96-94D5-4956-82AE-8EDB4927ECF4}" type="presParOf" srcId="{F2CEF3EC-E924-4A48-B8CD-17CF05D629C4}" destId="{837951E8-BBB1-014C-BDE6-3AB46FA80D6A}" srcOrd="1" destOrd="0" presId="urn:microsoft.com/office/officeart/2005/8/layout/hierarchy1"/>
    <dgm:cxn modelId="{10707BD2-F86E-4464-87AC-9DEDDD3C7FA6}" type="presParOf" srcId="{65CA5135-6008-FF4F-88B7-881D7422C870}" destId="{D8366AF4-AF6F-F142-849C-6864C021AD03}" srcOrd="2" destOrd="0" presId="urn:microsoft.com/office/officeart/2005/8/layout/hierarchy1"/>
    <dgm:cxn modelId="{B09E0D49-B4ED-45F9-942F-541094C08F9E}" type="presParOf" srcId="{65CA5135-6008-FF4F-88B7-881D7422C870}" destId="{9D1BDBBF-ADE1-0E46-A735-7995358B6641}" srcOrd="3" destOrd="0" presId="urn:microsoft.com/office/officeart/2005/8/layout/hierarchy1"/>
    <dgm:cxn modelId="{F3A01FDF-4941-4BB8-8697-8707D0FE919C}" type="presParOf" srcId="{9D1BDBBF-ADE1-0E46-A735-7995358B6641}" destId="{AB994148-5226-CE4F-B2FB-15B403AB7984}" srcOrd="0" destOrd="0" presId="urn:microsoft.com/office/officeart/2005/8/layout/hierarchy1"/>
    <dgm:cxn modelId="{19E1F46A-FC18-4C49-981B-02FF4E253170}" type="presParOf" srcId="{AB994148-5226-CE4F-B2FB-15B403AB7984}" destId="{212761F2-8056-2B41-B1BE-F89D1B43AD0A}" srcOrd="0" destOrd="0" presId="urn:microsoft.com/office/officeart/2005/8/layout/hierarchy1"/>
    <dgm:cxn modelId="{72D4E2C2-34FC-4642-9038-B5C1C30D055E}" type="presParOf" srcId="{AB994148-5226-CE4F-B2FB-15B403AB7984}" destId="{51363EFD-007D-D64A-8C1E-58BE5DB970DD}" srcOrd="1" destOrd="0" presId="urn:microsoft.com/office/officeart/2005/8/layout/hierarchy1"/>
    <dgm:cxn modelId="{A22712F3-2582-45F5-9242-2F733B804A70}" type="presParOf" srcId="{9D1BDBBF-ADE1-0E46-A735-7995358B6641}" destId="{1EF1D8EB-0572-DC49-8D17-CBC61D49C9DF}" srcOrd="1" destOrd="0" presId="urn:microsoft.com/office/officeart/2005/8/layout/hierarchy1"/>
    <dgm:cxn modelId="{3BED5B21-C920-4004-AAAE-14EA9E6FDEBE}" type="presParOf" srcId="{65CA5135-6008-FF4F-88B7-881D7422C870}" destId="{84F761D2-86CD-5A48-8073-31FB131BE757}" srcOrd="4" destOrd="0" presId="urn:microsoft.com/office/officeart/2005/8/layout/hierarchy1"/>
    <dgm:cxn modelId="{714E0448-2404-4836-AD14-D93F9EEE9077}" type="presParOf" srcId="{65CA5135-6008-FF4F-88B7-881D7422C870}" destId="{5CCCE84F-2CEB-5547-BD96-B40E4787B613}" srcOrd="5" destOrd="0" presId="urn:microsoft.com/office/officeart/2005/8/layout/hierarchy1"/>
    <dgm:cxn modelId="{06F6831A-6E56-4B9A-A50F-649B0E6E69E4}" type="presParOf" srcId="{5CCCE84F-2CEB-5547-BD96-B40E4787B613}" destId="{7E89A99E-4966-7A41-B21B-2F748149D5E7}" srcOrd="0" destOrd="0" presId="urn:microsoft.com/office/officeart/2005/8/layout/hierarchy1"/>
    <dgm:cxn modelId="{9B64C28F-91FC-4BFE-B4D5-FEF2B22AF5A4}" type="presParOf" srcId="{7E89A99E-4966-7A41-B21B-2F748149D5E7}" destId="{569DCE40-B31F-1B42-8076-8F6E76F17528}" srcOrd="0" destOrd="0" presId="urn:microsoft.com/office/officeart/2005/8/layout/hierarchy1"/>
    <dgm:cxn modelId="{F34DE6A6-70EF-4AC7-99EA-2B825AED3923}" type="presParOf" srcId="{7E89A99E-4966-7A41-B21B-2F748149D5E7}" destId="{A6F2855F-CC51-3945-A377-7A013A913DB6}" srcOrd="1" destOrd="0" presId="urn:microsoft.com/office/officeart/2005/8/layout/hierarchy1"/>
    <dgm:cxn modelId="{552C4C55-ABD5-4B36-8EE7-F258066D6A14}" type="presParOf" srcId="{5CCCE84F-2CEB-5547-BD96-B40E4787B613}" destId="{2CE6B003-74D0-0944-91EF-1FBC96FAE25B}" srcOrd="1" destOrd="0" presId="urn:microsoft.com/office/officeart/2005/8/layout/hierarchy1"/>
    <dgm:cxn modelId="{D61BCDC9-4785-469B-BA75-C1D02B5EE6BC}" type="presParOf" srcId="{86209829-1521-B241-84C1-765A584B37C8}" destId="{2B6F6F91-FF46-7647-93E9-1AD42EBC3F40}" srcOrd="2" destOrd="0" presId="urn:microsoft.com/office/officeart/2005/8/layout/hierarchy1"/>
    <dgm:cxn modelId="{3F5A80EE-B95F-4ABE-9A0A-9DDF0EC88427}" type="presParOf" srcId="{86209829-1521-B241-84C1-765A584B37C8}" destId="{94A67A62-6E2F-2346-834C-493E8206F861}" srcOrd="3" destOrd="0" presId="urn:microsoft.com/office/officeart/2005/8/layout/hierarchy1"/>
    <dgm:cxn modelId="{B1CC8B5D-761A-44B8-9CD1-16227DBCEE5C}" type="presParOf" srcId="{94A67A62-6E2F-2346-834C-493E8206F861}" destId="{CD7D5F0D-E39B-844D-9603-43085AB3F711}" srcOrd="0" destOrd="0" presId="urn:microsoft.com/office/officeart/2005/8/layout/hierarchy1"/>
    <dgm:cxn modelId="{FDCEA533-D242-49B3-B742-4F053B6AB083}" type="presParOf" srcId="{CD7D5F0D-E39B-844D-9603-43085AB3F711}" destId="{91AE157C-D9A3-404B-A58D-6AD3776DBC8B}" srcOrd="0" destOrd="0" presId="urn:microsoft.com/office/officeart/2005/8/layout/hierarchy1"/>
    <dgm:cxn modelId="{30E958C3-B072-4A13-A27F-C1499DB32C74}" type="presParOf" srcId="{CD7D5F0D-E39B-844D-9603-43085AB3F711}" destId="{691D3764-19D3-0C42-B422-4144C76442A1}" srcOrd="1" destOrd="0" presId="urn:microsoft.com/office/officeart/2005/8/layout/hierarchy1"/>
    <dgm:cxn modelId="{76308E0D-9B46-48C4-9283-162B0B70FF54}" type="presParOf" srcId="{94A67A62-6E2F-2346-834C-493E8206F861}" destId="{9AFF33F4-C6E9-2649-9092-1E71D520A50B}" srcOrd="1" destOrd="0" presId="urn:microsoft.com/office/officeart/2005/8/layout/hierarchy1"/>
    <dgm:cxn modelId="{A66D29AA-9B8D-4101-80C3-5FD5FBB02D0C}" type="presParOf" srcId="{9AFF33F4-C6E9-2649-9092-1E71D520A50B}" destId="{2A39FE3D-5CFF-444C-B975-DFF80409F60C}" srcOrd="0" destOrd="0" presId="urn:microsoft.com/office/officeart/2005/8/layout/hierarchy1"/>
    <dgm:cxn modelId="{F7DDA2EA-1D8E-4D93-BBD2-061AFF86C186}" type="presParOf" srcId="{9AFF33F4-C6E9-2649-9092-1E71D520A50B}" destId="{0C581919-B629-9A4E-8A2E-2319E4F6094D}" srcOrd="1" destOrd="0" presId="urn:microsoft.com/office/officeart/2005/8/layout/hierarchy1"/>
    <dgm:cxn modelId="{191014FE-8180-4AFD-AFD6-20DC62E7C129}" type="presParOf" srcId="{0C581919-B629-9A4E-8A2E-2319E4F6094D}" destId="{3BD3693D-FDD3-994F-804F-53AADAC0FDA1}" srcOrd="0" destOrd="0" presId="urn:microsoft.com/office/officeart/2005/8/layout/hierarchy1"/>
    <dgm:cxn modelId="{55BE9666-BEE7-4A94-A3FF-A0192EEF3ACB}" type="presParOf" srcId="{3BD3693D-FDD3-994F-804F-53AADAC0FDA1}" destId="{6E9130DC-A14D-CA49-B921-7204A426E656}" srcOrd="0" destOrd="0" presId="urn:microsoft.com/office/officeart/2005/8/layout/hierarchy1"/>
    <dgm:cxn modelId="{7CA2606F-7670-4824-848D-ABD6CC19E4A7}" type="presParOf" srcId="{3BD3693D-FDD3-994F-804F-53AADAC0FDA1}" destId="{46713B52-B9E5-6D42-80F2-220165708A59}" srcOrd="1" destOrd="0" presId="urn:microsoft.com/office/officeart/2005/8/layout/hierarchy1"/>
    <dgm:cxn modelId="{2DB22E51-4D82-4414-81D0-2B0BCE34F18B}" type="presParOf" srcId="{0C581919-B629-9A4E-8A2E-2319E4F6094D}" destId="{7287052C-0A83-8A42-9C8F-ABA4820A6AAE}" srcOrd="1" destOrd="0" presId="urn:microsoft.com/office/officeart/2005/8/layout/hierarchy1"/>
    <dgm:cxn modelId="{A732E0A0-9646-49FB-BC9C-6DA766F30C1A}" type="presParOf" srcId="{9AFF33F4-C6E9-2649-9092-1E71D520A50B}" destId="{3AF8E520-2947-F041-9FA7-AEB4CC1E927B}" srcOrd="2" destOrd="0" presId="urn:microsoft.com/office/officeart/2005/8/layout/hierarchy1"/>
    <dgm:cxn modelId="{FB2D5F13-0409-4051-86EB-4F359CD25DF6}" type="presParOf" srcId="{9AFF33F4-C6E9-2649-9092-1E71D520A50B}" destId="{BFE8DD31-C325-9C4F-9FB8-8CB718211D14}" srcOrd="3" destOrd="0" presId="urn:microsoft.com/office/officeart/2005/8/layout/hierarchy1"/>
    <dgm:cxn modelId="{658AC624-CC8E-4C87-AAF3-2164445EF1E0}" type="presParOf" srcId="{BFE8DD31-C325-9C4F-9FB8-8CB718211D14}" destId="{228B0CF8-E45D-844B-9A4A-1FB535A32C31}" srcOrd="0" destOrd="0" presId="urn:microsoft.com/office/officeart/2005/8/layout/hierarchy1"/>
    <dgm:cxn modelId="{93562EEC-7D2A-44AE-8986-AAF870141838}" type="presParOf" srcId="{228B0CF8-E45D-844B-9A4A-1FB535A32C31}" destId="{A84D2051-B2D1-D445-961F-EA67B098AEDE}" srcOrd="0" destOrd="0" presId="urn:microsoft.com/office/officeart/2005/8/layout/hierarchy1"/>
    <dgm:cxn modelId="{513A43B0-AC83-4578-AC09-425848FB91A9}" type="presParOf" srcId="{228B0CF8-E45D-844B-9A4A-1FB535A32C31}" destId="{55E0AB18-92FF-F446-A8DF-D6620DCA1CB9}" srcOrd="1" destOrd="0" presId="urn:microsoft.com/office/officeart/2005/8/layout/hierarchy1"/>
    <dgm:cxn modelId="{3B7913CE-9E8E-4566-8495-99180B9409F1}" type="presParOf" srcId="{BFE8DD31-C325-9C4F-9FB8-8CB718211D14}" destId="{2BD0827E-9672-924E-A625-262A40879278}" srcOrd="1" destOrd="0" presId="urn:microsoft.com/office/officeart/2005/8/layout/hierarchy1"/>
    <dgm:cxn modelId="{723C9068-26EB-40B2-9320-446D79A02995}" type="presParOf" srcId="{9AFF33F4-C6E9-2649-9092-1E71D520A50B}" destId="{38022F59-C1A1-3341-AEBA-6A586481E209}" srcOrd="4" destOrd="0" presId="urn:microsoft.com/office/officeart/2005/8/layout/hierarchy1"/>
    <dgm:cxn modelId="{164A841C-6A48-46B7-BAAB-B936881C0FB9}" type="presParOf" srcId="{9AFF33F4-C6E9-2649-9092-1E71D520A50B}" destId="{18A3F3AD-2277-A44F-B0C3-675329FD0984}" srcOrd="5" destOrd="0" presId="urn:microsoft.com/office/officeart/2005/8/layout/hierarchy1"/>
    <dgm:cxn modelId="{C84D4C47-26B5-4A79-9287-5FA8808380B4}" type="presParOf" srcId="{18A3F3AD-2277-A44F-B0C3-675329FD0984}" destId="{0B0080A2-0BC3-CB4F-9BF4-B0A0DDBCBFCF}" srcOrd="0" destOrd="0" presId="urn:microsoft.com/office/officeart/2005/8/layout/hierarchy1"/>
    <dgm:cxn modelId="{CEEF48EB-257B-4FF5-9187-14503FB2A263}" type="presParOf" srcId="{0B0080A2-0BC3-CB4F-9BF4-B0A0DDBCBFCF}" destId="{028001E7-91F1-724C-AA77-C9BBF2680926}" srcOrd="0" destOrd="0" presId="urn:microsoft.com/office/officeart/2005/8/layout/hierarchy1"/>
    <dgm:cxn modelId="{A36F2CEA-D56E-42E3-92B7-1A34E2BB7A97}" type="presParOf" srcId="{0B0080A2-0BC3-CB4F-9BF4-B0A0DDBCBFCF}" destId="{6AAAA7BC-0C50-B149-B0B3-1567C5367E84}" srcOrd="1" destOrd="0" presId="urn:microsoft.com/office/officeart/2005/8/layout/hierarchy1"/>
    <dgm:cxn modelId="{375DCD48-F2EA-4615-A0B8-53FF4095A9DA}" type="presParOf" srcId="{18A3F3AD-2277-A44F-B0C3-675329FD0984}" destId="{F5D72D59-987E-124A-B8F6-1F1D720AE00E}" srcOrd="1" destOrd="0" presId="urn:microsoft.com/office/officeart/2005/8/layout/hierarchy1"/>
    <dgm:cxn modelId="{BCC9A698-6145-41C7-9261-6ACA8C9C8D3C}" type="presParOf" srcId="{86209829-1521-B241-84C1-765A584B37C8}" destId="{CCC19296-A347-6649-A2FC-43845FA66230}" srcOrd="4" destOrd="0" presId="urn:microsoft.com/office/officeart/2005/8/layout/hierarchy1"/>
    <dgm:cxn modelId="{73D3EB1C-5B77-40AF-8896-87B6486BE411}" type="presParOf" srcId="{86209829-1521-B241-84C1-765A584B37C8}" destId="{93513418-E862-7246-B6AA-F2964EA7D78B}" srcOrd="5" destOrd="0" presId="urn:microsoft.com/office/officeart/2005/8/layout/hierarchy1"/>
    <dgm:cxn modelId="{5C71FF57-4A1A-4EF5-9DF4-2E5DFFC636C4}" type="presParOf" srcId="{93513418-E862-7246-B6AA-F2964EA7D78B}" destId="{AA687EFC-CFA5-BC42-8BD9-475590CB6B0F}" srcOrd="0" destOrd="0" presId="urn:microsoft.com/office/officeart/2005/8/layout/hierarchy1"/>
    <dgm:cxn modelId="{155774AC-58E4-4A3E-8DC7-889EF6F7D79A}" type="presParOf" srcId="{AA687EFC-CFA5-BC42-8BD9-475590CB6B0F}" destId="{AE5A1695-5863-1146-82B0-E516CD7577BA}" srcOrd="0" destOrd="0" presId="urn:microsoft.com/office/officeart/2005/8/layout/hierarchy1"/>
    <dgm:cxn modelId="{9B4F3F97-80C0-4507-8355-3A95DE858881}" type="presParOf" srcId="{AA687EFC-CFA5-BC42-8BD9-475590CB6B0F}" destId="{52E77718-5906-A545-A962-26E7A3FF1CD3}" srcOrd="1" destOrd="0" presId="urn:microsoft.com/office/officeart/2005/8/layout/hierarchy1"/>
    <dgm:cxn modelId="{2CF6CC44-B580-4B7B-B1D3-A292A3CC71AF}" type="presParOf" srcId="{93513418-E862-7246-B6AA-F2964EA7D78B}" destId="{BC13B04C-7ED1-2447-A331-F8321139FED4}" srcOrd="1" destOrd="0" presId="urn:microsoft.com/office/officeart/2005/8/layout/hierarchy1"/>
    <dgm:cxn modelId="{916CCD7E-17EB-4BD0-8494-3DFE15607CB0}" type="presParOf" srcId="{BC13B04C-7ED1-2447-A331-F8321139FED4}" destId="{C23D336B-E4F2-BF44-BD9B-DB3419F52265}" srcOrd="0" destOrd="0" presId="urn:microsoft.com/office/officeart/2005/8/layout/hierarchy1"/>
    <dgm:cxn modelId="{C33E9BD3-5928-4307-9FB6-E93BD4E8314B}" type="presParOf" srcId="{BC13B04C-7ED1-2447-A331-F8321139FED4}" destId="{D2BF822A-5D68-B64D-844E-67AC1F8A22BF}" srcOrd="1" destOrd="0" presId="urn:microsoft.com/office/officeart/2005/8/layout/hierarchy1"/>
    <dgm:cxn modelId="{C8138CB8-8D68-4E2C-9ADD-528040CFF9A0}" type="presParOf" srcId="{D2BF822A-5D68-B64D-844E-67AC1F8A22BF}" destId="{9392BE8E-67EA-7B4C-A1DD-6704ACF96805}" srcOrd="0" destOrd="0" presId="urn:microsoft.com/office/officeart/2005/8/layout/hierarchy1"/>
    <dgm:cxn modelId="{97C24DCB-73A7-4F5E-AD84-24B33D443EB4}" type="presParOf" srcId="{9392BE8E-67EA-7B4C-A1DD-6704ACF96805}" destId="{3AD9F72D-7410-F04F-A541-DF3822BA5BB8}" srcOrd="0" destOrd="0" presId="urn:microsoft.com/office/officeart/2005/8/layout/hierarchy1"/>
    <dgm:cxn modelId="{B504514B-BF80-42B7-856C-07B25EDA065D}" type="presParOf" srcId="{9392BE8E-67EA-7B4C-A1DD-6704ACF96805}" destId="{FC7CD5D9-5445-E544-BB4A-6A95C1CB19BB}" srcOrd="1" destOrd="0" presId="urn:microsoft.com/office/officeart/2005/8/layout/hierarchy1"/>
    <dgm:cxn modelId="{0B8967C0-272D-48E7-99A8-7235CCD87CBB}" type="presParOf" srcId="{D2BF822A-5D68-B64D-844E-67AC1F8A22BF}" destId="{2113C55D-2E04-D14C-A1AA-EBA1C747804F}" srcOrd="1" destOrd="0" presId="urn:microsoft.com/office/officeart/2005/8/layout/hierarchy1"/>
    <dgm:cxn modelId="{ABCD0706-35D1-4CAB-AA58-E86312106EBC}" type="presParOf" srcId="{BC13B04C-7ED1-2447-A331-F8321139FED4}" destId="{9A05D5F3-2C74-524E-BFF4-8B55D5933E67}" srcOrd="2" destOrd="0" presId="urn:microsoft.com/office/officeart/2005/8/layout/hierarchy1"/>
    <dgm:cxn modelId="{F43A3D9A-A107-4B9C-A6D4-BE2F6BDD3CF1}" type="presParOf" srcId="{BC13B04C-7ED1-2447-A331-F8321139FED4}" destId="{10CDA503-5CC5-BF45-BEAE-C4A1A92D4ABB}" srcOrd="3" destOrd="0" presId="urn:microsoft.com/office/officeart/2005/8/layout/hierarchy1"/>
    <dgm:cxn modelId="{571002AA-1193-4290-A2AE-F278F2C3A6E7}" type="presParOf" srcId="{10CDA503-5CC5-BF45-BEAE-C4A1A92D4ABB}" destId="{72A8BA1E-1D2C-1C4B-A9A3-20245AA077E3}" srcOrd="0" destOrd="0" presId="urn:microsoft.com/office/officeart/2005/8/layout/hierarchy1"/>
    <dgm:cxn modelId="{D78DF291-6B18-4AF4-B193-7FEBAFBDA503}" type="presParOf" srcId="{72A8BA1E-1D2C-1C4B-A9A3-20245AA077E3}" destId="{B6485415-6192-4247-A0FB-2126BBABF3F2}" srcOrd="0" destOrd="0" presId="urn:microsoft.com/office/officeart/2005/8/layout/hierarchy1"/>
    <dgm:cxn modelId="{57376A95-FE39-48C9-95B4-4F38CF1A7F67}" type="presParOf" srcId="{72A8BA1E-1D2C-1C4B-A9A3-20245AA077E3}" destId="{87C92CB3-EDA5-D44E-A163-9ADEF495361C}" srcOrd="1" destOrd="0" presId="urn:microsoft.com/office/officeart/2005/8/layout/hierarchy1"/>
    <dgm:cxn modelId="{1D72A363-9503-499E-85C7-8743160D8B02}" type="presParOf" srcId="{10CDA503-5CC5-BF45-BEAE-C4A1A92D4ABB}" destId="{79768EF5-0696-7E49-B4E3-5715C8D307E1}" srcOrd="1" destOrd="0" presId="urn:microsoft.com/office/officeart/2005/8/layout/hierarchy1"/>
    <dgm:cxn modelId="{3854FA95-1F87-419E-8A26-702F591CA1FD}" type="presParOf" srcId="{BC13B04C-7ED1-2447-A331-F8321139FED4}" destId="{8A311F07-46F6-E444-948A-8DAB134EB0ED}" srcOrd="4" destOrd="0" presId="urn:microsoft.com/office/officeart/2005/8/layout/hierarchy1"/>
    <dgm:cxn modelId="{78CE6746-C0E4-40F9-BD6A-4B2E6D4CC870}" type="presParOf" srcId="{BC13B04C-7ED1-2447-A331-F8321139FED4}" destId="{88A3D514-A7AC-534F-A969-4D887719F764}" srcOrd="5" destOrd="0" presId="urn:microsoft.com/office/officeart/2005/8/layout/hierarchy1"/>
    <dgm:cxn modelId="{DD12E66D-CED2-4771-A5A4-A4C113E64982}" type="presParOf" srcId="{88A3D514-A7AC-534F-A969-4D887719F764}" destId="{564457B1-9DD4-6A45-B1FC-246B27F7C65F}" srcOrd="0" destOrd="0" presId="urn:microsoft.com/office/officeart/2005/8/layout/hierarchy1"/>
    <dgm:cxn modelId="{1702EDB4-5A55-42F4-AEEE-5C5E93FA8B95}" type="presParOf" srcId="{564457B1-9DD4-6A45-B1FC-246B27F7C65F}" destId="{78E9D969-514E-7245-B37E-887535B96F03}" srcOrd="0" destOrd="0" presId="urn:microsoft.com/office/officeart/2005/8/layout/hierarchy1"/>
    <dgm:cxn modelId="{B1B09B5F-3EF6-40B8-90DF-87872DFA77BA}" type="presParOf" srcId="{564457B1-9DD4-6A45-B1FC-246B27F7C65F}" destId="{FCCFF630-C906-574F-9779-87BDC9523E8D}" srcOrd="1" destOrd="0" presId="urn:microsoft.com/office/officeart/2005/8/layout/hierarchy1"/>
    <dgm:cxn modelId="{DA682C44-2371-47DD-B537-2B81929C5EDC}" type="presParOf" srcId="{88A3D514-A7AC-534F-A969-4D887719F764}" destId="{99752E67-572F-F94D-B659-1AC8CD8B0E94}" srcOrd="1" destOrd="0" presId="urn:microsoft.com/office/officeart/2005/8/layout/hierarchy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EE14083-F456-9342-955C-5B585FE78195}"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ru-RU"/>
        </a:p>
      </dgm:t>
    </dgm:pt>
    <dgm:pt modelId="{A23BC805-17E8-2C4E-B87C-22C832C89F1E}">
      <dgm:prSet phldrT="[Текст]" custT="1"/>
      <dgm:spPr/>
      <dgm:t>
        <a:bodyPr/>
        <a:lstStyle/>
        <a:p>
          <a:r>
            <a:rPr lang="en-US" sz="700">
              <a:latin typeface="Times New Roman" panose="02020603050405020304" pitchFamily="18" charset="0"/>
              <a:cs typeface="Times New Roman" panose="02020603050405020304" pitchFamily="18" charset="0"/>
            </a:rPr>
            <a:t>Ministry of Information and Social Development of the RK</a:t>
          </a:r>
          <a:endParaRPr lang="ru-RU" sz="700">
            <a:latin typeface="Times New Roman" panose="02020603050405020304" pitchFamily="18" charset="0"/>
            <a:cs typeface="Times New Roman" panose="02020603050405020304" pitchFamily="18" charset="0"/>
          </a:endParaRPr>
        </a:p>
      </dgm:t>
    </dgm:pt>
    <dgm:pt modelId="{22DFD611-898D-5E42-B0B6-CD0712900FBD}" type="parTrans" cxnId="{643AFDAE-C920-714F-AB43-45AC03543776}">
      <dgm:prSet/>
      <dgm:spPr/>
      <dgm:t>
        <a:bodyPr/>
        <a:lstStyle/>
        <a:p>
          <a:endParaRPr lang="ru-RU"/>
        </a:p>
      </dgm:t>
    </dgm:pt>
    <dgm:pt modelId="{ACD2F278-82E8-1A4B-8CEB-3B1D5E0D0687}" type="sibTrans" cxnId="{643AFDAE-C920-714F-AB43-45AC03543776}">
      <dgm:prSet/>
      <dgm:spPr/>
      <dgm:t>
        <a:bodyPr/>
        <a:lstStyle/>
        <a:p>
          <a:endParaRPr lang="ru-RU"/>
        </a:p>
      </dgm:t>
    </dgm:pt>
    <dgm:pt modelId="{21BC9C3C-DB80-EB44-BBEC-ACFFB2E5C870}">
      <dgm:prSet phldrT="[Текст]" custT="1"/>
      <dgm:spPr/>
      <dgm:t>
        <a:bodyPr/>
        <a:lstStyle/>
        <a:p>
          <a:r>
            <a:rPr lang="en-US" sz="700">
              <a:latin typeface="Times New Roman" panose="02020603050405020304" pitchFamily="18" charset="0"/>
              <a:cs typeface="Times New Roman" panose="02020603050405020304" pitchFamily="18" charset="0"/>
            </a:rPr>
            <a:t>Committee of Religious Affairs </a:t>
          </a:r>
          <a:endParaRPr lang="ru-RU" sz="700">
            <a:latin typeface="Times New Roman" panose="02020603050405020304" pitchFamily="18" charset="0"/>
            <a:cs typeface="Times New Roman" panose="02020603050405020304" pitchFamily="18" charset="0"/>
          </a:endParaRPr>
        </a:p>
      </dgm:t>
    </dgm:pt>
    <dgm:pt modelId="{5B219E76-BB12-E442-9620-56BE53C4A0F3}" type="parTrans" cxnId="{076D06DD-23AF-4141-AB1E-118643C3E2F0}">
      <dgm:prSet/>
      <dgm:spPr/>
      <dgm:t>
        <a:bodyPr/>
        <a:lstStyle/>
        <a:p>
          <a:endParaRPr lang="ru-RU"/>
        </a:p>
      </dgm:t>
    </dgm:pt>
    <dgm:pt modelId="{A7D6667A-AF56-4E47-8C69-910DCA34C954}" type="sibTrans" cxnId="{076D06DD-23AF-4141-AB1E-118643C3E2F0}">
      <dgm:prSet/>
      <dgm:spPr/>
      <dgm:t>
        <a:bodyPr/>
        <a:lstStyle/>
        <a:p>
          <a:endParaRPr lang="ru-RU"/>
        </a:p>
      </dgm:t>
    </dgm:pt>
    <dgm:pt modelId="{55C901A0-2B07-D74D-951A-6D4A77F447B6}">
      <dgm:prSet custT="1"/>
      <dgm:spPr/>
      <dgm:t>
        <a:bodyPr/>
        <a:lstStyle/>
        <a:p>
          <a:r>
            <a:rPr lang="en" sz="700">
              <a:latin typeface="Times New Roman" panose="02020603050405020304" pitchFamily="18" charset="0"/>
              <a:cs typeface="Times New Roman" panose="02020603050405020304" pitchFamily="18" charset="0"/>
            </a:rPr>
            <a:t>Spiritual Administration of Muslims of Kazakhstan (SAMK)</a:t>
          </a:r>
          <a:endParaRPr lang="ru-RU" sz="700">
            <a:latin typeface="Times New Roman" panose="02020603050405020304" pitchFamily="18" charset="0"/>
            <a:cs typeface="Times New Roman" panose="02020603050405020304" pitchFamily="18" charset="0"/>
          </a:endParaRPr>
        </a:p>
      </dgm:t>
    </dgm:pt>
    <dgm:pt modelId="{DAE6E164-3BAF-1240-8FFE-76E7BA354765}" type="parTrans" cxnId="{D76B72A8-C81B-C044-8DE0-C09817C1153D}">
      <dgm:prSet/>
      <dgm:spPr/>
      <dgm:t>
        <a:bodyPr/>
        <a:lstStyle/>
        <a:p>
          <a:endParaRPr lang="ru-RU"/>
        </a:p>
      </dgm:t>
    </dgm:pt>
    <dgm:pt modelId="{91D34E85-5075-CB4C-8810-94D17E7AB474}" type="sibTrans" cxnId="{D76B72A8-C81B-C044-8DE0-C09817C1153D}">
      <dgm:prSet/>
      <dgm:spPr/>
      <dgm:t>
        <a:bodyPr/>
        <a:lstStyle/>
        <a:p>
          <a:endParaRPr lang="ru-RU"/>
        </a:p>
      </dgm:t>
    </dgm:pt>
    <dgm:pt modelId="{76004269-DEB7-4549-A393-1C08B6CFA210}">
      <dgm:prSet custT="1"/>
      <dgm:spPr/>
      <dgm:t>
        <a:bodyPr/>
        <a:lstStyle/>
        <a:p>
          <a:r>
            <a:rPr lang="en-US" sz="700">
              <a:latin typeface="Times New Roman" panose="02020603050405020304" pitchFamily="18" charset="0"/>
              <a:cs typeface="Times New Roman" panose="02020603050405020304" pitchFamily="18" charset="0"/>
            </a:rPr>
            <a:t>Shariah and fatwa Department</a:t>
          </a:r>
          <a:endParaRPr lang="ru-RU" sz="700">
            <a:latin typeface="Times New Roman" panose="02020603050405020304" pitchFamily="18" charset="0"/>
            <a:cs typeface="Times New Roman" panose="02020603050405020304" pitchFamily="18" charset="0"/>
          </a:endParaRPr>
        </a:p>
      </dgm:t>
    </dgm:pt>
    <dgm:pt modelId="{D9222DA4-6275-874C-AD92-C6FDF844AE66}" type="parTrans" cxnId="{2E816532-727A-0946-BEDB-19E5C410BC86}">
      <dgm:prSet/>
      <dgm:spPr/>
      <dgm:t>
        <a:bodyPr/>
        <a:lstStyle/>
        <a:p>
          <a:endParaRPr lang="ru-RU"/>
        </a:p>
      </dgm:t>
    </dgm:pt>
    <dgm:pt modelId="{80919EAF-BE86-9A40-89D0-CD43ED751C2D}" type="sibTrans" cxnId="{2E816532-727A-0946-BEDB-19E5C410BC86}">
      <dgm:prSet/>
      <dgm:spPr/>
      <dgm:t>
        <a:bodyPr/>
        <a:lstStyle/>
        <a:p>
          <a:endParaRPr lang="ru-RU"/>
        </a:p>
      </dgm:t>
    </dgm:pt>
    <dgm:pt modelId="{677C4E2C-C0C1-6A4D-B69C-3D4F299FBE6A}">
      <dgm:prSet custT="1"/>
      <dgm:spPr/>
      <dgm:t>
        <a:bodyPr/>
        <a:lstStyle/>
        <a:p>
          <a:r>
            <a:rPr lang="en-US" sz="700">
              <a:latin typeface="Times New Roman" panose="02020603050405020304" pitchFamily="18" charset="0"/>
              <a:cs typeface="Times New Roman" panose="02020603050405020304" pitchFamily="18" charset="0"/>
            </a:rPr>
            <a:t>Department of religious education</a:t>
          </a:r>
          <a:endParaRPr lang="ru-RU" sz="700">
            <a:latin typeface="Times New Roman" panose="02020603050405020304" pitchFamily="18" charset="0"/>
            <a:cs typeface="Times New Roman" panose="02020603050405020304" pitchFamily="18" charset="0"/>
          </a:endParaRPr>
        </a:p>
      </dgm:t>
    </dgm:pt>
    <dgm:pt modelId="{4EA1E2B6-5406-B441-B297-D4F7141A4238}" type="parTrans" cxnId="{86341018-12B8-644A-A067-0314DB726773}">
      <dgm:prSet/>
      <dgm:spPr/>
      <dgm:t>
        <a:bodyPr/>
        <a:lstStyle/>
        <a:p>
          <a:endParaRPr lang="ru-RU"/>
        </a:p>
      </dgm:t>
    </dgm:pt>
    <dgm:pt modelId="{EFDF2556-7A26-3642-B747-46ED93BD070A}" type="sibTrans" cxnId="{86341018-12B8-644A-A067-0314DB726773}">
      <dgm:prSet/>
      <dgm:spPr/>
      <dgm:t>
        <a:bodyPr/>
        <a:lstStyle/>
        <a:p>
          <a:endParaRPr lang="ru-RU"/>
        </a:p>
      </dgm:t>
    </dgm:pt>
    <dgm:pt modelId="{BCA90578-8E31-4F41-917E-05140B871E30}">
      <dgm:prSet custT="1"/>
      <dgm:spPr/>
      <dgm:t>
        <a:bodyPr/>
        <a:lstStyle/>
        <a:p>
          <a:r>
            <a:rPr lang="en-US" sz="700">
              <a:latin typeface="Times New Roman" panose="02020603050405020304" pitchFamily="18" charset="0"/>
              <a:cs typeface="Times New Roman" panose="02020603050405020304" pitchFamily="18" charset="0"/>
            </a:rPr>
            <a:t>Department of religious reabilitation</a:t>
          </a:r>
          <a:endParaRPr lang="ru-RU" sz="700">
            <a:latin typeface="Times New Roman" panose="02020603050405020304" pitchFamily="18" charset="0"/>
            <a:cs typeface="Times New Roman" panose="02020603050405020304" pitchFamily="18" charset="0"/>
          </a:endParaRPr>
        </a:p>
      </dgm:t>
    </dgm:pt>
    <dgm:pt modelId="{BAD85BE8-4F86-E244-A422-759EDDBE0328}" type="parTrans" cxnId="{4F0805B5-346C-B743-8873-190F5D83F9F1}">
      <dgm:prSet/>
      <dgm:spPr/>
      <dgm:t>
        <a:bodyPr/>
        <a:lstStyle/>
        <a:p>
          <a:endParaRPr lang="ru-RU"/>
        </a:p>
      </dgm:t>
    </dgm:pt>
    <dgm:pt modelId="{3D036425-1762-DF4B-8CF3-A212A2A6BB19}" type="sibTrans" cxnId="{4F0805B5-346C-B743-8873-190F5D83F9F1}">
      <dgm:prSet/>
      <dgm:spPr/>
      <dgm:t>
        <a:bodyPr/>
        <a:lstStyle/>
        <a:p>
          <a:endParaRPr lang="ru-RU"/>
        </a:p>
      </dgm:t>
    </dgm:pt>
    <dgm:pt modelId="{D8201714-171D-824B-A2BA-5D077E93923C}">
      <dgm:prSet custT="1"/>
      <dgm:spPr/>
      <dgm:t>
        <a:bodyPr/>
        <a:lstStyle/>
        <a:p>
          <a:r>
            <a:rPr lang="en-US" sz="700">
              <a:latin typeface="Times New Roman" panose="02020603050405020304" pitchFamily="18" charset="0"/>
              <a:cs typeface="Times New Roman" panose="02020603050405020304" pitchFamily="18" charset="0"/>
            </a:rPr>
            <a:t>Charity (zakat) and Waqf Department</a:t>
          </a:r>
          <a:endParaRPr lang="ru-RU" sz="700">
            <a:latin typeface="Times New Roman" panose="02020603050405020304" pitchFamily="18" charset="0"/>
            <a:cs typeface="Times New Roman" panose="02020603050405020304" pitchFamily="18" charset="0"/>
          </a:endParaRPr>
        </a:p>
      </dgm:t>
    </dgm:pt>
    <dgm:pt modelId="{0D8F2D4F-53CB-8348-96C7-505FABA5B72A}" type="parTrans" cxnId="{6AC72A7E-07CC-2B4E-96B0-1C6F1FE9C5DB}">
      <dgm:prSet/>
      <dgm:spPr/>
      <dgm:t>
        <a:bodyPr/>
        <a:lstStyle/>
        <a:p>
          <a:endParaRPr lang="ru-RU"/>
        </a:p>
      </dgm:t>
    </dgm:pt>
    <dgm:pt modelId="{9BCA8C01-2E38-504B-B0ED-818BB970EEE6}" type="sibTrans" cxnId="{6AC72A7E-07CC-2B4E-96B0-1C6F1FE9C5DB}">
      <dgm:prSet/>
      <dgm:spPr/>
      <dgm:t>
        <a:bodyPr/>
        <a:lstStyle/>
        <a:p>
          <a:endParaRPr lang="ru-RU"/>
        </a:p>
      </dgm:t>
    </dgm:pt>
    <dgm:pt modelId="{8016805A-46D8-3041-981F-17697C0B9AB9}">
      <dgm:prSet custT="1"/>
      <dgm:spPr/>
      <dgm:t>
        <a:bodyPr/>
        <a:lstStyle/>
        <a:p>
          <a:r>
            <a:rPr lang="en-US" sz="700">
              <a:latin typeface="Times New Roman" panose="02020603050405020304" pitchFamily="18" charset="0"/>
              <a:cs typeface="Times New Roman" panose="02020603050405020304" pitchFamily="18" charset="0"/>
            </a:rPr>
            <a:t>Hadj Department</a:t>
          </a:r>
          <a:endParaRPr lang="ru-RU" sz="700">
            <a:latin typeface="Times New Roman" panose="02020603050405020304" pitchFamily="18" charset="0"/>
            <a:cs typeface="Times New Roman" panose="02020603050405020304" pitchFamily="18" charset="0"/>
          </a:endParaRPr>
        </a:p>
      </dgm:t>
    </dgm:pt>
    <dgm:pt modelId="{3F9C9C26-17C2-3347-A68D-40AD05DD7451}" type="parTrans" cxnId="{E124017D-8BBE-C541-BEC4-48441D66B69D}">
      <dgm:prSet/>
      <dgm:spPr/>
      <dgm:t>
        <a:bodyPr/>
        <a:lstStyle/>
        <a:p>
          <a:endParaRPr lang="ru-RU"/>
        </a:p>
      </dgm:t>
    </dgm:pt>
    <dgm:pt modelId="{1504758F-9C1B-D344-8A7C-E41235F336FF}" type="sibTrans" cxnId="{E124017D-8BBE-C541-BEC4-48441D66B69D}">
      <dgm:prSet/>
      <dgm:spPr/>
      <dgm:t>
        <a:bodyPr/>
        <a:lstStyle/>
        <a:p>
          <a:endParaRPr lang="ru-RU"/>
        </a:p>
      </dgm:t>
    </dgm:pt>
    <dgm:pt modelId="{57DF2BA8-202B-0144-9CD7-CCA64DDE32BD}">
      <dgm:prSet custT="1"/>
      <dgm:spPr/>
      <dgm:t>
        <a:bodyPr/>
        <a:lstStyle/>
        <a:p>
          <a:r>
            <a:rPr lang="en" sz="700">
              <a:latin typeface="Times New Roman" panose="02020603050405020304" pitchFamily="18" charset="0"/>
              <a:cs typeface="Times New Roman" panose="02020603050405020304" pitchFamily="18" charset="0"/>
            </a:rPr>
            <a:t>Propaganda and public relations Department</a:t>
          </a:r>
          <a:endParaRPr lang="ru-RU" sz="700">
            <a:latin typeface="Times New Roman" panose="02020603050405020304" pitchFamily="18" charset="0"/>
            <a:cs typeface="Times New Roman" panose="02020603050405020304" pitchFamily="18" charset="0"/>
          </a:endParaRPr>
        </a:p>
      </dgm:t>
    </dgm:pt>
    <dgm:pt modelId="{A0E76616-C752-C84D-9570-8079B7B50BF4}" type="parTrans" cxnId="{A44C28C2-A0A3-CE44-9715-C332F1A0E6CA}">
      <dgm:prSet/>
      <dgm:spPr/>
      <dgm:t>
        <a:bodyPr/>
        <a:lstStyle/>
        <a:p>
          <a:endParaRPr lang="ru-RU"/>
        </a:p>
      </dgm:t>
    </dgm:pt>
    <dgm:pt modelId="{A8258EBD-5CA8-7648-BB05-8579C4EC7F1B}" type="sibTrans" cxnId="{A44C28C2-A0A3-CE44-9715-C332F1A0E6CA}">
      <dgm:prSet/>
      <dgm:spPr/>
      <dgm:t>
        <a:bodyPr/>
        <a:lstStyle/>
        <a:p>
          <a:endParaRPr lang="ru-RU"/>
        </a:p>
      </dgm:t>
    </dgm:pt>
    <dgm:pt modelId="{6156E06B-57A6-9E41-ADC0-BDADC3071503}">
      <dgm:prSet custT="1"/>
      <dgm:spPr/>
      <dgm:t>
        <a:bodyPr/>
        <a:lstStyle/>
        <a:p>
          <a:r>
            <a:rPr lang="en" sz="700">
              <a:latin typeface="Times New Roman" panose="02020603050405020304" pitchFamily="18" charset="0"/>
              <a:cs typeface="Times New Roman" panose="02020603050405020304" pitchFamily="18" charset="0"/>
            </a:rPr>
            <a:t>Department of information and public relations</a:t>
          </a:r>
          <a:endParaRPr lang="ru-RU" sz="700">
            <a:latin typeface="Times New Roman" panose="02020603050405020304" pitchFamily="18" charset="0"/>
            <a:cs typeface="Times New Roman" panose="02020603050405020304" pitchFamily="18" charset="0"/>
          </a:endParaRPr>
        </a:p>
      </dgm:t>
    </dgm:pt>
    <dgm:pt modelId="{52858D57-1E81-9247-9445-94E74745EA73}" type="parTrans" cxnId="{1118CE7F-889A-EA4C-A398-EB1C4FA6A667}">
      <dgm:prSet/>
      <dgm:spPr/>
      <dgm:t>
        <a:bodyPr/>
        <a:lstStyle/>
        <a:p>
          <a:endParaRPr lang="ru-RU"/>
        </a:p>
      </dgm:t>
    </dgm:pt>
    <dgm:pt modelId="{9EEB56A1-053E-7646-B029-1831C918EC72}" type="sibTrans" cxnId="{1118CE7F-889A-EA4C-A398-EB1C4FA6A667}">
      <dgm:prSet/>
      <dgm:spPr/>
      <dgm:t>
        <a:bodyPr/>
        <a:lstStyle/>
        <a:p>
          <a:endParaRPr lang="ru-RU"/>
        </a:p>
      </dgm:t>
    </dgm:pt>
    <dgm:pt modelId="{12328673-36F5-4745-A366-52A3D318018F}">
      <dgm:prSet custT="1"/>
      <dgm:spPr/>
      <dgm:t>
        <a:bodyPr/>
        <a:lstStyle/>
        <a:p>
          <a:r>
            <a:rPr lang="en" sz="700">
              <a:latin typeface="Times New Roman" panose="02020603050405020304" pitchFamily="18" charset="0"/>
              <a:cs typeface="Times New Roman" panose="02020603050405020304" pitchFamily="18" charset="0"/>
            </a:rPr>
            <a:t>Department of religious Affairs and analysis</a:t>
          </a:r>
          <a:endParaRPr lang="ru-RU" sz="700">
            <a:latin typeface="Times New Roman" panose="02020603050405020304" pitchFamily="18" charset="0"/>
            <a:cs typeface="Times New Roman" panose="02020603050405020304" pitchFamily="18" charset="0"/>
          </a:endParaRPr>
        </a:p>
      </dgm:t>
    </dgm:pt>
    <dgm:pt modelId="{F1C1B1DF-DE62-2643-A098-7365A81C4553}" type="parTrans" cxnId="{896E82DE-662F-DE4D-9909-8A3A5FCA637F}">
      <dgm:prSet/>
      <dgm:spPr/>
      <dgm:t>
        <a:bodyPr/>
        <a:lstStyle/>
        <a:p>
          <a:endParaRPr lang="ru-RU"/>
        </a:p>
      </dgm:t>
    </dgm:pt>
    <dgm:pt modelId="{C11BA499-A1C6-D84E-A7DB-170CBC24A80C}" type="sibTrans" cxnId="{896E82DE-662F-DE4D-9909-8A3A5FCA637F}">
      <dgm:prSet/>
      <dgm:spPr/>
      <dgm:t>
        <a:bodyPr/>
        <a:lstStyle/>
        <a:p>
          <a:endParaRPr lang="ru-RU"/>
        </a:p>
      </dgm:t>
    </dgm:pt>
    <dgm:pt modelId="{0F7F9495-D35F-2442-AE3C-90487919EC1B}">
      <dgm:prSet custT="1"/>
      <dgm:spPr/>
      <dgm:t>
        <a:bodyPr/>
        <a:lstStyle/>
        <a:p>
          <a:r>
            <a:rPr lang="en" sz="700">
              <a:latin typeface="Times New Roman" panose="02020603050405020304" pitchFamily="18" charset="0"/>
              <a:cs typeface="Times New Roman" panose="02020603050405020304" pitchFamily="18" charset="0"/>
            </a:rPr>
            <a:t>Publishing and translation Department</a:t>
          </a:r>
          <a:endParaRPr lang="ru-RU" sz="700">
            <a:latin typeface="Times New Roman" panose="02020603050405020304" pitchFamily="18" charset="0"/>
            <a:cs typeface="Times New Roman" panose="02020603050405020304" pitchFamily="18" charset="0"/>
          </a:endParaRPr>
        </a:p>
      </dgm:t>
    </dgm:pt>
    <dgm:pt modelId="{B02FFB6F-8187-744D-9A85-F16B4E07472C}" type="parTrans" cxnId="{D938B27E-8E51-8245-A11F-251D86449BC9}">
      <dgm:prSet/>
      <dgm:spPr/>
      <dgm:t>
        <a:bodyPr/>
        <a:lstStyle/>
        <a:p>
          <a:endParaRPr lang="ru-RU"/>
        </a:p>
      </dgm:t>
    </dgm:pt>
    <dgm:pt modelId="{1DE93577-6BFB-324B-913F-C13089DA1E9D}" type="sibTrans" cxnId="{D938B27E-8E51-8245-A11F-251D86449BC9}">
      <dgm:prSet/>
      <dgm:spPr/>
      <dgm:t>
        <a:bodyPr/>
        <a:lstStyle/>
        <a:p>
          <a:endParaRPr lang="ru-RU"/>
        </a:p>
      </dgm:t>
    </dgm:pt>
    <dgm:pt modelId="{A4C7C6F1-F464-1E45-A2E1-007EC86643D7}">
      <dgm:prSet custT="1"/>
      <dgm:spPr/>
      <dgm:t>
        <a:bodyPr/>
        <a:lstStyle/>
        <a:p>
          <a:r>
            <a:rPr lang="en" sz="700">
              <a:latin typeface="Times New Roman" panose="02020603050405020304" pitchFamily="18" charset="0"/>
              <a:cs typeface="Times New Roman" panose="02020603050405020304" pitchFamily="18" charset="0"/>
            </a:rPr>
            <a:t>The Department for recruitment</a:t>
          </a:r>
          <a:endParaRPr lang="ru-RU" sz="700">
            <a:latin typeface="Times New Roman" panose="02020603050405020304" pitchFamily="18" charset="0"/>
            <a:cs typeface="Times New Roman" panose="02020603050405020304" pitchFamily="18" charset="0"/>
          </a:endParaRPr>
        </a:p>
      </dgm:t>
    </dgm:pt>
    <dgm:pt modelId="{EE5D2C51-6967-2846-B992-67686EA3A372}" type="parTrans" cxnId="{31AD4B25-C012-8141-84DF-F787EE19C8F5}">
      <dgm:prSet/>
      <dgm:spPr/>
      <dgm:t>
        <a:bodyPr/>
        <a:lstStyle/>
        <a:p>
          <a:endParaRPr lang="ru-RU"/>
        </a:p>
      </dgm:t>
    </dgm:pt>
    <dgm:pt modelId="{EBE0CDB0-D825-0E4D-BDCF-B05CC399AC57}" type="sibTrans" cxnId="{31AD4B25-C012-8141-84DF-F787EE19C8F5}">
      <dgm:prSet/>
      <dgm:spPr/>
      <dgm:t>
        <a:bodyPr/>
        <a:lstStyle/>
        <a:p>
          <a:endParaRPr lang="ru-RU"/>
        </a:p>
      </dgm:t>
    </dgm:pt>
    <dgm:pt modelId="{12A8F738-AB6A-F440-BE35-E561939BCACE}">
      <dgm:prSet custT="1"/>
      <dgm:spPr/>
      <dgm:t>
        <a:bodyPr/>
        <a:lstStyle/>
        <a:p>
          <a:r>
            <a:rPr lang="en" sz="700">
              <a:latin typeface="Times New Roman" panose="02020603050405020304" pitchFamily="18" charset="0"/>
              <a:cs typeface="Times New Roman" panose="02020603050405020304" pitchFamily="18" charset="0"/>
            </a:rPr>
            <a:t>Department of mosque Affairs</a:t>
          </a:r>
          <a:endParaRPr lang="ru-RU" sz="700">
            <a:latin typeface="Times New Roman" panose="02020603050405020304" pitchFamily="18" charset="0"/>
            <a:cs typeface="Times New Roman" panose="02020603050405020304" pitchFamily="18" charset="0"/>
          </a:endParaRPr>
        </a:p>
      </dgm:t>
    </dgm:pt>
    <dgm:pt modelId="{011600D8-DBB6-4945-A7C1-42043833B9C6}" type="parTrans" cxnId="{6ED0AA30-1B34-5346-AEF1-F6E830303D61}">
      <dgm:prSet/>
      <dgm:spPr/>
      <dgm:t>
        <a:bodyPr/>
        <a:lstStyle/>
        <a:p>
          <a:endParaRPr lang="ru-RU"/>
        </a:p>
      </dgm:t>
    </dgm:pt>
    <dgm:pt modelId="{FC21B611-5D78-804F-B273-D2807346CAE8}" type="sibTrans" cxnId="{6ED0AA30-1B34-5346-AEF1-F6E830303D61}">
      <dgm:prSet/>
      <dgm:spPr/>
      <dgm:t>
        <a:bodyPr/>
        <a:lstStyle/>
        <a:p>
          <a:endParaRPr lang="ru-RU"/>
        </a:p>
      </dgm:t>
    </dgm:pt>
    <dgm:pt modelId="{C2DA4C8A-4DB1-AF44-8D45-B69FA42BF0BC}">
      <dgm:prSet custT="1"/>
      <dgm:spPr>
        <a:ln>
          <a:solidFill>
            <a:srgbClr val="FF0000"/>
          </a:solidFill>
        </a:ln>
      </dgm:spPr>
      <dgm:t>
        <a:bodyPr/>
        <a:lstStyle/>
        <a:p>
          <a:r>
            <a:rPr lang="en" sz="700" b="0" i="0" u="none">
              <a:latin typeface="Times New Roman" panose="02020603050405020304" pitchFamily="18" charset="0"/>
              <a:cs typeface="Times New Roman" panose="02020603050405020304" pitchFamily="18" charset="0"/>
            </a:rPr>
            <a:t>Zeket Fund of the Spiritual Administration of Muslims of Kazakhstan</a:t>
          </a:r>
          <a:endParaRPr lang="en" sz="700">
            <a:latin typeface="Times New Roman" panose="02020603050405020304" pitchFamily="18" charset="0"/>
            <a:cs typeface="Times New Roman" panose="02020603050405020304" pitchFamily="18" charset="0"/>
          </a:endParaRPr>
        </a:p>
      </dgm:t>
    </dgm:pt>
    <dgm:pt modelId="{EB7C509C-8E49-CD42-9EF7-AE33501553ED}" type="parTrans" cxnId="{D6922A81-9B75-6E44-B69F-2690BCAA150F}">
      <dgm:prSet/>
      <dgm:spPr/>
      <dgm:t>
        <a:bodyPr/>
        <a:lstStyle/>
        <a:p>
          <a:endParaRPr lang="ru-RU"/>
        </a:p>
      </dgm:t>
    </dgm:pt>
    <dgm:pt modelId="{25FFEDBA-7958-1243-AC8D-715225A0B214}" type="sibTrans" cxnId="{D6922A81-9B75-6E44-B69F-2690BCAA150F}">
      <dgm:prSet/>
      <dgm:spPr/>
      <dgm:t>
        <a:bodyPr/>
        <a:lstStyle/>
        <a:p>
          <a:endParaRPr lang="ru-RU"/>
        </a:p>
      </dgm:t>
    </dgm:pt>
    <dgm:pt modelId="{1F38219F-DA18-6A40-B285-CB996AF73AC6}" type="pres">
      <dgm:prSet presAssocID="{BEE14083-F456-9342-955C-5B585FE78195}" presName="Name0" presStyleCnt="0">
        <dgm:presLayoutVars>
          <dgm:chPref val="1"/>
          <dgm:dir/>
          <dgm:animOne val="branch"/>
          <dgm:animLvl val="lvl"/>
          <dgm:resizeHandles val="exact"/>
        </dgm:presLayoutVars>
      </dgm:prSet>
      <dgm:spPr/>
    </dgm:pt>
    <dgm:pt modelId="{58E2AE96-9ADC-A341-9154-F47B20D61F49}" type="pres">
      <dgm:prSet presAssocID="{A23BC805-17E8-2C4E-B87C-22C832C89F1E}" presName="root1" presStyleCnt="0"/>
      <dgm:spPr/>
    </dgm:pt>
    <dgm:pt modelId="{BFFB0145-388C-D34E-BB76-787FB6977ACB}" type="pres">
      <dgm:prSet presAssocID="{A23BC805-17E8-2C4E-B87C-22C832C89F1E}" presName="LevelOneTextNode" presStyleLbl="node0" presStyleIdx="0" presStyleCnt="1" custScaleX="153259">
        <dgm:presLayoutVars>
          <dgm:chPref val="3"/>
        </dgm:presLayoutVars>
      </dgm:prSet>
      <dgm:spPr/>
    </dgm:pt>
    <dgm:pt modelId="{6365C2CC-5566-0946-B521-791C7771F553}" type="pres">
      <dgm:prSet presAssocID="{A23BC805-17E8-2C4E-B87C-22C832C89F1E}" presName="level2hierChild" presStyleCnt="0"/>
      <dgm:spPr/>
    </dgm:pt>
    <dgm:pt modelId="{04A3486A-4EEB-224A-A732-CCB4D0C0417A}" type="pres">
      <dgm:prSet presAssocID="{5B219E76-BB12-E442-9620-56BE53C4A0F3}" presName="conn2-1" presStyleLbl="parChTrans1D2" presStyleIdx="0" presStyleCnt="1"/>
      <dgm:spPr/>
    </dgm:pt>
    <dgm:pt modelId="{B1F712A0-E1CE-D443-BAD5-3CCF01346850}" type="pres">
      <dgm:prSet presAssocID="{5B219E76-BB12-E442-9620-56BE53C4A0F3}" presName="connTx" presStyleLbl="parChTrans1D2" presStyleIdx="0" presStyleCnt="1"/>
      <dgm:spPr/>
    </dgm:pt>
    <dgm:pt modelId="{84E3D54F-8745-FE4F-B286-804D0E6445D5}" type="pres">
      <dgm:prSet presAssocID="{21BC9C3C-DB80-EB44-BBEC-ACFFB2E5C870}" presName="root2" presStyleCnt="0"/>
      <dgm:spPr/>
    </dgm:pt>
    <dgm:pt modelId="{D7EBD4D9-14A6-0743-84EA-6151ADDC122B}" type="pres">
      <dgm:prSet presAssocID="{21BC9C3C-DB80-EB44-BBEC-ACFFB2E5C870}" presName="LevelTwoTextNode" presStyleLbl="node2" presStyleIdx="0" presStyleCnt="1" custScaleY="252795">
        <dgm:presLayoutVars>
          <dgm:chPref val="3"/>
        </dgm:presLayoutVars>
      </dgm:prSet>
      <dgm:spPr/>
    </dgm:pt>
    <dgm:pt modelId="{43E0CB15-309B-8146-8B86-261583625CD4}" type="pres">
      <dgm:prSet presAssocID="{21BC9C3C-DB80-EB44-BBEC-ACFFB2E5C870}" presName="level3hierChild" presStyleCnt="0"/>
      <dgm:spPr/>
    </dgm:pt>
    <dgm:pt modelId="{C7D5A4FC-866A-8F47-A9C5-175436A812E5}" type="pres">
      <dgm:prSet presAssocID="{DAE6E164-3BAF-1240-8FFE-76E7BA354765}" presName="conn2-1" presStyleLbl="parChTrans1D3" presStyleIdx="0" presStyleCnt="1"/>
      <dgm:spPr/>
    </dgm:pt>
    <dgm:pt modelId="{4D956C93-742F-1F40-90EB-7F38A5D50B9B}" type="pres">
      <dgm:prSet presAssocID="{DAE6E164-3BAF-1240-8FFE-76E7BA354765}" presName="connTx" presStyleLbl="parChTrans1D3" presStyleIdx="0" presStyleCnt="1"/>
      <dgm:spPr/>
    </dgm:pt>
    <dgm:pt modelId="{4EC51C80-39FB-A84F-BF6A-BF0364D9DCD3}" type="pres">
      <dgm:prSet presAssocID="{55C901A0-2B07-D74D-951A-6D4A77F447B6}" presName="root2" presStyleCnt="0"/>
      <dgm:spPr/>
    </dgm:pt>
    <dgm:pt modelId="{91836A72-4AC4-6F4A-8D06-4953EEE7B035}" type="pres">
      <dgm:prSet presAssocID="{55C901A0-2B07-D74D-951A-6D4A77F447B6}" presName="LevelTwoTextNode" presStyleLbl="node3" presStyleIdx="0" presStyleCnt="1" custScaleY="240225">
        <dgm:presLayoutVars>
          <dgm:chPref val="3"/>
        </dgm:presLayoutVars>
      </dgm:prSet>
      <dgm:spPr/>
    </dgm:pt>
    <dgm:pt modelId="{49227FE7-C0B9-204F-8EEC-122B36A6D55B}" type="pres">
      <dgm:prSet presAssocID="{55C901A0-2B07-D74D-951A-6D4A77F447B6}" presName="level3hierChild" presStyleCnt="0"/>
      <dgm:spPr/>
    </dgm:pt>
    <dgm:pt modelId="{02E7BF89-0312-EA4B-8737-A95B3F8754DC}" type="pres">
      <dgm:prSet presAssocID="{D9222DA4-6275-874C-AD92-C6FDF844AE66}" presName="conn2-1" presStyleLbl="parChTrans1D4" presStyleIdx="0" presStyleCnt="12"/>
      <dgm:spPr/>
    </dgm:pt>
    <dgm:pt modelId="{FCBEC19E-06ED-074D-94AF-4955529B03AA}" type="pres">
      <dgm:prSet presAssocID="{D9222DA4-6275-874C-AD92-C6FDF844AE66}" presName="connTx" presStyleLbl="parChTrans1D4" presStyleIdx="0" presStyleCnt="12"/>
      <dgm:spPr/>
    </dgm:pt>
    <dgm:pt modelId="{07E79F37-B23F-FC4D-830D-6EFF9B4D3A26}" type="pres">
      <dgm:prSet presAssocID="{76004269-DEB7-4549-A393-1C08B6CFA210}" presName="root2" presStyleCnt="0"/>
      <dgm:spPr/>
    </dgm:pt>
    <dgm:pt modelId="{991FC06E-40A5-8D44-B60F-6C0716673470}" type="pres">
      <dgm:prSet presAssocID="{76004269-DEB7-4549-A393-1C08B6CFA210}" presName="LevelTwoTextNode" presStyleLbl="node4" presStyleIdx="0" presStyleCnt="12">
        <dgm:presLayoutVars>
          <dgm:chPref val="3"/>
        </dgm:presLayoutVars>
      </dgm:prSet>
      <dgm:spPr/>
    </dgm:pt>
    <dgm:pt modelId="{A7F6AE4B-2EB1-F444-955E-9FB0540F091D}" type="pres">
      <dgm:prSet presAssocID="{76004269-DEB7-4549-A393-1C08B6CFA210}" presName="level3hierChild" presStyleCnt="0"/>
      <dgm:spPr/>
    </dgm:pt>
    <dgm:pt modelId="{F1914590-53DD-9247-8FFC-320ACA56DB20}" type="pres">
      <dgm:prSet presAssocID="{4EA1E2B6-5406-B441-B297-D4F7141A4238}" presName="conn2-1" presStyleLbl="parChTrans1D4" presStyleIdx="1" presStyleCnt="12"/>
      <dgm:spPr/>
    </dgm:pt>
    <dgm:pt modelId="{154E73D5-AD92-3546-BF16-21F193C5B578}" type="pres">
      <dgm:prSet presAssocID="{4EA1E2B6-5406-B441-B297-D4F7141A4238}" presName="connTx" presStyleLbl="parChTrans1D4" presStyleIdx="1" presStyleCnt="12"/>
      <dgm:spPr/>
    </dgm:pt>
    <dgm:pt modelId="{BB1A9F26-44D5-9041-AD4C-40AAE38817C1}" type="pres">
      <dgm:prSet presAssocID="{677C4E2C-C0C1-6A4D-B69C-3D4F299FBE6A}" presName="root2" presStyleCnt="0"/>
      <dgm:spPr/>
    </dgm:pt>
    <dgm:pt modelId="{4BEFD87C-B04E-4647-90AD-C977864362B2}" type="pres">
      <dgm:prSet presAssocID="{677C4E2C-C0C1-6A4D-B69C-3D4F299FBE6A}" presName="LevelTwoTextNode" presStyleLbl="node4" presStyleIdx="1" presStyleCnt="12" custScaleY="125407">
        <dgm:presLayoutVars>
          <dgm:chPref val="3"/>
        </dgm:presLayoutVars>
      </dgm:prSet>
      <dgm:spPr/>
    </dgm:pt>
    <dgm:pt modelId="{85210AA7-7E5B-5A44-9FC6-3E7670135DE7}" type="pres">
      <dgm:prSet presAssocID="{677C4E2C-C0C1-6A4D-B69C-3D4F299FBE6A}" presName="level3hierChild" presStyleCnt="0"/>
      <dgm:spPr/>
    </dgm:pt>
    <dgm:pt modelId="{2EBA1326-992A-EB48-90CC-61C68AAAA5FE}" type="pres">
      <dgm:prSet presAssocID="{BAD85BE8-4F86-E244-A422-759EDDBE0328}" presName="conn2-1" presStyleLbl="parChTrans1D4" presStyleIdx="2" presStyleCnt="12"/>
      <dgm:spPr/>
    </dgm:pt>
    <dgm:pt modelId="{20F6640E-8719-2048-A84B-FEFBCD76307F}" type="pres">
      <dgm:prSet presAssocID="{BAD85BE8-4F86-E244-A422-759EDDBE0328}" presName="connTx" presStyleLbl="parChTrans1D4" presStyleIdx="2" presStyleCnt="12"/>
      <dgm:spPr/>
    </dgm:pt>
    <dgm:pt modelId="{5562B826-BD74-AF48-9C9D-2CB864B22CDB}" type="pres">
      <dgm:prSet presAssocID="{BCA90578-8E31-4F41-917E-05140B871E30}" presName="root2" presStyleCnt="0"/>
      <dgm:spPr/>
    </dgm:pt>
    <dgm:pt modelId="{2EEC5563-D9DE-3541-9C90-8B93E45B08C4}" type="pres">
      <dgm:prSet presAssocID="{BCA90578-8E31-4F41-917E-05140B871E30}" presName="LevelTwoTextNode" presStyleLbl="node4" presStyleIdx="2" presStyleCnt="12" custScaleY="137620">
        <dgm:presLayoutVars>
          <dgm:chPref val="3"/>
        </dgm:presLayoutVars>
      </dgm:prSet>
      <dgm:spPr/>
    </dgm:pt>
    <dgm:pt modelId="{BEDE975E-7CE8-AB45-89B0-3592B63F3ED0}" type="pres">
      <dgm:prSet presAssocID="{BCA90578-8E31-4F41-917E-05140B871E30}" presName="level3hierChild" presStyleCnt="0"/>
      <dgm:spPr/>
    </dgm:pt>
    <dgm:pt modelId="{27E60DFC-626D-CF40-9769-A7B3E8812391}" type="pres">
      <dgm:prSet presAssocID="{0D8F2D4F-53CB-8348-96C7-505FABA5B72A}" presName="conn2-1" presStyleLbl="parChTrans1D4" presStyleIdx="3" presStyleCnt="12"/>
      <dgm:spPr/>
    </dgm:pt>
    <dgm:pt modelId="{1F21644D-C65E-0442-941C-062162F685F8}" type="pres">
      <dgm:prSet presAssocID="{0D8F2D4F-53CB-8348-96C7-505FABA5B72A}" presName="connTx" presStyleLbl="parChTrans1D4" presStyleIdx="3" presStyleCnt="12"/>
      <dgm:spPr/>
    </dgm:pt>
    <dgm:pt modelId="{657DCD18-0790-2E4C-B48D-18179A3AAF0D}" type="pres">
      <dgm:prSet presAssocID="{D8201714-171D-824B-A2BA-5D077E93923C}" presName="root2" presStyleCnt="0"/>
      <dgm:spPr/>
    </dgm:pt>
    <dgm:pt modelId="{D7BCA765-3592-004E-9D46-E43BA7279E19}" type="pres">
      <dgm:prSet presAssocID="{D8201714-171D-824B-A2BA-5D077E93923C}" presName="LevelTwoTextNode" presStyleLbl="node4" presStyleIdx="3" presStyleCnt="12" custScaleY="129468">
        <dgm:presLayoutVars>
          <dgm:chPref val="3"/>
        </dgm:presLayoutVars>
      </dgm:prSet>
      <dgm:spPr/>
    </dgm:pt>
    <dgm:pt modelId="{A2D6A22E-0F34-8046-9147-A8434DB6C494}" type="pres">
      <dgm:prSet presAssocID="{D8201714-171D-824B-A2BA-5D077E93923C}" presName="level3hierChild" presStyleCnt="0"/>
      <dgm:spPr/>
    </dgm:pt>
    <dgm:pt modelId="{7B2E137B-CF53-EB44-8AE7-100DB3ACD83C}" type="pres">
      <dgm:prSet presAssocID="{EB7C509C-8E49-CD42-9EF7-AE33501553ED}" presName="conn2-1" presStyleLbl="parChTrans1D4" presStyleIdx="4" presStyleCnt="12"/>
      <dgm:spPr/>
    </dgm:pt>
    <dgm:pt modelId="{23EE26D0-608B-E743-B3B5-77E0D36D751B}" type="pres">
      <dgm:prSet presAssocID="{EB7C509C-8E49-CD42-9EF7-AE33501553ED}" presName="connTx" presStyleLbl="parChTrans1D4" presStyleIdx="4" presStyleCnt="12"/>
      <dgm:spPr/>
    </dgm:pt>
    <dgm:pt modelId="{E102961C-E92E-5641-9AF4-54BE61869D37}" type="pres">
      <dgm:prSet presAssocID="{C2DA4C8A-4DB1-AF44-8D45-B69FA42BF0BC}" presName="root2" presStyleCnt="0"/>
      <dgm:spPr/>
    </dgm:pt>
    <dgm:pt modelId="{91923923-4AD0-3142-B9F8-CC2F8D02269F}" type="pres">
      <dgm:prSet presAssocID="{C2DA4C8A-4DB1-AF44-8D45-B69FA42BF0BC}" presName="LevelTwoTextNode" presStyleLbl="node4" presStyleIdx="4" presStyleCnt="12" custScaleX="123209" custScaleY="225259">
        <dgm:presLayoutVars>
          <dgm:chPref val="3"/>
        </dgm:presLayoutVars>
      </dgm:prSet>
      <dgm:spPr/>
    </dgm:pt>
    <dgm:pt modelId="{66AE28A2-2177-2747-9B9F-1F48A7CEF1C8}" type="pres">
      <dgm:prSet presAssocID="{C2DA4C8A-4DB1-AF44-8D45-B69FA42BF0BC}" presName="level3hierChild" presStyleCnt="0"/>
      <dgm:spPr/>
    </dgm:pt>
    <dgm:pt modelId="{40038C64-180F-084C-B43B-FFB811B066C3}" type="pres">
      <dgm:prSet presAssocID="{52858D57-1E81-9247-9445-94E74745EA73}" presName="conn2-1" presStyleLbl="parChTrans1D4" presStyleIdx="5" presStyleCnt="12"/>
      <dgm:spPr/>
    </dgm:pt>
    <dgm:pt modelId="{069E59C6-18ED-7B49-8E27-4859DA27796C}" type="pres">
      <dgm:prSet presAssocID="{52858D57-1E81-9247-9445-94E74745EA73}" presName="connTx" presStyleLbl="parChTrans1D4" presStyleIdx="5" presStyleCnt="12"/>
      <dgm:spPr/>
    </dgm:pt>
    <dgm:pt modelId="{90E2D85C-8E3E-B04D-B1CA-6C48829EE748}" type="pres">
      <dgm:prSet presAssocID="{6156E06B-57A6-9E41-ADC0-BDADC3071503}" presName="root2" presStyleCnt="0"/>
      <dgm:spPr/>
    </dgm:pt>
    <dgm:pt modelId="{77FB60AB-F159-2243-AD62-FEADF838C3E9}" type="pres">
      <dgm:prSet presAssocID="{6156E06B-57A6-9E41-ADC0-BDADC3071503}" presName="LevelTwoTextNode" presStyleLbl="node4" presStyleIdx="5" presStyleCnt="12" custScaleY="132633">
        <dgm:presLayoutVars>
          <dgm:chPref val="3"/>
        </dgm:presLayoutVars>
      </dgm:prSet>
      <dgm:spPr/>
    </dgm:pt>
    <dgm:pt modelId="{EEA87C3B-92BC-F845-B25B-38ABEFA49BB4}" type="pres">
      <dgm:prSet presAssocID="{6156E06B-57A6-9E41-ADC0-BDADC3071503}" presName="level3hierChild" presStyleCnt="0"/>
      <dgm:spPr/>
    </dgm:pt>
    <dgm:pt modelId="{3BAD75AD-B520-DF49-BA4F-531254AFF3B6}" type="pres">
      <dgm:prSet presAssocID="{A0E76616-C752-C84D-9570-8079B7B50BF4}" presName="conn2-1" presStyleLbl="parChTrans1D4" presStyleIdx="6" presStyleCnt="12"/>
      <dgm:spPr/>
    </dgm:pt>
    <dgm:pt modelId="{49A54765-15EF-354C-AC9C-1492EF8181AB}" type="pres">
      <dgm:prSet presAssocID="{A0E76616-C752-C84D-9570-8079B7B50BF4}" presName="connTx" presStyleLbl="parChTrans1D4" presStyleIdx="6" presStyleCnt="12"/>
      <dgm:spPr/>
    </dgm:pt>
    <dgm:pt modelId="{BE789BB2-279D-A049-820A-448F3B18A2EF}" type="pres">
      <dgm:prSet presAssocID="{57DF2BA8-202B-0144-9CD7-CCA64DDE32BD}" presName="root2" presStyleCnt="0"/>
      <dgm:spPr/>
    </dgm:pt>
    <dgm:pt modelId="{5C84EAB1-B1A6-C047-8567-B7263DF24FD3}" type="pres">
      <dgm:prSet presAssocID="{57DF2BA8-202B-0144-9CD7-CCA64DDE32BD}" presName="LevelTwoTextNode" presStyleLbl="node4" presStyleIdx="6" presStyleCnt="12" custScaleY="130884">
        <dgm:presLayoutVars>
          <dgm:chPref val="3"/>
        </dgm:presLayoutVars>
      </dgm:prSet>
      <dgm:spPr/>
    </dgm:pt>
    <dgm:pt modelId="{73E292B3-E8E5-C347-8FDE-9CCA8A91F21C}" type="pres">
      <dgm:prSet presAssocID="{57DF2BA8-202B-0144-9CD7-CCA64DDE32BD}" presName="level3hierChild" presStyleCnt="0"/>
      <dgm:spPr/>
    </dgm:pt>
    <dgm:pt modelId="{7C41BDC2-C437-B44D-A329-9EA31340FCBE}" type="pres">
      <dgm:prSet presAssocID="{3F9C9C26-17C2-3347-A68D-40AD05DD7451}" presName="conn2-1" presStyleLbl="parChTrans1D4" presStyleIdx="7" presStyleCnt="12"/>
      <dgm:spPr/>
    </dgm:pt>
    <dgm:pt modelId="{4232686F-B92F-814A-9566-448857A30EC9}" type="pres">
      <dgm:prSet presAssocID="{3F9C9C26-17C2-3347-A68D-40AD05DD7451}" presName="connTx" presStyleLbl="parChTrans1D4" presStyleIdx="7" presStyleCnt="12"/>
      <dgm:spPr/>
    </dgm:pt>
    <dgm:pt modelId="{F6CE3169-FDC3-7E43-A195-5DA63C2C3132}" type="pres">
      <dgm:prSet presAssocID="{8016805A-46D8-3041-981F-17697C0B9AB9}" presName="root2" presStyleCnt="0"/>
      <dgm:spPr/>
    </dgm:pt>
    <dgm:pt modelId="{483ED330-A978-5C40-82B1-E02A53F0F7DC}" type="pres">
      <dgm:prSet presAssocID="{8016805A-46D8-3041-981F-17697C0B9AB9}" presName="LevelTwoTextNode" presStyleLbl="node4" presStyleIdx="7" presStyleCnt="12">
        <dgm:presLayoutVars>
          <dgm:chPref val="3"/>
        </dgm:presLayoutVars>
      </dgm:prSet>
      <dgm:spPr/>
    </dgm:pt>
    <dgm:pt modelId="{ABAE35A0-A70E-9146-ABE6-A72F4CF48FEC}" type="pres">
      <dgm:prSet presAssocID="{8016805A-46D8-3041-981F-17697C0B9AB9}" presName="level3hierChild" presStyleCnt="0"/>
      <dgm:spPr/>
    </dgm:pt>
    <dgm:pt modelId="{B3B45AC7-889A-D344-B7A1-5FE43FB10D98}" type="pres">
      <dgm:prSet presAssocID="{011600D8-DBB6-4945-A7C1-42043833B9C6}" presName="conn2-1" presStyleLbl="parChTrans1D4" presStyleIdx="8" presStyleCnt="12"/>
      <dgm:spPr/>
    </dgm:pt>
    <dgm:pt modelId="{AB6B61A0-4581-B648-8D9A-7A8F36F89894}" type="pres">
      <dgm:prSet presAssocID="{011600D8-DBB6-4945-A7C1-42043833B9C6}" presName="connTx" presStyleLbl="parChTrans1D4" presStyleIdx="8" presStyleCnt="12"/>
      <dgm:spPr/>
    </dgm:pt>
    <dgm:pt modelId="{ACE32D30-4C56-564D-949A-FFDD5C1B61EB}" type="pres">
      <dgm:prSet presAssocID="{12A8F738-AB6A-F440-BE35-E561939BCACE}" presName="root2" presStyleCnt="0"/>
      <dgm:spPr/>
    </dgm:pt>
    <dgm:pt modelId="{84B4D875-C2A0-374B-A8C5-C846F31A03A6}" type="pres">
      <dgm:prSet presAssocID="{12A8F738-AB6A-F440-BE35-E561939BCACE}" presName="LevelTwoTextNode" presStyleLbl="node4" presStyleIdx="8" presStyleCnt="12">
        <dgm:presLayoutVars>
          <dgm:chPref val="3"/>
        </dgm:presLayoutVars>
      </dgm:prSet>
      <dgm:spPr/>
    </dgm:pt>
    <dgm:pt modelId="{3936FD0E-20D2-9146-A330-3F6DA319A595}" type="pres">
      <dgm:prSet presAssocID="{12A8F738-AB6A-F440-BE35-E561939BCACE}" presName="level3hierChild" presStyleCnt="0"/>
      <dgm:spPr/>
    </dgm:pt>
    <dgm:pt modelId="{957BD0B2-3428-DE43-B324-214B93069299}" type="pres">
      <dgm:prSet presAssocID="{EE5D2C51-6967-2846-B992-67686EA3A372}" presName="conn2-1" presStyleLbl="parChTrans1D4" presStyleIdx="9" presStyleCnt="12"/>
      <dgm:spPr/>
    </dgm:pt>
    <dgm:pt modelId="{0FF8C937-21EF-EF42-8D65-B22881FE5050}" type="pres">
      <dgm:prSet presAssocID="{EE5D2C51-6967-2846-B992-67686EA3A372}" presName="connTx" presStyleLbl="parChTrans1D4" presStyleIdx="9" presStyleCnt="12"/>
      <dgm:spPr/>
    </dgm:pt>
    <dgm:pt modelId="{81640E38-1BE5-A449-8EAD-ACA876841690}" type="pres">
      <dgm:prSet presAssocID="{A4C7C6F1-F464-1E45-A2E1-007EC86643D7}" presName="root2" presStyleCnt="0"/>
      <dgm:spPr/>
    </dgm:pt>
    <dgm:pt modelId="{0384D194-C782-C747-BACB-B87A891CCC1F}" type="pres">
      <dgm:prSet presAssocID="{A4C7C6F1-F464-1E45-A2E1-007EC86643D7}" presName="LevelTwoTextNode" presStyleLbl="node4" presStyleIdx="9" presStyleCnt="12">
        <dgm:presLayoutVars>
          <dgm:chPref val="3"/>
        </dgm:presLayoutVars>
      </dgm:prSet>
      <dgm:spPr/>
    </dgm:pt>
    <dgm:pt modelId="{6C6E0E90-94AD-9A4B-94EF-48583AB6EC1D}" type="pres">
      <dgm:prSet presAssocID="{A4C7C6F1-F464-1E45-A2E1-007EC86643D7}" presName="level3hierChild" presStyleCnt="0"/>
      <dgm:spPr/>
    </dgm:pt>
    <dgm:pt modelId="{BE8A1301-37B7-534B-AB79-CB625BB67310}" type="pres">
      <dgm:prSet presAssocID="{B02FFB6F-8187-744D-9A85-F16B4E07472C}" presName="conn2-1" presStyleLbl="parChTrans1D4" presStyleIdx="10" presStyleCnt="12"/>
      <dgm:spPr/>
    </dgm:pt>
    <dgm:pt modelId="{50FD441B-019C-1049-BAB1-B1A082CF15DE}" type="pres">
      <dgm:prSet presAssocID="{B02FFB6F-8187-744D-9A85-F16B4E07472C}" presName="connTx" presStyleLbl="parChTrans1D4" presStyleIdx="10" presStyleCnt="12"/>
      <dgm:spPr/>
    </dgm:pt>
    <dgm:pt modelId="{E17A747F-B929-614C-A850-394E5502971F}" type="pres">
      <dgm:prSet presAssocID="{0F7F9495-D35F-2442-AE3C-90487919EC1B}" presName="root2" presStyleCnt="0"/>
      <dgm:spPr/>
    </dgm:pt>
    <dgm:pt modelId="{374096F7-9F1C-AE44-94A4-12FBD0A930A0}" type="pres">
      <dgm:prSet presAssocID="{0F7F9495-D35F-2442-AE3C-90487919EC1B}" presName="LevelTwoTextNode" presStyleLbl="node4" presStyleIdx="10" presStyleCnt="12" custScaleY="140803">
        <dgm:presLayoutVars>
          <dgm:chPref val="3"/>
        </dgm:presLayoutVars>
      </dgm:prSet>
      <dgm:spPr/>
    </dgm:pt>
    <dgm:pt modelId="{E72E6CEB-A1FD-5043-9E71-7EADA7A3A758}" type="pres">
      <dgm:prSet presAssocID="{0F7F9495-D35F-2442-AE3C-90487919EC1B}" presName="level3hierChild" presStyleCnt="0"/>
      <dgm:spPr/>
    </dgm:pt>
    <dgm:pt modelId="{E3CD6AAE-458B-8242-AE36-DBAC401353B7}" type="pres">
      <dgm:prSet presAssocID="{F1C1B1DF-DE62-2643-A098-7365A81C4553}" presName="conn2-1" presStyleLbl="parChTrans1D4" presStyleIdx="11" presStyleCnt="12"/>
      <dgm:spPr/>
    </dgm:pt>
    <dgm:pt modelId="{088BDE93-A00A-1F41-B0E9-7CF52CD4B66D}" type="pres">
      <dgm:prSet presAssocID="{F1C1B1DF-DE62-2643-A098-7365A81C4553}" presName="connTx" presStyleLbl="parChTrans1D4" presStyleIdx="11" presStyleCnt="12"/>
      <dgm:spPr/>
    </dgm:pt>
    <dgm:pt modelId="{3BE29D1F-A8EA-364F-9AA2-ACAA993ADAB5}" type="pres">
      <dgm:prSet presAssocID="{12328673-36F5-4745-A366-52A3D318018F}" presName="root2" presStyleCnt="0"/>
      <dgm:spPr/>
    </dgm:pt>
    <dgm:pt modelId="{BDB2E1C1-CC6F-0547-8B3A-76347B09CCC8}" type="pres">
      <dgm:prSet presAssocID="{12328673-36F5-4745-A366-52A3D318018F}" presName="LevelTwoTextNode" presStyleLbl="node4" presStyleIdx="11" presStyleCnt="12" custScaleY="124107">
        <dgm:presLayoutVars>
          <dgm:chPref val="3"/>
        </dgm:presLayoutVars>
      </dgm:prSet>
      <dgm:spPr/>
    </dgm:pt>
    <dgm:pt modelId="{5DE62A31-B2F8-4D46-BC8F-BFA52F713E13}" type="pres">
      <dgm:prSet presAssocID="{12328673-36F5-4745-A366-52A3D318018F}" presName="level3hierChild" presStyleCnt="0"/>
      <dgm:spPr/>
    </dgm:pt>
  </dgm:ptLst>
  <dgm:cxnLst>
    <dgm:cxn modelId="{4EFBA902-8FFD-4C61-9904-5B30A4682C24}" type="presOf" srcId="{EE5D2C51-6967-2846-B992-67686EA3A372}" destId="{0FF8C937-21EF-EF42-8D65-B22881FE5050}" srcOrd="1" destOrd="0" presId="urn:microsoft.com/office/officeart/2008/layout/HorizontalMultiLevelHierarchy"/>
    <dgm:cxn modelId="{35F5E30D-E124-44D8-96E3-964B6E11BF43}" type="presOf" srcId="{21BC9C3C-DB80-EB44-BBEC-ACFFB2E5C870}" destId="{D7EBD4D9-14A6-0743-84EA-6151ADDC122B}" srcOrd="0" destOrd="0" presId="urn:microsoft.com/office/officeart/2008/layout/HorizontalMultiLevelHierarchy"/>
    <dgm:cxn modelId="{4507ED0D-6FED-4B4D-BEDD-1788E597DB03}" type="presOf" srcId="{DAE6E164-3BAF-1240-8FFE-76E7BA354765}" destId="{C7D5A4FC-866A-8F47-A9C5-175436A812E5}" srcOrd="0" destOrd="0" presId="urn:microsoft.com/office/officeart/2008/layout/HorizontalMultiLevelHierarchy"/>
    <dgm:cxn modelId="{86341018-12B8-644A-A067-0314DB726773}" srcId="{55C901A0-2B07-D74D-951A-6D4A77F447B6}" destId="{677C4E2C-C0C1-6A4D-B69C-3D4F299FBE6A}" srcOrd="1" destOrd="0" parTransId="{4EA1E2B6-5406-B441-B297-D4F7141A4238}" sibTransId="{EFDF2556-7A26-3642-B747-46ED93BD070A}"/>
    <dgm:cxn modelId="{3972CA1D-8005-4BE5-AE12-6C3F5577F49A}" type="presOf" srcId="{B02FFB6F-8187-744D-9A85-F16B4E07472C}" destId="{50FD441B-019C-1049-BAB1-B1A082CF15DE}" srcOrd="1" destOrd="0" presId="urn:microsoft.com/office/officeart/2008/layout/HorizontalMultiLevelHierarchy"/>
    <dgm:cxn modelId="{A0E4EB23-6D3F-4117-9125-A262842CB787}" type="presOf" srcId="{BCA90578-8E31-4F41-917E-05140B871E30}" destId="{2EEC5563-D9DE-3541-9C90-8B93E45B08C4}" srcOrd="0" destOrd="0" presId="urn:microsoft.com/office/officeart/2008/layout/HorizontalMultiLevelHierarchy"/>
    <dgm:cxn modelId="{F6D10824-8DFE-4C37-BEE8-823808894D55}" type="presOf" srcId="{3F9C9C26-17C2-3347-A68D-40AD05DD7451}" destId="{4232686F-B92F-814A-9566-448857A30EC9}" srcOrd="1" destOrd="0" presId="urn:microsoft.com/office/officeart/2008/layout/HorizontalMultiLevelHierarchy"/>
    <dgm:cxn modelId="{31AD4B25-C012-8141-84DF-F787EE19C8F5}" srcId="{55C901A0-2B07-D74D-951A-6D4A77F447B6}" destId="{A4C7C6F1-F464-1E45-A2E1-007EC86643D7}" srcOrd="8" destOrd="0" parTransId="{EE5D2C51-6967-2846-B992-67686EA3A372}" sibTransId="{EBE0CDB0-D825-0E4D-BDCF-B05CC399AC57}"/>
    <dgm:cxn modelId="{15946B27-1A7F-4EF0-A346-8408DE4F784B}" type="presOf" srcId="{F1C1B1DF-DE62-2643-A098-7365A81C4553}" destId="{E3CD6AAE-458B-8242-AE36-DBAC401353B7}" srcOrd="0" destOrd="0" presId="urn:microsoft.com/office/officeart/2008/layout/HorizontalMultiLevelHierarchy"/>
    <dgm:cxn modelId="{DFB14C2D-4CE2-4FA1-9A96-5B4AA5C4D392}" type="presOf" srcId="{011600D8-DBB6-4945-A7C1-42043833B9C6}" destId="{B3B45AC7-889A-D344-B7A1-5FE43FB10D98}" srcOrd="0" destOrd="0" presId="urn:microsoft.com/office/officeart/2008/layout/HorizontalMultiLevelHierarchy"/>
    <dgm:cxn modelId="{9334BF2D-AB5D-4BD4-BC1F-60868C4489D9}" type="presOf" srcId="{D8201714-171D-824B-A2BA-5D077E93923C}" destId="{D7BCA765-3592-004E-9D46-E43BA7279E19}" srcOrd="0" destOrd="0" presId="urn:microsoft.com/office/officeart/2008/layout/HorizontalMultiLevelHierarchy"/>
    <dgm:cxn modelId="{6ED0AA30-1B34-5346-AEF1-F6E830303D61}" srcId="{55C901A0-2B07-D74D-951A-6D4A77F447B6}" destId="{12A8F738-AB6A-F440-BE35-E561939BCACE}" srcOrd="7" destOrd="0" parTransId="{011600D8-DBB6-4945-A7C1-42043833B9C6}" sibTransId="{FC21B611-5D78-804F-B273-D2807346CAE8}"/>
    <dgm:cxn modelId="{C1762E32-EB2C-4E63-B0E2-8C08821224DF}" type="presOf" srcId="{3F9C9C26-17C2-3347-A68D-40AD05DD7451}" destId="{7C41BDC2-C437-B44D-A329-9EA31340FCBE}" srcOrd="0" destOrd="0" presId="urn:microsoft.com/office/officeart/2008/layout/HorizontalMultiLevelHierarchy"/>
    <dgm:cxn modelId="{2E816532-727A-0946-BEDB-19E5C410BC86}" srcId="{55C901A0-2B07-D74D-951A-6D4A77F447B6}" destId="{76004269-DEB7-4549-A393-1C08B6CFA210}" srcOrd="0" destOrd="0" parTransId="{D9222DA4-6275-874C-AD92-C6FDF844AE66}" sibTransId="{80919EAF-BE86-9A40-89D0-CD43ED751C2D}"/>
    <dgm:cxn modelId="{9C066233-A94F-4CAF-80AB-29EC67A13805}" type="presOf" srcId="{D9222DA4-6275-874C-AD92-C6FDF844AE66}" destId="{02E7BF89-0312-EA4B-8737-A95B3F8754DC}" srcOrd="0" destOrd="0" presId="urn:microsoft.com/office/officeart/2008/layout/HorizontalMultiLevelHierarchy"/>
    <dgm:cxn modelId="{B5350C43-7FF3-422A-B1CC-47A335D925A7}" type="presOf" srcId="{A23BC805-17E8-2C4E-B87C-22C832C89F1E}" destId="{BFFB0145-388C-D34E-BB76-787FB6977ACB}" srcOrd="0" destOrd="0" presId="urn:microsoft.com/office/officeart/2008/layout/HorizontalMultiLevelHierarchy"/>
    <dgm:cxn modelId="{FABE594E-5EC6-4B95-B298-971E366413D9}" type="presOf" srcId="{677C4E2C-C0C1-6A4D-B69C-3D4F299FBE6A}" destId="{4BEFD87C-B04E-4647-90AD-C977864362B2}" srcOrd="0" destOrd="0" presId="urn:microsoft.com/office/officeart/2008/layout/HorizontalMultiLevelHierarchy"/>
    <dgm:cxn modelId="{71D1934F-0C86-449E-895B-B6928FD87F81}" type="presOf" srcId="{12328673-36F5-4745-A366-52A3D318018F}" destId="{BDB2E1C1-CC6F-0547-8B3A-76347B09CCC8}" srcOrd="0" destOrd="0" presId="urn:microsoft.com/office/officeart/2008/layout/HorizontalMultiLevelHierarchy"/>
    <dgm:cxn modelId="{211BB252-07EE-4405-B533-B05E91D8F959}" type="presOf" srcId="{F1C1B1DF-DE62-2643-A098-7365A81C4553}" destId="{088BDE93-A00A-1F41-B0E9-7CF52CD4B66D}" srcOrd="1" destOrd="0" presId="urn:microsoft.com/office/officeart/2008/layout/HorizontalMultiLevelHierarchy"/>
    <dgm:cxn modelId="{82663468-5C9F-471D-8EFA-65524F894DF1}" type="presOf" srcId="{DAE6E164-3BAF-1240-8FFE-76E7BA354765}" destId="{4D956C93-742F-1F40-90EB-7F38A5D50B9B}" srcOrd="1" destOrd="0" presId="urn:microsoft.com/office/officeart/2008/layout/HorizontalMultiLevelHierarchy"/>
    <dgm:cxn modelId="{CD6CD56A-0771-4D14-B705-D43BE2D9F028}" type="presOf" srcId="{B02FFB6F-8187-744D-9A85-F16B4E07472C}" destId="{BE8A1301-37B7-534B-AB79-CB625BB67310}" srcOrd="0" destOrd="0" presId="urn:microsoft.com/office/officeart/2008/layout/HorizontalMultiLevelHierarchy"/>
    <dgm:cxn modelId="{E42C3A6D-1AC8-4349-8186-E0401FFCD575}" type="presOf" srcId="{0F7F9495-D35F-2442-AE3C-90487919EC1B}" destId="{374096F7-9F1C-AE44-94A4-12FBD0A930A0}" srcOrd="0" destOrd="0" presId="urn:microsoft.com/office/officeart/2008/layout/HorizontalMultiLevelHierarchy"/>
    <dgm:cxn modelId="{E124017D-8BBE-C541-BEC4-48441D66B69D}" srcId="{55C901A0-2B07-D74D-951A-6D4A77F447B6}" destId="{8016805A-46D8-3041-981F-17697C0B9AB9}" srcOrd="6" destOrd="0" parTransId="{3F9C9C26-17C2-3347-A68D-40AD05DD7451}" sibTransId="{1504758F-9C1B-D344-8A7C-E41235F336FF}"/>
    <dgm:cxn modelId="{6AC72A7E-07CC-2B4E-96B0-1C6F1FE9C5DB}" srcId="{55C901A0-2B07-D74D-951A-6D4A77F447B6}" destId="{D8201714-171D-824B-A2BA-5D077E93923C}" srcOrd="3" destOrd="0" parTransId="{0D8F2D4F-53CB-8348-96C7-505FABA5B72A}" sibTransId="{9BCA8C01-2E38-504B-B0ED-818BB970EEE6}"/>
    <dgm:cxn modelId="{D938B27E-8E51-8245-A11F-251D86449BC9}" srcId="{55C901A0-2B07-D74D-951A-6D4A77F447B6}" destId="{0F7F9495-D35F-2442-AE3C-90487919EC1B}" srcOrd="9" destOrd="0" parTransId="{B02FFB6F-8187-744D-9A85-F16B4E07472C}" sibTransId="{1DE93577-6BFB-324B-913F-C13089DA1E9D}"/>
    <dgm:cxn modelId="{1118CE7F-889A-EA4C-A398-EB1C4FA6A667}" srcId="{55C901A0-2B07-D74D-951A-6D4A77F447B6}" destId="{6156E06B-57A6-9E41-ADC0-BDADC3071503}" srcOrd="4" destOrd="0" parTransId="{52858D57-1E81-9247-9445-94E74745EA73}" sibTransId="{9EEB56A1-053E-7646-B029-1831C918EC72}"/>
    <dgm:cxn modelId="{D6922A81-9B75-6E44-B69F-2690BCAA150F}" srcId="{D8201714-171D-824B-A2BA-5D077E93923C}" destId="{C2DA4C8A-4DB1-AF44-8D45-B69FA42BF0BC}" srcOrd="0" destOrd="0" parTransId="{EB7C509C-8E49-CD42-9EF7-AE33501553ED}" sibTransId="{25FFEDBA-7958-1243-AC8D-715225A0B214}"/>
    <dgm:cxn modelId="{DE3B8C81-CE23-4AE9-98FA-F1125DE340B0}" type="presOf" srcId="{BAD85BE8-4F86-E244-A422-759EDDBE0328}" destId="{20F6640E-8719-2048-A84B-FEFBCD76307F}" srcOrd="1" destOrd="0" presId="urn:microsoft.com/office/officeart/2008/layout/HorizontalMultiLevelHierarchy"/>
    <dgm:cxn modelId="{C309B682-E1D8-4F9B-ADCD-2D952E532E3F}" type="presOf" srcId="{12A8F738-AB6A-F440-BE35-E561939BCACE}" destId="{84B4D875-C2A0-374B-A8C5-C846F31A03A6}" srcOrd="0" destOrd="0" presId="urn:microsoft.com/office/officeart/2008/layout/HorizontalMultiLevelHierarchy"/>
    <dgm:cxn modelId="{CAC56D93-D908-40FD-87DD-31DDDDB18C3A}" type="presOf" srcId="{5B219E76-BB12-E442-9620-56BE53C4A0F3}" destId="{04A3486A-4EEB-224A-A732-CCB4D0C0417A}" srcOrd="0" destOrd="0" presId="urn:microsoft.com/office/officeart/2008/layout/HorizontalMultiLevelHierarchy"/>
    <dgm:cxn modelId="{9558E49B-7791-41C0-B562-BC0BF742233F}" type="presOf" srcId="{A4C7C6F1-F464-1E45-A2E1-007EC86643D7}" destId="{0384D194-C782-C747-BACB-B87A891CCC1F}" srcOrd="0" destOrd="0" presId="urn:microsoft.com/office/officeart/2008/layout/HorizontalMultiLevelHierarchy"/>
    <dgm:cxn modelId="{8552C89F-2B16-4A9C-920E-9E869D582903}" type="presOf" srcId="{57DF2BA8-202B-0144-9CD7-CCA64DDE32BD}" destId="{5C84EAB1-B1A6-C047-8567-B7263DF24FD3}" srcOrd="0" destOrd="0" presId="urn:microsoft.com/office/officeart/2008/layout/HorizontalMultiLevelHierarchy"/>
    <dgm:cxn modelId="{A2A8F19F-8875-41B8-9344-47D9EC810D4E}" type="presOf" srcId="{EB7C509C-8E49-CD42-9EF7-AE33501553ED}" destId="{7B2E137B-CF53-EB44-8AE7-100DB3ACD83C}" srcOrd="0" destOrd="0" presId="urn:microsoft.com/office/officeart/2008/layout/HorizontalMultiLevelHierarchy"/>
    <dgm:cxn modelId="{361021A3-8B61-4DDE-87BF-FE7F87CCE5DD}" type="presOf" srcId="{5B219E76-BB12-E442-9620-56BE53C4A0F3}" destId="{B1F712A0-E1CE-D443-BAD5-3CCF01346850}" srcOrd="1" destOrd="0" presId="urn:microsoft.com/office/officeart/2008/layout/HorizontalMultiLevelHierarchy"/>
    <dgm:cxn modelId="{608111A4-8F01-4B2F-8CAD-1F654CE56202}" type="presOf" srcId="{011600D8-DBB6-4945-A7C1-42043833B9C6}" destId="{AB6B61A0-4581-B648-8D9A-7A8F36F89894}" srcOrd="1" destOrd="0" presId="urn:microsoft.com/office/officeart/2008/layout/HorizontalMultiLevelHierarchy"/>
    <dgm:cxn modelId="{7EBD99A5-14CF-4602-9735-8590449F0ED7}" type="presOf" srcId="{6156E06B-57A6-9E41-ADC0-BDADC3071503}" destId="{77FB60AB-F159-2243-AD62-FEADF838C3E9}" srcOrd="0" destOrd="0" presId="urn:microsoft.com/office/officeart/2008/layout/HorizontalMultiLevelHierarchy"/>
    <dgm:cxn modelId="{D76B72A8-C81B-C044-8DE0-C09817C1153D}" srcId="{21BC9C3C-DB80-EB44-BBEC-ACFFB2E5C870}" destId="{55C901A0-2B07-D74D-951A-6D4A77F447B6}" srcOrd="0" destOrd="0" parTransId="{DAE6E164-3BAF-1240-8FFE-76E7BA354765}" sibTransId="{91D34E85-5075-CB4C-8810-94D17E7AB474}"/>
    <dgm:cxn modelId="{43DFF6A8-595E-4F3D-99ED-99AA7E2D7D5A}" type="presOf" srcId="{76004269-DEB7-4549-A393-1C08B6CFA210}" destId="{991FC06E-40A5-8D44-B60F-6C0716673470}" srcOrd="0" destOrd="0" presId="urn:microsoft.com/office/officeart/2008/layout/HorizontalMultiLevelHierarchy"/>
    <dgm:cxn modelId="{266DE8AB-985B-438D-9676-5232A4A98C43}" type="presOf" srcId="{BEE14083-F456-9342-955C-5B585FE78195}" destId="{1F38219F-DA18-6A40-B285-CB996AF73AC6}" srcOrd="0" destOrd="0" presId="urn:microsoft.com/office/officeart/2008/layout/HorizontalMultiLevelHierarchy"/>
    <dgm:cxn modelId="{643AFDAE-C920-714F-AB43-45AC03543776}" srcId="{BEE14083-F456-9342-955C-5B585FE78195}" destId="{A23BC805-17E8-2C4E-B87C-22C832C89F1E}" srcOrd="0" destOrd="0" parTransId="{22DFD611-898D-5E42-B0B6-CD0712900FBD}" sibTransId="{ACD2F278-82E8-1A4B-8CEB-3B1D5E0D0687}"/>
    <dgm:cxn modelId="{4F0805B5-346C-B743-8873-190F5D83F9F1}" srcId="{55C901A0-2B07-D74D-951A-6D4A77F447B6}" destId="{BCA90578-8E31-4F41-917E-05140B871E30}" srcOrd="2" destOrd="0" parTransId="{BAD85BE8-4F86-E244-A422-759EDDBE0328}" sibTransId="{3D036425-1762-DF4B-8CF3-A212A2A6BB19}"/>
    <dgm:cxn modelId="{98DB33BA-E92F-4E28-8D47-6F4A54E28CA8}" type="presOf" srcId="{0D8F2D4F-53CB-8348-96C7-505FABA5B72A}" destId="{27E60DFC-626D-CF40-9769-A7B3E8812391}" srcOrd="0" destOrd="0" presId="urn:microsoft.com/office/officeart/2008/layout/HorizontalMultiLevelHierarchy"/>
    <dgm:cxn modelId="{6DAB92BA-A05E-4A2F-9475-8A8E5853953F}" type="presOf" srcId="{D9222DA4-6275-874C-AD92-C6FDF844AE66}" destId="{FCBEC19E-06ED-074D-94AF-4955529B03AA}" srcOrd="1" destOrd="0" presId="urn:microsoft.com/office/officeart/2008/layout/HorizontalMultiLevelHierarchy"/>
    <dgm:cxn modelId="{359CE1BB-E6ED-45B9-8F40-9253FB5F6794}" type="presOf" srcId="{A0E76616-C752-C84D-9570-8079B7B50BF4}" destId="{3BAD75AD-B520-DF49-BA4F-531254AFF3B6}" srcOrd="0" destOrd="0" presId="urn:microsoft.com/office/officeart/2008/layout/HorizontalMultiLevelHierarchy"/>
    <dgm:cxn modelId="{71570BBD-EC0F-459C-BA6F-39BD7905A816}" type="presOf" srcId="{BAD85BE8-4F86-E244-A422-759EDDBE0328}" destId="{2EBA1326-992A-EB48-90CC-61C68AAAA5FE}" srcOrd="0" destOrd="0" presId="urn:microsoft.com/office/officeart/2008/layout/HorizontalMultiLevelHierarchy"/>
    <dgm:cxn modelId="{D9489BBF-3A5A-4999-84A7-8C0C27D00EFF}" type="presOf" srcId="{0D8F2D4F-53CB-8348-96C7-505FABA5B72A}" destId="{1F21644D-C65E-0442-941C-062162F685F8}" srcOrd="1" destOrd="0" presId="urn:microsoft.com/office/officeart/2008/layout/HorizontalMultiLevelHierarchy"/>
    <dgm:cxn modelId="{A44C28C2-A0A3-CE44-9715-C332F1A0E6CA}" srcId="{55C901A0-2B07-D74D-951A-6D4A77F447B6}" destId="{57DF2BA8-202B-0144-9CD7-CCA64DDE32BD}" srcOrd="5" destOrd="0" parTransId="{A0E76616-C752-C84D-9570-8079B7B50BF4}" sibTransId="{A8258EBD-5CA8-7648-BB05-8579C4EC7F1B}"/>
    <dgm:cxn modelId="{93308DC3-30E0-4DBE-8D69-0D530ACBCEF7}" type="presOf" srcId="{4EA1E2B6-5406-B441-B297-D4F7141A4238}" destId="{F1914590-53DD-9247-8FFC-320ACA56DB20}" srcOrd="0" destOrd="0" presId="urn:microsoft.com/office/officeart/2008/layout/HorizontalMultiLevelHierarchy"/>
    <dgm:cxn modelId="{609C7ECA-1217-43E1-B3FD-FF3B90263641}" type="presOf" srcId="{8016805A-46D8-3041-981F-17697C0B9AB9}" destId="{483ED330-A978-5C40-82B1-E02A53F0F7DC}" srcOrd="0" destOrd="0" presId="urn:microsoft.com/office/officeart/2008/layout/HorizontalMultiLevelHierarchy"/>
    <dgm:cxn modelId="{F8B013CD-6C2E-4575-AC68-1FBD8FB1EEF4}" type="presOf" srcId="{4EA1E2B6-5406-B441-B297-D4F7141A4238}" destId="{154E73D5-AD92-3546-BF16-21F193C5B578}" srcOrd="1" destOrd="0" presId="urn:microsoft.com/office/officeart/2008/layout/HorizontalMultiLevelHierarchy"/>
    <dgm:cxn modelId="{C8B234CF-8072-428F-B8FD-63E85074D3ED}" type="presOf" srcId="{52858D57-1E81-9247-9445-94E74745EA73}" destId="{069E59C6-18ED-7B49-8E27-4859DA27796C}" srcOrd="1" destOrd="0" presId="urn:microsoft.com/office/officeart/2008/layout/HorizontalMultiLevelHierarchy"/>
    <dgm:cxn modelId="{094E7ECF-C0CA-4B00-A56E-83B004863789}" type="presOf" srcId="{55C901A0-2B07-D74D-951A-6D4A77F447B6}" destId="{91836A72-4AC4-6F4A-8D06-4953EEE7B035}" srcOrd="0" destOrd="0" presId="urn:microsoft.com/office/officeart/2008/layout/HorizontalMultiLevelHierarchy"/>
    <dgm:cxn modelId="{C09CD1D7-CBBE-45E0-9123-5A6458096FA6}" type="presOf" srcId="{EE5D2C51-6967-2846-B992-67686EA3A372}" destId="{957BD0B2-3428-DE43-B324-214B93069299}" srcOrd="0" destOrd="0" presId="urn:microsoft.com/office/officeart/2008/layout/HorizontalMultiLevelHierarchy"/>
    <dgm:cxn modelId="{076D06DD-23AF-4141-AB1E-118643C3E2F0}" srcId="{A23BC805-17E8-2C4E-B87C-22C832C89F1E}" destId="{21BC9C3C-DB80-EB44-BBEC-ACFFB2E5C870}" srcOrd="0" destOrd="0" parTransId="{5B219E76-BB12-E442-9620-56BE53C4A0F3}" sibTransId="{A7D6667A-AF56-4E47-8C69-910DCA34C954}"/>
    <dgm:cxn modelId="{896E82DE-662F-DE4D-9909-8A3A5FCA637F}" srcId="{55C901A0-2B07-D74D-951A-6D4A77F447B6}" destId="{12328673-36F5-4745-A366-52A3D318018F}" srcOrd="10" destOrd="0" parTransId="{F1C1B1DF-DE62-2643-A098-7365A81C4553}" sibTransId="{C11BA499-A1C6-D84E-A7DB-170CBC24A80C}"/>
    <dgm:cxn modelId="{6C59A6E2-1FC4-4DDA-B1FD-FDB532CBEADC}" type="presOf" srcId="{52858D57-1E81-9247-9445-94E74745EA73}" destId="{40038C64-180F-084C-B43B-FFB811B066C3}" srcOrd="0" destOrd="0" presId="urn:microsoft.com/office/officeart/2008/layout/HorizontalMultiLevelHierarchy"/>
    <dgm:cxn modelId="{CA4A28E7-929E-47AD-BEC5-344E2F6B829A}" type="presOf" srcId="{EB7C509C-8E49-CD42-9EF7-AE33501553ED}" destId="{23EE26D0-608B-E743-B3B5-77E0D36D751B}" srcOrd="1" destOrd="0" presId="urn:microsoft.com/office/officeart/2008/layout/HorizontalMultiLevelHierarchy"/>
    <dgm:cxn modelId="{018AEBEA-0C9E-4398-B4F1-E12B22C713FE}" type="presOf" srcId="{C2DA4C8A-4DB1-AF44-8D45-B69FA42BF0BC}" destId="{91923923-4AD0-3142-B9F8-CC2F8D02269F}" srcOrd="0" destOrd="0" presId="urn:microsoft.com/office/officeart/2008/layout/HorizontalMultiLevelHierarchy"/>
    <dgm:cxn modelId="{90E02DEC-A7E9-46EC-9DD5-850EABE33270}" type="presOf" srcId="{A0E76616-C752-C84D-9570-8079B7B50BF4}" destId="{49A54765-15EF-354C-AC9C-1492EF8181AB}" srcOrd="1" destOrd="0" presId="urn:microsoft.com/office/officeart/2008/layout/HorizontalMultiLevelHierarchy"/>
    <dgm:cxn modelId="{8B930B11-91C5-4756-94A9-A28D708946F0}" type="presParOf" srcId="{1F38219F-DA18-6A40-B285-CB996AF73AC6}" destId="{58E2AE96-9ADC-A341-9154-F47B20D61F49}" srcOrd="0" destOrd="0" presId="urn:microsoft.com/office/officeart/2008/layout/HorizontalMultiLevelHierarchy"/>
    <dgm:cxn modelId="{DCCF5998-3319-4764-9AA0-330D5DCCD544}" type="presParOf" srcId="{58E2AE96-9ADC-A341-9154-F47B20D61F49}" destId="{BFFB0145-388C-D34E-BB76-787FB6977ACB}" srcOrd="0" destOrd="0" presId="urn:microsoft.com/office/officeart/2008/layout/HorizontalMultiLevelHierarchy"/>
    <dgm:cxn modelId="{378A7EFE-FF07-4702-8DA1-0022BDB76A4D}" type="presParOf" srcId="{58E2AE96-9ADC-A341-9154-F47B20D61F49}" destId="{6365C2CC-5566-0946-B521-791C7771F553}" srcOrd="1" destOrd="0" presId="urn:microsoft.com/office/officeart/2008/layout/HorizontalMultiLevelHierarchy"/>
    <dgm:cxn modelId="{875FE620-5844-4E14-B080-CE22478502A0}" type="presParOf" srcId="{6365C2CC-5566-0946-B521-791C7771F553}" destId="{04A3486A-4EEB-224A-A732-CCB4D0C0417A}" srcOrd="0" destOrd="0" presId="urn:microsoft.com/office/officeart/2008/layout/HorizontalMultiLevelHierarchy"/>
    <dgm:cxn modelId="{85C71E23-713E-451F-8AF4-FAAC4089A877}" type="presParOf" srcId="{04A3486A-4EEB-224A-A732-CCB4D0C0417A}" destId="{B1F712A0-E1CE-D443-BAD5-3CCF01346850}" srcOrd="0" destOrd="0" presId="urn:microsoft.com/office/officeart/2008/layout/HorizontalMultiLevelHierarchy"/>
    <dgm:cxn modelId="{C81BDB06-3A02-4D17-B434-175151FD3589}" type="presParOf" srcId="{6365C2CC-5566-0946-B521-791C7771F553}" destId="{84E3D54F-8745-FE4F-B286-804D0E6445D5}" srcOrd="1" destOrd="0" presId="urn:microsoft.com/office/officeart/2008/layout/HorizontalMultiLevelHierarchy"/>
    <dgm:cxn modelId="{36BA14C9-8C1E-4A89-83D6-DE4C84D90695}" type="presParOf" srcId="{84E3D54F-8745-FE4F-B286-804D0E6445D5}" destId="{D7EBD4D9-14A6-0743-84EA-6151ADDC122B}" srcOrd="0" destOrd="0" presId="urn:microsoft.com/office/officeart/2008/layout/HorizontalMultiLevelHierarchy"/>
    <dgm:cxn modelId="{A203785C-9E59-4C23-B4BB-6537B45E0449}" type="presParOf" srcId="{84E3D54F-8745-FE4F-B286-804D0E6445D5}" destId="{43E0CB15-309B-8146-8B86-261583625CD4}" srcOrd="1" destOrd="0" presId="urn:microsoft.com/office/officeart/2008/layout/HorizontalMultiLevelHierarchy"/>
    <dgm:cxn modelId="{E536EA08-AB72-4F45-ACA4-FA2D42C439E0}" type="presParOf" srcId="{43E0CB15-309B-8146-8B86-261583625CD4}" destId="{C7D5A4FC-866A-8F47-A9C5-175436A812E5}" srcOrd="0" destOrd="0" presId="urn:microsoft.com/office/officeart/2008/layout/HorizontalMultiLevelHierarchy"/>
    <dgm:cxn modelId="{F043B9E4-0998-464F-9AC3-353AEA2F27E9}" type="presParOf" srcId="{C7D5A4FC-866A-8F47-A9C5-175436A812E5}" destId="{4D956C93-742F-1F40-90EB-7F38A5D50B9B}" srcOrd="0" destOrd="0" presId="urn:microsoft.com/office/officeart/2008/layout/HorizontalMultiLevelHierarchy"/>
    <dgm:cxn modelId="{F86A0659-3E28-4495-BF23-66F51829BC44}" type="presParOf" srcId="{43E0CB15-309B-8146-8B86-261583625CD4}" destId="{4EC51C80-39FB-A84F-BF6A-BF0364D9DCD3}" srcOrd="1" destOrd="0" presId="urn:microsoft.com/office/officeart/2008/layout/HorizontalMultiLevelHierarchy"/>
    <dgm:cxn modelId="{52DED874-A365-49FC-9117-B587F1308074}" type="presParOf" srcId="{4EC51C80-39FB-A84F-BF6A-BF0364D9DCD3}" destId="{91836A72-4AC4-6F4A-8D06-4953EEE7B035}" srcOrd="0" destOrd="0" presId="urn:microsoft.com/office/officeart/2008/layout/HorizontalMultiLevelHierarchy"/>
    <dgm:cxn modelId="{04C3184D-D409-47DE-B6A3-5F01F86537D8}" type="presParOf" srcId="{4EC51C80-39FB-A84F-BF6A-BF0364D9DCD3}" destId="{49227FE7-C0B9-204F-8EEC-122B36A6D55B}" srcOrd="1" destOrd="0" presId="urn:microsoft.com/office/officeart/2008/layout/HorizontalMultiLevelHierarchy"/>
    <dgm:cxn modelId="{AAE8B67B-755A-4556-9251-3B5E8042918B}" type="presParOf" srcId="{49227FE7-C0B9-204F-8EEC-122B36A6D55B}" destId="{02E7BF89-0312-EA4B-8737-A95B3F8754DC}" srcOrd="0" destOrd="0" presId="urn:microsoft.com/office/officeart/2008/layout/HorizontalMultiLevelHierarchy"/>
    <dgm:cxn modelId="{7455304D-03C1-4408-BA7C-CC952FDA7FA7}" type="presParOf" srcId="{02E7BF89-0312-EA4B-8737-A95B3F8754DC}" destId="{FCBEC19E-06ED-074D-94AF-4955529B03AA}" srcOrd="0" destOrd="0" presId="urn:microsoft.com/office/officeart/2008/layout/HorizontalMultiLevelHierarchy"/>
    <dgm:cxn modelId="{8754016D-E7B1-4B90-B8E2-D6D40AA0EF87}" type="presParOf" srcId="{49227FE7-C0B9-204F-8EEC-122B36A6D55B}" destId="{07E79F37-B23F-FC4D-830D-6EFF9B4D3A26}" srcOrd="1" destOrd="0" presId="urn:microsoft.com/office/officeart/2008/layout/HorizontalMultiLevelHierarchy"/>
    <dgm:cxn modelId="{6975A2FB-1942-40EA-91F8-25BF1366DE66}" type="presParOf" srcId="{07E79F37-B23F-FC4D-830D-6EFF9B4D3A26}" destId="{991FC06E-40A5-8D44-B60F-6C0716673470}" srcOrd="0" destOrd="0" presId="urn:microsoft.com/office/officeart/2008/layout/HorizontalMultiLevelHierarchy"/>
    <dgm:cxn modelId="{6D65C5AE-A93C-459F-8680-0ACBA58B3D3B}" type="presParOf" srcId="{07E79F37-B23F-FC4D-830D-6EFF9B4D3A26}" destId="{A7F6AE4B-2EB1-F444-955E-9FB0540F091D}" srcOrd="1" destOrd="0" presId="urn:microsoft.com/office/officeart/2008/layout/HorizontalMultiLevelHierarchy"/>
    <dgm:cxn modelId="{57CF83BB-E038-4D18-8E92-0FBDF021F293}" type="presParOf" srcId="{49227FE7-C0B9-204F-8EEC-122B36A6D55B}" destId="{F1914590-53DD-9247-8FFC-320ACA56DB20}" srcOrd="2" destOrd="0" presId="urn:microsoft.com/office/officeart/2008/layout/HorizontalMultiLevelHierarchy"/>
    <dgm:cxn modelId="{DD257C48-6A3E-4B4E-BA97-0919EA61CE30}" type="presParOf" srcId="{F1914590-53DD-9247-8FFC-320ACA56DB20}" destId="{154E73D5-AD92-3546-BF16-21F193C5B578}" srcOrd="0" destOrd="0" presId="urn:microsoft.com/office/officeart/2008/layout/HorizontalMultiLevelHierarchy"/>
    <dgm:cxn modelId="{5CF685BD-3482-4D10-88E7-55920DBCA2E8}" type="presParOf" srcId="{49227FE7-C0B9-204F-8EEC-122B36A6D55B}" destId="{BB1A9F26-44D5-9041-AD4C-40AAE38817C1}" srcOrd="3" destOrd="0" presId="urn:microsoft.com/office/officeart/2008/layout/HorizontalMultiLevelHierarchy"/>
    <dgm:cxn modelId="{0B752DD3-A9EE-4434-B48A-1B056E8585F1}" type="presParOf" srcId="{BB1A9F26-44D5-9041-AD4C-40AAE38817C1}" destId="{4BEFD87C-B04E-4647-90AD-C977864362B2}" srcOrd="0" destOrd="0" presId="urn:microsoft.com/office/officeart/2008/layout/HorizontalMultiLevelHierarchy"/>
    <dgm:cxn modelId="{381C5D7C-D5FC-47E7-8220-300B9C16006D}" type="presParOf" srcId="{BB1A9F26-44D5-9041-AD4C-40AAE38817C1}" destId="{85210AA7-7E5B-5A44-9FC6-3E7670135DE7}" srcOrd="1" destOrd="0" presId="urn:microsoft.com/office/officeart/2008/layout/HorizontalMultiLevelHierarchy"/>
    <dgm:cxn modelId="{32A11EB9-AB02-438D-8AD2-E4433DA7E5C0}" type="presParOf" srcId="{49227FE7-C0B9-204F-8EEC-122B36A6D55B}" destId="{2EBA1326-992A-EB48-90CC-61C68AAAA5FE}" srcOrd="4" destOrd="0" presId="urn:microsoft.com/office/officeart/2008/layout/HorizontalMultiLevelHierarchy"/>
    <dgm:cxn modelId="{CCA12B6A-FBF8-4C12-BDB2-6EEAE9B69E54}" type="presParOf" srcId="{2EBA1326-992A-EB48-90CC-61C68AAAA5FE}" destId="{20F6640E-8719-2048-A84B-FEFBCD76307F}" srcOrd="0" destOrd="0" presId="urn:microsoft.com/office/officeart/2008/layout/HorizontalMultiLevelHierarchy"/>
    <dgm:cxn modelId="{35AD2E17-91A4-4118-9E15-D61E6C18B03D}" type="presParOf" srcId="{49227FE7-C0B9-204F-8EEC-122B36A6D55B}" destId="{5562B826-BD74-AF48-9C9D-2CB864B22CDB}" srcOrd="5" destOrd="0" presId="urn:microsoft.com/office/officeart/2008/layout/HorizontalMultiLevelHierarchy"/>
    <dgm:cxn modelId="{5FF0DE89-B4D7-4823-A638-4930D69171EF}" type="presParOf" srcId="{5562B826-BD74-AF48-9C9D-2CB864B22CDB}" destId="{2EEC5563-D9DE-3541-9C90-8B93E45B08C4}" srcOrd="0" destOrd="0" presId="urn:microsoft.com/office/officeart/2008/layout/HorizontalMultiLevelHierarchy"/>
    <dgm:cxn modelId="{DCA4BCD9-6996-4ED2-8CED-1D8368DBF8BE}" type="presParOf" srcId="{5562B826-BD74-AF48-9C9D-2CB864B22CDB}" destId="{BEDE975E-7CE8-AB45-89B0-3592B63F3ED0}" srcOrd="1" destOrd="0" presId="urn:microsoft.com/office/officeart/2008/layout/HorizontalMultiLevelHierarchy"/>
    <dgm:cxn modelId="{BD448E9D-9A5B-4D19-B8C2-EADC1C66D8FB}" type="presParOf" srcId="{49227FE7-C0B9-204F-8EEC-122B36A6D55B}" destId="{27E60DFC-626D-CF40-9769-A7B3E8812391}" srcOrd="6" destOrd="0" presId="urn:microsoft.com/office/officeart/2008/layout/HorizontalMultiLevelHierarchy"/>
    <dgm:cxn modelId="{02399944-164A-473D-9825-F3EEE09069E7}" type="presParOf" srcId="{27E60DFC-626D-CF40-9769-A7B3E8812391}" destId="{1F21644D-C65E-0442-941C-062162F685F8}" srcOrd="0" destOrd="0" presId="urn:microsoft.com/office/officeart/2008/layout/HorizontalMultiLevelHierarchy"/>
    <dgm:cxn modelId="{0D00B45E-6B47-471A-8304-CB885D856978}" type="presParOf" srcId="{49227FE7-C0B9-204F-8EEC-122B36A6D55B}" destId="{657DCD18-0790-2E4C-B48D-18179A3AAF0D}" srcOrd="7" destOrd="0" presId="urn:microsoft.com/office/officeart/2008/layout/HorizontalMultiLevelHierarchy"/>
    <dgm:cxn modelId="{04F946A9-5C75-46DE-AE8E-3DEB6D9F75B6}" type="presParOf" srcId="{657DCD18-0790-2E4C-B48D-18179A3AAF0D}" destId="{D7BCA765-3592-004E-9D46-E43BA7279E19}" srcOrd="0" destOrd="0" presId="urn:microsoft.com/office/officeart/2008/layout/HorizontalMultiLevelHierarchy"/>
    <dgm:cxn modelId="{EBA28F29-3858-4CB4-9FB9-0A2038793644}" type="presParOf" srcId="{657DCD18-0790-2E4C-B48D-18179A3AAF0D}" destId="{A2D6A22E-0F34-8046-9147-A8434DB6C494}" srcOrd="1" destOrd="0" presId="urn:microsoft.com/office/officeart/2008/layout/HorizontalMultiLevelHierarchy"/>
    <dgm:cxn modelId="{E555EE11-1597-4EF4-AB27-57A66B063318}" type="presParOf" srcId="{A2D6A22E-0F34-8046-9147-A8434DB6C494}" destId="{7B2E137B-CF53-EB44-8AE7-100DB3ACD83C}" srcOrd="0" destOrd="0" presId="urn:microsoft.com/office/officeart/2008/layout/HorizontalMultiLevelHierarchy"/>
    <dgm:cxn modelId="{9C0EE10C-6E63-440A-AEF1-ABE112837A3F}" type="presParOf" srcId="{7B2E137B-CF53-EB44-8AE7-100DB3ACD83C}" destId="{23EE26D0-608B-E743-B3B5-77E0D36D751B}" srcOrd="0" destOrd="0" presId="urn:microsoft.com/office/officeart/2008/layout/HorizontalMultiLevelHierarchy"/>
    <dgm:cxn modelId="{C6ECEDE3-1B0A-466E-8F03-58BFB70A0F50}" type="presParOf" srcId="{A2D6A22E-0F34-8046-9147-A8434DB6C494}" destId="{E102961C-E92E-5641-9AF4-54BE61869D37}" srcOrd="1" destOrd="0" presId="urn:microsoft.com/office/officeart/2008/layout/HorizontalMultiLevelHierarchy"/>
    <dgm:cxn modelId="{DD70639E-7F4F-4A38-AA4B-B13D04B01C92}" type="presParOf" srcId="{E102961C-E92E-5641-9AF4-54BE61869D37}" destId="{91923923-4AD0-3142-B9F8-CC2F8D02269F}" srcOrd="0" destOrd="0" presId="urn:microsoft.com/office/officeart/2008/layout/HorizontalMultiLevelHierarchy"/>
    <dgm:cxn modelId="{B772F049-954B-41E0-AE30-EBAA4CD5B3CD}" type="presParOf" srcId="{E102961C-E92E-5641-9AF4-54BE61869D37}" destId="{66AE28A2-2177-2747-9B9F-1F48A7CEF1C8}" srcOrd="1" destOrd="0" presId="urn:microsoft.com/office/officeart/2008/layout/HorizontalMultiLevelHierarchy"/>
    <dgm:cxn modelId="{7077C463-6AF9-4F13-93B0-E366F070D456}" type="presParOf" srcId="{49227FE7-C0B9-204F-8EEC-122B36A6D55B}" destId="{40038C64-180F-084C-B43B-FFB811B066C3}" srcOrd="8" destOrd="0" presId="urn:microsoft.com/office/officeart/2008/layout/HorizontalMultiLevelHierarchy"/>
    <dgm:cxn modelId="{0373B4D9-537C-4B47-B583-0E3C11766C66}" type="presParOf" srcId="{40038C64-180F-084C-B43B-FFB811B066C3}" destId="{069E59C6-18ED-7B49-8E27-4859DA27796C}" srcOrd="0" destOrd="0" presId="urn:microsoft.com/office/officeart/2008/layout/HorizontalMultiLevelHierarchy"/>
    <dgm:cxn modelId="{84BAC412-0EF5-4105-928D-9084962C93EE}" type="presParOf" srcId="{49227FE7-C0B9-204F-8EEC-122B36A6D55B}" destId="{90E2D85C-8E3E-B04D-B1CA-6C48829EE748}" srcOrd="9" destOrd="0" presId="urn:microsoft.com/office/officeart/2008/layout/HorizontalMultiLevelHierarchy"/>
    <dgm:cxn modelId="{BF949507-64ED-409D-8CCF-13EDE3642313}" type="presParOf" srcId="{90E2D85C-8E3E-B04D-B1CA-6C48829EE748}" destId="{77FB60AB-F159-2243-AD62-FEADF838C3E9}" srcOrd="0" destOrd="0" presId="urn:microsoft.com/office/officeart/2008/layout/HorizontalMultiLevelHierarchy"/>
    <dgm:cxn modelId="{304B4FE5-5B57-4701-94F0-D1517AB697D4}" type="presParOf" srcId="{90E2D85C-8E3E-B04D-B1CA-6C48829EE748}" destId="{EEA87C3B-92BC-F845-B25B-38ABEFA49BB4}" srcOrd="1" destOrd="0" presId="urn:microsoft.com/office/officeart/2008/layout/HorizontalMultiLevelHierarchy"/>
    <dgm:cxn modelId="{A90B6835-98BE-442E-8ACD-6FFFA0C860B4}" type="presParOf" srcId="{49227FE7-C0B9-204F-8EEC-122B36A6D55B}" destId="{3BAD75AD-B520-DF49-BA4F-531254AFF3B6}" srcOrd="10" destOrd="0" presId="urn:microsoft.com/office/officeart/2008/layout/HorizontalMultiLevelHierarchy"/>
    <dgm:cxn modelId="{AF9FF4C2-EF06-4DD1-ABE6-AB011E8B2936}" type="presParOf" srcId="{3BAD75AD-B520-DF49-BA4F-531254AFF3B6}" destId="{49A54765-15EF-354C-AC9C-1492EF8181AB}" srcOrd="0" destOrd="0" presId="urn:microsoft.com/office/officeart/2008/layout/HorizontalMultiLevelHierarchy"/>
    <dgm:cxn modelId="{FAE33EDB-7DBA-4E2D-BC71-EE0F2A6BB8B8}" type="presParOf" srcId="{49227FE7-C0B9-204F-8EEC-122B36A6D55B}" destId="{BE789BB2-279D-A049-820A-448F3B18A2EF}" srcOrd="11" destOrd="0" presId="urn:microsoft.com/office/officeart/2008/layout/HorizontalMultiLevelHierarchy"/>
    <dgm:cxn modelId="{1127B37D-078D-42D9-A595-CA8B15C60FBB}" type="presParOf" srcId="{BE789BB2-279D-A049-820A-448F3B18A2EF}" destId="{5C84EAB1-B1A6-C047-8567-B7263DF24FD3}" srcOrd="0" destOrd="0" presId="urn:microsoft.com/office/officeart/2008/layout/HorizontalMultiLevelHierarchy"/>
    <dgm:cxn modelId="{A8543D8E-20D5-4218-8799-D78313DF6EA1}" type="presParOf" srcId="{BE789BB2-279D-A049-820A-448F3B18A2EF}" destId="{73E292B3-E8E5-C347-8FDE-9CCA8A91F21C}" srcOrd="1" destOrd="0" presId="urn:microsoft.com/office/officeart/2008/layout/HorizontalMultiLevelHierarchy"/>
    <dgm:cxn modelId="{FF0CAC79-5908-4425-92B9-9AF8DE49B29E}" type="presParOf" srcId="{49227FE7-C0B9-204F-8EEC-122B36A6D55B}" destId="{7C41BDC2-C437-B44D-A329-9EA31340FCBE}" srcOrd="12" destOrd="0" presId="urn:microsoft.com/office/officeart/2008/layout/HorizontalMultiLevelHierarchy"/>
    <dgm:cxn modelId="{584A7BD5-A0F7-4CC3-B1AB-104263CAAEBC}" type="presParOf" srcId="{7C41BDC2-C437-B44D-A329-9EA31340FCBE}" destId="{4232686F-B92F-814A-9566-448857A30EC9}" srcOrd="0" destOrd="0" presId="urn:microsoft.com/office/officeart/2008/layout/HorizontalMultiLevelHierarchy"/>
    <dgm:cxn modelId="{16E329B3-35A8-4029-896A-6033C1FA8F27}" type="presParOf" srcId="{49227FE7-C0B9-204F-8EEC-122B36A6D55B}" destId="{F6CE3169-FDC3-7E43-A195-5DA63C2C3132}" srcOrd="13" destOrd="0" presId="urn:microsoft.com/office/officeart/2008/layout/HorizontalMultiLevelHierarchy"/>
    <dgm:cxn modelId="{168D01BE-836F-4F0B-9570-072015C7D3FC}" type="presParOf" srcId="{F6CE3169-FDC3-7E43-A195-5DA63C2C3132}" destId="{483ED330-A978-5C40-82B1-E02A53F0F7DC}" srcOrd="0" destOrd="0" presId="urn:microsoft.com/office/officeart/2008/layout/HorizontalMultiLevelHierarchy"/>
    <dgm:cxn modelId="{E8D2C418-39F5-4FB2-9A21-DE5BF50BDF34}" type="presParOf" srcId="{F6CE3169-FDC3-7E43-A195-5DA63C2C3132}" destId="{ABAE35A0-A70E-9146-ABE6-A72F4CF48FEC}" srcOrd="1" destOrd="0" presId="urn:microsoft.com/office/officeart/2008/layout/HorizontalMultiLevelHierarchy"/>
    <dgm:cxn modelId="{758E1227-6D2E-4B2F-8FFE-75F2892DF718}" type="presParOf" srcId="{49227FE7-C0B9-204F-8EEC-122B36A6D55B}" destId="{B3B45AC7-889A-D344-B7A1-5FE43FB10D98}" srcOrd="14" destOrd="0" presId="urn:microsoft.com/office/officeart/2008/layout/HorizontalMultiLevelHierarchy"/>
    <dgm:cxn modelId="{2F58DD6A-CF46-4CE1-9E5E-ED78FF21FBC0}" type="presParOf" srcId="{B3B45AC7-889A-D344-B7A1-5FE43FB10D98}" destId="{AB6B61A0-4581-B648-8D9A-7A8F36F89894}" srcOrd="0" destOrd="0" presId="urn:microsoft.com/office/officeart/2008/layout/HorizontalMultiLevelHierarchy"/>
    <dgm:cxn modelId="{52FCCCD2-74DB-483A-BD2A-82F09E2E0732}" type="presParOf" srcId="{49227FE7-C0B9-204F-8EEC-122B36A6D55B}" destId="{ACE32D30-4C56-564D-949A-FFDD5C1B61EB}" srcOrd="15" destOrd="0" presId="urn:microsoft.com/office/officeart/2008/layout/HorizontalMultiLevelHierarchy"/>
    <dgm:cxn modelId="{35D74758-1FF6-497C-AAFE-CD851F853355}" type="presParOf" srcId="{ACE32D30-4C56-564D-949A-FFDD5C1B61EB}" destId="{84B4D875-C2A0-374B-A8C5-C846F31A03A6}" srcOrd="0" destOrd="0" presId="urn:microsoft.com/office/officeart/2008/layout/HorizontalMultiLevelHierarchy"/>
    <dgm:cxn modelId="{0BF99D11-E598-47E9-B001-7BD0F1176053}" type="presParOf" srcId="{ACE32D30-4C56-564D-949A-FFDD5C1B61EB}" destId="{3936FD0E-20D2-9146-A330-3F6DA319A595}" srcOrd="1" destOrd="0" presId="urn:microsoft.com/office/officeart/2008/layout/HorizontalMultiLevelHierarchy"/>
    <dgm:cxn modelId="{27BDBC5C-CE6D-4846-AEA5-917A9E7C3AD8}" type="presParOf" srcId="{49227FE7-C0B9-204F-8EEC-122B36A6D55B}" destId="{957BD0B2-3428-DE43-B324-214B93069299}" srcOrd="16" destOrd="0" presId="urn:microsoft.com/office/officeart/2008/layout/HorizontalMultiLevelHierarchy"/>
    <dgm:cxn modelId="{4F6796C0-3D05-4F95-B253-1D037EEF3157}" type="presParOf" srcId="{957BD0B2-3428-DE43-B324-214B93069299}" destId="{0FF8C937-21EF-EF42-8D65-B22881FE5050}" srcOrd="0" destOrd="0" presId="urn:microsoft.com/office/officeart/2008/layout/HorizontalMultiLevelHierarchy"/>
    <dgm:cxn modelId="{8FE43C7B-0F27-4B72-A745-894DFFBC0E89}" type="presParOf" srcId="{49227FE7-C0B9-204F-8EEC-122B36A6D55B}" destId="{81640E38-1BE5-A449-8EAD-ACA876841690}" srcOrd="17" destOrd="0" presId="urn:microsoft.com/office/officeart/2008/layout/HorizontalMultiLevelHierarchy"/>
    <dgm:cxn modelId="{9B7FEA89-F046-4416-90B5-A1661A719723}" type="presParOf" srcId="{81640E38-1BE5-A449-8EAD-ACA876841690}" destId="{0384D194-C782-C747-BACB-B87A891CCC1F}" srcOrd="0" destOrd="0" presId="urn:microsoft.com/office/officeart/2008/layout/HorizontalMultiLevelHierarchy"/>
    <dgm:cxn modelId="{EA3525FC-934D-40FB-97CA-5C8E4FED823E}" type="presParOf" srcId="{81640E38-1BE5-A449-8EAD-ACA876841690}" destId="{6C6E0E90-94AD-9A4B-94EF-48583AB6EC1D}" srcOrd="1" destOrd="0" presId="urn:microsoft.com/office/officeart/2008/layout/HorizontalMultiLevelHierarchy"/>
    <dgm:cxn modelId="{849AB0A0-384D-4F43-85F7-C8B644150B32}" type="presParOf" srcId="{49227FE7-C0B9-204F-8EEC-122B36A6D55B}" destId="{BE8A1301-37B7-534B-AB79-CB625BB67310}" srcOrd="18" destOrd="0" presId="urn:microsoft.com/office/officeart/2008/layout/HorizontalMultiLevelHierarchy"/>
    <dgm:cxn modelId="{629631F0-4840-4998-A0E8-DFD5445C2300}" type="presParOf" srcId="{BE8A1301-37B7-534B-AB79-CB625BB67310}" destId="{50FD441B-019C-1049-BAB1-B1A082CF15DE}" srcOrd="0" destOrd="0" presId="urn:microsoft.com/office/officeart/2008/layout/HorizontalMultiLevelHierarchy"/>
    <dgm:cxn modelId="{7A4E7779-D9A5-44CA-8053-4AB7301FB4A8}" type="presParOf" srcId="{49227FE7-C0B9-204F-8EEC-122B36A6D55B}" destId="{E17A747F-B929-614C-A850-394E5502971F}" srcOrd="19" destOrd="0" presId="urn:microsoft.com/office/officeart/2008/layout/HorizontalMultiLevelHierarchy"/>
    <dgm:cxn modelId="{672BB0F2-BAFB-435D-A18A-C80FFCDED74F}" type="presParOf" srcId="{E17A747F-B929-614C-A850-394E5502971F}" destId="{374096F7-9F1C-AE44-94A4-12FBD0A930A0}" srcOrd="0" destOrd="0" presId="urn:microsoft.com/office/officeart/2008/layout/HorizontalMultiLevelHierarchy"/>
    <dgm:cxn modelId="{DD08C458-EC62-475A-AC15-02DDFFA937A0}" type="presParOf" srcId="{E17A747F-B929-614C-A850-394E5502971F}" destId="{E72E6CEB-A1FD-5043-9E71-7EADA7A3A758}" srcOrd="1" destOrd="0" presId="urn:microsoft.com/office/officeart/2008/layout/HorizontalMultiLevelHierarchy"/>
    <dgm:cxn modelId="{9B69E844-B00C-4F9B-862F-800E1C247BEB}" type="presParOf" srcId="{49227FE7-C0B9-204F-8EEC-122B36A6D55B}" destId="{E3CD6AAE-458B-8242-AE36-DBAC401353B7}" srcOrd="20" destOrd="0" presId="urn:microsoft.com/office/officeart/2008/layout/HorizontalMultiLevelHierarchy"/>
    <dgm:cxn modelId="{77ABCA5C-3F25-4DC9-B591-84D07DF47E49}" type="presParOf" srcId="{E3CD6AAE-458B-8242-AE36-DBAC401353B7}" destId="{088BDE93-A00A-1F41-B0E9-7CF52CD4B66D}" srcOrd="0" destOrd="0" presId="urn:microsoft.com/office/officeart/2008/layout/HorizontalMultiLevelHierarchy"/>
    <dgm:cxn modelId="{A386C35B-D0A4-4967-A5C6-42D61415C638}" type="presParOf" srcId="{49227FE7-C0B9-204F-8EEC-122B36A6D55B}" destId="{3BE29D1F-A8EA-364F-9AA2-ACAA993ADAB5}" srcOrd="21" destOrd="0" presId="urn:microsoft.com/office/officeart/2008/layout/HorizontalMultiLevelHierarchy"/>
    <dgm:cxn modelId="{D16C66A3-8FC3-46BB-9727-FAEDA175A570}" type="presParOf" srcId="{3BE29D1F-A8EA-364F-9AA2-ACAA993ADAB5}" destId="{BDB2E1C1-CC6F-0547-8B3A-76347B09CCC8}" srcOrd="0" destOrd="0" presId="urn:microsoft.com/office/officeart/2008/layout/HorizontalMultiLevelHierarchy"/>
    <dgm:cxn modelId="{9E8F9FC5-4DCF-4CE3-B753-DFF4CCC0AB94}" type="presParOf" srcId="{3BE29D1F-A8EA-364F-9AA2-ACAA993ADAB5}" destId="{5DE62A31-B2F8-4D46-BC8F-BFA52F713E13}" srcOrd="1" destOrd="0" presId="urn:microsoft.com/office/officeart/2008/layout/HorizontalMultiLevelHierarchy"/>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AF14CC-6A7B-E040-82C6-6474C0780BA9}" type="doc">
      <dgm:prSet loTypeId="urn:microsoft.com/office/officeart/2005/8/layout/lProcess3" loCatId="" qsTypeId="urn:microsoft.com/office/officeart/2005/8/quickstyle/simple1" qsCatId="simple" csTypeId="urn:microsoft.com/office/officeart/2005/8/colors/accent0_1" csCatId="mainScheme" phldr="1"/>
      <dgm:spPr/>
      <dgm:t>
        <a:bodyPr/>
        <a:lstStyle/>
        <a:p>
          <a:endParaRPr lang="ru-RU"/>
        </a:p>
      </dgm:t>
    </dgm:pt>
    <dgm:pt modelId="{48505FF9-F86A-E443-8F2B-72CF20E6641E}">
      <dgm:prSet phldrT="[Текст]" custT="1"/>
      <dgm:spPr/>
      <dgm:t>
        <a:bodyPr/>
        <a:lstStyle/>
        <a:p>
          <a:r>
            <a:rPr lang="en-US" sz="800">
              <a:latin typeface="Times New Roman" panose="02020603050405020304" pitchFamily="18" charset="0"/>
              <a:cs typeface="Times New Roman" panose="02020603050405020304" pitchFamily="18" charset="0"/>
            </a:rPr>
            <a:t>SDG 8++</a:t>
          </a:r>
        </a:p>
        <a:p>
          <a:r>
            <a:rPr lang="en-US" sz="800">
              <a:latin typeface="Times New Roman" panose="02020603050405020304" pitchFamily="18" charset="0"/>
              <a:cs typeface="Times New Roman" panose="02020603050405020304" pitchFamily="18" charset="0"/>
            </a:rPr>
            <a:t>Decent work and Economic growth </a:t>
          </a:r>
          <a:endParaRPr lang="ru-RU" sz="800">
            <a:latin typeface="Times New Roman" panose="02020603050405020304" pitchFamily="18" charset="0"/>
            <a:cs typeface="Times New Roman" panose="02020603050405020304" pitchFamily="18" charset="0"/>
          </a:endParaRPr>
        </a:p>
      </dgm:t>
    </dgm:pt>
    <dgm:pt modelId="{BAB3E078-F542-5A48-A312-DEB220C2DC7B}" type="parTrans" cxnId="{2857C9F7-E9D1-F74A-8C5B-F311FADAABE8}">
      <dgm:prSet/>
      <dgm:spPr/>
      <dgm:t>
        <a:bodyPr/>
        <a:lstStyle/>
        <a:p>
          <a:endParaRPr lang="ru-RU"/>
        </a:p>
      </dgm:t>
    </dgm:pt>
    <dgm:pt modelId="{5B8584C4-1CA4-424B-9CAF-02B608339724}" type="sibTrans" cxnId="{2857C9F7-E9D1-F74A-8C5B-F311FADAABE8}">
      <dgm:prSet/>
      <dgm:spPr/>
      <dgm:t>
        <a:bodyPr/>
        <a:lstStyle/>
        <a:p>
          <a:endParaRPr lang="ru-RU"/>
        </a:p>
      </dgm:t>
    </dgm:pt>
    <dgm:pt modelId="{110D5F20-2ABD-0346-9F02-DCCF2A28D340}">
      <dgm:prSet phldrT="[Текст]"/>
      <dgm:spPr/>
      <dgm:t>
        <a:bodyPr/>
        <a:lstStyle/>
        <a:p>
          <a:r>
            <a:rPr lang="en-US" b="0">
              <a:latin typeface="Times New Roman" panose="02020603050405020304" pitchFamily="18" charset="0"/>
              <a:cs typeface="Times New Roman" panose="02020603050405020304" pitchFamily="18" charset="0"/>
            </a:rPr>
            <a:t>SDG 1No Poverty</a:t>
          </a:r>
        </a:p>
        <a:p>
          <a:r>
            <a:rPr lang="en-US" b="0">
              <a:latin typeface="Times New Roman" panose="02020603050405020304" pitchFamily="18" charset="0"/>
              <a:cs typeface="Times New Roman" panose="02020603050405020304" pitchFamily="18" charset="0"/>
            </a:rPr>
            <a:t>SDG 2 Zero Hunger</a:t>
          </a:r>
        </a:p>
        <a:p>
          <a:r>
            <a:rPr lang="en-US" b="0">
              <a:latin typeface="Times New Roman" panose="02020603050405020304" pitchFamily="18" charset="0"/>
              <a:cs typeface="Times New Roman" panose="02020603050405020304" pitchFamily="18" charset="0"/>
            </a:rPr>
            <a:t>SDG 3 Good Health and Well-being </a:t>
          </a:r>
        </a:p>
        <a:p>
          <a:r>
            <a:rPr lang="en-US" b="0">
              <a:latin typeface="Times New Roman" panose="02020603050405020304" pitchFamily="18" charset="0"/>
              <a:cs typeface="Times New Roman" panose="02020603050405020304" pitchFamily="18" charset="0"/>
            </a:rPr>
            <a:t>SDG 16 Peace Justice and Strong Institutions </a:t>
          </a:r>
          <a:endParaRPr lang="ru-RU" b="0">
            <a:latin typeface="Times New Roman" panose="02020603050405020304" pitchFamily="18" charset="0"/>
            <a:cs typeface="Times New Roman" panose="02020603050405020304" pitchFamily="18" charset="0"/>
          </a:endParaRPr>
        </a:p>
      </dgm:t>
    </dgm:pt>
    <dgm:pt modelId="{A4B90CB0-399A-8B4B-9DEA-A585307EB3BD}" type="parTrans" cxnId="{660B35F5-8F54-B94F-8FB6-9FF47F5898A5}">
      <dgm:prSet/>
      <dgm:spPr/>
      <dgm:t>
        <a:bodyPr/>
        <a:lstStyle/>
        <a:p>
          <a:endParaRPr lang="ru-RU"/>
        </a:p>
      </dgm:t>
    </dgm:pt>
    <dgm:pt modelId="{E8C00B1F-42DF-8047-A036-104422766345}" type="sibTrans" cxnId="{660B35F5-8F54-B94F-8FB6-9FF47F5898A5}">
      <dgm:prSet/>
      <dgm:spPr/>
      <dgm:t>
        <a:bodyPr/>
        <a:lstStyle/>
        <a:p>
          <a:endParaRPr lang="ru-RU"/>
        </a:p>
      </dgm:t>
    </dgm:pt>
    <dgm:pt modelId="{D8DCE5D8-439E-124C-B3D2-3E809DCE5F70}">
      <dgm:prSet phldrT="[Текст]" custT="1"/>
      <dgm:spPr/>
      <dgm:t>
        <a:bodyPr/>
        <a:lstStyle/>
        <a:p>
          <a:r>
            <a:rPr lang="en-US" sz="800">
              <a:latin typeface="Times New Roman" panose="02020603050405020304" pitchFamily="18" charset="0"/>
              <a:cs typeface="Times New Roman" panose="02020603050405020304" pitchFamily="18" charset="0"/>
            </a:rPr>
            <a:t>Islamic Finance promotion of financial inclusion and more equitable distribution of wealth</a:t>
          </a:r>
          <a:endParaRPr lang="ru-RU" sz="800">
            <a:latin typeface="Times New Roman" panose="02020603050405020304" pitchFamily="18" charset="0"/>
            <a:cs typeface="Times New Roman" panose="02020603050405020304" pitchFamily="18" charset="0"/>
          </a:endParaRPr>
        </a:p>
        <a:p>
          <a:pPr>
            <a:buFont typeface="Calibri" panose="020F0502020204030204" pitchFamily="34" charset="0"/>
            <a:buChar char="•"/>
          </a:pPr>
          <a:r>
            <a:rPr lang="en-US" sz="800">
              <a:latin typeface="Times New Roman" panose="02020603050405020304" pitchFamily="18" charset="0"/>
              <a:cs typeface="Times New Roman" panose="02020603050405020304" pitchFamily="18" charset="0"/>
            </a:rPr>
            <a:t>Application of Zakat, Waqf, Sadaqah</a:t>
          </a:r>
          <a:endParaRPr lang="ru-RU" sz="800">
            <a:latin typeface="Times New Roman" panose="02020603050405020304" pitchFamily="18" charset="0"/>
            <a:cs typeface="Times New Roman" panose="02020603050405020304" pitchFamily="18" charset="0"/>
          </a:endParaRPr>
        </a:p>
        <a:p>
          <a:pPr>
            <a:buFont typeface="Calibri" panose="020F0502020204030204" pitchFamily="34" charset="0"/>
            <a:buChar char="•"/>
          </a:pPr>
          <a:r>
            <a:rPr lang="en-US" sz="800">
              <a:latin typeface="Times New Roman" panose="02020603050405020304" pitchFamily="18" charset="0"/>
              <a:cs typeface="Times New Roman" panose="02020603050405020304" pitchFamily="18" charset="0"/>
            </a:rPr>
            <a:t>Encouraging circulation of wealth </a:t>
          </a:r>
          <a:endParaRPr lang="ru-RU" sz="800">
            <a:latin typeface="Times New Roman" panose="02020603050405020304" pitchFamily="18" charset="0"/>
            <a:cs typeface="Times New Roman" panose="02020603050405020304" pitchFamily="18" charset="0"/>
          </a:endParaRPr>
        </a:p>
        <a:p>
          <a:pPr>
            <a:buFont typeface="Calibri" panose="020F0502020204030204" pitchFamily="34" charset="0"/>
            <a:buChar char="•"/>
          </a:pPr>
          <a:r>
            <a:rPr lang="en-US" sz="800">
              <a:latin typeface="Times New Roman" panose="02020603050405020304" pitchFamily="18" charset="0"/>
              <a:cs typeface="Times New Roman" panose="02020603050405020304" pitchFamily="18" charset="0"/>
            </a:rPr>
            <a:t>Promoting a peaceful and inclusive society</a:t>
          </a:r>
          <a:endParaRPr lang="ru-RU" sz="800">
            <a:latin typeface="Times New Roman" panose="02020603050405020304" pitchFamily="18" charset="0"/>
            <a:cs typeface="Times New Roman" panose="02020603050405020304" pitchFamily="18" charset="0"/>
          </a:endParaRPr>
        </a:p>
      </dgm:t>
    </dgm:pt>
    <dgm:pt modelId="{F09CD431-C442-7F4E-9FDB-FCD2810318A5}" type="parTrans" cxnId="{7C0CE18D-7E73-AC40-BD64-64F6F2B30A13}">
      <dgm:prSet/>
      <dgm:spPr/>
      <dgm:t>
        <a:bodyPr/>
        <a:lstStyle/>
        <a:p>
          <a:endParaRPr lang="ru-RU"/>
        </a:p>
      </dgm:t>
    </dgm:pt>
    <dgm:pt modelId="{E8A6A92F-5804-374A-A5FD-35D58161FF3B}" type="sibTrans" cxnId="{7C0CE18D-7E73-AC40-BD64-64F6F2B30A13}">
      <dgm:prSet/>
      <dgm:spPr/>
      <dgm:t>
        <a:bodyPr/>
        <a:lstStyle/>
        <a:p>
          <a:endParaRPr lang="ru-RU"/>
        </a:p>
      </dgm:t>
    </dgm:pt>
    <dgm:pt modelId="{3FB14284-E43E-A448-86EB-28A43CA20F6F}">
      <dgm:prSet phldrT="[Текст]"/>
      <dgm:spPr/>
      <dgm:t>
        <a:bodyPr/>
        <a:lstStyle/>
        <a:p>
          <a:r>
            <a:rPr lang="en-US" b="0">
              <a:latin typeface="Times New Roman" panose="02020603050405020304" pitchFamily="18" charset="0"/>
              <a:cs typeface="Times New Roman" panose="02020603050405020304" pitchFamily="18" charset="0"/>
            </a:rPr>
            <a:t>SDG 6 Reduced Inequality</a:t>
          </a:r>
          <a:endParaRPr lang="ru-RU" b="0">
            <a:latin typeface="Times New Roman" panose="02020603050405020304" pitchFamily="18" charset="0"/>
            <a:cs typeface="Times New Roman" panose="02020603050405020304" pitchFamily="18" charset="0"/>
          </a:endParaRPr>
        </a:p>
        <a:p>
          <a:r>
            <a:rPr lang="en-US" b="0">
              <a:latin typeface="Times New Roman" panose="02020603050405020304" pitchFamily="18" charset="0"/>
              <a:cs typeface="Times New Roman" panose="02020603050405020304" pitchFamily="18" charset="0"/>
            </a:rPr>
            <a:t>SDG 9 Affordable and Clean energy </a:t>
          </a:r>
          <a:endParaRPr lang="ru-RU" b="0">
            <a:latin typeface="Times New Roman" panose="02020603050405020304" pitchFamily="18" charset="0"/>
            <a:cs typeface="Times New Roman" panose="02020603050405020304" pitchFamily="18" charset="0"/>
          </a:endParaRPr>
        </a:p>
        <a:p>
          <a:r>
            <a:rPr lang="en-US" b="0">
              <a:latin typeface="Times New Roman" panose="02020603050405020304" pitchFamily="18" charset="0"/>
              <a:cs typeface="Times New Roman" panose="02020603050405020304" pitchFamily="18" charset="0"/>
            </a:rPr>
            <a:t>SDG11 Sustainable Cities and Communities</a:t>
          </a:r>
          <a:endParaRPr lang="ru-RU" b="0">
            <a:latin typeface="Times New Roman" panose="02020603050405020304" pitchFamily="18" charset="0"/>
            <a:cs typeface="Times New Roman" panose="02020603050405020304" pitchFamily="18" charset="0"/>
          </a:endParaRPr>
        </a:p>
      </dgm:t>
    </dgm:pt>
    <dgm:pt modelId="{32DA5C44-4AFC-E744-9A1F-90CE7F70F3FF}" type="parTrans" cxnId="{E084F76F-D275-6442-8127-5F2CBBB50F95}">
      <dgm:prSet/>
      <dgm:spPr/>
      <dgm:t>
        <a:bodyPr/>
        <a:lstStyle/>
        <a:p>
          <a:endParaRPr lang="ru-RU"/>
        </a:p>
      </dgm:t>
    </dgm:pt>
    <dgm:pt modelId="{B0F24801-8105-8544-BF4E-8BDFBB591D00}" type="sibTrans" cxnId="{E084F76F-D275-6442-8127-5F2CBBB50F95}">
      <dgm:prSet/>
      <dgm:spPr/>
      <dgm:t>
        <a:bodyPr/>
        <a:lstStyle/>
        <a:p>
          <a:endParaRPr lang="ru-RU"/>
        </a:p>
      </dgm:t>
    </dgm:pt>
    <dgm:pt modelId="{CCAB35D1-4974-0C4E-9A24-2C1F4175E94E}">
      <dgm:prSet phldrT="[Текст]" custT="1"/>
      <dgm:spPr/>
      <dgm:t>
        <a:bodyPr/>
        <a:lstStyle/>
        <a:p>
          <a:pPr>
            <a:buFont typeface="Calibri" panose="020F0502020204030204" pitchFamily="34" charset="0"/>
            <a:buChar char="•"/>
          </a:pPr>
          <a:r>
            <a:rPr lang="en-US" sz="800">
              <a:latin typeface="Times New Roman" panose="02020603050405020304" pitchFamily="18" charset="0"/>
              <a:cs typeface="Times New Roman" panose="02020603050405020304" pitchFamily="18" charset="0"/>
            </a:rPr>
            <a:t>A significant portion of the target population are in predominantly Muslim-populated countries</a:t>
          </a:r>
          <a:endParaRPr lang="ru-RU" sz="800">
            <a:latin typeface="Times New Roman" panose="02020603050405020304" pitchFamily="18" charset="0"/>
            <a:cs typeface="Times New Roman" panose="02020603050405020304" pitchFamily="18" charset="0"/>
          </a:endParaRPr>
        </a:p>
        <a:p>
          <a:pPr>
            <a:buFont typeface="Calibri" panose="020F0502020204030204" pitchFamily="34" charset="0"/>
            <a:buChar char="•"/>
          </a:pPr>
          <a:r>
            <a:rPr lang="en-US" sz="800">
              <a:latin typeface="Times New Roman" panose="02020603050405020304" pitchFamily="18" charset="0"/>
              <a:cs typeface="Times New Roman" panose="02020603050405020304" pitchFamily="18" charset="0"/>
            </a:rPr>
            <a:t>Sukuk issuance for the development of global infrastructure</a:t>
          </a:r>
          <a:endParaRPr lang="ru-RU" sz="800">
            <a:latin typeface="Times New Roman" panose="02020603050405020304" pitchFamily="18" charset="0"/>
            <a:cs typeface="Times New Roman" panose="02020603050405020304" pitchFamily="18" charset="0"/>
          </a:endParaRPr>
        </a:p>
      </dgm:t>
    </dgm:pt>
    <dgm:pt modelId="{4A761266-30E3-F541-87AA-4171095821B6}" type="parTrans" cxnId="{C669949A-DC4D-EB45-9F00-45D3D9039F41}">
      <dgm:prSet/>
      <dgm:spPr/>
      <dgm:t>
        <a:bodyPr/>
        <a:lstStyle/>
        <a:p>
          <a:endParaRPr lang="ru-RU"/>
        </a:p>
      </dgm:t>
    </dgm:pt>
    <dgm:pt modelId="{8EDD8B88-9C64-AE48-AF5B-FE2D469129E5}" type="sibTrans" cxnId="{C669949A-DC4D-EB45-9F00-45D3D9039F41}">
      <dgm:prSet/>
      <dgm:spPr/>
      <dgm:t>
        <a:bodyPr/>
        <a:lstStyle/>
        <a:p>
          <a:endParaRPr lang="ru-RU"/>
        </a:p>
      </dgm:t>
    </dgm:pt>
    <dgm:pt modelId="{94841FDC-4B26-0F4B-BB20-EB24D236D464}">
      <dgm:prSet phldrT="[Текст]" custT="1"/>
      <dgm:spPr/>
      <dgm:t>
        <a:bodyPr/>
        <a:lstStyle/>
        <a:p>
          <a:r>
            <a:rPr lang="en-US" sz="800">
              <a:latin typeface="Times New Roman" panose="02020603050405020304" pitchFamily="18" charset="0"/>
              <a:cs typeface="Times New Roman" panose="02020603050405020304" pitchFamily="18" charset="0"/>
            </a:rPr>
            <a:t>Islamic Finance growth-related impact trough real-sector linkage</a:t>
          </a:r>
        </a:p>
        <a:p>
          <a:r>
            <a:rPr lang="en-US" sz="800">
              <a:latin typeface="Times New Roman" panose="02020603050405020304" pitchFamily="18" charset="0"/>
              <a:cs typeface="Times New Roman" panose="02020603050405020304" pitchFamily="18" charset="0"/>
            </a:rPr>
            <a:t>Islamic Finance resilience during crisis</a:t>
          </a:r>
          <a:endParaRPr lang="ru-RU" sz="800">
            <a:latin typeface="Times New Roman" panose="02020603050405020304" pitchFamily="18" charset="0"/>
            <a:cs typeface="Times New Roman" panose="02020603050405020304" pitchFamily="18" charset="0"/>
          </a:endParaRPr>
        </a:p>
      </dgm:t>
    </dgm:pt>
    <dgm:pt modelId="{05F2CDBD-09B6-F742-8781-9C9B59A88ACE}" type="sibTrans" cxnId="{2EAE6E9D-519E-8D42-B2A9-42B4823DD88A}">
      <dgm:prSet/>
      <dgm:spPr/>
      <dgm:t>
        <a:bodyPr/>
        <a:lstStyle/>
        <a:p>
          <a:endParaRPr lang="ru-RU"/>
        </a:p>
      </dgm:t>
    </dgm:pt>
    <dgm:pt modelId="{891C58EC-544F-B644-AC7C-1E02AFF5A0DD}" type="parTrans" cxnId="{2EAE6E9D-519E-8D42-B2A9-42B4823DD88A}">
      <dgm:prSet/>
      <dgm:spPr/>
      <dgm:t>
        <a:bodyPr/>
        <a:lstStyle/>
        <a:p>
          <a:endParaRPr lang="ru-RU"/>
        </a:p>
      </dgm:t>
    </dgm:pt>
    <dgm:pt modelId="{3253EE05-9F9A-E74D-8440-88F7582B682C}" type="pres">
      <dgm:prSet presAssocID="{94AF14CC-6A7B-E040-82C6-6474C0780BA9}" presName="Name0" presStyleCnt="0">
        <dgm:presLayoutVars>
          <dgm:chPref val="3"/>
          <dgm:dir/>
          <dgm:animLvl val="lvl"/>
          <dgm:resizeHandles/>
        </dgm:presLayoutVars>
      </dgm:prSet>
      <dgm:spPr/>
    </dgm:pt>
    <dgm:pt modelId="{655D3FE0-A81E-8048-BDAF-5F9ACE80A6EE}" type="pres">
      <dgm:prSet presAssocID="{48505FF9-F86A-E443-8F2B-72CF20E6641E}" presName="horFlow" presStyleCnt="0"/>
      <dgm:spPr/>
    </dgm:pt>
    <dgm:pt modelId="{52408991-EC6F-BF4D-BD1D-C20DDBA57513}" type="pres">
      <dgm:prSet presAssocID="{48505FF9-F86A-E443-8F2B-72CF20E6641E}" presName="bigChev" presStyleLbl="node1" presStyleIdx="0" presStyleCnt="3" custScaleX="84787"/>
      <dgm:spPr/>
    </dgm:pt>
    <dgm:pt modelId="{55F7E759-86BF-454A-A2CA-727ACD26C1C2}" type="pres">
      <dgm:prSet presAssocID="{891C58EC-544F-B644-AC7C-1E02AFF5A0DD}" presName="parTrans" presStyleCnt="0"/>
      <dgm:spPr/>
    </dgm:pt>
    <dgm:pt modelId="{1C0B9711-FEA1-0242-A45F-165D496601CA}" type="pres">
      <dgm:prSet presAssocID="{94841FDC-4B26-0F4B-BB20-EB24D236D464}" presName="node" presStyleLbl="alignAccFollowNode1" presStyleIdx="0" presStyleCnt="3" custScaleX="207653" custLinFactNeighborX="1" custLinFactNeighborY="790">
        <dgm:presLayoutVars>
          <dgm:bulletEnabled val="1"/>
        </dgm:presLayoutVars>
      </dgm:prSet>
      <dgm:spPr/>
    </dgm:pt>
    <dgm:pt modelId="{3B476C69-AD96-8C4D-9C4D-8DEA07720711}" type="pres">
      <dgm:prSet presAssocID="{48505FF9-F86A-E443-8F2B-72CF20E6641E}" presName="vSp" presStyleCnt="0"/>
      <dgm:spPr/>
    </dgm:pt>
    <dgm:pt modelId="{472C9426-D699-0542-89E0-522DA9A9E96B}" type="pres">
      <dgm:prSet presAssocID="{110D5F20-2ABD-0346-9F02-DCCF2A28D340}" presName="horFlow" presStyleCnt="0"/>
      <dgm:spPr/>
    </dgm:pt>
    <dgm:pt modelId="{CFAC848A-B0CA-9146-B943-572E30042643}" type="pres">
      <dgm:prSet presAssocID="{110D5F20-2ABD-0346-9F02-DCCF2A28D340}" presName="bigChev" presStyleLbl="node1" presStyleIdx="1" presStyleCnt="3"/>
      <dgm:spPr/>
    </dgm:pt>
    <dgm:pt modelId="{E5080D15-62B0-714A-8FF2-BEC4743C73D9}" type="pres">
      <dgm:prSet presAssocID="{F09CD431-C442-7F4E-9FDB-FCD2810318A5}" presName="parTrans" presStyleCnt="0"/>
      <dgm:spPr/>
    </dgm:pt>
    <dgm:pt modelId="{F1E693AD-8B41-CD44-A367-70F762CA6374}" type="pres">
      <dgm:prSet presAssocID="{D8DCE5D8-439E-124C-B3D2-3E809DCE5F70}" presName="node" presStyleLbl="alignAccFollowNode1" presStyleIdx="1" presStyleCnt="3" custScaleX="185955">
        <dgm:presLayoutVars>
          <dgm:bulletEnabled val="1"/>
        </dgm:presLayoutVars>
      </dgm:prSet>
      <dgm:spPr/>
    </dgm:pt>
    <dgm:pt modelId="{A73B5FC5-7678-CC46-B538-05BF1321A4CF}" type="pres">
      <dgm:prSet presAssocID="{110D5F20-2ABD-0346-9F02-DCCF2A28D340}" presName="vSp" presStyleCnt="0"/>
      <dgm:spPr/>
    </dgm:pt>
    <dgm:pt modelId="{747A0ED9-9B3D-E74C-BA93-53C8AD44DD6E}" type="pres">
      <dgm:prSet presAssocID="{3FB14284-E43E-A448-86EB-28A43CA20F6F}" presName="horFlow" presStyleCnt="0"/>
      <dgm:spPr/>
    </dgm:pt>
    <dgm:pt modelId="{C27D7E5C-9786-8346-AC95-EC1BE3248198}" type="pres">
      <dgm:prSet presAssocID="{3FB14284-E43E-A448-86EB-28A43CA20F6F}" presName="bigChev" presStyleLbl="node1" presStyleIdx="2" presStyleCnt="3"/>
      <dgm:spPr/>
    </dgm:pt>
    <dgm:pt modelId="{94C881EA-4940-AD44-8992-DE91381EB53C}" type="pres">
      <dgm:prSet presAssocID="{4A761266-30E3-F541-87AA-4171095821B6}" presName="parTrans" presStyleCnt="0"/>
      <dgm:spPr/>
    </dgm:pt>
    <dgm:pt modelId="{5DE8B1B8-F971-A749-B2FA-EF2015AABACD}" type="pres">
      <dgm:prSet presAssocID="{CCAB35D1-4974-0C4E-9A24-2C1F4175E94E}" presName="node" presStyleLbl="alignAccFollowNode1" presStyleIdx="2" presStyleCnt="3" custScaleX="188630">
        <dgm:presLayoutVars>
          <dgm:bulletEnabled val="1"/>
        </dgm:presLayoutVars>
      </dgm:prSet>
      <dgm:spPr/>
    </dgm:pt>
  </dgm:ptLst>
  <dgm:cxnLst>
    <dgm:cxn modelId="{F7335D09-14C8-4E22-AA88-35DEF9117859}" type="presOf" srcId="{D8DCE5D8-439E-124C-B3D2-3E809DCE5F70}" destId="{F1E693AD-8B41-CD44-A367-70F762CA6374}" srcOrd="0" destOrd="0" presId="urn:microsoft.com/office/officeart/2005/8/layout/lProcess3"/>
    <dgm:cxn modelId="{E6F24B0F-365B-4C8C-93C7-B1BFC540C2DC}" type="presOf" srcId="{3FB14284-E43E-A448-86EB-28A43CA20F6F}" destId="{C27D7E5C-9786-8346-AC95-EC1BE3248198}" srcOrd="0" destOrd="0" presId="urn:microsoft.com/office/officeart/2005/8/layout/lProcess3"/>
    <dgm:cxn modelId="{72842C28-8C9E-4B9D-8F04-2A50974FE550}" type="presOf" srcId="{CCAB35D1-4974-0C4E-9A24-2C1F4175E94E}" destId="{5DE8B1B8-F971-A749-B2FA-EF2015AABACD}" srcOrd="0" destOrd="0" presId="urn:microsoft.com/office/officeart/2005/8/layout/lProcess3"/>
    <dgm:cxn modelId="{E084F76F-D275-6442-8127-5F2CBBB50F95}" srcId="{94AF14CC-6A7B-E040-82C6-6474C0780BA9}" destId="{3FB14284-E43E-A448-86EB-28A43CA20F6F}" srcOrd="2" destOrd="0" parTransId="{32DA5C44-4AFC-E744-9A1F-90CE7F70F3FF}" sibTransId="{B0F24801-8105-8544-BF4E-8BDFBB591D00}"/>
    <dgm:cxn modelId="{7C0CE18D-7E73-AC40-BD64-64F6F2B30A13}" srcId="{110D5F20-2ABD-0346-9F02-DCCF2A28D340}" destId="{D8DCE5D8-439E-124C-B3D2-3E809DCE5F70}" srcOrd="0" destOrd="0" parTransId="{F09CD431-C442-7F4E-9FDB-FCD2810318A5}" sibTransId="{E8A6A92F-5804-374A-A5FD-35D58161FF3B}"/>
    <dgm:cxn modelId="{C669949A-DC4D-EB45-9F00-45D3D9039F41}" srcId="{3FB14284-E43E-A448-86EB-28A43CA20F6F}" destId="{CCAB35D1-4974-0C4E-9A24-2C1F4175E94E}" srcOrd="0" destOrd="0" parTransId="{4A761266-30E3-F541-87AA-4171095821B6}" sibTransId="{8EDD8B88-9C64-AE48-AF5B-FE2D469129E5}"/>
    <dgm:cxn modelId="{2EAE6E9D-519E-8D42-B2A9-42B4823DD88A}" srcId="{48505FF9-F86A-E443-8F2B-72CF20E6641E}" destId="{94841FDC-4B26-0F4B-BB20-EB24D236D464}" srcOrd="0" destOrd="0" parTransId="{891C58EC-544F-B644-AC7C-1E02AFF5A0DD}" sibTransId="{05F2CDBD-09B6-F742-8781-9C9B59A88ACE}"/>
    <dgm:cxn modelId="{6EBE1AAD-069E-4C19-AA1B-875E76DCCA0D}" type="presOf" srcId="{110D5F20-2ABD-0346-9F02-DCCF2A28D340}" destId="{CFAC848A-B0CA-9146-B943-572E30042643}" srcOrd="0" destOrd="0" presId="urn:microsoft.com/office/officeart/2005/8/layout/lProcess3"/>
    <dgm:cxn modelId="{D9DFB9D6-6F07-4FDD-BD98-0384C92BEC3B}" type="presOf" srcId="{94AF14CC-6A7B-E040-82C6-6474C0780BA9}" destId="{3253EE05-9F9A-E74D-8440-88F7582B682C}" srcOrd="0" destOrd="0" presId="urn:microsoft.com/office/officeart/2005/8/layout/lProcess3"/>
    <dgm:cxn modelId="{18EC3DDF-E0E4-437C-BB79-C378BE99C1A0}" type="presOf" srcId="{48505FF9-F86A-E443-8F2B-72CF20E6641E}" destId="{52408991-EC6F-BF4D-BD1D-C20DDBA57513}" srcOrd="0" destOrd="0" presId="urn:microsoft.com/office/officeart/2005/8/layout/lProcess3"/>
    <dgm:cxn modelId="{660B35F5-8F54-B94F-8FB6-9FF47F5898A5}" srcId="{94AF14CC-6A7B-E040-82C6-6474C0780BA9}" destId="{110D5F20-2ABD-0346-9F02-DCCF2A28D340}" srcOrd="1" destOrd="0" parTransId="{A4B90CB0-399A-8B4B-9DEA-A585307EB3BD}" sibTransId="{E8C00B1F-42DF-8047-A036-104422766345}"/>
    <dgm:cxn modelId="{2857C9F7-E9D1-F74A-8C5B-F311FADAABE8}" srcId="{94AF14CC-6A7B-E040-82C6-6474C0780BA9}" destId="{48505FF9-F86A-E443-8F2B-72CF20E6641E}" srcOrd="0" destOrd="0" parTransId="{BAB3E078-F542-5A48-A312-DEB220C2DC7B}" sibTransId="{5B8584C4-1CA4-424B-9CAF-02B608339724}"/>
    <dgm:cxn modelId="{E60CDEFE-76AA-4BDD-B631-8F8B9E2A483D}" type="presOf" srcId="{94841FDC-4B26-0F4B-BB20-EB24D236D464}" destId="{1C0B9711-FEA1-0242-A45F-165D496601CA}" srcOrd="0" destOrd="0" presId="urn:microsoft.com/office/officeart/2005/8/layout/lProcess3"/>
    <dgm:cxn modelId="{9B2C8CDB-A1E8-4994-8BFB-D4C480866BB7}" type="presParOf" srcId="{3253EE05-9F9A-E74D-8440-88F7582B682C}" destId="{655D3FE0-A81E-8048-BDAF-5F9ACE80A6EE}" srcOrd="0" destOrd="0" presId="urn:microsoft.com/office/officeart/2005/8/layout/lProcess3"/>
    <dgm:cxn modelId="{FE9AE5ED-344F-4672-8CF4-7C8EB8F31F99}" type="presParOf" srcId="{655D3FE0-A81E-8048-BDAF-5F9ACE80A6EE}" destId="{52408991-EC6F-BF4D-BD1D-C20DDBA57513}" srcOrd="0" destOrd="0" presId="urn:microsoft.com/office/officeart/2005/8/layout/lProcess3"/>
    <dgm:cxn modelId="{C0E9B333-3CFB-4A7F-9CF7-2F3A741AA7D1}" type="presParOf" srcId="{655D3FE0-A81E-8048-BDAF-5F9ACE80A6EE}" destId="{55F7E759-86BF-454A-A2CA-727ACD26C1C2}" srcOrd="1" destOrd="0" presId="urn:microsoft.com/office/officeart/2005/8/layout/lProcess3"/>
    <dgm:cxn modelId="{AC274395-C8C8-4B0A-AA3F-1F6ACBEC21DC}" type="presParOf" srcId="{655D3FE0-A81E-8048-BDAF-5F9ACE80A6EE}" destId="{1C0B9711-FEA1-0242-A45F-165D496601CA}" srcOrd="2" destOrd="0" presId="urn:microsoft.com/office/officeart/2005/8/layout/lProcess3"/>
    <dgm:cxn modelId="{2DA2AD1C-FCD1-4DDA-BD38-09C150CDFD81}" type="presParOf" srcId="{3253EE05-9F9A-E74D-8440-88F7582B682C}" destId="{3B476C69-AD96-8C4D-9C4D-8DEA07720711}" srcOrd="1" destOrd="0" presId="urn:microsoft.com/office/officeart/2005/8/layout/lProcess3"/>
    <dgm:cxn modelId="{4CE1BDB3-AA76-4910-9C16-5B35320BBEDE}" type="presParOf" srcId="{3253EE05-9F9A-E74D-8440-88F7582B682C}" destId="{472C9426-D699-0542-89E0-522DA9A9E96B}" srcOrd="2" destOrd="0" presId="urn:microsoft.com/office/officeart/2005/8/layout/lProcess3"/>
    <dgm:cxn modelId="{6A3000AA-E185-45C3-8640-B68EC73BD7DD}" type="presParOf" srcId="{472C9426-D699-0542-89E0-522DA9A9E96B}" destId="{CFAC848A-B0CA-9146-B943-572E30042643}" srcOrd="0" destOrd="0" presId="urn:microsoft.com/office/officeart/2005/8/layout/lProcess3"/>
    <dgm:cxn modelId="{59324355-78F0-40F9-87D6-EF48FEEBE39A}" type="presParOf" srcId="{472C9426-D699-0542-89E0-522DA9A9E96B}" destId="{E5080D15-62B0-714A-8FF2-BEC4743C73D9}" srcOrd="1" destOrd="0" presId="urn:microsoft.com/office/officeart/2005/8/layout/lProcess3"/>
    <dgm:cxn modelId="{2E3FFF85-68CB-4D72-8F3B-C3A42CE942FC}" type="presParOf" srcId="{472C9426-D699-0542-89E0-522DA9A9E96B}" destId="{F1E693AD-8B41-CD44-A367-70F762CA6374}" srcOrd="2" destOrd="0" presId="urn:microsoft.com/office/officeart/2005/8/layout/lProcess3"/>
    <dgm:cxn modelId="{41E30DCB-E98B-44A7-A7A3-D2686271F047}" type="presParOf" srcId="{3253EE05-9F9A-E74D-8440-88F7582B682C}" destId="{A73B5FC5-7678-CC46-B538-05BF1321A4CF}" srcOrd="3" destOrd="0" presId="urn:microsoft.com/office/officeart/2005/8/layout/lProcess3"/>
    <dgm:cxn modelId="{7B86DCFC-F0B4-4549-A5D3-517DD270A7A5}" type="presParOf" srcId="{3253EE05-9F9A-E74D-8440-88F7582B682C}" destId="{747A0ED9-9B3D-E74C-BA93-53C8AD44DD6E}" srcOrd="4" destOrd="0" presId="urn:microsoft.com/office/officeart/2005/8/layout/lProcess3"/>
    <dgm:cxn modelId="{A2D9AB8C-56B9-47D5-90EC-313FC5671046}" type="presParOf" srcId="{747A0ED9-9B3D-E74C-BA93-53C8AD44DD6E}" destId="{C27D7E5C-9786-8346-AC95-EC1BE3248198}" srcOrd="0" destOrd="0" presId="urn:microsoft.com/office/officeart/2005/8/layout/lProcess3"/>
    <dgm:cxn modelId="{4091FD14-38AF-4F70-9C19-64AB4D23E703}" type="presParOf" srcId="{747A0ED9-9B3D-E74C-BA93-53C8AD44DD6E}" destId="{94C881EA-4940-AD44-8992-DE91381EB53C}" srcOrd="1" destOrd="0" presId="urn:microsoft.com/office/officeart/2005/8/layout/lProcess3"/>
    <dgm:cxn modelId="{8B8621D6-0D49-4FA0-8782-EF1163FEC6FD}" type="presParOf" srcId="{747A0ED9-9B3D-E74C-BA93-53C8AD44DD6E}" destId="{5DE8B1B8-F971-A749-B2FA-EF2015AABACD}" srcOrd="2" destOrd="0" presId="urn:microsoft.com/office/officeart/2005/8/layout/l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041166-3DE4-2042-9EE3-65E1F82EC98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71B42E2D-9015-4D46-9BB0-F2DC5C73F9D7}">
      <dgm:prSet phldrT="[Текст]" custT="1"/>
      <dgm:spPr>
        <a:noFill/>
        <a:ln>
          <a:solidFill>
            <a:schemeClr val="tx1"/>
          </a:solidFill>
        </a:ln>
      </dgm:spPr>
      <dgm:t>
        <a:bodyPr/>
        <a:lstStyle/>
        <a:p>
          <a:r>
            <a:rPr lang="en-US" sz="900">
              <a:solidFill>
                <a:schemeClr val="tx1"/>
              </a:solidFill>
              <a:latin typeface="Times New Roman" panose="02020603050405020304" pitchFamily="18" charset="0"/>
              <a:cs typeface="Times New Roman" panose="02020603050405020304" pitchFamily="18" charset="0"/>
            </a:rPr>
            <a:t>President</a:t>
          </a:r>
          <a:endParaRPr lang="ru-RU" sz="900">
            <a:solidFill>
              <a:schemeClr val="tx1"/>
            </a:solidFill>
            <a:latin typeface="Times New Roman" panose="02020603050405020304" pitchFamily="18" charset="0"/>
            <a:cs typeface="Times New Roman" panose="02020603050405020304" pitchFamily="18" charset="0"/>
          </a:endParaRPr>
        </a:p>
      </dgm:t>
    </dgm:pt>
    <dgm:pt modelId="{3707DEE1-9F4C-2E4E-9E57-ECD99451B0C2}" type="parTrans" cxnId="{F9055ED9-4BD1-D446-9255-1115AAEC2F0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9527CC81-7902-8847-87D2-9CECDA3CFAAE}" type="sibTrans" cxnId="{F9055ED9-4BD1-D446-9255-1115AAEC2F0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AE71ECF3-5699-AD41-8604-4DD68287BCB4}">
      <dgm:prSet phldrT="[Текст]" custT="1"/>
      <dgm:spPr>
        <a:noFill/>
        <a:ln>
          <a:solidFill>
            <a:schemeClr val="tx1"/>
          </a:solidFill>
        </a:ln>
      </dgm:spPr>
      <dgm:t>
        <a:bodyPr/>
        <a:lstStyle/>
        <a:p>
          <a:r>
            <a:rPr lang="en-US" sz="900">
              <a:solidFill>
                <a:schemeClr val="tx1"/>
              </a:solidFill>
              <a:latin typeface="Times New Roman" panose="02020603050405020304" pitchFamily="18" charset="0"/>
              <a:cs typeface="Times New Roman" panose="02020603050405020304" pitchFamily="18" charset="0"/>
            </a:rPr>
            <a:t>Minister of religious affairs </a:t>
          </a:r>
          <a:endParaRPr lang="ru-RU" sz="900">
            <a:solidFill>
              <a:schemeClr val="tx1"/>
            </a:solidFill>
            <a:latin typeface="Times New Roman" panose="02020603050405020304" pitchFamily="18" charset="0"/>
            <a:cs typeface="Times New Roman" panose="02020603050405020304" pitchFamily="18" charset="0"/>
          </a:endParaRPr>
        </a:p>
      </dgm:t>
    </dgm:pt>
    <dgm:pt modelId="{F02DABEE-F34D-054A-B663-272C6D81F630}" type="parTrans" cxnId="{949F652D-50AA-8748-8044-2BECA4E5EE9E}">
      <dgm:prSet/>
      <dgm:spPr>
        <a:ln>
          <a:solidFill>
            <a:schemeClr val="tx1"/>
          </a:solidFill>
        </a:ln>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455DAFAD-F631-0444-B9F2-BD1EBEB49908}" type="sibTrans" cxnId="{949F652D-50AA-8748-8044-2BECA4E5EE9E}">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FE8FA7F1-FD83-9F4E-98C7-0E8BB14F189F}">
      <dgm:prSet custT="1"/>
      <dgm:spPr>
        <a:noFill/>
        <a:ln>
          <a:solidFill>
            <a:schemeClr val="tx1"/>
          </a:solidFill>
        </a:ln>
      </dgm:spPr>
      <dgm:t>
        <a:bodyPr/>
        <a:lstStyle/>
        <a:p>
          <a:r>
            <a:rPr lang="en-US" sz="900" b="0">
              <a:ln>
                <a:solidFill>
                  <a:schemeClr val="tx1"/>
                </a:solidFill>
              </a:ln>
              <a:solidFill>
                <a:schemeClr val="tx1"/>
              </a:solidFill>
              <a:latin typeface="Times New Roman" panose="02020603050405020304" pitchFamily="18" charset="0"/>
              <a:cs typeface="Times New Roman" panose="02020603050405020304" pitchFamily="18" charset="0"/>
            </a:rPr>
            <a:t>Badan Amil Zakat Nasional (National Zakat fund)</a:t>
          </a:r>
          <a:endParaRPr lang="ru-RU" sz="900" b="0">
            <a:ln>
              <a:solidFill>
                <a:schemeClr val="tx1"/>
              </a:solidFill>
            </a:ln>
            <a:solidFill>
              <a:schemeClr val="tx1"/>
            </a:solidFill>
            <a:latin typeface="Times New Roman" panose="02020603050405020304" pitchFamily="18" charset="0"/>
            <a:cs typeface="Times New Roman" panose="02020603050405020304" pitchFamily="18" charset="0"/>
          </a:endParaRPr>
        </a:p>
      </dgm:t>
    </dgm:pt>
    <dgm:pt modelId="{4B7B2DDF-25CE-2A44-80A5-2C814A0E4BDA}" type="parTrans" cxnId="{7C9CEE8F-CAE0-494C-8F15-FF3FB126BA8A}">
      <dgm:prSet/>
      <dgm:spPr>
        <a:ln>
          <a:solidFill>
            <a:schemeClr val="tx1"/>
          </a:solidFill>
        </a:ln>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2CB2F96F-F0BE-6841-8717-E157AE2D3BDF}" type="sibTrans" cxnId="{7C9CEE8F-CAE0-494C-8F15-FF3FB126BA8A}">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75C21474-2505-134E-B9B2-9E93AF4CCADD}">
      <dgm:prSet custT="1"/>
      <dgm:spPr>
        <a:noFill/>
        <a:ln>
          <a:solidFill>
            <a:schemeClr val="tx1"/>
          </a:solidFill>
        </a:ln>
      </dgm:spPr>
      <dgm:t>
        <a:bodyPr/>
        <a:lstStyle/>
        <a:p>
          <a:r>
            <a:rPr lang="en-US" sz="900">
              <a:solidFill>
                <a:schemeClr val="tx1"/>
              </a:solidFill>
              <a:latin typeface="Times New Roman" panose="02020603050405020304" pitchFamily="18" charset="0"/>
              <a:cs typeface="Times New Roman" panose="02020603050405020304" pitchFamily="18" charset="0"/>
            </a:rPr>
            <a:t>Amil Zakat Institutions</a:t>
          </a:r>
          <a:endParaRPr lang="ru-RU" sz="900">
            <a:solidFill>
              <a:schemeClr val="tx1"/>
            </a:solidFill>
            <a:latin typeface="Times New Roman" panose="02020603050405020304" pitchFamily="18" charset="0"/>
            <a:cs typeface="Times New Roman" panose="02020603050405020304" pitchFamily="18" charset="0"/>
          </a:endParaRPr>
        </a:p>
      </dgm:t>
    </dgm:pt>
    <dgm:pt modelId="{8D0E21BC-0BFA-4047-8E0F-34DC6DE88257}" type="parTrans" cxnId="{D12ECDD8-815D-6540-80A4-C2608BF47D5D}">
      <dgm:prSet/>
      <dgm:spPr>
        <a:ln>
          <a:solidFill>
            <a:schemeClr val="tx1"/>
          </a:solidFill>
        </a:ln>
      </dgm:spPr>
      <dgm:t>
        <a:bodyPr/>
        <a:lstStyle/>
        <a:p>
          <a:endParaRPr lang="ru-RU"/>
        </a:p>
      </dgm:t>
    </dgm:pt>
    <dgm:pt modelId="{4DCD8467-D2C2-3942-A5DA-49E02A56CBA4}" type="sibTrans" cxnId="{D12ECDD8-815D-6540-80A4-C2608BF47D5D}">
      <dgm:prSet/>
      <dgm:spPr/>
      <dgm:t>
        <a:bodyPr/>
        <a:lstStyle/>
        <a:p>
          <a:endParaRPr lang="ru-RU"/>
        </a:p>
      </dgm:t>
    </dgm:pt>
    <dgm:pt modelId="{91F366D8-B2A2-594D-B11B-2441F85B8E6D}">
      <dgm:prSet custT="1"/>
      <dgm:spPr>
        <a:noFill/>
        <a:ln>
          <a:solidFill>
            <a:schemeClr val="tx1"/>
          </a:solidFill>
        </a:ln>
      </dgm:spPr>
      <dgm:t>
        <a:bodyPr/>
        <a:lstStyle/>
        <a:p>
          <a:r>
            <a:rPr lang="en-US" sz="900">
              <a:solidFill>
                <a:schemeClr val="tx1"/>
              </a:solidFill>
              <a:latin typeface="Times New Roman" panose="02020603050405020304" pitchFamily="18" charset="0"/>
              <a:cs typeface="Times New Roman" panose="02020603050405020304" pitchFamily="18" charset="0"/>
            </a:rPr>
            <a:t>Zakat collecting Units </a:t>
          </a:r>
          <a:endParaRPr lang="ru-RU" sz="900">
            <a:solidFill>
              <a:schemeClr val="tx1"/>
            </a:solidFill>
            <a:latin typeface="Times New Roman" panose="02020603050405020304" pitchFamily="18" charset="0"/>
            <a:cs typeface="Times New Roman" panose="02020603050405020304" pitchFamily="18" charset="0"/>
          </a:endParaRPr>
        </a:p>
      </dgm:t>
    </dgm:pt>
    <dgm:pt modelId="{D3F0E72F-FDC6-AD4C-936C-C0C78B5B476B}" type="parTrans" cxnId="{2851DA6B-9C5E-FE44-952F-DED96902AC44}">
      <dgm:prSet/>
      <dgm:spPr>
        <a:ln>
          <a:solidFill>
            <a:schemeClr val="tx1"/>
          </a:solidFill>
        </a:ln>
      </dgm:spPr>
      <dgm:t>
        <a:bodyPr/>
        <a:lstStyle/>
        <a:p>
          <a:endParaRPr lang="ru-RU"/>
        </a:p>
      </dgm:t>
    </dgm:pt>
    <dgm:pt modelId="{7E41C7F1-E18A-6F42-9F8C-C29B3C9FC735}" type="sibTrans" cxnId="{2851DA6B-9C5E-FE44-952F-DED96902AC44}">
      <dgm:prSet/>
      <dgm:spPr/>
      <dgm:t>
        <a:bodyPr/>
        <a:lstStyle/>
        <a:p>
          <a:endParaRPr lang="ru-RU"/>
        </a:p>
      </dgm:t>
    </dgm:pt>
    <dgm:pt modelId="{0EC298FE-DD5A-C84F-95C0-574D5A539C0A}" type="pres">
      <dgm:prSet presAssocID="{62041166-3DE4-2042-9EE3-65E1F82EC98F}" presName="diagram" presStyleCnt="0">
        <dgm:presLayoutVars>
          <dgm:chPref val="1"/>
          <dgm:dir/>
          <dgm:animOne val="branch"/>
          <dgm:animLvl val="lvl"/>
          <dgm:resizeHandles val="exact"/>
        </dgm:presLayoutVars>
      </dgm:prSet>
      <dgm:spPr/>
    </dgm:pt>
    <dgm:pt modelId="{D9EF6300-FC35-B44C-82C2-711E36BA1955}" type="pres">
      <dgm:prSet presAssocID="{71B42E2D-9015-4D46-9BB0-F2DC5C73F9D7}" presName="root1" presStyleCnt="0"/>
      <dgm:spPr/>
    </dgm:pt>
    <dgm:pt modelId="{D3C7003A-DB31-2E4B-B44B-8952A7D4B186}" type="pres">
      <dgm:prSet presAssocID="{71B42E2D-9015-4D46-9BB0-F2DC5C73F9D7}" presName="LevelOneTextNode" presStyleLbl="node0" presStyleIdx="0" presStyleCnt="1">
        <dgm:presLayoutVars>
          <dgm:chPref val="3"/>
        </dgm:presLayoutVars>
      </dgm:prSet>
      <dgm:spPr/>
    </dgm:pt>
    <dgm:pt modelId="{C83D0107-B46B-424E-98D3-BC6C724E6848}" type="pres">
      <dgm:prSet presAssocID="{71B42E2D-9015-4D46-9BB0-F2DC5C73F9D7}" presName="level2hierChild" presStyleCnt="0"/>
      <dgm:spPr/>
    </dgm:pt>
    <dgm:pt modelId="{0139CA3B-2C3C-B74E-90DC-3C52A68874CC}" type="pres">
      <dgm:prSet presAssocID="{F02DABEE-F34D-054A-B663-272C6D81F630}" presName="conn2-1" presStyleLbl="parChTrans1D2" presStyleIdx="0" presStyleCnt="1"/>
      <dgm:spPr/>
    </dgm:pt>
    <dgm:pt modelId="{A5843BFA-F3C0-3741-98F2-44A7EFCA7E83}" type="pres">
      <dgm:prSet presAssocID="{F02DABEE-F34D-054A-B663-272C6D81F630}" presName="connTx" presStyleLbl="parChTrans1D2" presStyleIdx="0" presStyleCnt="1"/>
      <dgm:spPr/>
    </dgm:pt>
    <dgm:pt modelId="{ED0FC6A3-7892-5541-BA18-447A6A378A8D}" type="pres">
      <dgm:prSet presAssocID="{AE71ECF3-5699-AD41-8604-4DD68287BCB4}" presName="root2" presStyleCnt="0"/>
      <dgm:spPr/>
    </dgm:pt>
    <dgm:pt modelId="{4A458499-58E7-374D-9CAF-3FA5383C274D}" type="pres">
      <dgm:prSet presAssocID="{AE71ECF3-5699-AD41-8604-4DD68287BCB4}" presName="LevelTwoTextNode" presStyleLbl="node2" presStyleIdx="0" presStyleCnt="1">
        <dgm:presLayoutVars>
          <dgm:chPref val="3"/>
        </dgm:presLayoutVars>
      </dgm:prSet>
      <dgm:spPr/>
    </dgm:pt>
    <dgm:pt modelId="{07ED1EF3-CDE7-1D42-BB8A-EBEB4C363D52}" type="pres">
      <dgm:prSet presAssocID="{AE71ECF3-5699-AD41-8604-4DD68287BCB4}" presName="level3hierChild" presStyleCnt="0"/>
      <dgm:spPr/>
    </dgm:pt>
    <dgm:pt modelId="{6A4B79F5-A8E8-6545-8774-241940C70E55}" type="pres">
      <dgm:prSet presAssocID="{4B7B2DDF-25CE-2A44-80A5-2C814A0E4BDA}" presName="conn2-1" presStyleLbl="parChTrans1D3" presStyleIdx="0" presStyleCnt="1"/>
      <dgm:spPr/>
    </dgm:pt>
    <dgm:pt modelId="{E1AFFB26-19FE-C145-AC05-F4EF793E9BDD}" type="pres">
      <dgm:prSet presAssocID="{4B7B2DDF-25CE-2A44-80A5-2C814A0E4BDA}" presName="connTx" presStyleLbl="parChTrans1D3" presStyleIdx="0" presStyleCnt="1"/>
      <dgm:spPr/>
    </dgm:pt>
    <dgm:pt modelId="{5921BE39-1649-E943-8282-5CE7F72D16B0}" type="pres">
      <dgm:prSet presAssocID="{FE8FA7F1-FD83-9F4E-98C7-0E8BB14F189F}" presName="root2" presStyleCnt="0"/>
      <dgm:spPr/>
    </dgm:pt>
    <dgm:pt modelId="{E4FAF9F4-D4CA-8740-9445-6DAE23C89BA5}" type="pres">
      <dgm:prSet presAssocID="{FE8FA7F1-FD83-9F4E-98C7-0E8BB14F189F}" presName="LevelTwoTextNode" presStyleLbl="node3" presStyleIdx="0" presStyleCnt="1" custScaleY="168269">
        <dgm:presLayoutVars>
          <dgm:chPref val="3"/>
        </dgm:presLayoutVars>
      </dgm:prSet>
      <dgm:spPr/>
    </dgm:pt>
    <dgm:pt modelId="{32566F1E-99E0-674D-A91C-C3099B50F690}" type="pres">
      <dgm:prSet presAssocID="{FE8FA7F1-FD83-9F4E-98C7-0E8BB14F189F}" presName="level3hierChild" presStyleCnt="0"/>
      <dgm:spPr/>
    </dgm:pt>
    <dgm:pt modelId="{FD8F5B97-8E2F-2C43-B809-D00EDC5F4D37}" type="pres">
      <dgm:prSet presAssocID="{8D0E21BC-0BFA-4047-8E0F-34DC6DE88257}" presName="conn2-1" presStyleLbl="parChTrans1D4" presStyleIdx="0" presStyleCnt="2"/>
      <dgm:spPr/>
    </dgm:pt>
    <dgm:pt modelId="{1E3A04AB-AC41-5C4D-A0ED-FADC6BA93E0C}" type="pres">
      <dgm:prSet presAssocID="{8D0E21BC-0BFA-4047-8E0F-34DC6DE88257}" presName="connTx" presStyleLbl="parChTrans1D4" presStyleIdx="0" presStyleCnt="2"/>
      <dgm:spPr/>
    </dgm:pt>
    <dgm:pt modelId="{6066622C-F3AA-9D49-AC97-01F23C9B15A0}" type="pres">
      <dgm:prSet presAssocID="{75C21474-2505-134E-B9B2-9E93AF4CCADD}" presName="root2" presStyleCnt="0"/>
      <dgm:spPr/>
    </dgm:pt>
    <dgm:pt modelId="{D21271F8-0421-8B45-A9E0-06A14CF02E38}" type="pres">
      <dgm:prSet presAssocID="{75C21474-2505-134E-B9B2-9E93AF4CCADD}" presName="LevelTwoTextNode" presStyleLbl="node4" presStyleIdx="0" presStyleCnt="2">
        <dgm:presLayoutVars>
          <dgm:chPref val="3"/>
        </dgm:presLayoutVars>
      </dgm:prSet>
      <dgm:spPr/>
    </dgm:pt>
    <dgm:pt modelId="{8433A948-E03B-6944-A7B2-446BC8A59AC5}" type="pres">
      <dgm:prSet presAssocID="{75C21474-2505-134E-B9B2-9E93AF4CCADD}" presName="level3hierChild" presStyleCnt="0"/>
      <dgm:spPr/>
    </dgm:pt>
    <dgm:pt modelId="{001A59CB-E564-5D47-9A99-047A573BEB5F}" type="pres">
      <dgm:prSet presAssocID="{D3F0E72F-FDC6-AD4C-936C-C0C78B5B476B}" presName="conn2-1" presStyleLbl="parChTrans1D4" presStyleIdx="1" presStyleCnt="2"/>
      <dgm:spPr/>
    </dgm:pt>
    <dgm:pt modelId="{E42606CB-9F19-484E-94F8-4E88156F7001}" type="pres">
      <dgm:prSet presAssocID="{D3F0E72F-FDC6-AD4C-936C-C0C78B5B476B}" presName="connTx" presStyleLbl="parChTrans1D4" presStyleIdx="1" presStyleCnt="2"/>
      <dgm:spPr/>
    </dgm:pt>
    <dgm:pt modelId="{8727F7CF-E2AD-A74D-B453-178E3B1A8D04}" type="pres">
      <dgm:prSet presAssocID="{91F366D8-B2A2-594D-B11B-2441F85B8E6D}" presName="root2" presStyleCnt="0"/>
      <dgm:spPr/>
    </dgm:pt>
    <dgm:pt modelId="{2394D480-8CAE-8B44-BD9D-96F869542319}" type="pres">
      <dgm:prSet presAssocID="{91F366D8-B2A2-594D-B11B-2441F85B8E6D}" presName="LevelTwoTextNode" presStyleLbl="node4" presStyleIdx="1" presStyleCnt="2">
        <dgm:presLayoutVars>
          <dgm:chPref val="3"/>
        </dgm:presLayoutVars>
      </dgm:prSet>
      <dgm:spPr/>
    </dgm:pt>
    <dgm:pt modelId="{ED603E72-1516-134D-8A5C-C95ED6A68225}" type="pres">
      <dgm:prSet presAssocID="{91F366D8-B2A2-594D-B11B-2441F85B8E6D}" presName="level3hierChild" presStyleCnt="0"/>
      <dgm:spPr/>
    </dgm:pt>
  </dgm:ptLst>
  <dgm:cxnLst>
    <dgm:cxn modelId="{53B2ED0B-7DF9-469A-B01C-CFC3E303F013}" type="presOf" srcId="{91F366D8-B2A2-594D-B11B-2441F85B8E6D}" destId="{2394D480-8CAE-8B44-BD9D-96F869542319}" srcOrd="0" destOrd="0" presId="urn:microsoft.com/office/officeart/2005/8/layout/hierarchy2"/>
    <dgm:cxn modelId="{82E8B823-EA3C-409E-B448-A64471AEA828}" type="presOf" srcId="{D3F0E72F-FDC6-AD4C-936C-C0C78B5B476B}" destId="{E42606CB-9F19-484E-94F8-4E88156F7001}" srcOrd="1" destOrd="0" presId="urn:microsoft.com/office/officeart/2005/8/layout/hierarchy2"/>
    <dgm:cxn modelId="{949F652D-50AA-8748-8044-2BECA4E5EE9E}" srcId="{71B42E2D-9015-4D46-9BB0-F2DC5C73F9D7}" destId="{AE71ECF3-5699-AD41-8604-4DD68287BCB4}" srcOrd="0" destOrd="0" parTransId="{F02DABEE-F34D-054A-B663-272C6D81F630}" sibTransId="{455DAFAD-F631-0444-B9F2-BD1EBEB49908}"/>
    <dgm:cxn modelId="{0D19AA52-04D5-41C6-9597-54F6A9D954F7}" type="presOf" srcId="{62041166-3DE4-2042-9EE3-65E1F82EC98F}" destId="{0EC298FE-DD5A-C84F-95C0-574D5A539C0A}" srcOrd="0" destOrd="0" presId="urn:microsoft.com/office/officeart/2005/8/layout/hierarchy2"/>
    <dgm:cxn modelId="{2851DA6B-9C5E-FE44-952F-DED96902AC44}" srcId="{FE8FA7F1-FD83-9F4E-98C7-0E8BB14F189F}" destId="{91F366D8-B2A2-594D-B11B-2441F85B8E6D}" srcOrd="1" destOrd="0" parTransId="{D3F0E72F-FDC6-AD4C-936C-C0C78B5B476B}" sibTransId="{7E41C7F1-E18A-6F42-9F8C-C29B3C9FC735}"/>
    <dgm:cxn modelId="{3133E48B-30CF-4CBF-A512-30354E2B4AEA}" type="presOf" srcId="{71B42E2D-9015-4D46-9BB0-F2DC5C73F9D7}" destId="{D3C7003A-DB31-2E4B-B44B-8952A7D4B186}" srcOrd="0" destOrd="0" presId="urn:microsoft.com/office/officeart/2005/8/layout/hierarchy2"/>
    <dgm:cxn modelId="{7C9CEE8F-CAE0-494C-8F15-FF3FB126BA8A}" srcId="{AE71ECF3-5699-AD41-8604-4DD68287BCB4}" destId="{FE8FA7F1-FD83-9F4E-98C7-0E8BB14F189F}" srcOrd="0" destOrd="0" parTransId="{4B7B2DDF-25CE-2A44-80A5-2C814A0E4BDA}" sibTransId="{2CB2F96F-F0BE-6841-8717-E157AE2D3BDF}"/>
    <dgm:cxn modelId="{2A265C94-9F2C-4D00-BA88-996E3600322E}" type="presOf" srcId="{4B7B2DDF-25CE-2A44-80A5-2C814A0E4BDA}" destId="{6A4B79F5-A8E8-6545-8774-241940C70E55}" srcOrd="0" destOrd="0" presId="urn:microsoft.com/office/officeart/2005/8/layout/hierarchy2"/>
    <dgm:cxn modelId="{E5F122B9-2E7B-4957-BB22-FAAEFE458BEE}" type="presOf" srcId="{75C21474-2505-134E-B9B2-9E93AF4CCADD}" destId="{D21271F8-0421-8B45-A9E0-06A14CF02E38}" srcOrd="0" destOrd="0" presId="urn:microsoft.com/office/officeart/2005/8/layout/hierarchy2"/>
    <dgm:cxn modelId="{4AC67DCB-D772-432E-87A2-1438A014157E}" type="presOf" srcId="{8D0E21BC-0BFA-4047-8E0F-34DC6DE88257}" destId="{FD8F5B97-8E2F-2C43-B809-D00EDC5F4D37}" srcOrd="0" destOrd="0" presId="urn:microsoft.com/office/officeart/2005/8/layout/hierarchy2"/>
    <dgm:cxn modelId="{4F37EACB-B1E5-4C21-B51C-42E2B3546F0F}" type="presOf" srcId="{FE8FA7F1-FD83-9F4E-98C7-0E8BB14F189F}" destId="{E4FAF9F4-D4CA-8740-9445-6DAE23C89BA5}" srcOrd="0" destOrd="0" presId="urn:microsoft.com/office/officeart/2005/8/layout/hierarchy2"/>
    <dgm:cxn modelId="{CD7A6AD0-3D72-4A12-8B93-DBA844D8F98C}" type="presOf" srcId="{F02DABEE-F34D-054A-B663-272C6D81F630}" destId="{0139CA3B-2C3C-B74E-90DC-3C52A68874CC}" srcOrd="0" destOrd="0" presId="urn:microsoft.com/office/officeart/2005/8/layout/hierarchy2"/>
    <dgm:cxn modelId="{D12ECDD8-815D-6540-80A4-C2608BF47D5D}" srcId="{FE8FA7F1-FD83-9F4E-98C7-0E8BB14F189F}" destId="{75C21474-2505-134E-B9B2-9E93AF4CCADD}" srcOrd="0" destOrd="0" parTransId="{8D0E21BC-0BFA-4047-8E0F-34DC6DE88257}" sibTransId="{4DCD8467-D2C2-3942-A5DA-49E02A56CBA4}"/>
    <dgm:cxn modelId="{F9055ED9-4BD1-D446-9255-1115AAEC2F0C}" srcId="{62041166-3DE4-2042-9EE3-65E1F82EC98F}" destId="{71B42E2D-9015-4D46-9BB0-F2DC5C73F9D7}" srcOrd="0" destOrd="0" parTransId="{3707DEE1-9F4C-2E4E-9E57-ECD99451B0C2}" sibTransId="{9527CC81-7902-8847-87D2-9CECDA3CFAAE}"/>
    <dgm:cxn modelId="{FCC220DB-5F3F-4495-8D3D-50C5139869AA}" type="presOf" srcId="{8D0E21BC-0BFA-4047-8E0F-34DC6DE88257}" destId="{1E3A04AB-AC41-5C4D-A0ED-FADC6BA93E0C}" srcOrd="1" destOrd="0" presId="urn:microsoft.com/office/officeart/2005/8/layout/hierarchy2"/>
    <dgm:cxn modelId="{EC4128DD-2BFB-4ECD-A689-85AA2DA9B499}" type="presOf" srcId="{AE71ECF3-5699-AD41-8604-4DD68287BCB4}" destId="{4A458499-58E7-374D-9CAF-3FA5383C274D}" srcOrd="0" destOrd="0" presId="urn:microsoft.com/office/officeart/2005/8/layout/hierarchy2"/>
    <dgm:cxn modelId="{8A16A7E1-23E0-4132-A59B-E5EC812838E6}" type="presOf" srcId="{4B7B2DDF-25CE-2A44-80A5-2C814A0E4BDA}" destId="{E1AFFB26-19FE-C145-AC05-F4EF793E9BDD}" srcOrd="1" destOrd="0" presId="urn:microsoft.com/office/officeart/2005/8/layout/hierarchy2"/>
    <dgm:cxn modelId="{DB9D80EE-A082-4C3B-9DAB-15A75A2E05F2}" type="presOf" srcId="{D3F0E72F-FDC6-AD4C-936C-C0C78B5B476B}" destId="{001A59CB-E564-5D47-9A99-047A573BEB5F}" srcOrd="0" destOrd="0" presId="urn:microsoft.com/office/officeart/2005/8/layout/hierarchy2"/>
    <dgm:cxn modelId="{2B4DD6FA-548E-4638-B4BD-B84BDFDC8B6E}" type="presOf" srcId="{F02DABEE-F34D-054A-B663-272C6D81F630}" destId="{A5843BFA-F3C0-3741-98F2-44A7EFCA7E83}" srcOrd="1" destOrd="0" presId="urn:microsoft.com/office/officeart/2005/8/layout/hierarchy2"/>
    <dgm:cxn modelId="{14D65FFD-AED3-4FDC-AC1E-10EF33390587}" type="presParOf" srcId="{0EC298FE-DD5A-C84F-95C0-574D5A539C0A}" destId="{D9EF6300-FC35-B44C-82C2-711E36BA1955}" srcOrd="0" destOrd="0" presId="urn:microsoft.com/office/officeart/2005/8/layout/hierarchy2"/>
    <dgm:cxn modelId="{61D39A6C-8035-41C4-87E8-E1E1BE72F216}" type="presParOf" srcId="{D9EF6300-FC35-B44C-82C2-711E36BA1955}" destId="{D3C7003A-DB31-2E4B-B44B-8952A7D4B186}" srcOrd="0" destOrd="0" presId="urn:microsoft.com/office/officeart/2005/8/layout/hierarchy2"/>
    <dgm:cxn modelId="{FA718081-71A5-41C6-B0E5-CB78E8294731}" type="presParOf" srcId="{D9EF6300-FC35-B44C-82C2-711E36BA1955}" destId="{C83D0107-B46B-424E-98D3-BC6C724E6848}" srcOrd="1" destOrd="0" presId="urn:microsoft.com/office/officeart/2005/8/layout/hierarchy2"/>
    <dgm:cxn modelId="{41B19489-156F-463A-91B3-6D40215B8290}" type="presParOf" srcId="{C83D0107-B46B-424E-98D3-BC6C724E6848}" destId="{0139CA3B-2C3C-B74E-90DC-3C52A68874CC}" srcOrd="0" destOrd="0" presId="urn:microsoft.com/office/officeart/2005/8/layout/hierarchy2"/>
    <dgm:cxn modelId="{CDBC3E2C-628B-4669-B7AA-C63B6FFA28FA}" type="presParOf" srcId="{0139CA3B-2C3C-B74E-90DC-3C52A68874CC}" destId="{A5843BFA-F3C0-3741-98F2-44A7EFCA7E83}" srcOrd="0" destOrd="0" presId="urn:microsoft.com/office/officeart/2005/8/layout/hierarchy2"/>
    <dgm:cxn modelId="{1501C46E-9377-4E27-B469-C6BDE1FE155B}" type="presParOf" srcId="{C83D0107-B46B-424E-98D3-BC6C724E6848}" destId="{ED0FC6A3-7892-5541-BA18-447A6A378A8D}" srcOrd="1" destOrd="0" presId="urn:microsoft.com/office/officeart/2005/8/layout/hierarchy2"/>
    <dgm:cxn modelId="{7DD4E500-DACB-4278-818C-9CDD728B48FE}" type="presParOf" srcId="{ED0FC6A3-7892-5541-BA18-447A6A378A8D}" destId="{4A458499-58E7-374D-9CAF-3FA5383C274D}" srcOrd="0" destOrd="0" presId="urn:microsoft.com/office/officeart/2005/8/layout/hierarchy2"/>
    <dgm:cxn modelId="{F7D191D3-99BC-4BCB-B803-54EA0C66F4ED}" type="presParOf" srcId="{ED0FC6A3-7892-5541-BA18-447A6A378A8D}" destId="{07ED1EF3-CDE7-1D42-BB8A-EBEB4C363D52}" srcOrd="1" destOrd="0" presId="urn:microsoft.com/office/officeart/2005/8/layout/hierarchy2"/>
    <dgm:cxn modelId="{5EF45638-89BC-431A-8234-256DC508459C}" type="presParOf" srcId="{07ED1EF3-CDE7-1D42-BB8A-EBEB4C363D52}" destId="{6A4B79F5-A8E8-6545-8774-241940C70E55}" srcOrd="0" destOrd="0" presId="urn:microsoft.com/office/officeart/2005/8/layout/hierarchy2"/>
    <dgm:cxn modelId="{DCBF8768-1BF5-4872-BFCB-49364E415DD6}" type="presParOf" srcId="{6A4B79F5-A8E8-6545-8774-241940C70E55}" destId="{E1AFFB26-19FE-C145-AC05-F4EF793E9BDD}" srcOrd="0" destOrd="0" presId="urn:microsoft.com/office/officeart/2005/8/layout/hierarchy2"/>
    <dgm:cxn modelId="{692FA9CE-0648-4CD2-9910-64A692EA56AA}" type="presParOf" srcId="{07ED1EF3-CDE7-1D42-BB8A-EBEB4C363D52}" destId="{5921BE39-1649-E943-8282-5CE7F72D16B0}" srcOrd="1" destOrd="0" presId="urn:microsoft.com/office/officeart/2005/8/layout/hierarchy2"/>
    <dgm:cxn modelId="{D8DFE117-C5C6-4F53-B3A7-9983A95B4D58}" type="presParOf" srcId="{5921BE39-1649-E943-8282-5CE7F72D16B0}" destId="{E4FAF9F4-D4CA-8740-9445-6DAE23C89BA5}" srcOrd="0" destOrd="0" presId="urn:microsoft.com/office/officeart/2005/8/layout/hierarchy2"/>
    <dgm:cxn modelId="{B1A9F300-E9A1-4EAF-8D2F-FF3097492A77}" type="presParOf" srcId="{5921BE39-1649-E943-8282-5CE7F72D16B0}" destId="{32566F1E-99E0-674D-A91C-C3099B50F690}" srcOrd="1" destOrd="0" presId="urn:microsoft.com/office/officeart/2005/8/layout/hierarchy2"/>
    <dgm:cxn modelId="{DDF4D864-24ED-46BE-AECD-F2182D42BC4C}" type="presParOf" srcId="{32566F1E-99E0-674D-A91C-C3099B50F690}" destId="{FD8F5B97-8E2F-2C43-B809-D00EDC5F4D37}" srcOrd="0" destOrd="0" presId="urn:microsoft.com/office/officeart/2005/8/layout/hierarchy2"/>
    <dgm:cxn modelId="{6D09F8F7-EC4E-4216-B885-D574717B0792}" type="presParOf" srcId="{FD8F5B97-8E2F-2C43-B809-D00EDC5F4D37}" destId="{1E3A04AB-AC41-5C4D-A0ED-FADC6BA93E0C}" srcOrd="0" destOrd="0" presId="urn:microsoft.com/office/officeart/2005/8/layout/hierarchy2"/>
    <dgm:cxn modelId="{D9A3B8D7-A21B-4416-B32D-AE181C5B5A7F}" type="presParOf" srcId="{32566F1E-99E0-674D-A91C-C3099B50F690}" destId="{6066622C-F3AA-9D49-AC97-01F23C9B15A0}" srcOrd="1" destOrd="0" presId="urn:microsoft.com/office/officeart/2005/8/layout/hierarchy2"/>
    <dgm:cxn modelId="{AE707E1E-3040-4404-ADDA-943EFAE32119}" type="presParOf" srcId="{6066622C-F3AA-9D49-AC97-01F23C9B15A0}" destId="{D21271F8-0421-8B45-A9E0-06A14CF02E38}" srcOrd="0" destOrd="0" presId="urn:microsoft.com/office/officeart/2005/8/layout/hierarchy2"/>
    <dgm:cxn modelId="{BD4CA4D5-AD8E-473C-B3DD-7231E9BA931B}" type="presParOf" srcId="{6066622C-F3AA-9D49-AC97-01F23C9B15A0}" destId="{8433A948-E03B-6944-A7B2-446BC8A59AC5}" srcOrd="1" destOrd="0" presId="urn:microsoft.com/office/officeart/2005/8/layout/hierarchy2"/>
    <dgm:cxn modelId="{2AB70D3E-EC2A-4858-B2FD-5E95257E215A}" type="presParOf" srcId="{32566F1E-99E0-674D-A91C-C3099B50F690}" destId="{001A59CB-E564-5D47-9A99-047A573BEB5F}" srcOrd="2" destOrd="0" presId="urn:microsoft.com/office/officeart/2005/8/layout/hierarchy2"/>
    <dgm:cxn modelId="{6E43EBDF-289F-4C66-86A3-40C1FB5F873A}" type="presParOf" srcId="{001A59CB-E564-5D47-9A99-047A573BEB5F}" destId="{E42606CB-9F19-484E-94F8-4E88156F7001}" srcOrd="0" destOrd="0" presId="urn:microsoft.com/office/officeart/2005/8/layout/hierarchy2"/>
    <dgm:cxn modelId="{B7F1A9A4-5344-4E68-BBF3-186CD947E5AD}" type="presParOf" srcId="{32566F1E-99E0-674D-A91C-C3099B50F690}" destId="{8727F7CF-E2AD-A74D-B453-178E3B1A8D04}" srcOrd="3" destOrd="0" presId="urn:microsoft.com/office/officeart/2005/8/layout/hierarchy2"/>
    <dgm:cxn modelId="{C14E1363-E4BD-40A3-962F-79151CC1DA48}" type="presParOf" srcId="{8727F7CF-E2AD-A74D-B453-178E3B1A8D04}" destId="{2394D480-8CAE-8B44-BD9D-96F869542319}" srcOrd="0" destOrd="0" presId="urn:microsoft.com/office/officeart/2005/8/layout/hierarchy2"/>
    <dgm:cxn modelId="{8AE0CEE0-AD04-4F75-A4EB-C6B100B2CA10}" type="presParOf" srcId="{8727F7CF-E2AD-A74D-B453-178E3B1A8D04}" destId="{ED603E72-1516-134D-8A5C-C95ED6A68225}"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00A9BB-F42D-6D4F-A4F1-13FC1D4C9187}"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FF75AFF8-ED86-8244-A98F-C683C70CE0F5}">
      <dgm:prSet phldrT="[Текст]" custT="1"/>
      <dgm:spPr/>
      <dgm:t>
        <a:bodyPr/>
        <a:lstStyle/>
        <a:p>
          <a:r>
            <a:rPr lang="en-US" sz="900">
              <a:latin typeface="Times New Roman" panose="02020603050405020304" pitchFamily="18" charset="0"/>
              <a:cs typeface="Times New Roman" panose="02020603050405020304" pitchFamily="18" charset="0"/>
            </a:rPr>
            <a:t>Minister of religious affairs</a:t>
          </a:r>
          <a:endParaRPr lang="ru-RU" sz="900">
            <a:latin typeface="Times New Roman" panose="02020603050405020304" pitchFamily="18" charset="0"/>
            <a:cs typeface="Times New Roman" panose="02020603050405020304" pitchFamily="18" charset="0"/>
          </a:endParaRPr>
        </a:p>
      </dgm:t>
    </dgm:pt>
    <dgm:pt modelId="{B5A8F622-DCC2-294B-AC97-4EB2FFA36863}" type="parTrans" cxnId="{A0DCA26E-CB33-B743-9387-08A2B83522AF}">
      <dgm:prSet/>
      <dgm:spPr/>
      <dgm:t>
        <a:bodyPr/>
        <a:lstStyle/>
        <a:p>
          <a:endParaRPr lang="ru-RU"/>
        </a:p>
      </dgm:t>
    </dgm:pt>
    <dgm:pt modelId="{B1525C1B-5AB2-EC47-921C-BD70E89D1B5E}" type="sibTrans" cxnId="{A0DCA26E-CB33-B743-9387-08A2B83522AF}">
      <dgm:prSet/>
      <dgm:spPr/>
      <dgm:t>
        <a:bodyPr/>
        <a:lstStyle/>
        <a:p>
          <a:endParaRPr lang="ru-RU"/>
        </a:p>
      </dgm:t>
    </dgm:pt>
    <dgm:pt modelId="{3AF99DB5-5CCB-CE4E-9A93-79401F969050}">
      <dgm:prSet phldrT="[Текст]" custT="1"/>
      <dgm:spPr/>
      <dgm:t>
        <a:bodyPr/>
        <a:lstStyle/>
        <a:p>
          <a:r>
            <a:rPr lang="en-US" sz="900">
              <a:latin typeface="Times New Roman" panose="02020603050405020304" pitchFamily="18" charset="0"/>
              <a:cs typeface="Times New Roman" panose="02020603050405020304" pitchFamily="18" charset="0"/>
            </a:rPr>
            <a:t>Department/Board of Zakat</a:t>
          </a:r>
          <a:endParaRPr lang="ru-RU" sz="900">
            <a:latin typeface="Times New Roman" panose="02020603050405020304" pitchFamily="18" charset="0"/>
            <a:cs typeface="Times New Roman" panose="02020603050405020304" pitchFamily="18" charset="0"/>
          </a:endParaRPr>
        </a:p>
      </dgm:t>
    </dgm:pt>
    <dgm:pt modelId="{215DAA72-C0EA-054A-977F-23D992436EF6}" type="parTrans" cxnId="{83F9957B-DE2C-FA44-9DB1-A52105CB5AAA}">
      <dgm:prSet/>
      <dgm:spPr/>
      <dgm:t>
        <a:bodyPr/>
        <a:lstStyle/>
        <a:p>
          <a:endParaRPr lang="ru-RU"/>
        </a:p>
      </dgm:t>
    </dgm:pt>
    <dgm:pt modelId="{B5D443FD-B326-4D42-A41F-97A10D96FA7A}" type="sibTrans" cxnId="{83F9957B-DE2C-FA44-9DB1-A52105CB5AAA}">
      <dgm:prSet/>
      <dgm:spPr/>
      <dgm:t>
        <a:bodyPr/>
        <a:lstStyle/>
        <a:p>
          <a:endParaRPr lang="ru-RU"/>
        </a:p>
      </dgm:t>
    </dgm:pt>
    <dgm:pt modelId="{40217067-2B3D-714B-B64A-AC9B39D5E62A}">
      <dgm:prSet phldrT="[Текст]" custT="1"/>
      <dgm:spPr/>
      <dgm:t>
        <a:bodyPr/>
        <a:lstStyle/>
        <a:p>
          <a:r>
            <a:rPr lang="en-US" sz="900">
              <a:latin typeface="Times New Roman" panose="02020603050405020304" pitchFamily="18" charset="0"/>
              <a:cs typeface="Times New Roman" panose="02020603050405020304" pitchFamily="18" charset="0"/>
            </a:rPr>
            <a:t>Institutional Zakat collectors</a:t>
          </a:r>
          <a:endParaRPr lang="ru-RU" sz="900">
            <a:latin typeface="Times New Roman" panose="02020603050405020304" pitchFamily="18" charset="0"/>
            <a:cs typeface="Times New Roman" panose="02020603050405020304" pitchFamily="18" charset="0"/>
          </a:endParaRPr>
        </a:p>
      </dgm:t>
    </dgm:pt>
    <dgm:pt modelId="{54A694F5-8233-2043-8971-E50BDA38F51C}" type="parTrans" cxnId="{4AFBCFA6-011D-A944-81AD-E4C05151B6C4}">
      <dgm:prSet/>
      <dgm:spPr/>
      <dgm:t>
        <a:bodyPr/>
        <a:lstStyle/>
        <a:p>
          <a:endParaRPr lang="ru-RU"/>
        </a:p>
      </dgm:t>
    </dgm:pt>
    <dgm:pt modelId="{75A8C298-43CB-1843-B160-B01E1B7B9665}" type="sibTrans" cxnId="{4AFBCFA6-011D-A944-81AD-E4C05151B6C4}">
      <dgm:prSet/>
      <dgm:spPr/>
      <dgm:t>
        <a:bodyPr/>
        <a:lstStyle/>
        <a:p>
          <a:endParaRPr lang="ru-RU"/>
        </a:p>
      </dgm:t>
    </dgm:pt>
    <dgm:pt modelId="{B5FCDEE9-634D-E141-A617-2E2AA870C60A}">
      <dgm:prSet custT="1"/>
      <dgm:spPr>
        <a:solidFill>
          <a:schemeClr val="lt1">
            <a:hueOff val="0"/>
            <a:satOff val="0"/>
            <a:lumOff val="0"/>
            <a:alpha val="65000"/>
          </a:schemeClr>
        </a:solidFill>
      </dgm:spPr>
      <dgm:t>
        <a:bodyPr/>
        <a:lstStyle/>
        <a:p>
          <a:r>
            <a:rPr lang="en-US" sz="900">
              <a:latin typeface="Times New Roman" panose="02020603050405020304" pitchFamily="18" charset="0"/>
              <a:cs typeface="Times New Roman" panose="02020603050405020304" pitchFamily="18" charset="0"/>
            </a:rPr>
            <a:t>Individuals</a:t>
          </a:r>
          <a:r>
            <a:rPr lang="en-US" sz="900"/>
            <a:t> </a:t>
          </a:r>
          <a:endParaRPr lang="ru-RU" sz="900"/>
        </a:p>
      </dgm:t>
    </dgm:pt>
    <dgm:pt modelId="{E885063B-3B26-6547-8296-427C34174940}" type="parTrans" cxnId="{BEC12078-D4EE-8A4D-8C2A-8EC88F6D09DA}">
      <dgm:prSet/>
      <dgm:spPr/>
      <dgm:t>
        <a:bodyPr/>
        <a:lstStyle/>
        <a:p>
          <a:endParaRPr lang="ru-RU"/>
        </a:p>
      </dgm:t>
    </dgm:pt>
    <dgm:pt modelId="{04CCB35F-784E-7143-A4F5-4BA07B0CEE32}" type="sibTrans" cxnId="{BEC12078-D4EE-8A4D-8C2A-8EC88F6D09DA}">
      <dgm:prSet/>
      <dgm:spPr/>
      <dgm:t>
        <a:bodyPr/>
        <a:lstStyle/>
        <a:p>
          <a:endParaRPr lang="ru-RU"/>
        </a:p>
      </dgm:t>
    </dgm:pt>
    <dgm:pt modelId="{2043239F-815C-8B42-BF7C-534DF44825D8}" type="pres">
      <dgm:prSet presAssocID="{2B00A9BB-F42D-6D4F-A4F1-13FC1D4C9187}" presName="diagram" presStyleCnt="0">
        <dgm:presLayoutVars>
          <dgm:chPref val="1"/>
          <dgm:dir/>
          <dgm:animOne val="branch"/>
          <dgm:animLvl val="lvl"/>
          <dgm:resizeHandles val="exact"/>
        </dgm:presLayoutVars>
      </dgm:prSet>
      <dgm:spPr/>
    </dgm:pt>
    <dgm:pt modelId="{04D0760F-3305-2748-9968-D990A21051EC}" type="pres">
      <dgm:prSet presAssocID="{FF75AFF8-ED86-8244-A98F-C683C70CE0F5}" presName="root1" presStyleCnt="0"/>
      <dgm:spPr/>
    </dgm:pt>
    <dgm:pt modelId="{AF7241B5-008E-4C48-AA8C-88D756A9094D}" type="pres">
      <dgm:prSet presAssocID="{FF75AFF8-ED86-8244-A98F-C683C70CE0F5}" presName="LevelOneTextNode" presStyleLbl="node0" presStyleIdx="0" presStyleCnt="1" custScaleX="173420">
        <dgm:presLayoutVars>
          <dgm:chPref val="3"/>
        </dgm:presLayoutVars>
      </dgm:prSet>
      <dgm:spPr/>
    </dgm:pt>
    <dgm:pt modelId="{257E9684-5B85-2B4F-98A3-F79525673C7D}" type="pres">
      <dgm:prSet presAssocID="{FF75AFF8-ED86-8244-A98F-C683C70CE0F5}" presName="level2hierChild" presStyleCnt="0"/>
      <dgm:spPr/>
    </dgm:pt>
    <dgm:pt modelId="{7B77EAD0-0F20-A541-8DF4-1C10834BA0E9}" type="pres">
      <dgm:prSet presAssocID="{215DAA72-C0EA-054A-977F-23D992436EF6}" presName="conn2-1" presStyleLbl="parChTrans1D2" presStyleIdx="0" presStyleCnt="1"/>
      <dgm:spPr/>
    </dgm:pt>
    <dgm:pt modelId="{EACA834C-3053-3C4A-A081-6320C80E8B1C}" type="pres">
      <dgm:prSet presAssocID="{215DAA72-C0EA-054A-977F-23D992436EF6}" presName="connTx" presStyleLbl="parChTrans1D2" presStyleIdx="0" presStyleCnt="1"/>
      <dgm:spPr/>
    </dgm:pt>
    <dgm:pt modelId="{58062E9C-FF1E-B648-9AB8-2FEF7B529097}" type="pres">
      <dgm:prSet presAssocID="{3AF99DB5-5CCB-CE4E-9A93-79401F969050}" presName="root2" presStyleCnt="0"/>
      <dgm:spPr/>
    </dgm:pt>
    <dgm:pt modelId="{EAE36E9F-228B-2F41-B061-BC61D00E052E}" type="pres">
      <dgm:prSet presAssocID="{3AF99DB5-5CCB-CE4E-9A93-79401F969050}" presName="LevelTwoTextNode" presStyleLbl="node2" presStyleIdx="0" presStyleCnt="1" custScaleX="212596">
        <dgm:presLayoutVars>
          <dgm:chPref val="3"/>
        </dgm:presLayoutVars>
      </dgm:prSet>
      <dgm:spPr/>
    </dgm:pt>
    <dgm:pt modelId="{8907B463-3A95-F941-B58B-DC2EC9B1A047}" type="pres">
      <dgm:prSet presAssocID="{3AF99DB5-5CCB-CE4E-9A93-79401F969050}" presName="level3hierChild" presStyleCnt="0"/>
      <dgm:spPr/>
    </dgm:pt>
    <dgm:pt modelId="{B32DB502-6836-A340-AEBF-64F60C4F0AAD}" type="pres">
      <dgm:prSet presAssocID="{54A694F5-8233-2043-8971-E50BDA38F51C}" presName="conn2-1" presStyleLbl="parChTrans1D3" presStyleIdx="0" presStyleCnt="2"/>
      <dgm:spPr/>
    </dgm:pt>
    <dgm:pt modelId="{E1C5BB76-CA7B-814C-9ACE-4549EE1BC32C}" type="pres">
      <dgm:prSet presAssocID="{54A694F5-8233-2043-8971-E50BDA38F51C}" presName="connTx" presStyleLbl="parChTrans1D3" presStyleIdx="0" presStyleCnt="2"/>
      <dgm:spPr/>
    </dgm:pt>
    <dgm:pt modelId="{AF9841F1-4245-124D-BAC1-1179D80C4756}" type="pres">
      <dgm:prSet presAssocID="{40217067-2B3D-714B-B64A-AC9B39D5E62A}" presName="root2" presStyleCnt="0"/>
      <dgm:spPr/>
    </dgm:pt>
    <dgm:pt modelId="{451AA9A5-7A03-AF4A-9A43-1B66ACC3D839}" type="pres">
      <dgm:prSet presAssocID="{40217067-2B3D-714B-B64A-AC9B39D5E62A}" presName="LevelTwoTextNode" presStyleLbl="node3" presStyleIdx="0" presStyleCnt="2" custScaleX="203599" custLinFactNeighborY="5046">
        <dgm:presLayoutVars>
          <dgm:chPref val="3"/>
        </dgm:presLayoutVars>
      </dgm:prSet>
      <dgm:spPr/>
    </dgm:pt>
    <dgm:pt modelId="{B8B08A8E-23BC-7E48-B87C-4FA88A1A31E0}" type="pres">
      <dgm:prSet presAssocID="{40217067-2B3D-714B-B64A-AC9B39D5E62A}" presName="level3hierChild" presStyleCnt="0"/>
      <dgm:spPr/>
    </dgm:pt>
    <dgm:pt modelId="{95C4AF28-554F-AB43-AAAE-FEC9A70A1818}" type="pres">
      <dgm:prSet presAssocID="{E885063B-3B26-6547-8296-427C34174940}" presName="conn2-1" presStyleLbl="parChTrans1D3" presStyleIdx="1" presStyleCnt="2"/>
      <dgm:spPr/>
    </dgm:pt>
    <dgm:pt modelId="{F95F238A-6AA9-4940-86B1-38660A2F6AAB}" type="pres">
      <dgm:prSet presAssocID="{E885063B-3B26-6547-8296-427C34174940}" presName="connTx" presStyleLbl="parChTrans1D3" presStyleIdx="1" presStyleCnt="2"/>
      <dgm:spPr/>
    </dgm:pt>
    <dgm:pt modelId="{3751C8AA-4966-B14C-899C-A18084A99D89}" type="pres">
      <dgm:prSet presAssocID="{B5FCDEE9-634D-E141-A617-2E2AA870C60A}" presName="root2" presStyleCnt="0"/>
      <dgm:spPr/>
    </dgm:pt>
    <dgm:pt modelId="{06EEA19B-D327-454A-8D58-F8E50DF86493}" type="pres">
      <dgm:prSet presAssocID="{B5FCDEE9-634D-E141-A617-2E2AA870C60A}" presName="LevelTwoTextNode" presStyleLbl="node3" presStyleIdx="1" presStyleCnt="2" custScaleX="206251">
        <dgm:presLayoutVars>
          <dgm:chPref val="3"/>
        </dgm:presLayoutVars>
      </dgm:prSet>
      <dgm:spPr/>
    </dgm:pt>
    <dgm:pt modelId="{55D1668E-6F4A-994F-BF70-6EF7C31D6B26}" type="pres">
      <dgm:prSet presAssocID="{B5FCDEE9-634D-E141-A617-2E2AA870C60A}" presName="level3hierChild" presStyleCnt="0"/>
      <dgm:spPr/>
    </dgm:pt>
  </dgm:ptLst>
  <dgm:cxnLst>
    <dgm:cxn modelId="{BC7DAB04-A170-419C-AA3D-A2FABCBEC85F}" type="presOf" srcId="{2B00A9BB-F42D-6D4F-A4F1-13FC1D4C9187}" destId="{2043239F-815C-8B42-BF7C-534DF44825D8}" srcOrd="0" destOrd="0" presId="urn:microsoft.com/office/officeart/2005/8/layout/hierarchy2"/>
    <dgm:cxn modelId="{B0EE5D08-6146-4928-9528-BEC8C4B836EA}" type="presOf" srcId="{3AF99DB5-5CCB-CE4E-9A93-79401F969050}" destId="{EAE36E9F-228B-2F41-B061-BC61D00E052E}" srcOrd="0" destOrd="0" presId="urn:microsoft.com/office/officeart/2005/8/layout/hierarchy2"/>
    <dgm:cxn modelId="{17988E22-1C4A-4833-92CE-1AB2B52470E4}" type="presOf" srcId="{54A694F5-8233-2043-8971-E50BDA38F51C}" destId="{B32DB502-6836-A340-AEBF-64F60C4F0AAD}" srcOrd="0" destOrd="0" presId="urn:microsoft.com/office/officeart/2005/8/layout/hierarchy2"/>
    <dgm:cxn modelId="{361ED753-8AD5-4D1D-AE2B-05875863141F}" type="presOf" srcId="{40217067-2B3D-714B-B64A-AC9B39D5E62A}" destId="{451AA9A5-7A03-AF4A-9A43-1B66ACC3D839}" srcOrd="0" destOrd="0" presId="urn:microsoft.com/office/officeart/2005/8/layout/hierarchy2"/>
    <dgm:cxn modelId="{E7524A58-D3B8-4737-A664-E7E684D8635A}" type="presOf" srcId="{B5FCDEE9-634D-E141-A617-2E2AA870C60A}" destId="{06EEA19B-D327-454A-8D58-F8E50DF86493}" srcOrd="0" destOrd="0" presId="urn:microsoft.com/office/officeart/2005/8/layout/hierarchy2"/>
    <dgm:cxn modelId="{A0DCA26E-CB33-B743-9387-08A2B83522AF}" srcId="{2B00A9BB-F42D-6D4F-A4F1-13FC1D4C9187}" destId="{FF75AFF8-ED86-8244-A98F-C683C70CE0F5}" srcOrd="0" destOrd="0" parTransId="{B5A8F622-DCC2-294B-AC97-4EB2FFA36863}" sibTransId="{B1525C1B-5AB2-EC47-921C-BD70E89D1B5E}"/>
    <dgm:cxn modelId="{981D056F-C85E-4865-A928-093017F2DEEE}" type="presOf" srcId="{215DAA72-C0EA-054A-977F-23D992436EF6}" destId="{7B77EAD0-0F20-A541-8DF4-1C10834BA0E9}" srcOrd="0" destOrd="0" presId="urn:microsoft.com/office/officeart/2005/8/layout/hierarchy2"/>
    <dgm:cxn modelId="{A3CBC477-D51D-4792-803D-A4E23A714E50}" type="presOf" srcId="{E885063B-3B26-6547-8296-427C34174940}" destId="{95C4AF28-554F-AB43-AAAE-FEC9A70A1818}" srcOrd="0" destOrd="0" presId="urn:microsoft.com/office/officeart/2005/8/layout/hierarchy2"/>
    <dgm:cxn modelId="{BEC12078-D4EE-8A4D-8C2A-8EC88F6D09DA}" srcId="{3AF99DB5-5CCB-CE4E-9A93-79401F969050}" destId="{B5FCDEE9-634D-E141-A617-2E2AA870C60A}" srcOrd="1" destOrd="0" parTransId="{E885063B-3B26-6547-8296-427C34174940}" sibTransId="{04CCB35F-784E-7143-A4F5-4BA07B0CEE32}"/>
    <dgm:cxn modelId="{83F9957B-DE2C-FA44-9DB1-A52105CB5AAA}" srcId="{FF75AFF8-ED86-8244-A98F-C683C70CE0F5}" destId="{3AF99DB5-5CCB-CE4E-9A93-79401F969050}" srcOrd="0" destOrd="0" parTransId="{215DAA72-C0EA-054A-977F-23D992436EF6}" sibTransId="{B5D443FD-B326-4D42-A41F-97A10D96FA7A}"/>
    <dgm:cxn modelId="{7CDAB185-F6D6-46C4-B2CA-D0BD58445496}" type="presOf" srcId="{FF75AFF8-ED86-8244-A98F-C683C70CE0F5}" destId="{AF7241B5-008E-4C48-AA8C-88D756A9094D}" srcOrd="0" destOrd="0" presId="urn:microsoft.com/office/officeart/2005/8/layout/hierarchy2"/>
    <dgm:cxn modelId="{4AFBCFA6-011D-A944-81AD-E4C05151B6C4}" srcId="{3AF99DB5-5CCB-CE4E-9A93-79401F969050}" destId="{40217067-2B3D-714B-B64A-AC9B39D5E62A}" srcOrd="0" destOrd="0" parTransId="{54A694F5-8233-2043-8971-E50BDA38F51C}" sibTransId="{75A8C298-43CB-1843-B160-B01E1B7B9665}"/>
    <dgm:cxn modelId="{16F5D4C1-6510-48B2-A43D-10BB1F6A5624}" type="presOf" srcId="{54A694F5-8233-2043-8971-E50BDA38F51C}" destId="{E1C5BB76-CA7B-814C-9ACE-4549EE1BC32C}" srcOrd="1" destOrd="0" presId="urn:microsoft.com/office/officeart/2005/8/layout/hierarchy2"/>
    <dgm:cxn modelId="{C1B77CDF-AA6E-4AFD-B0C3-6704B5D8CEDA}" type="presOf" srcId="{215DAA72-C0EA-054A-977F-23D992436EF6}" destId="{EACA834C-3053-3C4A-A081-6320C80E8B1C}" srcOrd="1" destOrd="0" presId="urn:microsoft.com/office/officeart/2005/8/layout/hierarchy2"/>
    <dgm:cxn modelId="{F31BE1F1-3C9D-48D5-A76E-D62AFE71BE70}" type="presOf" srcId="{E885063B-3B26-6547-8296-427C34174940}" destId="{F95F238A-6AA9-4940-86B1-38660A2F6AAB}" srcOrd="1" destOrd="0" presId="urn:microsoft.com/office/officeart/2005/8/layout/hierarchy2"/>
    <dgm:cxn modelId="{285921B5-CC19-48A9-8B16-7D6C1904410B}" type="presParOf" srcId="{2043239F-815C-8B42-BF7C-534DF44825D8}" destId="{04D0760F-3305-2748-9968-D990A21051EC}" srcOrd="0" destOrd="0" presId="urn:microsoft.com/office/officeart/2005/8/layout/hierarchy2"/>
    <dgm:cxn modelId="{0BDC343A-5DBB-4531-B9B0-546C15D8FD10}" type="presParOf" srcId="{04D0760F-3305-2748-9968-D990A21051EC}" destId="{AF7241B5-008E-4C48-AA8C-88D756A9094D}" srcOrd="0" destOrd="0" presId="urn:microsoft.com/office/officeart/2005/8/layout/hierarchy2"/>
    <dgm:cxn modelId="{8B936961-8BD6-4498-8C86-236BA80AE18A}" type="presParOf" srcId="{04D0760F-3305-2748-9968-D990A21051EC}" destId="{257E9684-5B85-2B4F-98A3-F79525673C7D}" srcOrd="1" destOrd="0" presId="urn:microsoft.com/office/officeart/2005/8/layout/hierarchy2"/>
    <dgm:cxn modelId="{8D67950F-7254-44E5-9DB8-31F2D432816B}" type="presParOf" srcId="{257E9684-5B85-2B4F-98A3-F79525673C7D}" destId="{7B77EAD0-0F20-A541-8DF4-1C10834BA0E9}" srcOrd="0" destOrd="0" presId="urn:microsoft.com/office/officeart/2005/8/layout/hierarchy2"/>
    <dgm:cxn modelId="{34362478-1F85-4ECC-8638-0B043CD8A106}" type="presParOf" srcId="{7B77EAD0-0F20-A541-8DF4-1C10834BA0E9}" destId="{EACA834C-3053-3C4A-A081-6320C80E8B1C}" srcOrd="0" destOrd="0" presId="urn:microsoft.com/office/officeart/2005/8/layout/hierarchy2"/>
    <dgm:cxn modelId="{0A06AFB0-AF37-416C-AD9C-2D5BC966320D}" type="presParOf" srcId="{257E9684-5B85-2B4F-98A3-F79525673C7D}" destId="{58062E9C-FF1E-B648-9AB8-2FEF7B529097}" srcOrd="1" destOrd="0" presId="urn:microsoft.com/office/officeart/2005/8/layout/hierarchy2"/>
    <dgm:cxn modelId="{CEAEC9D7-834D-4F7D-BEBB-89DD52AAFC9D}" type="presParOf" srcId="{58062E9C-FF1E-B648-9AB8-2FEF7B529097}" destId="{EAE36E9F-228B-2F41-B061-BC61D00E052E}" srcOrd="0" destOrd="0" presId="urn:microsoft.com/office/officeart/2005/8/layout/hierarchy2"/>
    <dgm:cxn modelId="{5C3E7824-8550-4127-8D0A-4F12D45CAB03}" type="presParOf" srcId="{58062E9C-FF1E-B648-9AB8-2FEF7B529097}" destId="{8907B463-3A95-F941-B58B-DC2EC9B1A047}" srcOrd="1" destOrd="0" presId="urn:microsoft.com/office/officeart/2005/8/layout/hierarchy2"/>
    <dgm:cxn modelId="{BF297B66-2702-462A-853E-20F1D94904FC}" type="presParOf" srcId="{8907B463-3A95-F941-B58B-DC2EC9B1A047}" destId="{B32DB502-6836-A340-AEBF-64F60C4F0AAD}" srcOrd="0" destOrd="0" presId="urn:microsoft.com/office/officeart/2005/8/layout/hierarchy2"/>
    <dgm:cxn modelId="{FB276B26-CD36-446A-88CC-974D436F1AB2}" type="presParOf" srcId="{B32DB502-6836-A340-AEBF-64F60C4F0AAD}" destId="{E1C5BB76-CA7B-814C-9ACE-4549EE1BC32C}" srcOrd="0" destOrd="0" presId="urn:microsoft.com/office/officeart/2005/8/layout/hierarchy2"/>
    <dgm:cxn modelId="{9A4B832D-99DA-4578-88DD-C299BD36D3BB}" type="presParOf" srcId="{8907B463-3A95-F941-B58B-DC2EC9B1A047}" destId="{AF9841F1-4245-124D-BAC1-1179D80C4756}" srcOrd="1" destOrd="0" presId="urn:microsoft.com/office/officeart/2005/8/layout/hierarchy2"/>
    <dgm:cxn modelId="{9E4E97A5-0485-4612-ACE0-25AADDB5D4CE}" type="presParOf" srcId="{AF9841F1-4245-124D-BAC1-1179D80C4756}" destId="{451AA9A5-7A03-AF4A-9A43-1B66ACC3D839}" srcOrd="0" destOrd="0" presId="urn:microsoft.com/office/officeart/2005/8/layout/hierarchy2"/>
    <dgm:cxn modelId="{1D656C6B-F8CC-4D4F-AFD8-BE43E5341517}" type="presParOf" srcId="{AF9841F1-4245-124D-BAC1-1179D80C4756}" destId="{B8B08A8E-23BC-7E48-B87C-4FA88A1A31E0}" srcOrd="1" destOrd="0" presId="urn:microsoft.com/office/officeart/2005/8/layout/hierarchy2"/>
    <dgm:cxn modelId="{8B858735-4FEA-43DF-AE6C-F059B0CFDA15}" type="presParOf" srcId="{8907B463-3A95-F941-B58B-DC2EC9B1A047}" destId="{95C4AF28-554F-AB43-AAAE-FEC9A70A1818}" srcOrd="2" destOrd="0" presId="urn:microsoft.com/office/officeart/2005/8/layout/hierarchy2"/>
    <dgm:cxn modelId="{DF119A47-6F45-43E9-9FA2-6E21F29178EF}" type="presParOf" srcId="{95C4AF28-554F-AB43-AAAE-FEC9A70A1818}" destId="{F95F238A-6AA9-4940-86B1-38660A2F6AAB}" srcOrd="0" destOrd="0" presId="urn:microsoft.com/office/officeart/2005/8/layout/hierarchy2"/>
    <dgm:cxn modelId="{E8F46113-0D16-48F7-9614-E5E366880960}" type="presParOf" srcId="{8907B463-3A95-F941-B58B-DC2EC9B1A047}" destId="{3751C8AA-4966-B14C-899C-A18084A99D89}" srcOrd="3" destOrd="0" presId="urn:microsoft.com/office/officeart/2005/8/layout/hierarchy2"/>
    <dgm:cxn modelId="{739EB00A-8B92-4BCC-AB42-EC94A9627C67}" type="presParOf" srcId="{3751C8AA-4966-B14C-899C-A18084A99D89}" destId="{06EEA19B-D327-454A-8D58-F8E50DF86493}" srcOrd="0" destOrd="0" presId="urn:microsoft.com/office/officeart/2005/8/layout/hierarchy2"/>
    <dgm:cxn modelId="{BD2007D0-E02D-4700-ADA2-228FE4307385}" type="presParOf" srcId="{3751C8AA-4966-B14C-899C-A18084A99D89}" destId="{55D1668E-6F4A-994F-BF70-6EF7C31D6B26}"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00A9BB-F42D-6D4F-A4F1-13FC1D4C9187}"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FF75AFF8-ED86-8244-A98F-C683C70CE0F5}">
      <dgm:prSet phldrT="[Текст]" custT="1"/>
      <dgm:spPr/>
      <dgm:t>
        <a:bodyPr/>
        <a:lstStyle/>
        <a:p>
          <a:r>
            <a:rPr lang="en-US" sz="900">
              <a:latin typeface="Times New Roman" panose="02020603050405020304" pitchFamily="18" charset="0"/>
              <a:cs typeface="Times New Roman" panose="02020603050405020304" pitchFamily="18" charset="0"/>
            </a:rPr>
            <a:t>Minister of religious affairs</a:t>
          </a:r>
          <a:endParaRPr lang="ru-RU" sz="900">
            <a:latin typeface="Times New Roman" panose="02020603050405020304" pitchFamily="18" charset="0"/>
            <a:cs typeface="Times New Roman" panose="02020603050405020304" pitchFamily="18" charset="0"/>
          </a:endParaRPr>
        </a:p>
      </dgm:t>
    </dgm:pt>
    <dgm:pt modelId="{B5A8F622-DCC2-294B-AC97-4EB2FFA36863}" type="parTrans" cxnId="{A0DCA26E-CB33-B743-9387-08A2B83522AF}">
      <dgm:prSet/>
      <dgm:spPr/>
      <dgm:t>
        <a:bodyPr/>
        <a:lstStyle/>
        <a:p>
          <a:endParaRPr lang="ru-RU"/>
        </a:p>
      </dgm:t>
    </dgm:pt>
    <dgm:pt modelId="{B1525C1B-5AB2-EC47-921C-BD70E89D1B5E}" type="sibTrans" cxnId="{A0DCA26E-CB33-B743-9387-08A2B83522AF}">
      <dgm:prSet/>
      <dgm:spPr/>
      <dgm:t>
        <a:bodyPr/>
        <a:lstStyle/>
        <a:p>
          <a:endParaRPr lang="ru-RU"/>
        </a:p>
      </dgm:t>
    </dgm:pt>
    <dgm:pt modelId="{3AF99DB5-5CCB-CE4E-9A93-79401F969050}">
      <dgm:prSet phldrT="[Текст]" custT="1"/>
      <dgm:spPr/>
      <dgm:t>
        <a:bodyPr/>
        <a:lstStyle/>
        <a:p>
          <a:r>
            <a:rPr lang="en-US" sz="900">
              <a:latin typeface="Times New Roman" panose="02020603050405020304" pitchFamily="18" charset="0"/>
              <a:cs typeface="Times New Roman" panose="02020603050405020304" pitchFamily="18" charset="0"/>
            </a:rPr>
            <a:t>Islamic Religious Council</a:t>
          </a:r>
          <a:endParaRPr lang="ru-RU" sz="900">
            <a:latin typeface="Times New Roman" panose="02020603050405020304" pitchFamily="18" charset="0"/>
            <a:cs typeface="Times New Roman" panose="02020603050405020304" pitchFamily="18" charset="0"/>
          </a:endParaRPr>
        </a:p>
      </dgm:t>
    </dgm:pt>
    <dgm:pt modelId="{215DAA72-C0EA-054A-977F-23D992436EF6}" type="parTrans" cxnId="{83F9957B-DE2C-FA44-9DB1-A52105CB5AAA}">
      <dgm:prSet/>
      <dgm:spPr/>
      <dgm:t>
        <a:bodyPr/>
        <a:lstStyle/>
        <a:p>
          <a:endParaRPr lang="ru-RU"/>
        </a:p>
      </dgm:t>
    </dgm:pt>
    <dgm:pt modelId="{B5D443FD-B326-4D42-A41F-97A10D96FA7A}" type="sibTrans" cxnId="{83F9957B-DE2C-FA44-9DB1-A52105CB5AAA}">
      <dgm:prSet/>
      <dgm:spPr/>
      <dgm:t>
        <a:bodyPr/>
        <a:lstStyle/>
        <a:p>
          <a:endParaRPr lang="ru-RU"/>
        </a:p>
      </dgm:t>
    </dgm:pt>
    <dgm:pt modelId="{40217067-2B3D-714B-B64A-AC9B39D5E62A}">
      <dgm:prSet phldrT="[Текст]" custT="1"/>
      <dgm:spPr/>
      <dgm:t>
        <a:bodyPr/>
        <a:lstStyle/>
        <a:p>
          <a:r>
            <a:rPr lang="en-US" sz="900">
              <a:latin typeface="Times New Roman" panose="02020603050405020304" pitchFamily="18" charset="0"/>
              <a:cs typeface="Times New Roman" panose="02020603050405020304" pitchFamily="18" charset="0"/>
            </a:rPr>
            <a:t>Zakat office</a:t>
          </a:r>
          <a:endParaRPr lang="ru-RU" sz="900">
            <a:latin typeface="Times New Roman" panose="02020603050405020304" pitchFamily="18" charset="0"/>
            <a:cs typeface="Times New Roman" panose="02020603050405020304" pitchFamily="18" charset="0"/>
          </a:endParaRPr>
        </a:p>
      </dgm:t>
    </dgm:pt>
    <dgm:pt modelId="{54A694F5-8233-2043-8971-E50BDA38F51C}" type="parTrans" cxnId="{4AFBCFA6-011D-A944-81AD-E4C05151B6C4}">
      <dgm:prSet/>
      <dgm:spPr/>
      <dgm:t>
        <a:bodyPr/>
        <a:lstStyle/>
        <a:p>
          <a:endParaRPr lang="ru-RU"/>
        </a:p>
      </dgm:t>
    </dgm:pt>
    <dgm:pt modelId="{75A8C298-43CB-1843-B160-B01E1B7B9665}" type="sibTrans" cxnId="{4AFBCFA6-011D-A944-81AD-E4C05151B6C4}">
      <dgm:prSet/>
      <dgm:spPr/>
      <dgm:t>
        <a:bodyPr/>
        <a:lstStyle/>
        <a:p>
          <a:endParaRPr lang="ru-RU"/>
        </a:p>
      </dgm:t>
    </dgm:pt>
    <dgm:pt modelId="{B5FCDEE9-634D-E141-A617-2E2AA870C60A}">
      <dgm:prSet custT="1"/>
      <dgm:spPr>
        <a:solidFill>
          <a:schemeClr val="lt1">
            <a:hueOff val="0"/>
            <a:satOff val="0"/>
            <a:lumOff val="0"/>
            <a:alpha val="65000"/>
          </a:schemeClr>
        </a:solidFill>
      </dgm:spPr>
      <dgm:t>
        <a:bodyPr/>
        <a:lstStyle/>
        <a:p>
          <a:r>
            <a:rPr lang="en-US" sz="900">
              <a:latin typeface="Times New Roman" panose="02020603050405020304" pitchFamily="18" charset="0"/>
              <a:cs typeface="Times New Roman" panose="02020603050405020304" pitchFamily="18" charset="0"/>
            </a:rPr>
            <a:t>Amil</a:t>
          </a:r>
          <a:r>
            <a:rPr lang="en-US" sz="900"/>
            <a:t> </a:t>
          </a:r>
          <a:endParaRPr lang="ru-RU" sz="900"/>
        </a:p>
      </dgm:t>
    </dgm:pt>
    <dgm:pt modelId="{E885063B-3B26-6547-8296-427C34174940}" type="parTrans" cxnId="{BEC12078-D4EE-8A4D-8C2A-8EC88F6D09DA}">
      <dgm:prSet/>
      <dgm:spPr/>
      <dgm:t>
        <a:bodyPr/>
        <a:lstStyle/>
        <a:p>
          <a:endParaRPr lang="ru-RU"/>
        </a:p>
      </dgm:t>
    </dgm:pt>
    <dgm:pt modelId="{04CCB35F-784E-7143-A4F5-4BA07B0CEE32}" type="sibTrans" cxnId="{BEC12078-D4EE-8A4D-8C2A-8EC88F6D09DA}">
      <dgm:prSet/>
      <dgm:spPr/>
      <dgm:t>
        <a:bodyPr/>
        <a:lstStyle/>
        <a:p>
          <a:endParaRPr lang="ru-RU"/>
        </a:p>
      </dgm:t>
    </dgm:pt>
    <dgm:pt modelId="{3969DBBF-9AC4-DD48-857E-D4B141C552F2}">
      <dgm:prSet custT="1"/>
      <dgm:spPr/>
      <dgm:t>
        <a:bodyPr/>
        <a:lstStyle/>
        <a:p>
          <a:r>
            <a:rPr lang="en-US" sz="900">
              <a:latin typeface="Times New Roman" panose="02020603050405020304" pitchFamily="18" charset="0"/>
              <a:cs typeface="Times New Roman" panose="02020603050405020304" pitchFamily="18" charset="0"/>
            </a:rPr>
            <a:t>President/</a:t>
          </a:r>
        </a:p>
        <a:p>
          <a:r>
            <a:rPr lang="en-US" sz="900">
              <a:latin typeface="Times New Roman" panose="02020603050405020304" pitchFamily="18" charset="0"/>
              <a:cs typeface="Times New Roman" panose="02020603050405020304" pitchFamily="18" charset="0"/>
            </a:rPr>
            <a:t>Sultan</a:t>
          </a:r>
          <a:endParaRPr lang="ru-RU" sz="900">
            <a:latin typeface="Times New Roman" panose="02020603050405020304" pitchFamily="18" charset="0"/>
            <a:cs typeface="Times New Roman" panose="02020603050405020304" pitchFamily="18" charset="0"/>
          </a:endParaRPr>
        </a:p>
      </dgm:t>
    </dgm:pt>
    <dgm:pt modelId="{A504534A-B81F-D14F-944E-19419BEECDB5}" type="parTrans" cxnId="{3B31F09A-BAEE-734F-96A0-FEC03C1F4E67}">
      <dgm:prSet/>
      <dgm:spPr/>
      <dgm:t>
        <a:bodyPr/>
        <a:lstStyle/>
        <a:p>
          <a:endParaRPr lang="ru-RU"/>
        </a:p>
      </dgm:t>
    </dgm:pt>
    <dgm:pt modelId="{5748AA18-92F3-DB48-9349-A4C7522B43EE}" type="sibTrans" cxnId="{3B31F09A-BAEE-734F-96A0-FEC03C1F4E67}">
      <dgm:prSet/>
      <dgm:spPr/>
      <dgm:t>
        <a:bodyPr/>
        <a:lstStyle/>
        <a:p>
          <a:endParaRPr lang="ru-RU"/>
        </a:p>
      </dgm:t>
    </dgm:pt>
    <dgm:pt modelId="{2EEFDD07-D2EC-B84B-AC00-BAB263C42570}">
      <dgm:prSet custT="1"/>
      <dgm:spPr/>
      <dgm:t>
        <a:bodyPr/>
        <a:lstStyle/>
        <a:p>
          <a:r>
            <a:rPr lang="en-US" sz="900">
              <a:latin typeface="Times New Roman" panose="02020603050405020304" pitchFamily="18" charset="0"/>
              <a:cs typeface="Times New Roman" panose="02020603050405020304" pitchFamily="18" charset="0"/>
            </a:rPr>
            <a:t>Agent/bank</a:t>
          </a:r>
          <a:endParaRPr lang="ru-RU" sz="900">
            <a:latin typeface="Times New Roman" panose="02020603050405020304" pitchFamily="18" charset="0"/>
            <a:cs typeface="Times New Roman" panose="02020603050405020304" pitchFamily="18" charset="0"/>
          </a:endParaRPr>
        </a:p>
      </dgm:t>
    </dgm:pt>
    <dgm:pt modelId="{2A1AA735-3952-5846-AE2F-9B3E084D4D20}" type="parTrans" cxnId="{3FD64044-DD0C-A942-9787-B58D30CCE10E}">
      <dgm:prSet/>
      <dgm:spPr/>
      <dgm:t>
        <a:bodyPr/>
        <a:lstStyle/>
        <a:p>
          <a:endParaRPr lang="ru-RU"/>
        </a:p>
      </dgm:t>
    </dgm:pt>
    <dgm:pt modelId="{EB666F11-7D73-A947-B951-5833EBD322D2}" type="sibTrans" cxnId="{3FD64044-DD0C-A942-9787-B58D30CCE10E}">
      <dgm:prSet/>
      <dgm:spPr/>
      <dgm:t>
        <a:bodyPr/>
        <a:lstStyle/>
        <a:p>
          <a:endParaRPr lang="ru-RU"/>
        </a:p>
      </dgm:t>
    </dgm:pt>
    <dgm:pt modelId="{2043239F-815C-8B42-BF7C-534DF44825D8}" type="pres">
      <dgm:prSet presAssocID="{2B00A9BB-F42D-6D4F-A4F1-13FC1D4C9187}" presName="diagram" presStyleCnt="0">
        <dgm:presLayoutVars>
          <dgm:chPref val="1"/>
          <dgm:dir/>
          <dgm:animOne val="branch"/>
          <dgm:animLvl val="lvl"/>
          <dgm:resizeHandles val="exact"/>
        </dgm:presLayoutVars>
      </dgm:prSet>
      <dgm:spPr/>
    </dgm:pt>
    <dgm:pt modelId="{D2D60521-728F-6948-AD9C-0C048E481161}" type="pres">
      <dgm:prSet presAssocID="{3969DBBF-9AC4-DD48-857E-D4B141C552F2}" presName="root1" presStyleCnt="0"/>
      <dgm:spPr/>
    </dgm:pt>
    <dgm:pt modelId="{D74433B6-E55A-9A4C-824D-F442A9E2BBE7}" type="pres">
      <dgm:prSet presAssocID="{3969DBBF-9AC4-DD48-857E-D4B141C552F2}" presName="LevelOneTextNode" presStyleLbl="node0" presStyleIdx="0" presStyleCnt="1" custFlipHor="1" custScaleX="170577">
        <dgm:presLayoutVars>
          <dgm:chPref val="3"/>
        </dgm:presLayoutVars>
      </dgm:prSet>
      <dgm:spPr/>
    </dgm:pt>
    <dgm:pt modelId="{EF57C1BF-11CA-5141-9AF7-2819501AEDE7}" type="pres">
      <dgm:prSet presAssocID="{3969DBBF-9AC4-DD48-857E-D4B141C552F2}" presName="level2hierChild" presStyleCnt="0"/>
      <dgm:spPr/>
    </dgm:pt>
    <dgm:pt modelId="{735F8718-304E-DF47-98CB-FD3AB6C9F370}" type="pres">
      <dgm:prSet presAssocID="{B5A8F622-DCC2-294B-AC97-4EB2FFA36863}" presName="conn2-1" presStyleLbl="parChTrans1D2" presStyleIdx="0" presStyleCnt="1"/>
      <dgm:spPr/>
    </dgm:pt>
    <dgm:pt modelId="{507E4D3C-E99D-4442-98E5-05EE58D6E627}" type="pres">
      <dgm:prSet presAssocID="{B5A8F622-DCC2-294B-AC97-4EB2FFA36863}" presName="connTx" presStyleLbl="parChTrans1D2" presStyleIdx="0" presStyleCnt="1"/>
      <dgm:spPr/>
    </dgm:pt>
    <dgm:pt modelId="{95BBFE20-509D-9A4A-90F4-805009832FB6}" type="pres">
      <dgm:prSet presAssocID="{FF75AFF8-ED86-8244-A98F-C683C70CE0F5}" presName="root2" presStyleCnt="0"/>
      <dgm:spPr/>
    </dgm:pt>
    <dgm:pt modelId="{8EC979EC-09D4-E348-8E6A-75F4DD8E8A31}" type="pres">
      <dgm:prSet presAssocID="{FF75AFF8-ED86-8244-A98F-C683C70CE0F5}" presName="LevelTwoTextNode" presStyleLbl="node2" presStyleIdx="0" presStyleCnt="1" custScaleX="142369">
        <dgm:presLayoutVars>
          <dgm:chPref val="3"/>
        </dgm:presLayoutVars>
      </dgm:prSet>
      <dgm:spPr/>
    </dgm:pt>
    <dgm:pt modelId="{AC0BDCED-242B-3749-A856-54FF671DA6F1}" type="pres">
      <dgm:prSet presAssocID="{FF75AFF8-ED86-8244-A98F-C683C70CE0F5}" presName="level3hierChild" presStyleCnt="0"/>
      <dgm:spPr/>
    </dgm:pt>
    <dgm:pt modelId="{7B77EAD0-0F20-A541-8DF4-1C10834BA0E9}" type="pres">
      <dgm:prSet presAssocID="{215DAA72-C0EA-054A-977F-23D992436EF6}" presName="conn2-1" presStyleLbl="parChTrans1D3" presStyleIdx="0" presStyleCnt="1"/>
      <dgm:spPr/>
    </dgm:pt>
    <dgm:pt modelId="{EACA834C-3053-3C4A-A081-6320C80E8B1C}" type="pres">
      <dgm:prSet presAssocID="{215DAA72-C0EA-054A-977F-23D992436EF6}" presName="connTx" presStyleLbl="parChTrans1D3" presStyleIdx="0" presStyleCnt="1"/>
      <dgm:spPr/>
    </dgm:pt>
    <dgm:pt modelId="{58062E9C-FF1E-B648-9AB8-2FEF7B529097}" type="pres">
      <dgm:prSet presAssocID="{3AF99DB5-5CCB-CE4E-9A93-79401F969050}" presName="root2" presStyleCnt="0"/>
      <dgm:spPr/>
    </dgm:pt>
    <dgm:pt modelId="{EAE36E9F-228B-2F41-B061-BC61D00E052E}" type="pres">
      <dgm:prSet presAssocID="{3AF99DB5-5CCB-CE4E-9A93-79401F969050}" presName="LevelTwoTextNode" presStyleLbl="node3" presStyleIdx="0" presStyleCnt="1" custScaleX="155832">
        <dgm:presLayoutVars>
          <dgm:chPref val="3"/>
        </dgm:presLayoutVars>
      </dgm:prSet>
      <dgm:spPr/>
    </dgm:pt>
    <dgm:pt modelId="{8907B463-3A95-F941-B58B-DC2EC9B1A047}" type="pres">
      <dgm:prSet presAssocID="{3AF99DB5-5CCB-CE4E-9A93-79401F969050}" presName="level3hierChild" presStyleCnt="0"/>
      <dgm:spPr/>
    </dgm:pt>
    <dgm:pt modelId="{B32DB502-6836-A340-AEBF-64F60C4F0AAD}" type="pres">
      <dgm:prSet presAssocID="{54A694F5-8233-2043-8971-E50BDA38F51C}" presName="conn2-1" presStyleLbl="parChTrans1D4" presStyleIdx="0" presStyleCnt="3"/>
      <dgm:spPr/>
    </dgm:pt>
    <dgm:pt modelId="{E1C5BB76-CA7B-814C-9ACE-4549EE1BC32C}" type="pres">
      <dgm:prSet presAssocID="{54A694F5-8233-2043-8971-E50BDA38F51C}" presName="connTx" presStyleLbl="parChTrans1D4" presStyleIdx="0" presStyleCnt="3"/>
      <dgm:spPr/>
    </dgm:pt>
    <dgm:pt modelId="{AF9841F1-4245-124D-BAC1-1179D80C4756}" type="pres">
      <dgm:prSet presAssocID="{40217067-2B3D-714B-B64A-AC9B39D5E62A}" presName="root2" presStyleCnt="0"/>
      <dgm:spPr/>
    </dgm:pt>
    <dgm:pt modelId="{451AA9A5-7A03-AF4A-9A43-1B66ACC3D839}" type="pres">
      <dgm:prSet presAssocID="{40217067-2B3D-714B-B64A-AC9B39D5E62A}" presName="LevelTwoTextNode" presStyleLbl="node4" presStyleIdx="0" presStyleCnt="3" custScaleX="186913">
        <dgm:presLayoutVars>
          <dgm:chPref val="3"/>
        </dgm:presLayoutVars>
      </dgm:prSet>
      <dgm:spPr/>
    </dgm:pt>
    <dgm:pt modelId="{B8B08A8E-23BC-7E48-B87C-4FA88A1A31E0}" type="pres">
      <dgm:prSet presAssocID="{40217067-2B3D-714B-B64A-AC9B39D5E62A}" presName="level3hierChild" presStyleCnt="0"/>
      <dgm:spPr/>
    </dgm:pt>
    <dgm:pt modelId="{95C4AF28-554F-AB43-AAAE-FEC9A70A1818}" type="pres">
      <dgm:prSet presAssocID="{E885063B-3B26-6547-8296-427C34174940}" presName="conn2-1" presStyleLbl="parChTrans1D4" presStyleIdx="1" presStyleCnt="3"/>
      <dgm:spPr/>
    </dgm:pt>
    <dgm:pt modelId="{F95F238A-6AA9-4940-86B1-38660A2F6AAB}" type="pres">
      <dgm:prSet presAssocID="{E885063B-3B26-6547-8296-427C34174940}" presName="connTx" presStyleLbl="parChTrans1D4" presStyleIdx="1" presStyleCnt="3"/>
      <dgm:spPr/>
    </dgm:pt>
    <dgm:pt modelId="{3751C8AA-4966-B14C-899C-A18084A99D89}" type="pres">
      <dgm:prSet presAssocID="{B5FCDEE9-634D-E141-A617-2E2AA870C60A}" presName="root2" presStyleCnt="0"/>
      <dgm:spPr/>
    </dgm:pt>
    <dgm:pt modelId="{06EEA19B-D327-454A-8D58-F8E50DF86493}" type="pres">
      <dgm:prSet presAssocID="{B5FCDEE9-634D-E141-A617-2E2AA870C60A}" presName="LevelTwoTextNode" presStyleLbl="node4" presStyleIdx="1" presStyleCnt="3" custScaleX="190127">
        <dgm:presLayoutVars>
          <dgm:chPref val="3"/>
        </dgm:presLayoutVars>
      </dgm:prSet>
      <dgm:spPr/>
    </dgm:pt>
    <dgm:pt modelId="{55D1668E-6F4A-994F-BF70-6EF7C31D6B26}" type="pres">
      <dgm:prSet presAssocID="{B5FCDEE9-634D-E141-A617-2E2AA870C60A}" presName="level3hierChild" presStyleCnt="0"/>
      <dgm:spPr/>
    </dgm:pt>
    <dgm:pt modelId="{85E1C3C6-1EC2-0C47-BB6E-73DFE04D55D9}" type="pres">
      <dgm:prSet presAssocID="{2A1AA735-3952-5846-AE2F-9B3E084D4D20}" presName="conn2-1" presStyleLbl="parChTrans1D4" presStyleIdx="2" presStyleCnt="3"/>
      <dgm:spPr/>
    </dgm:pt>
    <dgm:pt modelId="{CC3FFE63-2D42-0640-9F06-9B9E295ABA5D}" type="pres">
      <dgm:prSet presAssocID="{2A1AA735-3952-5846-AE2F-9B3E084D4D20}" presName="connTx" presStyleLbl="parChTrans1D4" presStyleIdx="2" presStyleCnt="3"/>
      <dgm:spPr/>
    </dgm:pt>
    <dgm:pt modelId="{8A13F5C0-C9C1-6A46-98B3-53A8EE285923}" type="pres">
      <dgm:prSet presAssocID="{2EEFDD07-D2EC-B84B-AC00-BAB263C42570}" presName="root2" presStyleCnt="0"/>
      <dgm:spPr/>
    </dgm:pt>
    <dgm:pt modelId="{F7829B4E-F212-F94C-B348-62999BF8C386}" type="pres">
      <dgm:prSet presAssocID="{2EEFDD07-D2EC-B84B-AC00-BAB263C42570}" presName="LevelTwoTextNode" presStyleLbl="node4" presStyleIdx="2" presStyleCnt="3" custFlipHor="1" custScaleX="195561">
        <dgm:presLayoutVars>
          <dgm:chPref val="3"/>
        </dgm:presLayoutVars>
      </dgm:prSet>
      <dgm:spPr/>
    </dgm:pt>
    <dgm:pt modelId="{7387F773-B66E-4A4C-9BBF-C30C1C3C7563}" type="pres">
      <dgm:prSet presAssocID="{2EEFDD07-D2EC-B84B-AC00-BAB263C42570}" presName="level3hierChild" presStyleCnt="0"/>
      <dgm:spPr/>
    </dgm:pt>
  </dgm:ptLst>
  <dgm:cxnLst>
    <dgm:cxn modelId="{7F432A0B-EDB9-40DE-A1C9-C1CBFE41C420}" type="presOf" srcId="{215DAA72-C0EA-054A-977F-23D992436EF6}" destId="{7B77EAD0-0F20-A541-8DF4-1C10834BA0E9}" srcOrd="0" destOrd="0" presId="urn:microsoft.com/office/officeart/2005/8/layout/hierarchy2"/>
    <dgm:cxn modelId="{97DAAE23-B969-47EA-86B2-59E6E211258B}" type="presOf" srcId="{54A694F5-8233-2043-8971-E50BDA38F51C}" destId="{B32DB502-6836-A340-AEBF-64F60C4F0AAD}" srcOrd="0" destOrd="0" presId="urn:microsoft.com/office/officeart/2005/8/layout/hierarchy2"/>
    <dgm:cxn modelId="{033F872C-3E39-456F-A729-A76D8E29CEDE}" type="presOf" srcId="{B5A8F622-DCC2-294B-AC97-4EB2FFA36863}" destId="{735F8718-304E-DF47-98CB-FD3AB6C9F370}" srcOrd="0" destOrd="0" presId="urn:microsoft.com/office/officeart/2005/8/layout/hierarchy2"/>
    <dgm:cxn modelId="{DE670C34-9375-4611-9B5B-C75A079C2B4E}" type="presOf" srcId="{215DAA72-C0EA-054A-977F-23D992436EF6}" destId="{EACA834C-3053-3C4A-A081-6320C80E8B1C}" srcOrd="1" destOrd="0" presId="urn:microsoft.com/office/officeart/2005/8/layout/hierarchy2"/>
    <dgm:cxn modelId="{245FF13E-B456-4584-9D7E-A6FA7049F062}" type="presOf" srcId="{54A694F5-8233-2043-8971-E50BDA38F51C}" destId="{E1C5BB76-CA7B-814C-9ACE-4549EE1BC32C}" srcOrd="1" destOrd="0" presId="urn:microsoft.com/office/officeart/2005/8/layout/hierarchy2"/>
    <dgm:cxn modelId="{3FD64044-DD0C-A942-9787-B58D30CCE10E}" srcId="{3AF99DB5-5CCB-CE4E-9A93-79401F969050}" destId="{2EEFDD07-D2EC-B84B-AC00-BAB263C42570}" srcOrd="2" destOrd="0" parTransId="{2A1AA735-3952-5846-AE2F-9B3E084D4D20}" sibTransId="{EB666F11-7D73-A947-B951-5833EBD322D2}"/>
    <dgm:cxn modelId="{E49ECC56-DB7C-4C51-B137-072D73168884}" type="presOf" srcId="{2EEFDD07-D2EC-B84B-AC00-BAB263C42570}" destId="{F7829B4E-F212-F94C-B348-62999BF8C386}" srcOrd="0" destOrd="0" presId="urn:microsoft.com/office/officeart/2005/8/layout/hierarchy2"/>
    <dgm:cxn modelId="{92ED1B5E-0F5B-4BDB-8DE9-0494DFB26752}" type="presOf" srcId="{2B00A9BB-F42D-6D4F-A4F1-13FC1D4C9187}" destId="{2043239F-815C-8B42-BF7C-534DF44825D8}" srcOrd="0" destOrd="0" presId="urn:microsoft.com/office/officeart/2005/8/layout/hierarchy2"/>
    <dgm:cxn modelId="{A0DCA26E-CB33-B743-9387-08A2B83522AF}" srcId="{3969DBBF-9AC4-DD48-857E-D4B141C552F2}" destId="{FF75AFF8-ED86-8244-A98F-C683C70CE0F5}" srcOrd="0" destOrd="0" parTransId="{B5A8F622-DCC2-294B-AC97-4EB2FFA36863}" sibTransId="{B1525C1B-5AB2-EC47-921C-BD70E89D1B5E}"/>
    <dgm:cxn modelId="{BEC12078-D4EE-8A4D-8C2A-8EC88F6D09DA}" srcId="{3AF99DB5-5CCB-CE4E-9A93-79401F969050}" destId="{B5FCDEE9-634D-E141-A617-2E2AA870C60A}" srcOrd="1" destOrd="0" parTransId="{E885063B-3B26-6547-8296-427C34174940}" sibTransId="{04CCB35F-784E-7143-A4F5-4BA07B0CEE32}"/>
    <dgm:cxn modelId="{83F9957B-DE2C-FA44-9DB1-A52105CB5AAA}" srcId="{FF75AFF8-ED86-8244-A98F-C683C70CE0F5}" destId="{3AF99DB5-5CCB-CE4E-9A93-79401F969050}" srcOrd="0" destOrd="0" parTransId="{215DAA72-C0EA-054A-977F-23D992436EF6}" sibTransId="{B5D443FD-B326-4D42-A41F-97A10D96FA7A}"/>
    <dgm:cxn modelId="{2496FC88-982C-4A1B-A88C-78BD33299B2A}" type="presOf" srcId="{3969DBBF-9AC4-DD48-857E-D4B141C552F2}" destId="{D74433B6-E55A-9A4C-824D-F442A9E2BBE7}" srcOrd="0" destOrd="0" presId="urn:microsoft.com/office/officeart/2005/8/layout/hierarchy2"/>
    <dgm:cxn modelId="{3B31F09A-BAEE-734F-96A0-FEC03C1F4E67}" srcId="{2B00A9BB-F42D-6D4F-A4F1-13FC1D4C9187}" destId="{3969DBBF-9AC4-DD48-857E-D4B141C552F2}" srcOrd="0" destOrd="0" parTransId="{A504534A-B81F-D14F-944E-19419BEECDB5}" sibTransId="{5748AA18-92F3-DB48-9349-A4C7522B43EE}"/>
    <dgm:cxn modelId="{F93E859B-D881-49D1-902A-A23D050A6232}" type="presOf" srcId="{FF75AFF8-ED86-8244-A98F-C683C70CE0F5}" destId="{8EC979EC-09D4-E348-8E6A-75F4DD8E8A31}" srcOrd="0" destOrd="0" presId="urn:microsoft.com/office/officeart/2005/8/layout/hierarchy2"/>
    <dgm:cxn modelId="{ABFCC3A2-9864-4055-841B-CD179F7DFF88}" type="presOf" srcId="{B5FCDEE9-634D-E141-A617-2E2AA870C60A}" destId="{06EEA19B-D327-454A-8D58-F8E50DF86493}" srcOrd="0" destOrd="0" presId="urn:microsoft.com/office/officeart/2005/8/layout/hierarchy2"/>
    <dgm:cxn modelId="{4AFBCFA6-011D-A944-81AD-E4C05151B6C4}" srcId="{3AF99DB5-5CCB-CE4E-9A93-79401F969050}" destId="{40217067-2B3D-714B-B64A-AC9B39D5E62A}" srcOrd="0" destOrd="0" parTransId="{54A694F5-8233-2043-8971-E50BDA38F51C}" sibTransId="{75A8C298-43CB-1843-B160-B01E1B7B9665}"/>
    <dgm:cxn modelId="{BF396DB4-ACEF-44BC-AC63-AFDFD843D1EA}" type="presOf" srcId="{B5A8F622-DCC2-294B-AC97-4EB2FFA36863}" destId="{507E4D3C-E99D-4442-98E5-05EE58D6E627}" srcOrd="1" destOrd="0" presId="urn:microsoft.com/office/officeart/2005/8/layout/hierarchy2"/>
    <dgm:cxn modelId="{EFC316B5-9A78-4B44-B3B0-A5E461D7CC70}" type="presOf" srcId="{2A1AA735-3952-5846-AE2F-9B3E084D4D20}" destId="{85E1C3C6-1EC2-0C47-BB6E-73DFE04D55D9}" srcOrd="0" destOrd="0" presId="urn:microsoft.com/office/officeart/2005/8/layout/hierarchy2"/>
    <dgm:cxn modelId="{B6F3B3C8-D3DC-4F48-8887-F81CB69C658E}" type="presOf" srcId="{3AF99DB5-5CCB-CE4E-9A93-79401F969050}" destId="{EAE36E9F-228B-2F41-B061-BC61D00E052E}" srcOrd="0" destOrd="0" presId="urn:microsoft.com/office/officeart/2005/8/layout/hierarchy2"/>
    <dgm:cxn modelId="{BC5E67C9-74C3-4F6C-AB7B-9D79092C7857}" type="presOf" srcId="{E885063B-3B26-6547-8296-427C34174940}" destId="{F95F238A-6AA9-4940-86B1-38660A2F6AAB}" srcOrd="1" destOrd="0" presId="urn:microsoft.com/office/officeart/2005/8/layout/hierarchy2"/>
    <dgm:cxn modelId="{E438CBCA-8F40-488A-9D45-687514EF80A8}" type="presOf" srcId="{2A1AA735-3952-5846-AE2F-9B3E084D4D20}" destId="{CC3FFE63-2D42-0640-9F06-9B9E295ABA5D}" srcOrd="1" destOrd="0" presId="urn:microsoft.com/office/officeart/2005/8/layout/hierarchy2"/>
    <dgm:cxn modelId="{2EEED0D8-4864-43A3-A95C-7226E68DECE4}" type="presOf" srcId="{40217067-2B3D-714B-B64A-AC9B39D5E62A}" destId="{451AA9A5-7A03-AF4A-9A43-1B66ACC3D839}" srcOrd="0" destOrd="0" presId="urn:microsoft.com/office/officeart/2005/8/layout/hierarchy2"/>
    <dgm:cxn modelId="{DF3193E9-FE54-4CE7-9C36-9A1C9A708865}" type="presOf" srcId="{E885063B-3B26-6547-8296-427C34174940}" destId="{95C4AF28-554F-AB43-AAAE-FEC9A70A1818}" srcOrd="0" destOrd="0" presId="urn:microsoft.com/office/officeart/2005/8/layout/hierarchy2"/>
    <dgm:cxn modelId="{CEADAB6F-73B2-46AC-A720-4F4A9C831A20}" type="presParOf" srcId="{2043239F-815C-8B42-BF7C-534DF44825D8}" destId="{D2D60521-728F-6948-AD9C-0C048E481161}" srcOrd="0" destOrd="0" presId="urn:microsoft.com/office/officeart/2005/8/layout/hierarchy2"/>
    <dgm:cxn modelId="{9CEE83BF-A74E-4C2D-9A25-B015155833F6}" type="presParOf" srcId="{D2D60521-728F-6948-AD9C-0C048E481161}" destId="{D74433B6-E55A-9A4C-824D-F442A9E2BBE7}" srcOrd="0" destOrd="0" presId="urn:microsoft.com/office/officeart/2005/8/layout/hierarchy2"/>
    <dgm:cxn modelId="{28C4232B-F890-4A24-B9F8-8475435D9DE4}" type="presParOf" srcId="{D2D60521-728F-6948-AD9C-0C048E481161}" destId="{EF57C1BF-11CA-5141-9AF7-2819501AEDE7}" srcOrd="1" destOrd="0" presId="urn:microsoft.com/office/officeart/2005/8/layout/hierarchy2"/>
    <dgm:cxn modelId="{1E66C8A4-8688-4C95-9686-3A81A7089BB2}" type="presParOf" srcId="{EF57C1BF-11CA-5141-9AF7-2819501AEDE7}" destId="{735F8718-304E-DF47-98CB-FD3AB6C9F370}" srcOrd="0" destOrd="0" presId="urn:microsoft.com/office/officeart/2005/8/layout/hierarchy2"/>
    <dgm:cxn modelId="{A5667F2B-813A-490B-AA78-26118C4A0C76}" type="presParOf" srcId="{735F8718-304E-DF47-98CB-FD3AB6C9F370}" destId="{507E4D3C-E99D-4442-98E5-05EE58D6E627}" srcOrd="0" destOrd="0" presId="urn:microsoft.com/office/officeart/2005/8/layout/hierarchy2"/>
    <dgm:cxn modelId="{3FCAEE72-1D1D-4BDD-8AB9-0EA25BCA5F86}" type="presParOf" srcId="{EF57C1BF-11CA-5141-9AF7-2819501AEDE7}" destId="{95BBFE20-509D-9A4A-90F4-805009832FB6}" srcOrd="1" destOrd="0" presId="urn:microsoft.com/office/officeart/2005/8/layout/hierarchy2"/>
    <dgm:cxn modelId="{07C72981-571D-46A5-8765-5861BFEDABD0}" type="presParOf" srcId="{95BBFE20-509D-9A4A-90F4-805009832FB6}" destId="{8EC979EC-09D4-E348-8E6A-75F4DD8E8A31}" srcOrd="0" destOrd="0" presId="urn:microsoft.com/office/officeart/2005/8/layout/hierarchy2"/>
    <dgm:cxn modelId="{E1E15E27-460A-4C2F-8C40-50DFEB362FA5}" type="presParOf" srcId="{95BBFE20-509D-9A4A-90F4-805009832FB6}" destId="{AC0BDCED-242B-3749-A856-54FF671DA6F1}" srcOrd="1" destOrd="0" presId="urn:microsoft.com/office/officeart/2005/8/layout/hierarchy2"/>
    <dgm:cxn modelId="{7CC4AE8A-F5F2-4514-B3A2-BF72C1C1DA8C}" type="presParOf" srcId="{AC0BDCED-242B-3749-A856-54FF671DA6F1}" destId="{7B77EAD0-0F20-A541-8DF4-1C10834BA0E9}" srcOrd="0" destOrd="0" presId="urn:microsoft.com/office/officeart/2005/8/layout/hierarchy2"/>
    <dgm:cxn modelId="{2C2C9AA3-B6BB-4127-A484-80B9E551DE18}" type="presParOf" srcId="{7B77EAD0-0F20-A541-8DF4-1C10834BA0E9}" destId="{EACA834C-3053-3C4A-A081-6320C80E8B1C}" srcOrd="0" destOrd="0" presId="urn:microsoft.com/office/officeart/2005/8/layout/hierarchy2"/>
    <dgm:cxn modelId="{83AC97CD-0E9A-4FD3-948E-10177830D425}" type="presParOf" srcId="{AC0BDCED-242B-3749-A856-54FF671DA6F1}" destId="{58062E9C-FF1E-B648-9AB8-2FEF7B529097}" srcOrd="1" destOrd="0" presId="urn:microsoft.com/office/officeart/2005/8/layout/hierarchy2"/>
    <dgm:cxn modelId="{BFD4BD8A-CD90-4536-98EB-40C8DB8BD318}" type="presParOf" srcId="{58062E9C-FF1E-B648-9AB8-2FEF7B529097}" destId="{EAE36E9F-228B-2F41-B061-BC61D00E052E}" srcOrd="0" destOrd="0" presId="urn:microsoft.com/office/officeart/2005/8/layout/hierarchy2"/>
    <dgm:cxn modelId="{5E344C83-4F2B-47B6-B4B8-9B834504D79B}" type="presParOf" srcId="{58062E9C-FF1E-B648-9AB8-2FEF7B529097}" destId="{8907B463-3A95-F941-B58B-DC2EC9B1A047}" srcOrd="1" destOrd="0" presId="urn:microsoft.com/office/officeart/2005/8/layout/hierarchy2"/>
    <dgm:cxn modelId="{17B034A1-B3EA-4BF6-BF86-EA1049B2C2B8}" type="presParOf" srcId="{8907B463-3A95-F941-B58B-DC2EC9B1A047}" destId="{B32DB502-6836-A340-AEBF-64F60C4F0AAD}" srcOrd="0" destOrd="0" presId="urn:microsoft.com/office/officeart/2005/8/layout/hierarchy2"/>
    <dgm:cxn modelId="{2DAB40CE-DE2A-4665-9CE7-A4CCC91F947D}" type="presParOf" srcId="{B32DB502-6836-A340-AEBF-64F60C4F0AAD}" destId="{E1C5BB76-CA7B-814C-9ACE-4549EE1BC32C}" srcOrd="0" destOrd="0" presId="urn:microsoft.com/office/officeart/2005/8/layout/hierarchy2"/>
    <dgm:cxn modelId="{F5FB5994-D7F9-4757-8779-FB58EF326B9D}" type="presParOf" srcId="{8907B463-3A95-F941-B58B-DC2EC9B1A047}" destId="{AF9841F1-4245-124D-BAC1-1179D80C4756}" srcOrd="1" destOrd="0" presId="urn:microsoft.com/office/officeart/2005/8/layout/hierarchy2"/>
    <dgm:cxn modelId="{78BE8EE0-281B-4F74-BD82-5DA4C6F9C89B}" type="presParOf" srcId="{AF9841F1-4245-124D-BAC1-1179D80C4756}" destId="{451AA9A5-7A03-AF4A-9A43-1B66ACC3D839}" srcOrd="0" destOrd="0" presId="urn:microsoft.com/office/officeart/2005/8/layout/hierarchy2"/>
    <dgm:cxn modelId="{ADAD9E5E-B802-4860-8BD4-AED729CFAC4C}" type="presParOf" srcId="{AF9841F1-4245-124D-BAC1-1179D80C4756}" destId="{B8B08A8E-23BC-7E48-B87C-4FA88A1A31E0}" srcOrd="1" destOrd="0" presId="urn:microsoft.com/office/officeart/2005/8/layout/hierarchy2"/>
    <dgm:cxn modelId="{E3EAF632-42B6-41E7-9793-FC6FF8CFB76E}" type="presParOf" srcId="{8907B463-3A95-F941-B58B-DC2EC9B1A047}" destId="{95C4AF28-554F-AB43-AAAE-FEC9A70A1818}" srcOrd="2" destOrd="0" presId="urn:microsoft.com/office/officeart/2005/8/layout/hierarchy2"/>
    <dgm:cxn modelId="{F2F15F8D-E21E-49D0-96AE-AD07C8B6B903}" type="presParOf" srcId="{95C4AF28-554F-AB43-AAAE-FEC9A70A1818}" destId="{F95F238A-6AA9-4940-86B1-38660A2F6AAB}" srcOrd="0" destOrd="0" presId="urn:microsoft.com/office/officeart/2005/8/layout/hierarchy2"/>
    <dgm:cxn modelId="{631FCAB8-D913-43F4-81AF-2E8126B40BAE}" type="presParOf" srcId="{8907B463-3A95-F941-B58B-DC2EC9B1A047}" destId="{3751C8AA-4966-B14C-899C-A18084A99D89}" srcOrd="3" destOrd="0" presId="urn:microsoft.com/office/officeart/2005/8/layout/hierarchy2"/>
    <dgm:cxn modelId="{2D4B55E5-92F7-482D-A9C3-15DD66FB792D}" type="presParOf" srcId="{3751C8AA-4966-B14C-899C-A18084A99D89}" destId="{06EEA19B-D327-454A-8D58-F8E50DF86493}" srcOrd="0" destOrd="0" presId="urn:microsoft.com/office/officeart/2005/8/layout/hierarchy2"/>
    <dgm:cxn modelId="{856354DC-F3A4-4BE4-B381-DD41493AD5DA}" type="presParOf" srcId="{3751C8AA-4966-B14C-899C-A18084A99D89}" destId="{55D1668E-6F4A-994F-BF70-6EF7C31D6B26}" srcOrd="1" destOrd="0" presId="urn:microsoft.com/office/officeart/2005/8/layout/hierarchy2"/>
    <dgm:cxn modelId="{6BEF53BD-55FC-410C-B6F5-E978A414B984}" type="presParOf" srcId="{8907B463-3A95-F941-B58B-DC2EC9B1A047}" destId="{85E1C3C6-1EC2-0C47-BB6E-73DFE04D55D9}" srcOrd="4" destOrd="0" presId="urn:microsoft.com/office/officeart/2005/8/layout/hierarchy2"/>
    <dgm:cxn modelId="{64DEAE93-A665-4197-8584-73E6EA966958}" type="presParOf" srcId="{85E1C3C6-1EC2-0C47-BB6E-73DFE04D55D9}" destId="{CC3FFE63-2D42-0640-9F06-9B9E295ABA5D}" srcOrd="0" destOrd="0" presId="urn:microsoft.com/office/officeart/2005/8/layout/hierarchy2"/>
    <dgm:cxn modelId="{274DBF42-B92A-4945-888F-4A0F768CF7CC}" type="presParOf" srcId="{8907B463-3A95-F941-B58B-DC2EC9B1A047}" destId="{8A13F5C0-C9C1-6A46-98B3-53A8EE285923}" srcOrd="5" destOrd="0" presId="urn:microsoft.com/office/officeart/2005/8/layout/hierarchy2"/>
    <dgm:cxn modelId="{E241BC51-D02E-4877-94ED-8AD62079E3A8}" type="presParOf" srcId="{8A13F5C0-C9C1-6A46-98B3-53A8EE285923}" destId="{F7829B4E-F212-F94C-B348-62999BF8C386}" srcOrd="0" destOrd="0" presId="urn:microsoft.com/office/officeart/2005/8/layout/hierarchy2"/>
    <dgm:cxn modelId="{8AB51A58-C30B-4856-8259-EDD2F088B2AF}" type="presParOf" srcId="{8A13F5C0-C9C1-6A46-98B3-53A8EE285923}" destId="{7387F773-B66E-4A4C-9BBF-C30C1C3C7563}" srcOrd="1" destOrd="0" presId="urn:microsoft.com/office/officeart/2005/8/layout/hierarchy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83F1646-BF7E-5A44-AFAE-FF6EC36DCD15}"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ru-RU"/>
        </a:p>
      </dgm:t>
    </dgm:pt>
    <dgm:pt modelId="{F2AB8B5F-C258-704A-B967-A1C26A5F11A6}">
      <dgm:prSet phldrT="[Текст]" custT="1"/>
      <dgm:spPr>
        <a:solidFill>
          <a:schemeClr val="bg1"/>
        </a:solidFill>
        <a:ln>
          <a:solidFill>
            <a:schemeClr val="tx1"/>
          </a:solidFill>
        </a:ln>
      </dgm:spPr>
      <dgm:t>
        <a:bodyPr/>
        <a:lstStyle/>
        <a:p>
          <a:r>
            <a:rPr lang="en-US" sz="800">
              <a:solidFill>
                <a:schemeClr val="tx1"/>
              </a:solidFill>
              <a:latin typeface="Times New Roman" panose="02020603050405020304" pitchFamily="18" charset="0"/>
              <a:cs typeface="Times New Roman" panose="02020603050405020304" pitchFamily="18" charset="0"/>
            </a:rPr>
            <a:t>Origin</a:t>
          </a:r>
          <a:r>
            <a:rPr lang="en-US" sz="500">
              <a:solidFill>
                <a:schemeClr val="tx1"/>
              </a:solidFill>
              <a:latin typeface="Times New Roman" panose="02020603050405020304" pitchFamily="18" charset="0"/>
              <a:cs typeface="Times New Roman" panose="02020603050405020304" pitchFamily="18" charset="0"/>
            </a:rPr>
            <a:t> </a:t>
          </a:r>
          <a:r>
            <a:rPr lang="en-US" sz="800">
              <a:solidFill>
                <a:schemeClr val="tx1"/>
              </a:solidFill>
              <a:latin typeface="Times New Roman" panose="02020603050405020304" pitchFamily="18" charset="0"/>
              <a:cs typeface="Times New Roman" panose="02020603050405020304" pitchFamily="18" charset="0"/>
            </a:rPr>
            <a:t>of</a:t>
          </a:r>
          <a:r>
            <a:rPr lang="en-US" sz="500">
              <a:solidFill>
                <a:schemeClr val="tx1"/>
              </a:solidFill>
              <a:latin typeface="Times New Roman" panose="02020603050405020304" pitchFamily="18" charset="0"/>
              <a:cs typeface="Times New Roman" panose="02020603050405020304" pitchFamily="18" charset="0"/>
            </a:rPr>
            <a:t> </a:t>
          </a:r>
          <a:r>
            <a:rPr lang="en-US" sz="800">
              <a:solidFill>
                <a:schemeClr val="tx1"/>
              </a:solidFill>
              <a:latin typeface="Times New Roman" panose="02020603050405020304" pitchFamily="18" charset="0"/>
              <a:cs typeface="Times New Roman" panose="02020603050405020304" pitchFamily="18" charset="0"/>
            </a:rPr>
            <a:t>waqf</a:t>
          </a:r>
          <a:endParaRPr lang="ru-RU" sz="800">
            <a:solidFill>
              <a:schemeClr val="tx1"/>
            </a:solidFill>
            <a:latin typeface="Times New Roman" panose="02020603050405020304" pitchFamily="18" charset="0"/>
            <a:cs typeface="Times New Roman" panose="02020603050405020304" pitchFamily="18" charset="0"/>
          </a:endParaRPr>
        </a:p>
      </dgm:t>
    </dgm:pt>
    <dgm:pt modelId="{D804B1E0-2A3A-D84F-965A-BEB772719798}" type="parTrans" cxnId="{EE2E542D-4F50-704B-8763-A0661ED55ACA}">
      <dgm:prSet/>
      <dgm:spPr/>
      <dgm:t>
        <a:bodyPr/>
        <a:lstStyle/>
        <a:p>
          <a:endParaRPr lang="ru-RU"/>
        </a:p>
      </dgm:t>
    </dgm:pt>
    <dgm:pt modelId="{03E46F49-DBFE-764A-8317-82F9D483B5A0}" type="sibTrans" cxnId="{EE2E542D-4F50-704B-8763-A0661ED55ACA}">
      <dgm:prSet/>
      <dgm:spPr/>
      <dgm:t>
        <a:bodyPr/>
        <a:lstStyle/>
        <a:p>
          <a:endParaRPr lang="ru-RU"/>
        </a:p>
      </dgm:t>
    </dgm:pt>
    <dgm:pt modelId="{8E70C563-184E-4740-88FB-8F3440B438B8}">
      <dgm:prSet phldrT="[Текст]" custT="1"/>
      <dgm:spPr>
        <a:solidFill>
          <a:schemeClr val="bg1"/>
        </a:solidFill>
        <a:ln>
          <a:solidFill>
            <a:schemeClr val="tx1"/>
          </a:solidFill>
        </a:ln>
      </dgm:spPr>
      <dgm:t>
        <a:bodyPr/>
        <a:lstStyle/>
        <a:p>
          <a:r>
            <a:rPr lang="en-US" sz="800">
              <a:solidFill>
                <a:schemeClr val="tx1"/>
              </a:solidFill>
              <a:latin typeface="Times New Roman" panose="02020603050405020304" pitchFamily="18" charset="0"/>
              <a:cs typeface="Times New Roman" panose="02020603050405020304" pitchFamily="18" charset="0"/>
            </a:rPr>
            <a:t>the concept of infaq</a:t>
          </a:r>
          <a:endParaRPr lang="ru-RU" sz="800">
            <a:solidFill>
              <a:schemeClr val="tx1"/>
            </a:solidFill>
            <a:latin typeface="Times New Roman" panose="02020603050405020304" pitchFamily="18" charset="0"/>
            <a:cs typeface="Times New Roman" panose="02020603050405020304" pitchFamily="18" charset="0"/>
          </a:endParaRPr>
        </a:p>
      </dgm:t>
    </dgm:pt>
    <dgm:pt modelId="{91BDC24B-8967-4E47-9B79-1C99E689B835}" type="parTrans" cxnId="{429273E1-500D-FD49-AFCB-56F1C0F043CA}">
      <dgm:prSet/>
      <dgm:spPr>
        <a:ln>
          <a:solidFill>
            <a:schemeClr val="tx1"/>
          </a:solidFill>
        </a:ln>
      </dgm:spPr>
      <dgm:t>
        <a:bodyPr/>
        <a:lstStyle/>
        <a:p>
          <a:endParaRPr lang="ru-RU"/>
        </a:p>
      </dgm:t>
    </dgm:pt>
    <dgm:pt modelId="{414291ED-CBD4-C84F-A00F-778BE82CE68C}" type="sibTrans" cxnId="{429273E1-500D-FD49-AFCB-56F1C0F043CA}">
      <dgm:prSet/>
      <dgm:spPr/>
      <dgm:t>
        <a:bodyPr/>
        <a:lstStyle/>
        <a:p>
          <a:endParaRPr lang="ru-RU"/>
        </a:p>
      </dgm:t>
    </dgm:pt>
    <dgm:pt modelId="{ABAE6135-54C9-CC47-A58E-F8601EFDC313}">
      <dgm:prSet phldrT="[Текст]" custT="1"/>
      <dgm:spPr>
        <a:solidFill>
          <a:schemeClr val="bg1"/>
        </a:solidFill>
        <a:ln>
          <a:solidFill>
            <a:schemeClr val="tx1"/>
          </a:solidFill>
        </a:ln>
      </dgm:spPr>
      <dgm:t>
        <a:bodyPr/>
        <a:lstStyle/>
        <a:p>
          <a:r>
            <a:rPr lang="en-US" sz="800">
              <a:solidFill>
                <a:schemeClr val="tx1"/>
              </a:solidFill>
              <a:latin typeface="Times New Roman" panose="02020603050405020304" pitchFamily="18" charset="0"/>
              <a:cs typeface="Times New Roman" panose="02020603050405020304" pitchFamily="18" charset="0"/>
            </a:rPr>
            <a:t>Oral</a:t>
          </a:r>
          <a:r>
            <a:rPr lang="en-US" sz="500">
              <a:solidFill>
                <a:schemeClr val="tx1"/>
              </a:solidFill>
              <a:latin typeface="Times New Roman" panose="02020603050405020304" pitchFamily="18" charset="0"/>
              <a:cs typeface="Times New Roman" panose="02020603050405020304" pitchFamily="18" charset="0"/>
            </a:rPr>
            <a:t>/</a:t>
          </a:r>
          <a:r>
            <a:rPr lang="en-US" sz="800">
              <a:solidFill>
                <a:schemeClr val="tx1"/>
              </a:solidFill>
              <a:latin typeface="Times New Roman" panose="02020603050405020304" pitchFamily="18" charset="0"/>
              <a:cs typeface="Times New Roman" panose="02020603050405020304" pitchFamily="18" charset="0"/>
            </a:rPr>
            <a:t>Physical</a:t>
          </a:r>
          <a:r>
            <a:rPr lang="en-US" sz="500">
              <a:solidFill>
                <a:schemeClr val="tx1"/>
              </a:solidFill>
              <a:latin typeface="Times New Roman" panose="02020603050405020304" pitchFamily="18" charset="0"/>
              <a:cs typeface="Times New Roman" panose="02020603050405020304" pitchFamily="18" charset="0"/>
            </a:rPr>
            <a:t> sadaqah</a:t>
          </a:r>
          <a:endParaRPr lang="ru-RU" sz="500">
            <a:solidFill>
              <a:schemeClr val="tx1"/>
            </a:solidFill>
            <a:latin typeface="Times New Roman" panose="02020603050405020304" pitchFamily="18" charset="0"/>
            <a:cs typeface="Times New Roman" panose="02020603050405020304" pitchFamily="18" charset="0"/>
          </a:endParaRPr>
        </a:p>
      </dgm:t>
    </dgm:pt>
    <dgm:pt modelId="{E3EE27C7-E274-9346-AB04-539D0B7EC658}" type="parTrans" cxnId="{8AB233DB-5152-7A4A-9281-F966816A504D}">
      <dgm:prSet/>
      <dgm:spPr>
        <a:ln>
          <a:solidFill>
            <a:schemeClr val="tx1"/>
          </a:solidFill>
        </a:ln>
      </dgm:spPr>
      <dgm:t>
        <a:bodyPr/>
        <a:lstStyle/>
        <a:p>
          <a:endParaRPr lang="ru-RU"/>
        </a:p>
      </dgm:t>
    </dgm:pt>
    <dgm:pt modelId="{7F7122B7-257D-8646-9BDB-8996A49A4B22}" type="sibTrans" cxnId="{8AB233DB-5152-7A4A-9281-F966816A504D}">
      <dgm:prSet/>
      <dgm:spPr/>
      <dgm:t>
        <a:bodyPr/>
        <a:lstStyle/>
        <a:p>
          <a:endParaRPr lang="ru-RU"/>
        </a:p>
      </dgm:t>
    </dgm:pt>
    <dgm:pt modelId="{6F0A9C09-873B-9747-B13E-94155B4B57AF}">
      <dgm:prSet phldrT="[Текст]" custT="1"/>
      <dgm:spPr>
        <a:solidFill>
          <a:schemeClr val="bg1"/>
        </a:solidFill>
        <a:ln>
          <a:solidFill>
            <a:schemeClr val="tx1"/>
          </a:solidFill>
        </a:ln>
      </dgm:spPr>
      <dgm:t>
        <a:bodyPr/>
        <a:lstStyle/>
        <a:p>
          <a:r>
            <a:rPr lang="en-US" sz="800">
              <a:solidFill>
                <a:schemeClr val="tx1"/>
              </a:solidFill>
              <a:latin typeface="Times New Roman" panose="02020603050405020304" pitchFamily="18" charset="0"/>
              <a:cs typeface="Times New Roman" panose="02020603050405020304" pitchFamily="18" charset="0"/>
            </a:rPr>
            <a:t>Material</a:t>
          </a:r>
          <a:r>
            <a:rPr lang="en-US" sz="500">
              <a:solidFill>
                <a:schemeClr val="tx1"/>
              </a:solidFill>
              <a:latin typeface="Times New Roman" panose="02020603050405020304" pitchFamily="18" charset="0"/>
              <a:cs typeface="Times New Roman" panose="02020603050405020304" pitchFamily="18" charset="0"/>
            </a:rPr>
            <a:t>/</a:t>
          </a:r>
          <a:r>
            <a:rPr lang="en-US" sz="800">
              <a:solidFill>
                <a:schemeClr val="tx1"/>
              </a:solidFill>
              <a:latin typeface="Times New Roman" panose="02020603050405020304" pitchFamily="18" charset="0"/>
              <a:cs typeface="Times New Roman" panose="02020603050405020304" pitchFamily="18" charset="0"/>
            </a:rPr>
            <a:t>Pecuniary</a:t>
          </a:r>
          <a:r>
            <a:rPr lang="en-US" sz="500">
              <a:solidFill>
                <a:schemeClr val="tx1"/>
              </a:solidFill>
              <a:latin typeface="Times New Roman" panose="02020603050405020304" pitchFamily="18" charset="0"/>
              <a:cs typeface="Times New Roman" panose="02020603050405020304" pitchFamily="18" charset="0"/>
            </a:rPr>
            <a:t> sadaqah</a:t>
          </a:r>
          <a:endParaRPr lang="ru-RU" sz="500">
            <a:solidFill>
              <a:schemeClr val="tx1"/>
            </a:solidFill>
            <a:latin typeface="Times New Roman" panose="02020603050405020304" pitchFamily="18" charset="0"/>
            <a:cs typeface="Times New Roman" panose="02020603050405020304" pitchFamily="18" charset="0"/>
          </a:endParaRPr>
        </a:p>
      </dgm:t>
    </dgm:pt>
    <dgm:pt modelId="{CDA8643E-21C5-7945-92C2-CDF0B2F2DE35}" type="parTrans" cxnId="{10C1D841-8D66-E547-9D84-BFB5B50C682D}">
      <dgm:prSet/>
      <dgm:spPr>
        <a:ln>
          <a:solidFill>
            <a:schemeClr val="tx1"/>
          </a:solidFill>
        </a:ln>
      </dgm:spPr>
      <dgm:t>
        <a:bodyPr/>
        <a:lstStyle/>
        <a:p>
          <a:endParaRPr lang="ru-RU"/>
        </a:p>
      </dgm:t>
    </dgm:pt>
    <dgm:pt modelId="{62B9A57B-771D-DC46-AC1D-12FFC7DBA049}" type="sibTrans" cxnId="{10C1D841-8D66-E547-9D84-BFB5B50C682D}">
      <dgm:prSet/>
      <dgm:spPr/>
      <dgm:t>
        <a:bodyPr/>
        <a:lstStyle/>
        <a:p>
          <a:endParaRPr lang="ru-RU"/>
        </a:p>
      </dgm:t>
    </dgm:pt>
    <dgm:pt modelId="{94296E87-271C-7248-BD84-AD7BCFFC5EE9}">
      <dgm:prSet custT="1"/>
      <dgm:spPr>
        <a:solidFill>
          <a:schemeClr val="bg1"/>
        </a:solidFill>
        <a:ln>
          <a:solidFill>
            <a:schemeClr val="tx1"/>
          </a:solidFill>
        </a:ln>
      </dgm:spPr>
      <dgm:t>
        <a:bodyPr/>
        <a:lstStyle/>
        <a:p>
          <a:r>
            <a:rPr lang="en-US" sz="800">
              <a:solidFill>
                <a:schemeClr val="tx1"/>
              </a:solidFill>
              <a:latin typeface="Times New Roman" panose="02020603050405020304" pitchFamily="18" charset="0"/>
              <a:cs typeface="Times New Roman" panose="02020603050405020304" pitchFamily="18" charset="0"/>
            </a:rPr>
            <a:t>Obligatory</a:t>
          </a:r>
          <a:r>
            <a:rPr lang="en-US" sz="500">
              <a:solidFill>
                <a:schemeClr val="tx1"/>
              </a:solidFill>
              <a:latin typeface="Times New Roman" panose="02020603050405020304" pitchFamily="18" charset="0"/>
              <a:cs typeface="Times New Roman" panose="02020603050405020304" pitchFamily="18" charset="0"/>
            </a:rPr>
            <a:t> </a:t>
          </a:r>
          <a:r>
            <a:rPr lang="en-US" sz="800">
              <a:solidFill>
                <a:schemeClr val="tx1"/>
              </a:solidFill>
              <a:latin typeface="Times New Roman" panose="02020603050405020304" pitchFamily="18" charset="0"/>
              <a:cs typeface="Times New Roman" panose="02020603050405020304" pitchFamily="18" charset="0"/>
            </a:rPr>
            <a:t>sadaqah</a:t>
          </a:r>
          <a:r>
            <a:rPr lang="en-US" sz="500">
              <a:solidFill>
                <a:schemeClr val="tx1"/>
              </a:solidFill>
              <a:latin typeface="Times New Roman" panose="02020603050405020304" pitchFamily="18" charset="0"/>
              <a:cs typeface="Times New Roman" panose="02020603050405020304" pitchFamily="18" charset="0"/>
            </a:rPr>
            <a:t> (zakat)</a:t>
          </a:r>
          <a:endParaRPr lang="ru-RU" sz="500">
            <a:solidFill>
              <a:schemeClr val="tx1"/>
            </a:solidFill>
            <a:latin typeface="Times New Roman" panose="02020603050405020304" pitchFamily="18" charset="0"/>
            <a:cs typeface="Times New Roman" panose="02020603050405020304" pitchFamily="18" charset="0"/>
          </a:endParaRPr>
        </a:p>
      </dgm:t>
    </dgm:pt>
    <dgm:pt modelId="{473D7DEF-6F0D-7341-B2F4-8CEBE229824F}" type="parTrans" cxnId="{1F5B4A5A-D9B5-2B40-98FC-0A50128C6FB2}">
      <dgm:prSet/>
      <dgm:spPr>
        <a:ln>
          <a:solidFill>
            <a:schemeClr val="tx1"/>
          </a:solidFill>
        </a:ln>
      </dgm:spPr>
      <dgm:t>
        <a:bodyPr/>
        <a:lstStyle/>
        <a:p>
          <a:endParaRPr lang="ru-RU"/>
        </a:p>
      </dgm:t>
    </dgm:pt>
    <dgm:pt modelId="{0BF54C32-D729-534D-8FF9-6FFEEC6FE433}" type="sibTrans" cxnId="{1F5B4A5A-D9B5-2B40-98FC-0A50128C6FB2}">
      <dgm:prSet/>
      <dgm:spPr/>
      <dgm:t>
        <a:bodyPr/>
        <a:lstStyle/>
        <a:p>
          <a:endParaRPr lang="ru-RU"/>
        </a:p>
      </dgm:t>
    </dgm:pt>
    <dgm:pt modelId="{AA8953EF-5B58-BE42-8A33-FC18B3D9A58C}">
      <dgm:prSet custT="1"/>
      <dgm:spPr>
        <a:solidFill>
          <a:schemeClr val="bg1"/>
        </a:solidFill>
        <a:ln>
          <a:solidFill>
            <a:schemeClr val="tx1"/>
          </a:solidFill>
        </a:ln>
      </dgm:spPr>
      <dgm:t>
        <a:bodyPr/>
        <a:lstStyle/>
        <a:p>
          <a:r>
            <a:rPr lang="en-US" sz="800">
              <a:solidFill>
                <a:schemeClr val="tx1"/>
              </a:solidFill>
              <a:latin typeface="Times New Roman" panose="02020603050405020304" pitchFamily="18" charset="0"/>
              <a:cs typeface="Times New Roman" panose="02020603050405020304" pitchFamily="18" charset="0"/>
            </a:rPr>
            <a:t>Non-obligarory</a:t>
          </a:r>
          <a:r>
            <a:rPr lang="en-US" sz="500">
              <a:solidFill>
                <a:schemeClr val="tx1"/>
              </a:solidFill>
              <a:latin typeface="Times New Roman" panose="02020603050405020304" pitchFamily="18" charset="0"/>
              <a:cs typeface="Times New Roman" panose="02020603050405020304" pitchFamily="18" charset="0"/>
            </a:rPr>
            <a:t> sadaqah</a:t>
          </a:r>
          <a:endParaRPr lang="ru-RU" sz="500">
            <a:solidFill>
              <a:schemeClr val="tx1"/>
            </a:solidFill>
            <a:latin typeface="Times New Roman" panose="02020603050405020304" pitchFamily="18" charset="0"/>
            <a:cs typeface="Times New Roman" panose="02020603050405020304" pitchFamily="18" charset="0"/>
          </a:endParaRPr>
        </a:p>
      </dgm:t>
    </dgm:pt>
    <dgm:pt modelId="{2EE9A88C-E49A-F443-9D77-AE46E498F98A}" type="parTrans" cxnId="{33C083F9-9C48-3E40-B327-16E0564CCDC0}">
      <dgm:prSet/>
      <dgm:spPr>
        <a:ln>
          <a:solidFill>
            <a:schemeClr val="tx1"/>
          </a:solidFill>
        </a:ln>
      </dgm:spPr>
      <dgm:t>
        <a:bodyPr/>
        <a:lstStyle/>
        <a:p>
          <a:endParaRPr lang="ru-RU"/>
        </a:p>
      </dgm:t>
    </dgm:pt>
    <dgm:pt modelId="{FA58C82E-D023-4A46-8824-EB9D06438511}" type="sibTrans" cxnId="{33C083F9-9C48-3E40-B327-16E0564CCDC0}">
      <dgm:prSet/>
      <dgm:spPr/>
      <dgm:t>
        <a:bodyPr/>
        <a:lstStyle/>
        <a:p>
          <a:endParaRPr lang="ru-RU"/>
        </a:p>
      </dgm:t>
    </dgm:pt>
    <dgm:pt modelId="{BCCF4A36-3570-054F-BED9-60BB143985AB}">
      <dgm:prSet custT="1"/>
      <dgm:spPr>
        <a:solidFill>
          <a:schemeClr val="bg1"/>
        </a:solidFill>
        <a:ln>
          <a:solidFill>
            <a:schemeClr val="tx1"/>
          </a:solidFill>
        </a:ln>
      </dgm:spPr>
      <dgm:t>
        <a:bodyPr/>
        <a:lstStyle/>
        <a:p>
          <a:r>
            <a:rPr lang="en-US" sz="800">
              <a:solidFill>
                <a:schemeClr val="tx1"/>
              </a:solidFill>
              <a:latin typeface="Times New Roman" panose="02020603050405020304" pitchFamily="18" charset="0"/>
              <a:cs typeface="Times New Roman" panose="02020603050405020304" pitchFamily="18" charset="0"/>
            </a:rPr>
            <a:t>Absolute</a:t>
          </a:r>
          <a:r>
            <a:rPr lang="en-US" sz="500">
              <a:solidFill>
                <a:schemeClr val="tx1"/>
              </a:solidFill>
              <a:latin typeface="Times New Roman" panose="02020603050405020304" pitchFamily="18" charset="0"/>
              <a:cs typeface="Times New Roman" panose="02020603050405020304" pitchFamily="18" charset="0"/>
            </a:rPr>
            <a:t> </a:t>
          </a:r>
        </a:p>
        <a:p>
          <a:r>
            <a:rPr lang="en-US" sz="500">
              <a:solidFill>
                <a:schemeClr val="tx1"/>
              </a:solidFill>
              <a:latin typeface="Times New Roman" panose="02020603050405020304" pitchFamily="18" charset="0"/>
              <a:cs typeface="Times New Roman" panose="02020603050405020304" pitchFamily="18" charset="0"/>
            </a:rPr>
            <a:t>sadaqah</a:t>
          </a:r>
          <a:endParaRPr lang="ru-RU" sz="500">
            <a:solidFill>
              <a:schemeClr val="tx1"/>
            </a:solidFill>
            <a:latin typeface="Times New Roman" panose="02020603050405020304" pitchFamily="18" charset="0"/>
            <a:cs typeface="Times New Roman" panose="02020603050405020304" pitchFamily="18" charset="0"/>
          </a:endParaRPr>
        </a:p>
      </dgm:t>
    </dgm:pt>
    <dgm:pt modelId="{9298A652-D082-B24E-843E-3C4FF44FEDAF}" type="parTrans" cxnId="{A432D426-C5A6-F54C-B016-FC3A9836BB78}">
      <dgm:prSet/>
      <dgm:spPr>
        <a:ln>
          <a:solidFill>
            <a:schemeClr val="tx1"/>
          </a:solidFill>
        </a:ln>
      </dgm:spPr>
      <dgm:t>
        <a:bodyPr/>
        <a:lstStyle/>
        <a:p>
          <a:endParaRPr lang="ru-RU"/>
        </a:p>
      </dgm:t>
    </dgm:pt>
    <dgm:pt modelId="{DAA390F1-0C3C-024C-A2DB-BF18D6467106}" type="sibTrans" cxnId="{A432D426-C5A6-F54C-B016-FC3A9836BB78}">
      <dgm:prSet/>
      <dgm:spPr/>
      <dgm:t>
        <a:bodyPr/>
        <a:lstStyle/>
        <a:p>
          <a:endParaRPr lang="ru-RU"/>
        </a:p>
      </dgm:t>
    </dgm:pt>
    <dgm:pt modelId="{7FC4A851-48AC-B042-B4A2-B3294F794532}">
      <dgm:prSet custT="1"/>
      <dgm:spPr>
        <a:solidFill>
          <a:schemeClr val="bg1"/>
        </a:solidFill>
        <a:ln>
          <a:solidFill>
            <a:schemeClr val="tx1"/>
          </a:solidFill>
        </a:ln>
      </dgm:spPr>
      <dgm:t>
        <a:bodyPr/>
        <a:lstStyle/>
        <a:p>
          <a:r>
            <a:rPr lang="en-US" sz="800">
              <a:solidFill>
                <a:schemeClr val="tx1"/>
              </a:solidFill>
              <a:latin typeface="Times New Roman" panose="02020603050405020304" pitchFamily="18" charset="0"/>
              <a:cs typeface="Times New Roman" panose="02020603050405020304" pitchFamily="18" charset="0"/>
            </a:rPr>
            <a:t>Non-absolute</a:t>
          </a:r>
          <a:r>
            <a:rPr lang="en-US" sz="500">
              <a:latin typeface="Times New Roman" panose="02020603050405020304" pitchFamily="18" charset="0"/>
              <a:cs typeface="Times New Roman" panose="02020603050405020304" pitchFamily="18" charset="0"/>
            </a:rPr>
            <a:t> </a:t>
          </a:r>
          <a:r>
            <a:rPr lang="en-US" sz="500">
              <a:solidFill>
                <a:schemeClr val="tx1"/>
              </a:solidFill>
              <a:latin typeface="Times New Roman" panose="02020603050405020304" pitchFamily="18" charset="0"/>
              <a:cs typeface="Times New Roman" panose="02020603050405020304" pitchFamily="18" charset="0"/>
            </a:rPr>
            <a:t>sadaqah</a:t>
          </a:r>
          <a:endParaRPr lang="ru-RU" sz="500">
            <a:solidFill>
              <a:schemeClr val="tx1"/>
            </a:solidFill>
            <a:latin typeface="Times New Roman" panose="02020603050405020304" pitchFamily="18" charset="0"/>
            <a:cs typeface="Times New Roman" panose="02020603050405020304" pitchFamily="18" charset="0"/>
          </a:endParaRPr>
        </a:p>
      </dgm:t>
    </dgm:pt>
    <dgm:pt modelId="{3607C5A8-56D8-9642-A2BE-28599DB788D9}" type="parTrans" cxnId="{C40A362E-12B0-394A-A827-A78DB258505E}">
      <dgm:prSet/>
      <dgm:spPr>
        <a:ln>
          <a:solidFill>
            <a:schemeClr val="tx1"/>
          </a:solidFill>
        </a:ln>
      </dgm:spPr>
      <dgm:t>
        <a:bodyPr/>
        <a:lstStyle/>
        <a:p>
          <a:endParaRPr lang="ru-RU"/>
        </a:p>
      </dgm:t>
    </dgm:pt>
    <dgm:pt modelId="{8EA5DF7A-009B-9E43-BD4C-85A3748FD6CB}" type="sibTrans" cxnId="{C40A362E-12B0-394A-A827-A78DB258505E}">
      <dgm:prSet/>
      <dgm:spPr/>
      <dgm:t>
        <a:bodyPr/>
        <a:lstStyle/>
        <a:p>
          <a:endParaRPr lang="ru-RU"/>
        </a:p>
      </dgm:t>
    </dgm:pt>
    <dgm:pt modelId="{8880D632-9C75-B241-90F1-EA0BC9E43DE8}">
      <dgm:prSet custT="1"/>
      <dgm:spPr>
        <a:solidFill>
          <a:schemeClr val="bg1"/>
        </a:solidFill>
        <a:ln>
          <a:solidFill>
            <a:schemeClr val="tx1"/>
          </a:solidFill>
        </a:ln>
      </dgm:spPr>
      <dgm:t>
        <a:bodyPr/>
        <a:lstStyle/>
        <a:p>
          <a:r>
            <a:rPr lang="en-US" sz="700">
              <a:solidFill>
                <a:schemeClr val="tx1"/>
              </a:solidFill>
              <a:latin typeface="Times New Roman" panose="02020603050405020304" pitchFamily="18" charset="0"/>
              <a:cs typeface="Times New Roman" panose="02020603050405020304" pitchFamily="18" charset="0"/>
            </a:rPr>
            <a:t>Transfer of fuul ownership to the beneficiary</a:t>
          </a:r>
          <a:endParaRPr lang="ru-RU" sz="700">
            <a:solidFill>
              <a:schemeClr val="tx1"/>
            </a:solidFill>
            <a:latin typeface="Times New Roman" panose="02020603050405020304" pitchFamily="18" charset="0"/>
            <a:cs typeface="Times New Roman" panose="02020603050405020304" pitchFamily="18" charset="0"/>
          </a:endParaRPr>
        </a:p>
      </dgm:t>
    </dgm:pt>
    <dgm:pt modelId="{3E9D1B77-146B-6143-A2B7-C01E0DEBA83D}" type="parTrans" cxnId="{E93B62AE-00B4-2C44-AD36-EC43F8957B66}">
      <dgm:prSet/>
      <dgm:spPr>
        <a:ln>
          <a:solidFill>
            <a:schemeClr val="tx1"/>
          </a:solidFill>
        </a:ln>
      </dgm:spPr>
      <dgm:t>
        <a:bodyPr/>
        <a:lstStyle/>
        <a:p>
          <a:endParaRPr lang="ru-RU"/>
        </a:p>
      </dgm:t>
    </dgm:pt>
    <dgm:pt modelId="{F6B7485D-C252-B74B-9186-FBBCECB75532}" type="sibTrans" cxnId="{E93B62AE-00B4-2C44-AD36-EC43F8957B66}">
      <dgm:prSet/>
      <dgm:spPr/>
      <dgm:t>
        <a:bodyPr/>
        <a:lstStyle/>
        <a:p>
          <a:endParaRPr lang="ru-RU"/>
        </a:p>
      </dgm:t>
    </dgm:pt>
    <dgm:pt modelId="{0D4CD771-E85A-A54E-A81E-5E18701613D8}">
      <dgm:prSet custT="1"/>
      <dgm:spPr>
        <a:solidFill>
          <a:schemeClr val="bg1"/>
        </a:solidFill>
        <a:ln>
          <a:solidFill>
            <a:schemeClr val="tx1"/>
          </a:solidFill>
        </a:ln>
      </dgm:spPr>
      <dgm:t>
        <a:bodyPr/>
        <a:lstStyle/>
        <a:p>
          <a:r>
            <a:rPr lang="en-US" sz="700">
              <a:solidFill>
                <a:schemeClr val="tx1"/>
              </a:solidFill>
              <a:latin typeface="Times New Roman" panose="02020603050405020304" pitchFamily="18" charset="0"/>
              <a:cs typeface="Times New Roman" panose="02020603050405020304" pitchFamily="18" charset="0"/>
            </a:rPr>
            <a:t>Entitlement to usufruct only</a:t>
          </a:r>
          <a:endParaRPr lang="ru-RU" sz="700">
            <a:solidFill>
              <a:schemeClr val="tx1"/>
            </a:solidFill>
            <a:latin typeface="Times New Roman" panose="02020603050405020304" pitchFamily="18" charset="0"/>
            <a:cs typeface="Times New Roman" panose="02020603050405020304" pitchFamily="18" charset="0"/>
          </a:endParaRPr>
        </a:p>
      </dgm:t>
    </dgm:pt>
    <dgm:pt modelId="{2F632C02-E4D0-0448-9B2F-285B9E2832CE}" type="parTrans" cxnId="{36BB8617-4D77-2344-B313-F7D5B23366B8}">
      <dgm:prSet/>
      <dgm:spPr>
        <a:ln>
          <a:solidFill>
            <a:schemeClr val="tx1"/>
          </a:solidFill>
        </a:ln>
      </dgm:spPr>
      <dgm:t>
        <a:bodyPr/>
        <a:lstStyle/>
        <a:p>
          <a:endParaRPr lang="ru-RU"/>
        </a:p>
      </dgm:t>
    </dgm:pt>
    <dgm:pt modelId="{A3EFDF3C-5D53-E747-AAB7-DB10CAE15219}" type="sibTrans" cxnId="{36BB8617-4D77-2344-B313-F7D5B23366B8}">
      <dgm:prSet/>
      <dgm:spPr/>
      <dgm:t>
        <a:bodyPr/>
        <a:lstStyle/>
        <a:p>
          <a:endParaRPr lang="ru-RU"/>
        </a:p>
      </dgm:t>
    </dgm:pt>
    <dgm:pt modelId="{77F19CC6-9982-8F42-91E7-E5AB65BB93CC}">
      <dgm:prSet custT="1"/>
      <dgm:spPr>
        <a:solidFill>
          <a:schemeClr val="bg1"/>
        </a:solidFill>
        <a:ln>
          <a:solidFill>
            <a:schemeClr val="tx1"/>
          </a:solidFill>
        </a:ln>
      </dgm:spPr>
      <dgm:t>
        <a:bodyPr/>
        <a:lstStyle/>
        <a:p>
          <a:r>
            <a:rPr lang="en-US" sz="700">
              <a:solidFill>
                <a:schemeClr val="tx1"/>
              </a:solidFill>
              <a:latin typeface="Times New Roman" panose="02020603050405020304" pitchFamily="18" charset="0"/>
              <a:cs typeface="Times New Roman" panose="02020603050405020304" pitchFamily="18" charset="0"/>
            </a:rPr>
            <a:t>Provisional transfer of ownership</a:t>
          </a:r>
          <a:endParaRPr lang="ru-RU" sz="700">
            <a:solidFill>
              <a:schemeClr val="tx1"/>
            </a:solidFill>
            <a:latin typeface="Times New Roman" panose="02020603050405020304" pitchFamily="18" charset="0"/>
            <a:cs typeface="Times New Roman" panose="02020603050405020304" pitchFamily="18" charset="0"/>
          </a:endParaRPr>
        </a:p>
      </dgm:t>
    </dgm:pt>
    <dgm:pt modelId="{63506581-FD67-8048-9723-ADE49DB0D0C0}" type="parTrans" cxnId="{9F1C5EB9-A36F-DD41-A52F-AE9FB6CE8261}">
      <dgm:prSet/>
      <dgm:spPr>
        <a:ln>
          <a:solidFill>
            <a:schemeClr val="tx1"/>
          </a:solidFill>
        </a:ln>
      </dgm:spPr>
      <dgm:t>
        <a:bodyPr/>
        <a:lstStyle/>
        <a:p>
          <a:endParaRPr lang="ru-RU"/>
        </a:p>
      </dgm:t>
    </dgm:pt>
    <dgm:pt modelId="{7AA60B88-BC7D-3E47-97AB-DD89904D54DF}" type="sibTrans" cxnId="{9F1C5EB9-A36F-DD41-A52F-AE9FB6CE8261}">
      <dgm:prSet/>
      <dgm:spPr/>
      <dgm:t>
        <a:bodyPr/>
        <a:lstStyle/>
        <a:p>
          <a:endParaRPr lang="ru-RU"/>
        </a:p>
      </dgm:t>
    </dgm:pt>
    <dgm:pt modelId="{D304FA7C-05A9-E04E-988A-F285D4A7ADEE}">
      <dgm:prSet custT="1"/>
      <dgm:spPr>
        <a:solidFill>
          <a:schemeClr val="bg1"/>
        </a:solidFill>
        <a:ln>
          <a:solidFill>
            <a:schemeClr val="tx1"/>
          </a:solidFill>
        </a:ln>
      </dgm:spPr>
      <dgm:t>
        <a:bodyPr/>
        <a:lstStyle/>
        <a:p>
          <a:r>
            <a:rPr lang="en-US" sz="700">
              <a:solidFill>
                <a:schemeClr val="tx1"/>
              </a:solidFill>
              <a:latin typeface="Times New Roman" panose="02020603050405020304" pitchFamily="18" charset="0"/>
              <a:cs typeface="Times New Roman" panose="02020603050405020304" pitchFamily="18" charset="0"/>
            </a:rPr>
            <a:t>Revenue with perpetual ownership suspension</a:t>
          </a:r>
          <a:endParaRPr lang="ru-RU" sz="700">
            <a:solidFill>
              <a:schemeClr val="tx1"/>
            </a:solidFill>
            <a:latin typeface="Times New Roman" panose="02020603050405020304" pitchFamily="18" charset="0"/>
            <a:cs typeface="Times New Roman" panose="02020603050405020304" pitchFamily="18" charset="0"/>
          </a:endParaRPr>
        </a:p>
      </dgm:t>
    </dgm:pt>
    <dgm:pt modelId="{4A118EE9-8FB9-0949-92FA-15784E217542}" type="parTrans" cxnId="{A12840DD-EF6F-1D44-8DFF-406EC9EEB5E7}">
      <dgm:prSet/>
      <dgm:spPr>
        <a:ln>
          <a:solidFill>
            <a:schemeClr val="tx1"/>
          </a:solidFill>
        </a:ln>
      </dgm:spPr>
      <dgm:t>
        <a:bodyPr/>
        <a:lstStyle/>
        <a:p>
          <a:endParaRPr lang="ru-RU"/>
        </a:p>
      </dgm:t>
    </dgm:pt>
    <dgm:pt modelId="{7EC2FAC5-BF30-7442-A105-7E166D36109D}" type="sibTrans" cxnId="{A12840DD-EF6F-1D44-8DFF-406EC9EEB5E7}">
      <dgm:prSet/>
      <dgm:spPr/>
      <dgm:t>
        <a:bodyPr/>
        <a:lstStyle/>
        <a:p>
          <a:endParaRPr lang="ru-RU"/>
        </a:p>
      </dgm:t>
    </dgm:pt>
    <dgm:pt modelId="{1657D59F-ACB9-3045-A2E2-358F5D16833D}">
      <dgm:prSet custT="1"/>
      <dgm:spPr>
        <a:solidFill>
          <a:schemeClr val="bg1"/>
        </a:solidFill>
        <a:ln>
          <a:solidFill>
            <a:srgbClr val="C00000"/>
          </a:solidFill>
        </a:ln>
      </dgm:spPr>
      <dgm:t>
        <a:bodyPr/>
        <a:lstStyle/>
        <a:p>
          <a:r>
            <a:rPr lang="en-US" sz="900">
              <a:solidFill>
                <a:schemeClr val="tx1"/>
              </a:solidFill>
              <a:latin typeface="Times New Roman" panose="02020603050405020304" pitchFamily="18" charset="0"/>
              <a:cs typeface="Times New Roman" panose="02020603050405020304" pitchFamily="18" charset="0"/>
            </a:rPr>
            <a:t>Waqf Habs/Habis</a:t>
          </a:r>
          <a:endParaRPr lang="ru-RU" sz="900">
            <a:solidFill>
              <a:schemeClr val="tx1"/>
            </a:solidFill>
            <a:latin typeface="Times New Roman" panose="02020603050405020304" pitchFamily="18" charset="0"/>
            <a:cs typeface="Times New Roman" panose="02020603050405020304" pitchFamily="18" charset="0"/>
          </a:endParaRPr>
        </a:p>
      </dgm:t>
    </dgm:pt>
    <dgm:pt modelId="{BDA1699A-C33F-8D4A-B0B1-853E403EC6DF}" type="parTrans" cxnId="{89B4595B-E541-BC4D-9E21-64CEB8121F4F}">
      <dgm:prSet/>
      <dgm:spPr>
        <a:ln>
          <a:solidFill>
            <a:schemeClr val="tx1"/>
          </a:solidFill>
        </a:ln>
      </dgm:spPr>
      <dgm:t>
        <a:bodyPr/>
        <a:lstStyle/>
        <a:p>
          <a:endParaRPr lang="ru-RU"/>
        </a:p>
      </dgm:t>
    </dgm:pt>
    <dgm:pt modelId="{560743FC-7409-C041-8A08-574EFD75A86C}" type="sibTrans" cxnId="{89B4595B-E541-BC4D-9E21-64CEB8121F4F}">
      <dgm:prSet/>
      <dgm:spPr/>
      <dgm:t>
        <a:bodyPr/>
        <a:lstStyle/>
        <a:p>
          <a:endParaRPr lang="ru-RU"/>
        </a:p>
      </dgm:t>
    </dgm:pt>
    <dgm:pt modelId="{9E81187E-B043-8D42-B850-F0E87AF7EE15}" type="pres">
      <dgm:prSet presAssocID="{683F1646-BF7E-5A44-AFAE-FF6EC36DCD15}" presName="Name0" presStyleCnt="0">
        <dgm:presLayoutVars>
          <dgm:chPref val="1"/>
          <dgm:dir/>
          <dgm:animOne val="branch"/>
          <dgm:animLvl val="lvl"/>
          <dgm:resizeHandles val="exact"/>
        </dgm:presLayoutVars>
      </dgm:prSet>
      <dgm:spPr/>
    </dgm:pt>
    <dgm:pt modelId="{C66A79B2-03BE-084A-AF0A-A593E75B4AA6}" type="pres">
      <dgm:prSet presAssocID="{F2AB8B5F-C258-704A-B967-A1C26A5F11A6}" presName="root1" presStyleCnt="0"/>
      <dgm:spPr/>
    </dgm:pt>
    <dgm:pt modelId="{91DB3F93-0604-0046-ADAE-7AD533545212}" type="pres">
      <dgm:prSet presAssocID="{F2AB8B5F-C258-704A-B967-A1C26A5F11A6}" presName="LevelOneTextNode" presStyleLbl="node0" presStyleIdx="0" presStyleCnt="1">
        <dgm:presLayoutVars>
          <dgm:chPref val="3"/>
        </dgm:presLayoutVars>
      </dgm:prSet>
      <dgm:spPr/>
    </dgm:pt>
    <dgm:pt modelId="{2FF586C2-012F-2E4F-816D-92049347269F}" type="pres">
      <dgm:prSet presAssocID="{F2AB8B5F-C258-704A-B967-A1C26A5F11A6}" presName="level2hierChild" presStyleCnt="0"/>
      <dgm:spPr/>
    </dgm:pt>
    <dgm:pt modelId="{C0B11F2F-1EA5-4D4D-B724-E4F0B75C0E13}" type="pres">
      <dgm:prSet presAssocID="{91BDC24B-8967-4E47-9B79-1C99E689B835}" presName="conn2-1" presStyleLbl="parChTrans1D2" presStyleIdx="0" presStyleCnt="1"/>
      <dgm:spPr/>
    </dgm:pt>
    <dgm:pt modelId="{942D2892-6FBD-AE49-8614-29EB3ADB1FA6}" type="pres">
      <dgm:prSet presAssocID="{91BDC24B-8967-4E47-9B79-1C99E689B835}" presName="connTx" presStyleLbl="parChTrans1D2" presStyleIdx="0" presStyleCnt="1"/>
      <dgm:spPr/>
    </dgm:pt>
    <dgm:pt modelId="{256AE166-5557-2442-82A1-988C040DC505}" type="pres">
      <dgm:prSet presAssocID="{8E70C563-184E-4740-88FB-8F3440B438B8}" presName="root2" presStyleCnt="0"/>
      <dgm:spPr/>
    </dgm:pt>
    <dgm:pt modelId="{6CC30F39-D6FF-7240-B0E5-DA431DECA812}" type="pres">
      <dgm:prSet presAssocID="{8E70C563-184E-4740-88FB-8F3440B438B8}" presName="LevelTwoTextNode" presStyleLbl="node2" presStyleIdx="0" presStyleCnt="1" custScaleY="156300">
        <dgm:presLayoutVars>
          <dgm:chPref val="3"/>
        </dgm:presLayoutVars>
      </dgm:prSet>
      <dgm:spPr/>
    </dgm:pt>
    <dgm:pt modelId="{730D193D-8FFD-1342-AB4B-929E275945B3}" type="pres">
      <dgm:prSet presAssocID="{8E70C563-184E-4740-88FB-8F3440B438B8}" presName="level3hierChild" presStyleCnt="0"/>
      <dgm:spPr/>
    </dgm:pt>
    <dgm:pt modelId="{B7BBE896-2373-CC4F-A256-B170F392A8F1}" type="pres">
      <dgm:prSet presAssocID="{E3EE27C7-E274-9346-AB04-539D0B7EC658}" presName="conn2-1" presStyleLbl="parChTrans1D3" presStyleIdx="0" presStyleCnt="2"/>
      <dgm:spPr/>
    </dgm:pt>
    <dgm:pt modelId="{F63739E6-D4DD-F14C-9581-65FAADE399CD}" type="pres">
      <dgm:prSet presAssocID="{E3EE27C7-E274-9346-AB04-539D0B7EC658}" presName="connTx" presStyleLbl="parChTrans1D3" presStyleIdx="0" presStyleCnt="2"/>
      <dgm:spPr/>
    </dgm:pt>
    <dgm:pt modelId="{A4FA1933-DA7E-3F48-821C-C467CCD69484}" type="pres">
      <dgm:prSet presAssocID="{ABAE6135-54C9-CC47-A58E-F8601EFDC313}" presName="root2" presStyleCnt="0"/>
      <dgm:spPr/>
    </dgm:pt>
    <dgm:pt modelId="{D7470810-00D0-7240-B202-B696FA6B5453}" type="pres">
      <dgm:prSet presAssocID="{ABAE6135-54C9-CC47-A58E-F8601EFDC313}" presName="LevelTwoTextNode" presStyleLbl="node3" presStyleIdx="0" presStyleCnt="2" custScaleX="119366" custScaleY="143841">
        <dgm:presLayoutVars>
          <dgm:chPref val="3"/>
        </dgm:presLayoutVars>
      </dgm:prSet>
      <dgm:spPr/>
    </dgm:pt>
    <dgm:pt modelId="{629B02A5-4316-9C4A-A5AA-DB44E450407F}" type="pres">
      <dgm:prSet presAssocID="{ABAE6135-54C9-CC47-A58E-F8601EFDC313}" presName="level3hierChild" presStyleCnt="0"/>
      <dgm:spPr/>
    </dgm:pt>
    <dgm:pt modelId="{E6551FAE-9A42-4744-BA56-E06525C325F1}" type="pres">
      <dgm:prSet presAssocID="{CDA8643E-21C5-7945-92C2-CDF0B2F2DE35}" presName="conn2-1" presStyleLbl="parChTrans1D3" presStyleIdx="1" presStyleCnt="2"/>
      <dgm:spPr/>
    </dgm:pt>
    <dgm:pt modelId="{1E031D05-F73C-0140-913E-8C2C03324D22}" type="pres">
      <dgm:prSet presAssocID="{CDA8643E-21C5-7945-92C2-CDF0B2F2DE35}" presName="connTx" presStyleLbl="parChTrans1D3" presStyleIdx="1" presStyleCnt="2"/>
      <dgm:spPr/>
    </dgm:pt>
    <dgm:pt modelId="{5869BC82-9369-8745-9E6C-05958E8F1C1B}" type="pres">
      <dgm:prSet presAssocID="{6F0A9C09-873B-9747-B13E-94155B4B57AF}" presName="root2" presStyleCnt="0"/>
      <dgm:spPr/>
    </dgm:pt>
    <dgm:pt modelId="{4E037500-1793-AE46-82DE-BC7AA6EAE75F}" type="pres">
      <dgm:prSet presAssocID="{6F0A9C09-873B-9747-B13E-94155B4B57AF}" presName="LevelTwoTextNode" presStyleLbl="node3" presStyleIdx="1" presStyleCnt="2" custScaleX="123064" custScaleY="171702">
        <dgm:presLayoutVars>
          <dgm:chPref val="3"/>
        </dgm:presLayoutVars>
      </dgm:prSet>
      <dgm:spPr/>
    </dgm:pt>
    <dgm:pt modelId="{2C81BF39-E381-734A-98D0-28F67E60A965}" type="pres">
      <dgm:prSet presAssocID="{6F0A9C09-873B-9747-B13E-94155B4B57AF}" presName="level3hierChild" presStyleCnt="0"/>
      <dgm:spPr/>
    </dgm:pt>
    <dgm:pt modelId="{A16B380C-50EC-3147-8628-189EF417564C}" type="pres">
      <dgm:prSet presAssocID="{473D7DEF-6F0D-7341-B2F4-8CEBE229824F}" presName="conn2-1" presStyleLbl="parChTrans1D4" presStyleIdx="0" presStyleCnt="9"/>
      <dgm:spPr/>
    </dgm:pt>
    <dgm:pt modelId="{8C096DBD-B72B-084B-A188-6DA88997B626}" type="pres">
      <dgm:prSet presAssocID="{473D7DEF-6F0D-7341-B2F4-8CEBE229824F}" presName="connTx" presStyleLbl="parChTrans1D4" presStyleIdx="0" presStyleCnt="9"/>
      <dgm:spPr/>
    </dgm:pt>
    <dgm:pt modelId="{7581AF38-3314-E742-AEF6-47D0DB13C533}" type="pres">
      <dgm:prSet presAssocID="{94296E87-271C-7248-BD84-AD7BCFFC5EE9}" presName="root2" presStyleCnt="0"/>
      <dgm:spPr/>
    </dgm:pt>
    <dgm:pt modelId="{719DEF74-F175-6C40-8E07-CE348FC124BB}" type="pres">
      <dgm:prSet presAssocID="{94296E87-271C-7248-BD84-AD7BCFFC5EE9}" presName="LevelTwoTextNode" presStyleLbl="node4" presStyleIdx="0" presStyleCnt="9" custScaleY="171911">
        <dgm:presLayoutVars>
          <dgm:chPref val="3"/>
        </dgm:presLayoutVars>
      </dgm:prSet>
      <dgm:spPr/>
    </dgm:pt>
    <dgm:pt modelId="{D632AB18-78F8-D440-A2CC-6998CFA1C390}" type="pres">
      <dgm:prSet presAssocID="{94296E87-271C-7248-BD84-AD7BCFFC5EE9}" presName="level3hierChild" presStyleCnt="0"/>
      <dgm:spPr/>
    </dgm:pt>
    <dgm:pt modelId="{828B0782-53C5-A74A-A219-5482014D8CE6}" type="pres">
      <dgm:prSet presAssocID="{2EE9A88C-E49A-F443-9D77-AE46E498F98A}" presName="conn2-1" presStyleLbl="parChTrans1D4" presStyleIdx="1" presStyleCnt="9"/>
      <dgm:spPr/>
    </dgm:pt>
    <dgm:pt modelId="{50C781A2-4F87-DB43-B15B-40F9E8063B72}" type="pres">
      <dgm:prSet presAssocID="{2EE9A88C-E49A-F443-9D77-AE46E498F98A}" presName="connTx" presStyleLbl="parChTrans1D4" presStyleIdx="1" presStyleCnt="9"/>
      <dgm:spPr/>
    </dgm:pt>
    <dgm:pt modelId="{F0D7D4F2-AF7A-684F-838D-53F0773897A0}" type="pres">
      <dgm:prSet presAssocID="{AA8953EF-5B58-BE42-8A33-FC18B3D9A58C}" presName="root2" presStyleCnt="0"/>
      <dgm:spPr/>
    </dgm:pt>
    <dgm:pt modelId="{98FF26E5-C4D7-344B-B1A5-2969FC5D0628}" type="pres">
      <dgm:prSet presAssocID="{AA8953EF-5B58-BE42-8A33-FC18B3D9A58C}" presName="LevelTwoTextNode" presStyleLbl="node4" presStyleIdx="1" presStyleCnt="9" custScaleY="156136">
        <dgm:presLayoutVars>
          <dgm:chPref val="3"/>
        </dgm:presLayoutVars>
      </dgm:prSet>
      <dgm:spPr/>
    </dgm:pt>
    <dgm:pt modelId="{A3DD8F04-2805-B241-A305-218B20C380F1}" type="pres">
      <dgm:prSet presAssocID="{AA8953EF-5B58-BE42-8A33-FC18B3D9A58C}" presName="level3hierChild" presStyleCnt="0"/>
      <dgm:spPr/>
    </dgm:pt>
    <dgm:pt modelId="{9B29F674-A9F3-4D4A-B01A-CFB7C9791337}" type="pres">
      <dgm:prSet presAssocID="{9298A652-D082-B24E-843E-3C4FF44FEDAF}" presName="conn2-1" presStyleLbl="parChTrans1D4" presStyleIdx="2" presStyleCnt="9"/>
      <dgm:spPr/>
    </dgm:pt>
    <dgm:pt modelId="{F3687CE9-79EB-744C-996A-1D8413BB5C2C}" type="pres">
      <dgm:prSet presAssocID="{9298A652-D082-B24E-843E-3C4FF44FEDAF}" presName="connTx" presStyleLbl="parChTrans1D4" presStyleIdx="2" presStyleCnt="9"/>
      <dgm:spPr/>
    </dgm:pt>
    <dgm:pt modelId="{290B5C7C-F7A7-0943-907B-0106BB27682A}" type="pres">
      <dgm:prSet presAssocID="{BCCF4A36-3570-054F-BED9-60BB143985AB}" presName="root2" presStyleCnt="0"/>
      <dgm:spPr/>
    </dgm:pt>
    <dgm:pt modelId="{15D8D1EE-4360-9649-B38B-CDD8E76F5E91}" type="pres">
      <dgm:prSet presAssocID="{BCCF4A36-3570-054F-BED9-60BB143985AB}" presName="LevelTwoTextNode" presStyleLbl="node4" presStyleIdx="2" presStyleCnt="9" custScaleY="168516">
        <dgm:presLayoutVars>
          <dgm:chPref val="3"/>
        </dgm:presLayoutVars>
      </dgm:prSet>
      <dgm:spPr/>
    </dgm:pt>
    <dgm:pt modelId="{E7126570-4887-1242-A618-7C6F58EFFF34}" type="pres">
      <dgm:prSet presAssocID="{BCCF4A36-3570-054F-BED9-60BB143985AB}" presName="level3hierChild" presStyleCnt="0"/>
      <dgm:spPr/>
    </dgm:pt>
    <dgm:pt modelId="{7FD01493-E068-BF42-9B33-D7DD73BC9C23}" type="pres">
      <dgm:prSet presAssocID="{3E9D1B77-146B-6143-A2B7-C01E0DEBA83D}" presName="conn2-1" presStyleLbl="parChTrans1D4" presStyleIdx="3" presStyleCnt="9"/>
      <dgm:spPr/>
    </dgm:pt>
    <dgm:pt modelId="{F8AADC3E-495F-E640-A27B-5219ADB8D875}" type="pres">
      <dgm:prSet presAssocID="{3E9D1B77-146B-6143-A2B7-C01E0DEBA83D}" presName="connTx" presStyleLbl="parChTrans1D4" presStyleIdx="3" presStyleCnt="9"/>
      <dgm:spPr/>
    </dgm:pt>
    <dgm:pt modelId="{C31B67E4-6C41-5F4E-85AF-D349983A6820}" type="pres">
      <dgm:prSet presAssocID="{8880D632-9C75-B241-90F1-EA0BC9E43DE8}" presName="root2" presStyleCnt="0"/>
      <dgm:spPr/>
    </dgm:pt>
    <dgm:pt modelId="{4316A2F9-C393-9342-ABCA-0EB1E6F9D0FB}" type="pres">
      <dgm:prSet presAssocID="{8880D632-9C75-B241-90F1-EA0BC9E43DE8}" presName="LevelTwoTextNode" presStyleLbl="node4" presStyleIdx="3" presStyleCnt="9" custScaleY="173831">
        <dgm:presLayoutVars>
          <dgm:chPref val="3"/>
        </dgm:presLayoutVars>
      </dgm:prSet>
      <dgm:spPr/>
    </dgm:pt>
    <dgm:pt modelId="{21069731-5BBE-EB46-82B8-1D94B6EE4B86}" type="pres">
      <dgm:prSet presAssocID="{8880D632-9C75-B241-90F1-EA0BC9E43DE8}" presName="level3hierChild" presStyleCnt="0"/>
      <dgm:spPr/>
    </dgm:pt>
    <dgm:pt modelId="{63F80ACD-6690-3447-95E4-5B29592F8FFB}" type="pres">
      <dgm:prSet presAssocID="{3607C5A8-56D8-9642-A2BE-28599DB788D9}" presName="conn2-1" presStyleLbl="parChTrans1D4" presStyleIdx="4" presStyleCnt="9"/>
      <dgm:spPr/>
    </dgm:pt>
    <dgm:pt modelId="{15F0CC5F-28A0-FE49-9525-C5FD44342090}" type="pres">
      <dgm:prSet presAssocID="{3607C5A8-56D8-9642-A2BE-28599DB788D9}" presName="connTx" presStyleLbl="parChTrans1D4" presStyleIdx="4" presStyleCnt="9"/>
      <dgm:spPr/>
    </dgm:pt>
    <dgm:pt modelId="{5A9E49AD-ACCE-464F-B78C-D647FA53C9FB}" type="pres">
      <dgm:prSet presAssocID="{7FC4A851-48AC-B042-B4A2-B3294F794532}" presName="root2" presStyleCnt="0"/>
      <dgm:spPr/>
    </dgm:pt>
    <dgm:pt modelId="{5E5EE7B1-87E9-3845-B65F-80FBF3F9CD5B}" type="pres">
      <dgm:prSet presAssocID="{7FC4A851-48AC-B042-B4A2-B3294F794532}" presName="LevelTwoTextNode" presStyleLbl="node4" presStyleIdx="4" presStyleCnt="9" custScaleY="171518">
        <dgm:presLayoutVars>
          <dgm:chPref val="3"/>
        </dgm:presLayoutVars>
      </dgm:prSet>
      <dgm:spPr/>
    </dgm:pt>
    <dgm:pt modelId="{75E84400-CD5B-1745-9F35-DD74C1373A52}" type="pres">
      <dgm:prSet presAssocID="{7FC4A851-48AC-B042-B4A2-B3294F794532}" presName="level3hierChild" presStyleCnt="0"/>
      <dgm:spPr/>
    </dgm:pt>
    <dgm:pt modelId="{C41C9261-5FF3-1444-ADCF-94CC44A7259D}" type="pres">
      <dgm:prSet presAssocID="{2F632C02-E4D0-0448-9B2F-285B9E2832CE}" presName="conn2-1" presStyleLbl="parChTrans1D4" presStyleIdx="5" presStyleCnt="9"/>
      <dgm:spPr/>
    </dgm:pt>
    <dgm:pt modelId="{88C1C3E0-2263-6A40-9990-1BECA3A3311E}" type="pres">
      <dgm:prSet presAssocID="{2F632C02-E4D0-0448-9B2F-285B9E2832CE}" presName="connTx" presStyleLbl="parChTrans1D4" presStyleIdx="5" presStyleCnt="9"/>
      <dgm:spPr/>
    </dgm:pt>
    <dgm:pt modelId="{ACC44603-C426-214B-A8FB-E6FE0E64CE74}" type="pres">
      <dgm:prSet presAssocID="{0D4CD771-E85A-A54E-A81E-5E18701613D8}" presName="root2" presStyleCnt="0"/>
      <dgm:spPr/>
    </dgm:pt>
    <dgm:pt modelId="{FF00886D-3321-6247-B193-A9A223AC43EA}" type="pres">
      <dgm:prSet presAssocID="{0D4CD771-E85A-A54E-A81E-5E18701613D8}" presName="LevelTwoTextNode" presStyleLbl="node4" presStyleIdx="5" presStyleCnt="9" custScaleY="153703">
        <dgm:presLayoutVars>
          <dgm:chPref val="3"/>
        </dgm:presLayoutVars>
      </dgm:prSet>
      <dgm:spPr/>
    </dgm:pt>
    <dgm:pt modelId="{EF3ADE8C-3F62-384F-9338-BE1422142986}" type="pres">
      <dgm:prSet presAssocID="{0D4CD771-E85A-A54E-A81E-5E18701613D8}" presName="level3hierChild" presStyleCnt="0"/>
      <dgm:spPr/>
    </dgm:pt>
    <dgm:pt modelId="{00EB609B-AD48-A945-A0B1-82E7D5D50A97}" type="pres">
      <dgm:prSet presAssocID="{63506581-FD67-8048-9723-ADE49DB0D0C0}" presName="conn2-1" presStyleLbl="parChTrans1D4" presStyleIdx="6" presStyleCnt="9"/>
      <dgm:spPr/>
    </dgm:pt>
    <dgm:pt modelId="{1A95D9C6-A840-8145-BB7F-AA3BE4A7C5C7}" type="pres">
      <dgm:prSet presAssocID="{63506581-FD67-8048-9723-ADE49DB0D0C0}" presName="connTx" presStyleLbl="parChTrans1D4" presStyleIdx="6" presStyleCnt="9"/>
      <dgm:spPr/>
    </dgm:pt>
    <dgm:pt modelId="{25F631D8-F498-D24F-BCFD-900636AB021F}" type="pres">
      <dgm:prSet presAssocID="{77F19CC6-9982-8F42-91E7-E5AB65BB93CC}" presName="root2" presStyleCnt="0"/>
      <dgm:spPr/>
    </dgm:pt>
    <dgm:pt modelId="{529BAF52-81C9-1840-817B-D8C707063F2F}" type="pres">
      <dgm:prSet presAssocID="{77F19CC6-9982-8F42-91E7-E5AB65BB93CC}" presName="LevelTwoTextNode" presStyleLbl="node4" presStyleIdx="6" presStyleCnt="9" custScaleY="151145">
        <dgm:presLayoutVars>
          <dgm:chPref val="3"/>
        </dgm:presLayoutVars>
      </dgm:prSet>
      <dgm:spPr/>
    </dgm:pt>
    <dgm:pt modelId="{A447A154-9E36-9847-80F2-7E5AA83D7958}" type="pres">
      <dgm:prSet presAssocID="{77F19CC6-9982-8F42-91E7-E5AB65BB93CC}" presName="level3hierChild" presStyleCnt="0"/>
      <dgm:spPr/>
    </dgm:pt>
    <dgm:pt modelId="{BEF6223C-9267-2F46-AB14-5BFB7DB95EA9}" type="pres">
      <dgm:prSet presAssocID="{4A118EE9-8FB9-0949-92FA-15784E217542}" presName="conn2-1" presStyleLbl="parChTrans1D4" presStyleIdx="7" presStyleCnt="9"/>
      <dgm:spPr/>
    </dgm:pt>
    <dgm:pt modelId="{2EE8ECD1-9175-C948-8042-9DBBEE32DF3B}" type="pres">
      <dgm:prSet presAssocID="{4A118EE9-8FB9-0949-92FA-15784E217542}" presName="connTx" presStyleLbl="parChTrans1D4" presStyleIdx="7" presStyleCnt="9"/>
      <dgm:spPr/>
    </dgm:pt>
    <dgm:pt modelId="{2626FD65-A09F-074C-B85E-5C6D0B8AAF3B}" type="pres">
      <dgm:prSet presAssocID="{D304FA7C-05A9-E04E-988A-F285D4A7ADEE}" presName="root2" presStyleCnt="0"/>
      <dgm:spPr/>
    </dgm:pt>
    <dgm:pt modelId="{00793FC5-1424-B34B-B493-F80243F391F3}" type="pres">
      <dgm:prSet presAssocID="{D304FA7C-05A9-E04E-988A-F285D4A7ADEE}" presName="LevelTwoTextNode" presStyleLbl="node4" presStyleIdx="7" presStyleCnt="9" custScaleY="225862">
        <dgm:presLayoutVars>
          <dgm:chPref val="3"/>
        </dgm:presLayoutVars>
      </dgm:prSet>
      <dgm:spPr/>
    </dgm:pt>
    <dgm:pt modelId="{4F871890-6D1F-AE43-9AC2-0DAC2AC75FDF}" type="pres">
      <dgm:prSet presAssocID="{D304FA7C-05A9-E04E-988A-F285D4A7ADEE}" presName="level3hierChild" presStyleCnt="0"/>
      <dgm:spPr/>
    </dgm:pt>
    <dgm:pt modelId="{22228478-8AE5-BA49-BE5B-152E8E5700D1}" type="pres">
      <dgm:prSet presAssocID="{BDA1699A-C33F-8D4A-B0B1-853E403EC6DF}" presName="conn2-1" presStyleLbl="parChTrans1D4" presStyleIdx="8" presStyleCnt="9"/>
      <dgm:spPr/>
    </dgm:pt>
    <dgm:pt modelId="{5FCB875A-BE25-A44A-B188-B4DBE7948312}" type="pres">
      <dgm:prSet presAssocID="{BDA1699A-C33F-8D4A-B0B1-853E403EC6DF}" presName="connTx" presStyleLbl="parChTrans1D4" presStyleIdx="8" presStyleCnt="9"/>
      <dgm:spPr/>
    </dgm:pt>
    <dgm:pt modelId="{58ADC065-D8FA-8B46-8B97-78A160387126}" type="pres">
      <dgm:prSet presAssocID="{1657D59F-ACB9-3045-A2E2-358F5D16833D}" presName="root2" presStyleCnt="0"/>
      <dgm:spPr/>
    </dgm:pt>
    <dgm:pt modelId="{9FD4C313-9AC5-754D-AA5A-5D3D31505614}" type="pres">
      <dgm:prSet presAssocID="{1657D59F-ACB9-3045-A2E2-358F5D16833D}" presName="LevelTwoTextNode" presStyleLbl="node4" presStyleIdx="8" presStyleCnt="9" custScaleY="249608">
        <dgm:presLayoutVars>
          <dgm:chPref val="3"/>
        </dgm:presLayoutVars>
      </dgm:prSet>
      <dgm:spPr/>
    </dgm:pt>
    <dgm:pt modelId="{B916F693-4EDB-A246-9B65-DE6EE72B531A}" type="pres">
      <dgm:prSet presAssocID="{1657D59F-ACB9-3045-A2E2-358F5D16833D}" presName="level3hierChild" presStyleCnt="0"/>
      <dgm:spPr/>
    </dgm:pt>
  </dgm:ptLst>
  <dgm:cxnLst>
    <dgm:cxn modelId="{35778507-D6C8-47F6-BFB2-F00DD097E743}" type="presOf" srcId="{3607C5A8-56D8-9642-A2BE-28599DB788D9}" destId="{15F0CC5F-28A0-FE49-9525-C5FD44342090}" srcOrd="1" destOrd="0" presId="urn:microsoft.com/office/officeart/2008/layout/HorizontalMultiLevelHierarchy"/>
    <dgm:cxn modelId="{9056AE07-2F43-41AF-86D1-1FFBF65CBC59}" type="presOf" srcId="{E3EE27C7-E274-9346-AB04-539D0B7EC658}" destId="{F63739E6-D4DD-F14C-9581-65FAADE399CD}" srcOrd="1" destOrd="0" presId="urn:microsoft.com/office/officeart/2008/layout/HorizontalMultiLevelHierarchy"/>
    <dgm:cxn modelId="{EC177209-ECAE-4AF9-82DF-467017D6D7E6}" type="presOf" srcId="{3607C5A8-56D8-9642-A2BE-28599DB788D9}" destId="{63F80ACD-6690-3447-95E4-5B29592F8FFB}" srcOrd="0" destOrd="0" presId="urn:microsoft.com/office/officeart/2008/layout/HorizontalMultiLevelHierarchy"/>
    <dgm:cxn modelId="{4CFA8B0A-4976-4D6C-881B-0C9B464CCFED}" type="presOf" srcId="{2F632C02-E4D0-0448-9B2F-285B9E2832CE}" destId="{C41C9261-5FF3-1444-ADCF-94CC44A7259D}" srcOrd="0" destOrd="0" presId="urn:microsoft.com/office/officeart/2008/layout/HorizontalMultiLevelHierarchy"/>
    <dgm:cxn modelId="{8A65C410-D259-411A-860A-37161D6A7C3A}" type="presOf" srcId="{473D7DEF-6F0D-7341-B2F4-8CEBE229824F}" destId="{A16B380C-50EC-3147-8628-189EF417564C}" srcOrd="0" destOrd="0" presId="urn:microsoft.com/office/officeart/2008/layout/HorizontalMultiLevelHierarchy"/>
    <dgm:cxn modelId="{36BB8617-4D77-2344-B313-F7D5B23366B8}" srcId="{7FC4A851-48AC-B042-B4A2-B3294F794532}" destId="{0D4CD771-E85A-A54E-A81E-5E18701613D8}" srcOrd="0" destOrd="0" parTransId="{2F632C02-E4D0-0448-9B2F-285B9E2832CE}" sibTransId="{A3EFDF3C-5D53-E747-AAB7-DB10CAE15219}"/>
    <dgm:cxn modelId="{97F8271E-4BD8-480E-B574-3C92BE98AD4A}" type="presOf" srcId="{CDA8643E-21C5-7945-92C2-CDF0B2F2DE35}" destId="{E6551FAE-9A42-4744-BA56-E06525C325F1}" srcOrd="0" destOrd="0" presId="urn:microsoft.com/office/officeart/2008/layout/HorizontalMultiLevelHierarchy"/>
    <dgm:cxn modelId="{83C33326-00EB-41AE-B062-F91683A0B76D}" type="presOf" srcId="{BCCF4A36-3570-054F-BED9-60BB143985AB}" destId="{15D8D1EE-4360-9649-B38B-CDD8E76F5E91}" srcOrd="0" destOrd="0" presId="urn:microsoft.com/office/officeart/2008/layout/HorizontalMultiLevelHierarchy"/>
    <dgm:cxn modelId="{A432D426-C5A6-F54C-B016-FC3A9836BB78}" srcId="{AA8953EF-5B58-BE42-8A33-FC18B3D9A58C}" destId="{BCCF4A36-3570-054F-BED9-60BB143985AB}" srcOrd="0" destOrd="0" parTransId="{9298A652-D082-B24E-843E-3C4FF44FEDAF}" sibTransId="{DAA390F1-0C3C-024C-A2DB-BF18D6467106}"/>
    <dgm:cxn modelId="{EE2E542D-4F50-704B-8763-A0661ED55ACA}" srcId="{683F1646-BF7E-5A44-AFAE-FF6EC36DCD15}" destId="{F2AB8B5F-C258-704A-B967-A1C26A5F11A6}" srcOrd="0" destOrd="0" parTransId="{D804B1E0-2A3A-D84F-965A-BEB772719798}" sibTransId="{03E46F49-DBFE-764A-8317-82F9D483B5A0}"/>
    <dgm:cxn modelId="{C40A362E-12B0-394A-A827-A78DB258505E}" srcId="{AA8953EF-5B58-BE42-8A33-FC18B3D9A58C}" destId="{7FC4A851-48AC-B042-B4A2-B3294F794532}" srcOrd="1" destOrd="0" parTransId="{3607C5A8-56D8-9642-A2BE-28599DB788D9}" sibTransId="{8EA5DF7A-009B-9E43-BD4C-85A3748FD6CB}"/>
    <dgm:cxn modelId="{3A004733-687D-490C-A771-B34BD8CDCF7A}" type="presOf" srcId="{2EE9A88C-E49A-F443-9D77-AE46E498F98A}" destId="{828B0782-53C5-A74A-A219-5482014D8CE6}" srcOrd="0" destOrd="0" presId="urn:microsoft.com/office/officeart/2008/layout/HorizontalMultiLevelHierarchy"/>
    <dgm:cxn modelId="{BF996134-0C36-4F8E-97A9-BD1FC0D32D16}" type="presOf" srcId="{BDA1699A-C33F-8D4A-B0B1-853E403EC6DF}" destId="{5FCB875A-BE25-A44A-B188-B4DBE7948312}" srcOrd="1" destOrd="0" presId="urn:microsoft.com/office/officeart/2008/layout/HorizontalMultiLevelHierarchy"/>
    <dgm:cxn modelId="{10C1D841-8D66-E547-9D84-BFB5B50C682D}" srcId="{8E70C563-184E-4740-88FB-8F3440B438B8}" destId="{6F0A9C09-873B-9747-B13E-94155B4B57AF}" srcOrd="1" destOrd="0" parTransId="{CDA8643E-21C5-7945-92C2-CDF0B2F2DE35}" sibTransId="{62B9A57B-771D-DC46-AC1D-12FFC7DBA049}"/>
    <dgm:cxn modelId="{7FC54B44-137C-47F4-AB9F-DB3EA841152E}" type="presOf" srcId="{8880D632-9C75-B241-90F1-EA0BC9E43DE8}" destId="{4316A2F9-C393-9342-ABCA-0EB1E6F9D0FB}" srcOrd="0" destOrd="0" presId="urn:microsoft.com/office/officeart/2008/layout/HorizontalMultiLevelHierarchy"/>
    <dgm:cxn modelId="{FF79734A-5A83-4BA5-BF3B-8C517FFF2E09}" type="presOf" srcId="{8E70C563-184E-4740-88FB-8F3440B438B8}" destId="{6CC30F39-D6FF-7240-B0E5-DA431DECA812}" srcOrd="0" destOrd="0" presId="urn:microsoft.com/office/officeart/2008/layout/HorizontalMultiLevelHierarchy"/>
    <dgm:cxn modelId="{6A0B5C4F-575E-4B22-BC83-582C107C4C8C}" type="presOf" srcId="{1657D59F-ACB9-3045-A2E2-358F5D16833D}" destId="{9FD4C313-9AC5-754D-AA5A-5D3D31505614}" srcOrd="0" destOrd="0" presId="urn:microsoft.com/office/officeart/2008/layout/HorizontalMultiLevelHierarchy"/>
    <dgm:cxn modelId="{3E3DDF51-8509-49AC-82ED-94C3DF83577B}" type="presOf" srcId="{BDA1699A-C33F-8D4A-B0B1-853E403EC6DF}" destId="{22228478-8AE5-BA49-BE5B-152E8E5700D1}" srcOrd="0" destOrd="0" presId="urn:microsoft.com/office/officeart/2008/layout/HorizontalMultiLevelHierarchy"/>
    <dgm:cxn modelId="{75848955-986B-40F5-A028-39C03FB4A326}" type="presOf" srcId="{E3EE27C7-E274-9346-AB04-539D0B7EC658}" destId="{B7BBE896-2373-CC4F-A256-B170F392A8F1}" srcOrd="0" destOrd="0" presId="urn:microsoft.com/office/officeart/2008/layout/HorizontalMultiLevelHierarchy"/>
    <dgm:cxn modelId="{22957457-90D3-4063-A098-47CF6A02A4F2}" type="presOf" srcId="{77F19CC6-9982-8F42-91E7-E5AB65BB93CC}" destId="{529BAF52-81C9-1840-817B-D8C707063F2F}" srcOrd="0" destOrd="0" presId="urn:microsoft.com/office/officeart/2008/layout/HorizontalMultiLevelHierarchy"/>
    <dgm:cxn modelId="{1F5B4A5A-D9B5-2B40-98FC-0A50128C6FB2}" srcId="{6F0A9C09-873B-9747-B13E-94155B4B57AF}" destId="{94296E87-271C-7248-BD84-AD7BCFFC5EE9}" srcOrd="0" destOrd="0" parTransId="{473D7DEF-6F0D-7341-B2F4-8CEBE229824F}" sibTransId="{0BF54C32-D729-534D-8FF9-6FFEEC6FE433}"/>
    <dgm:cxn modelId="{89B4595B-E541-BC4D-9E21-64CEB8121F4F}" srcId="{D304FA7C-05A9-E04E-988A-F285D4A7ADEE}" destId="{1657D59F-ACB9-3045-A2E2-358F5D16833D}" srcOrd="0" destOrd="0" parTransId="{BDA1699A-C33F-8D4A-B0B1-853E403EC6DF}" sibTransId="{560743FC-7409-C041-8A08-574EFD75A86C}"/>
    <dgm:cxn modelId="{0872255E-C1C7-4387-8CA1-C6F268834250}" type="presOf" srcId="{2EE9A88C-E49A-F443-9D77-AE46E498F98A}" destId="{50C781A2-4F87-DB43-B15B-40F9E8063B72}" srcOrd="1" destOrd="0" presId="urn:microsoft.com/office/officeart/2008/layout/HorizontalMultiLevelHierarchy"/>
    <dgm:cxn modelId="{86E76E66-F48B-4B6C-8AC6-1B7500B3E129}" type="presOf" srcId="{63506581-FD67-8048-9723-ADE49DB0D0C0}" destId="{00EB609B-AD48-A945-A0B1-82E7D5D50A97}" srcOrd="0" destOrd="0" presId="urn:microsoft.com/office/officeart/2008/layout/HorizontalMultiLevelHierarchy"/>
    <dgm:cxn modelId="{E06FAE66-265E-4F2D-8480-5E97BB44F8C1}" type="presOf" srcId="{4A118EE9-8FB9-0949-92FA-15784E217542}" destId="{BEF6223C-9267-2F46-AB14-5BFB7DB95EA9}" srcOrd="0" destOrd="0" presId="urn:microsoft.com/office/officeart/2008/layout/HorizontalMultiLevelHierarchy"/>
    <dgm:cxn modelId="{73F28F76-3A7D-423B-AF9D-F1A6BEACE104}" type="presOf" srcId="{2F632C02-E4D0-0448-9B2F-285B9E2832CE}" destId="{88C1C3E0-2263-6A40-9990-1BECA3A3311E}" srcOrd="1" destOrd="0" presId="urn:microsoft.com/office/officeart/2008/layout/HorizontalMultiLevelHierarchy"/>
    <dgm:cxn modelId="{A90CEC93-ACB3-49EF-B03A-D4F38F571D4F}" type="presOf" srcId="{94296E87-271C-7248-BD84-AD7BCFFC5EE9}" destId="{719DEF74-F175-6C40-8E07-CE348FC124BB}" srcOrd="0" destOrd="0" presId="urn:microsoft.com/office/officeart/2008/layout/HorizontalMultiLevelHierarchy"/>
    <dgm:cxn modelId="{74C96D96-2AA1-4A3D-842F-1B6D447C1EDE}" type="presOf" srcId="{6F0A9C09-873B-9747-B13E-94155B4B57AF}" destId="{4E037500-1793-AE46-82DE-BC7AA6EAE75F}" srcOrd="0" destOrd="0" presId="urn:microsoft.com/office/officeart/2008/layout/HorizontalMultiLevelHierarchy"/>
    <dgm:cxn modelId="{28F243A2-682A-4554-961A-7FCEC9901564}" type="presOf" srcId="{AA8953EF-5B58-BE42-8A33-FC18B3D9A58C}" destId="{98FF26E5-C4D7-344B-B1A5-2969FC5D0628}" srcOrd="0" destOrd="0" presId="urn:microsoft.com/office/officeart/2008/layout/HorizontalMultiLevelHierarchy"/>
    <dgm:cxn modelId="{82852DA5-0B89-440F-909B-B4547D7AD0E1}" type="presOf" srcId="{ABAE6135-54C9-CC47-A58E-F8601EFDC313}" destId="{D7470810-00D0-7240-B202-B696FA6B5453}" srcOrd="0" destOrd="0" presId="urn:microsoft.com/office/officeart/2008/layout/HorizontalMultiLevelHierarchy"/>
    <dgm:cxn modelId="{F56050AD-8AFE-44C2-9311-AA940AE34996}" type="presOf" srcId="{91BDC24B-8967-4E47-9B79-1C99E689B835}" destId="{942D2892-6FBD-AE49-8614-29EB3ADB1FA6}" srcOrd="1" destOrd="0" presId="urn:microsoft.com/office/officeart/2008/layout/HorizontalMultiLevelHierarchy"/>
    <dgm:cxn modelId="{E93B62AE-00B4-2C44-AD36-EC43F8957B66}" srcId="{BCCF4A36-3570-054F-BED9-60BB143985AB}" destId="{8880D632-9C75-B241-90F1-EA0BC9E43DE8}" srcOrd="0" destOrd="0" parTransId="{3E9D1B77-146B-6143-A2B7-C01E0DEBA83D}" sibTransId="{F6B7485D-C252-B74B-9186-FBBCECB75532}"/>
    <dgm:cxn modelId="{415A1EAF-B7E3-422E-AB30-13EC0CA45227}" type="presOf" srcId="{683F1646-BF7E-5A44-AFAE-FF6EC36DCD15}" destId="{9E81187E-B043-8D42-B850-F0E87AF7EE15}" srcOrd="0" destOrd="0" presId="urn:microsoft.com/office/officeart/2008/layout/HorizontalMultiLevelHierarchy"/>
    <dgm:cxn modelId="{9F1C5EB9-A36F-DD41-A52F-AE9FB6CE8261}" srcId="{7FC4A851-48AC-B042-B4A2-B3294F794532}" destId="{77F19CC6-9982-8F42-91E7-E5AB65BB93CC}" srcOrd="1" destOrd="0" parTransId="{63506581-FD67-8048-9723-ADE49DB0D0C0}" sibTransId="{7AA60B88-BC7D-3E47-97AB-DD89904D54DF}"/>
    <dgm:cxn modelId="{D4D4F8C0-1997-44F1-9239-2BBECAC3DC39}" type="presOf" srcId="{3E9D1B77-146B-6143-A2B7-C01E0DEBA83D}" destId="{F8AADC3E-495F-E640-A27B-5219ADB8D875}" srcOrd="1" destOrd="0" presId="urn:microsoft.com/office/officeart/2008/layout/HorizontalMultiLevelHierarchy"/>
    <dgm:cxn modelId="{5D441ECF-C40F-4CB0-BB4A-9A2567A6B963}" type="presOf" srcId="{7FC4A851-48AC-B042-B4A2-B3294F794532}" destId="{5E5EE7B1-87E9-3845-B65F-80FBF3F9CD5B}" srcOrd="0" destOrd="0" presId="urn:microsoft.com/office/officeart/2008/layout/HorizontalMultiLevelHierarchy"/>
    <dgm:cxn modelId="{1F2F2FD5-A25B-493F-9B6F-757D8C7714CB}" type="presOf" srcId="{0D4CD771-E85A-A54E-A81E-5E18701613D8}" destId="{FF00886D-3321-6247-B193-A9A223AC43EA}" srcOrd="0" destOrd="0" presId="urn:microsoft.com/office/officeart/2008/layout/HorizontalMultiLevelHierarchy"/>
    <dgm:cxn modelId="{9DB780D6-2B9A-4CCF-9B45-74C45936B3A9}" type="presOf" srcId="{D304FA7C-05A9-E04E-988A-F285D4A7ADEE}" destId="{00793FC5-1424-B34B-B493-F80243F391F3}" srcOrd="0" destOrd="0" presId="urn:microsoft.com/office/officeart/2008/layout/HorizontalMultiLevelHierarchy"/>
    <dgm:cxn modelId="{F14003D9-B584-4120-B0ED-D29DDEB3CBA8}" type="presOf" srcId="{91BDC24B-8967-4E47-9B79-1C99E689B835}" destId="{C0B11F2F-1EA5-4D4D-B724-E4F0B75C0E13}" srcOrd="0" destOrd="0" presId="urn:microsoft.com/office/officeart/2008/layout/HorizontalMultiLevelHierarchy"/>
    <dgm:cxn modelId="{B48890D9-315E-496E-AEE6-B2D82C70A27F}" type="presOf" srcId="{F2AB8B5F-C258-704A-B967-A1C26A5F11A6}" destId="{91DB3F93-0604-0046-ADAE-7AD533545212}" srcOrd="0" destOrd="0" presId="urn:microsoft.com/office/officeart/2008/layout/HorizontalMultiLevelHierarchy"/>
    <dgm:cxn modelId="{2EA54BDA-CF0D-4A5B-901E-6E29ECAF6A45}" type="presOf" srcId="{63506581-FD67-8048-9723-ADE49DB0D0C0}" destId="{1A95D9C6-A840-8145-BB7F-AA3BE4A7C5C7}" srcOrd="1" destOrd="0" presId="urn:microsoft.com/office/officeart/2008/layout/HorizontalMultiLevelHierarchy"/>
    <dgm:cxn modelId="{8AB233DB-5152-7A4A-9281-F966816A504D}" srcId="{8E70C563-184E-4740-88FB-8F3440B438B8}" destId="{ABAE6135-54C9-CC47-A58E-F8601EFDC313}" srcOrd="0" destOrd="0" parTransId="{E3EE27C7-E274-9346-AB04-539D0B7EC658}" sibTransId="{7F7122B7-257D-8646-9BDB-8996A49A4B22}"/>
    <dgm:cxn modelId="{A45CD3DC-CAE3-49D0-B364-0D122D524F66}" type="presOf" srcId="{473D7DEF-6F0D-7341-B2F4-8CEBE229824F}" destId="{8C096DBD-B72B-084B-A188-6DA88997B626}" srcOrd="1" destOrd="0" presId="urn:microsoft.com/office/officeart/2008/layout/HorizontalMultiLevelHierarchy"/>
    <dgm:cxn modelId="{A12840DD-EF6F-1D44-8DFF-406EC9EEB5E7}" srcId="{7FC4A851-48AC-B042-B4A2-B3294F794532}" destId="{D304FA7C-05A9-E04E-988A-F285D4A7ADEE}" srcOrd="2" destOrd="0" parTransId="{4A118EE9-8FB9-0949-92FA-15784E217542}" sibTransId="{7EC2FAC5-BF30-7442-A105-7E166D36109D}"/>
    <dgm:cxn modelId="{429273E1-500D-FD49-AFCB-56F1C0F043CA}" srcId="{F2AB8B5F-C258-704A-B967-A1C26A5F11A6}" destId="{8E70C563-184E-4740-88FB-8F3440B438B8}" srcOrd="0" destOrd="0" parTransId="{91BDC24B-8967-4E47-9B79-1C99E689B835}" sibTransId="{414291ED-CBD4-C84F-A00F-778BE82CE68C}"/>
    <dgm:cxn modelId="{B694B2E2-FFEA-47B4-8035-0665DC69ECE8}" type="presOf" srcId="{4A118EE9-8FB9-0949-92FA-15784E217542}" destId="{2EE8ECD1-9175-C948-8042-9DBBEE32DF3B}" srcOrd="1" destOrd="0" presId="urn:microsoft.com/office/officeart/2008/layout/HorizontalMultiLevelHierarchy"/>
    <dgm:cxn modelId="{17CA3CE8-E652-4A88-980A-2B2988B5D46D}" type="presOf" srcId="{9298A652-D082-B24E-843E-3C4FF44FEDAF}" destId="{F3687CE9-79EB-744C-996A-1D8413BB5C2C}" srcOrd="1" destOrd="0" presId="urn:microsoft.com/office/officeart/2008/layout/HorizontalMultiLevelHierarchy"/>
    <dgm:cxn modelId="{C73013EA-C101-4618-8700-DE925D7C8AC6}" type="presOf" srcId="{CDA8643E-21C5-7945-92C2-CDF0B2F2DE35}" destId="{1E031D05-F73C-0140-913E-8C2C03324D22}" srcOrd="1" destOrd="0" presId="urn:microsoft.com/office/officeart/2008/layout/HorizontalMultiLevelHierarchy"/>
    <dgm:cxn modelId="{D8F684EB-C0BA-4322-825D-5A688F83AA4B}" type="presOf" srcId="{9298A652-D082-B24E-843E-3C4FF44FEDAF}" destId="{9B29F674-A9F3-4D4A-B01A-CFB7C9791337}" srcOrd="0" destOrd="0" presId="urn:microsoft.com/office/officeart/2008/layout/HorizontalMultiLevelHierarchy"/>
    <dgm:cxn modelId="{5285B4EE-D8EE-4A94-8AB9-9FD267F30C55}" type="presOf" srcId="{3E9D1B77-146B-6143-A2B7-C01E0DEBA83D}" destId="{7FD01493-E068-BF42-9B33-D7DD73BC9C23}" srcOrd="0" destOrd="0" presId="urn:microsoft.com/office/officeart/2008/layout/HorizontalMultiLevelHierarchy"/>
    <dgm:cxn modelId="{33C083F9-9C48-3E40-B327-16E0564CCDC0}" srcId="{6F0A9C09-873B-9747-B13E-94155B4B57AF}" destId="{AA8953EF-5B58-BE42-8A33-FC18B3D9A58C}" srcOrd="1" destOrd="0" parTransId="{2EE9A88C-E49A-F443-9D77-AE46E498F98A}" sibTransId="{FA58C82E-D023-4A46-8824-EB9D06438511}"/>
    <dgm:cxn modelId="{CDFBBB7B-19E3-4206-812A-4ADAEDB4704D}" type="presParOf" srcId="{9E81187E-B043-8D42-B850-F0E87AF7EE15}" destId="{C66A79B2-03BE-084A-AF0A-A593E75B4AA6}" srcOrd="0" destOrd="0" presId="urn:microsoft.com/office/officeart/2008/layout/HorizontalMultiLevelHierarchy"/>
    <dgm:cxn modelId="{5B9FA4D4-DD23-4A57-9AC9-8D12D991FC84}" type="presParOf" srcId="{C66A79B2-03BE-084A-AF0A-A593E75B4AA6}" destId="{91DB3F93-0604-0046-ADAE-7AD533545212}" srcOrd="0" destOrd="0" presId="urn:microsoft.com/office/officeart/2008/layout/HorizontalMultiLevelHierarchy"/>
    <dgm:cxn modelId="{804C4B56-4124-44F4-BB90-803FD4638CDA}" type="presParOf" srcId="{C66A79B2-03BE-084A-AF0A-A593E75B4AA6}" destId="{2FF586C2-012F-2E4F-816D-92049347269F}" srcOrd="1" destOrd="0" presId="urn:microsoft.com/office/officeart/2008/layout/HorizontalMultiLevelHierarchy"/>
    <dgm:cxn modelId="{FE06CC61-6D4C-4E9A-A4BF-A2B4F913AAD0}" type="presParOf" srcId="{2FF586C2-012F-2E4F-816D-92049347269F}" destId="{C0B11F2F-1EA5-4D4D-B724-E4F0B75C0E13}" srcOrd="0" destOrd="0" presId="urn:microsoft.com/office/officeart/2008/layout/HorizontalMultiLevelHierarchy"/>
    <dgm:cxn modelId="{306D1288-F752-436D-9647-54E3BAE22BBD}" type="presParOf" srcId="{C0B11F2F-1EA5-4D4D-B724-E4F0B75C0E13}" destId="{942D2892-6FBD-AE49-8614-29EB3ADB1FA6}" srcOrd="0" destOrd="0" presId="urn:microsoft.com/office/officeart/2008/layout/HorizontalMultiLevelHierarchy"/>
    <dgm:cxn modelId="{4384C5F4-3E81-42BA-AEF2-51845464A149}" type="presParOf" srcId="{2FF586C2-012F-2E4F-816D-92049347269F}" destId="{256AE166-5557-2442-82A1-988C040DC505}" srcOrd="1" destOrd="0" presId="urn:microsoft.com/office/officeart/2008/layout/HorizontalMultiLevelHierarchy"/>
    <dgm:cxn modelId="{165879EB-DBBC-4172-9404-84DF588ED28F}" type="presParOf" srcId="{256AE166-5557-2442-82A1-988C040DC505}" destId="{6CC30F39-D6FF-7240-B0E5-DA431DECA812}" srcOrd="0" destOrd="0" presId="urn:microsoft.com/office/officeart/2008/layout/HorizontalMultiLevelHierarchy"/>
    <dgm:cxn modelId="{EDCC96F9-A6C7-4A41-93B9-2EF46FC4F389}" type="presParOf" srcId="{256AE166-5557-2442-82A1-988C040DC505}" destId="{730D193D-8FFD-1342-AB4B-929E275945B3}" srcOrd="1" destOrd="0" presId="urn:microsoft.com/office/officeart/2008/layout/HorizontalMultiLevelHierarchy"/>
    <dgm:cxn modelId="{C11D42AE-D012-45F2-B4E2-DBC94EBF1236}" type="presParOf" srcId="{730D193D-8FFD-1342-AB4B-929E275945B3}" destId="{B7BBE896-2373-CC4F-A256-B170F392A8F1}" srcOrd="0" destOrd="0" presId="urn:microsoft.com/office/officeart/2008/layout/HorizontalMultiLevelHierarchy"/>
    <dgm:cxn modelId="{93ACACB9-4679-4E18-AFC0-BA1305A27E57}" type="presParOf" srcId="{B7BBE896-2373-CC4F-A256-B170F392A8F1}" destId="{F63739E6-D4DD-F14C-9581-65FAADE399CD}" srcOrd="0" destOrd="0" presId="urn:microsoft.com/office/officeart/2008/layout/HorizontalMultiLevelHierarchy"/>
    <dgm:cxn modelId="{582969A2-19F1-42FD-AC53-67D1BAEC6A9C}" type="presParOf" srcId="{730D193D-8FFD-1342-AB4B-929E275945B3}" destId="{A4FA1933-DA7E-3F48-821C-C467CCD69484}" srcOrd="1" destOrd="0" presId="urn:microsoft.com/office/officeart/2008/layout/HorizontalMultiLevelHierarchy"/>
    <dgm:cxn modelId="{A1F65CF2-2183-4DCD-85C4-1E1F5A096050}" type="presParOf" srcId="{A4FA1933-DA7E-3F48-821C-C467CCD69484}" destId="{D7470810-00D0-7240-B202-B696FA6B5453}" srcOrd="0" destOrd="0" presId="urn:microsoft.com/office/officeart/2008/layout/HorizontalMultiLevelHierarchy"/>
    <dgm:cxn modelId="{A851434F-6980-4C15-8A21-7C7AE39B992B}" type="presParOf" srcId="{A4FA1933-DA7E-3F48-821C-C467CCD69484}" destId="{629B02A5-4316-9C4A-A5AA-DB44E450407F}" srcOrd="1" destOrd="0" presId="urn:microsoft.com/office/officeart/2008/layout/HorizontalMultiLevelHierarchy"/>
    <dgm:cxn modelId="{1F6F9BCA-35BF-4CF1-83C7-1FDF84035F44}" type="presParOf" srcId="{730D193D-8FFD-1342-AB4B-929E275945B3}" destId="{E6551FAE-9A42-4744-BA56-E06525C325F1}" srcOrd="2" destOrd="0" presId="urn:microsoft.com/office/officeart/2008/layout/HorizontalMultiLevelHierarchy"/>
    <dgm:cxn modelId="{E0E19BB8-A282-41AE-876A-3FFF91C55A7B}" type="presParOf" srcId="{E6551FAE-9A42-4744-BA56-E06525C325F1}" destId="{1E031D05-F73C-0140-913E-8C2C03324D22}" srcOrd="0" destOrd="0" presId="urn:microsoft.com/office/officeart/2008/layout/HorizontalMultiLevelHierarchy"/>
    <dgm:cxn modelId="{215E84AD-9B64-4A20-B080-F20F4C8FA4D5}" type="presParOf" srcId="{730D193D-8FFD-1342-AB4B-929E275945B3}" destId="{5869BC82-9369-8745-9E6C-05958E8F1C1B}" srcOrd="3" destOrd="0" presId="urn:microsoft.com/office/officeart/2008/layout/HorizontalMultiLevelHierarchy"/>
    <dgm:cxn modelId="{155ACB5B-A598-4E86-B341-CCFB3DECF7EC}" type="presParOf" srcId="{5869BC82-9369-8745-9E6C-05958E8F1C1B}" destId="{4E037500-1793-AE46-82DE-BC7AA6EAE75F}" srcOrd="0" destOrd="0" presId="urn:microsoft.com/office/officeart/2008/layout/HorizontalMultiLevelHierarchy"/>
    <dgm:cxn modelId="{34D2625A-DF1B-4153-A85C-85AD550749E7}" type="presParOf" srcId="{5869BC82-9369-8745-9E6C-05958E8F1C1B}" destId="{2C81BF39-E381-734A-98D0-28F67E60A965}" srcOrd="1" destOrd="0" presId="urn:microsoft.com/office/officeart/2008/layout/HorizontalMultiLevelHierarchy"/>
    <dgm:cxn modelId="{EDB66165-820F-42AC-95FB-218EA69D15CC}" type="presParOf" srcId="{2C81BF39-E381-734A-98D0-28F67E60A965}" destId="{A16B380C-50EC-3147-8628-189EF417564C}" srcOrd="0" destOrd="0" presId="urn:microsoft.com/office/officeart/2008/layout/HorizontalMultiLevelHierarchy"/>
    <dgm:cxn modelId="{DDC2210A-C190-4473-B06C-CEE35BC06BBB}" type="presParOf" srcId="{A16B380C-50EC-3147-8628-189EF417564C}" destId="{8C096DBD-B72B-084B-A188-6DA88997B626}" srcOrd="0" destOrd="0" presId="urn:microsoft.com/office/officeart/2008/layout/HorizontalMultiLevelHierarchy"/>
    <dgm:cxn modelId="{1F16B25C-3A51-4586-A0AE-7A4A5A0031BC}" type="presParOf" srcId="{2C81BF39-E381-734A-98D0-28F67E60A965}" destId="{7581AF38-3314-E742-AEF6-47D0DB13C533}" srcOrd="1" destOrd="0" presId="urn:microsoft.com/office/officeart/2008/layout/HorizontalMultiLevelHierarchy"/>
    <dgm:cxn modelId="{5A1D374E-5BF6-4E01-9F1D-522B869FC628}" type="presParOf" srcId="{7581AF38-3314-E742-AEF6-47D0DB13C533}" destId="{719DEF74-F175-6C40-8E07-CE348FC124BB}" srcOrd="0" destOrd="0" presId="urn:microsoft.com/office/officeart/2008/layout/HorizontalMultiLevelHierarchy"/>
    <dgm:cxn modelId="{42520854-E8B6-4A1B-BF1B-00EA23CF56D1}" type="presParOf" srcId="{7581AF38-3314-E742-AEF6-47D0DB13C533}" destId="{D632AB18-78F8-D440-A2CC-6998CFA1C390}" srcOrd="1" destOrd="0" presId="urn:microsoft.com/office/officeart/2008/layout/HorizontalMultiLevelHierarchy"/>
    <dgm:cxn modelId="{BE925C6E-9FB0-432B-B41F-9A4A8D89FDD5}" type="presParOf" srcId="{2C81BF39-E381-734A-98D0-28F67E60A965}" destId="{828B0782-53C5-A74A-A219-5482014D8CE6}" srcOrd="2" destOrd="0" presId="urn:microsoft.com/office/officeart/2008/layout/HorizontalMultiLevelHierarchy"/>
    <dgm:cxn modelId="{B39BD95B-489E-44C1-93DD-DDDCDBDF8A4E}" type="presParOf" srcId="{828B0782-53C5-A74A-A219-5482014D8CE6}" destId="{50C781A2-4F87-DB43-B15B-40F9E8063B72}" srcOrd="0" destOrd="0" presId="urn:microsoft.com/office/officeart/2008/layout/HorizontalMultiLevelHierarchy"/>
    <dgm:cxn modelId="{89BBE304-7A58-4075-8B47-FD0C8492B2AE}" type="presParOf" srcId="{2C81BF39-E381-734A-98D0-28F67E60A965}" destId="{F0D7D4F2-AF7A-684F-838D-53F0773897A0}" srcOrd="3" destOrd="0" presId="urn:microsoft.com/office/officeart/2008/layout/HorizontalMultiLevelHierarchy"/>
    <dgm:cxn modelId="{8109D978-C319-4F5A-82EA-C86A68DCD1A5}" type="presParOf" srcId="{F0D7D4F2-AF7A-684F-838D-53F0773897A0}" destId="{98FF26E5-C4D7-344B-B1A5-2969FC5D0628}" srcOrd="0" destOrd="0" presId="urn:microsoft.com/office/officeart/2008/layout/HorizontalMultiLevelHierarchy"/>
    <dgm:cxn modelId="{5FA2955C-288C-415E-81AB-1C6FEE4F3A20}" type="presParOf" srcId="{F0D7D4F2-AF7A-684F-838D-53F0773897A0}" destId="{A3DD8F04-2805-B241-A305-218B20C380F1}" srcOrd="1" destOrd="0" presId="urn:microsoft.com/office/officeart/2008/layout/HorizontalMultiLevelHierarchy"/>
    <dgm:cxn modelId="{D877695A-B5DB-46E1-B258-531D0125B13E}" type="presParOf" srcId="{A3DD8F04-2805-B241-A305-218B20C380F1}" destId="{9B29F674-A9F3-4D4A-B01A-CFB7C9791337}" srcOrd="0" destOrd="0" presId="urn:microsoft.com/office/officeart/2008/layout/HorizontalMultiLevelHierarchy"/>
    <dgm:cxn modelId="{ADD8B362-23A1-478A-A00A-4D40AB6A6FC7}" type="presParOf" srcId="{9B29F674-A9F3-4D4A-B01A-CFB7C9791337}" destId="{F3687CE9-79EB-744C-996A-1D8413BB5C2C}" srcOrd="0" destOrd="0" presId="urn:microsoft.com/office/officeart/2008/layout/HorizontalMultiLevelHierarchy"/>
    <dgm:cxn modelId="{6CEAC9A9-142D-4A03-B24D-C72EC283F485}" type="presParOf" srcId="{A3DD8F04-2805-B241-A305-218B20C380F1}" destId="{290B5C7C-F7A7-0943-907B-0106BB27682A}" srcOrd="1" destOrd="0" presId="urn:microsoft.com/office/officeart/2008/layout/HorizontalMultiLevelHierarchy"/>
    <dgm:cxn modelId="{6DDDEB50-80B9-4712-8732-FD5A8FEA6E63}" type="presParOf" srcId="{290B5C7C-F7A7-0943-907B-0106BB27682A}" destId="{15D8D1EE-4360-9649-B38B-CDD8E76F5E91}" srcOrd="0" destOrd="0" presId="urn:microsoft.com/office/officeart/2008/layout/HorizontalMultiLevelHierarchy"/>
    <dgm:cxn modelId="{3621BDA7-3954-4EE5-B3A1-26A30C8730EA}" type="presParOf" srcId="{290B5C7C-F7A7-0943-907B-0106BB27682A}" destId="{E7126570-4887-1242-A618-7C6F58EFFF34}" srcOrd="1" destOrd="0" presId="urn:microsoft.com/office/officeart/2008/layout/HorizontalMultiLevelHierarchy"/>
    <dgm:cxn modelId="{CDE5F1DF-59F3-468D-85FD-BB02F03130C1}" type="presParOf" srcId="{E7126570-4887-1242-A618-7C6F58EFFF34}" destId="{7FD01493-E068-BF42-9B33-D7DD73BC9C23}" srcOrd="0" destOrd="0" presId="urn:microsoft.com/office/officeart/2008/layout/HorizontalMultiLevelHierarchy"/>
    <dgm:cxn modelId="{957474A2-9D81-4B0F-ACC8-3D1723CFE815}" type="presParOf" srcId="{7FD01493-E068-BF42-9B33-D7DD73BC9C23}" destId="{F8AADC3E-495F-E640-A27B-5219ADB8D875}" srcOrd="0" destOrd="0" presId="urn:microsoft.com/office/officeart/2008/layout/HorizontalMultiLevelHierarchy"/>
    <dgm:cxn modelId="{290909C0-92CD-4775-BEA9-5113CC9DAC70}" type="presParOf" srcId="{E7126570-4887-1242-A618-7C6F58EFFF34}" destId="{C31B67E4-6C41-5F4E-85AF-D349983A6820}" srcOrd="1" destOrd="0" presId="urn:microsoft.com/office/officeart/2008/layout/HorizontalMultiLevelHierarchy"/>
    <dgm:cxn modelId="{0DEAC929-61B0-479A-A0DA-AD9A77A7406D}" type="presParOf" srcId="{C31B67E4-6C41-5F4E-85AF-D349983A6820}" destId="{4316A2F9-C393-9342-ABCA-0EB1E6F9D0FB}" srcOrd="0" destOrd="0" presId="urn:microsoft.com/office/officeart/2008/layout/HorizontalMultiLevelHierarchy"/>
    <dgm:cxn modelId="{9C93430E-E97F-4468-BF37-ADF8E3A4036C}" type="presParOf" srcId="{C31B67E4-6C41-5F4E-85AF-D349983A6820}" destId="{21069731-5BBE-EB46-82B8-1D94B6EE4B86}" srcOrd="1" destOrd="0" presId="urn:microsoft.com/office/officeart/2008/layout/HorizontalMultiLevelHierarchy"/>
    <dgm:cxn modelId="{0298FD77-5455-4C08-AC8D-4654B6AE2594}" type="presParOf" srcId="{A3DD8F04-2805-B241-A305-218B20C380F1}" destId="{63F80ACD-6690-3447-95E4-5B29592F8FFB}" srcOrd="2" destOrd="0" presId="urn:microsoft.com/office/officeart/2008/layout/HorizontalMultiLevelHierarchy"/>
    <dgm:cxn modelId="{958ED8E0-058F-467A-9157-6B7D95B96837}" type="presParOf" srcId="{63F80ACD-6690-3447-95E4-5B29592F8FFB}" destId="{15F0CC5F-28A0-FE49-9525-C5FD44342090}" srcOrd="0" destOrd="0" presId="urn:microsoft.com/office/officeart/2008/layout/HorizontalMultiLevelHierarchy"/>
    <dgm:cxn modelId="{5A618B89-8497-49FB-847B-DED84510BFE2}" type="presParOf" srcId="{A3DD8F04-2805-B241-A305-218B20C380F1}" destId="{5A9E49AD-ACCE-464F-B78C-D647FA53C9FB}" srcOrd="3" destOrd="0" presId="urn:microsoft.com/office/officeart/2008/layout/HorizontalMultiLevelHierarchy"/>
    <dgm:cxn modelId="{A1DA0278-D802-4BAB-8E89-F0F2E54A9B5A}" type="presParOf" srcId="{5A9E49AD-ACCE-464F-B78C-D647FA53C9FB}" destId="{5E5EE7B1-87E9-3845-B65F-80FBF3F9CD5B}" srcOrd="0" destOrd="0" presId="urn:microsoft.com/office/officeart/2008/layout/HorizontalMultiLevelHierarchy"/>
    <dgm:cxn modelId="{C6670106-5AD0-4683-9BDD-78F3463EB77E}" type="presParOf" srcId="{5A9E49AD-ACCE-464F-B78C-D647FA53C9FB}" destId="{75E84400-CD5B-1745-9F35-DD74C1373A52}" srcOrd="1" destOrd="0" presId="urn:microsoft.com/office/officeart/2008/layout/HorizontalMultiLevelHierarchy"/>
    <dgm:cxn modelId="{FC1F64FA-184F-4CE8-AFE7-F27AFA334A57}" type="presParOf" srcId="{75E84400-CD5B-1745-9F35-DD74C1373A52}" destId="{C41C9261-5FF3-1444-ADCF-94CC44A7259D}" srcOrd="0" destOrd="0" presId="urn:microsoft.com/office/officeart/2008/layout/HorizontalMultiLevelHierarchy"/>
    <dgm:cxn modelId="{FD518845-1410-46DF-B0D9-A59579E382E5}" type="presParOf" srcId="{C41C9261-5FF3-1444-ADCF-94CC44A7259D}" destId="{88C1C3E0-2263-6A40-9990-1BECA3A3311E}" srcOrd="0" destOrd="0" presId="urn:microsoft.com/office/officeart/2008/layout/HorizontalMultiLevelHierarchy"/>
    <dgm:cxn modelId="{642E6ED8-9C09-4A40-8D2C-84B14573E791}" type="presParOf" srcId="{75E84400-CD5B-1745-9F35-DD74C1373A52}" destId="{ACC44603-C426-214B-A8FB-E6FE0E64CE74}" srcOrd="1" destOrd="0" presId="urn:microsoft.com/office/officeart/2008/layout/HorizontalMultiLevelHierarchy"/>
    <dgm:cxn modelId="{F285A110-CC17-4D59-9666-644D5281D82C}" type="presParOf" srcId="{ACC44603-C426-214B-A8FB-E6FE0E64CE74}" destId="{FF00886D-3321-6247-B193-A9A223AC43EA}" srcOrd="0" destOrd="0" presId="urn:microsoft.com/office/officeart/2008/layout/HorizontalMultiLevelHierarchy"/>
    <dgm:cxn modelId="{82F80CCC-1BD3-4A75-8823-F8A52F4BC57C}" type="presParOf" srcId="{ACC44603-C426-214B-A8FB-E6FE0E64CE74}" destId="{EF3ADE8C-3F62-384F-9338-BE1422142986}" srcOrd="1" destOrd="0" presId="urn:microsoft.com/office/officeart/2008/layout/HorizontalMultiLevelHierarchy"/>
    <dgm:cxn modelId="{D4D6784A-1362-4318-9D48-C288D19BCAA5}" type="presParOf" srcId="{75E84400-CD5B-1745-9F35-DD74C1373A52}" destId="{00EB609B-AD48-A945-A0B1-82E7D5D50A97}" srcOrd="2" destOrd="0" presId="urn:microsoft.com/office/officeart/2008/layout/HorizontalMultiLevelHierarchy"/>
    <dgm:cxn modelId="{1595C136-1837-4075-A08F-11C65B142CBA}" type="presParOf" srcId="{00EB609B-AD48-A945-A0B1-82E7D5D50A97}" destId="{1A95D9C6-A840-8145-BB7F-AA3BE4A7C5C7}" srcOrd="0" destOrd="0" presId="urn:microsoft.com/office/officeart/2008/layout/HorizontalMultiLevelHierarchy"/>
    <dgm:cxn modelId="{46C9F1DC-486C-48B0-991F-1612DAF10252}" type="presParOf" srcId="{75E84400-CD5B-1745-9F35-DD74C1373A52}" destId="{25F631D8-F498-D24F-BCFD-900636AB021F}" srcOrd="3" destOrd="0" presId="urn:microsoft.com/office/officeart/2008/layout/HorizontalMultiLevelHierarchy"/>
    <dgm:cxn modelId="{AD6017FB-558D-4C27-9243-9EB4F3A9607C}" type="presParOf" srcId="{25F631D8-F498-D24F-BCFD-900636AB021F}" destId="{529BAF52-81C9-1840-817B-D8C707063F2F}" srcOrd="0" destOrd="0" presId="urn:microsoft.com/office/officeart/2008/layout/HorizontalMultiLevelHierarchy"/>
    <dgm:cxn modelId="{B2FA6873-6FC8-4DF3-BACD-BABAD62EAE48}" type="presParOf" srcId="{25F631D8-F498-D24F-BCFD-900636AB021F}" destId="{A447A154-9E36-9847-80F2-7E5AA83D7958}" srcOrd="1" destOrd="0" presId="urn:microsoft.com/office/officeart/2008/layout/HorizontalMultiLevelHierarchy"/>
    <dgm:cxn modelId="{931F7D10-8CBA-431C-AAD5-DC36DFC02E93}" type="presParOf" srcId="{75E84400-CD5B-1745-9F35-DD74C1373A52}" destId="{BEF6223C-9267-2F46-AB14-5BFB7DB95EA9}" srcOrd="4" destOrd="0" presId="urn:microsoft.com/office/officeart/2008/layout/HorizontalMultiLevelHierarchy"/>
    <dgm:cxn modelId="{D6C2577A-94B5-4604-9D2E-49716EE8E302}" type="presParOf" srcId="{BEF6223C-9267-2F46-AB14-5BFB7DB95EA9}" destId="{2EE8ECD1-9175-C948-8042-9DBBEE32DF3B}" srcOrd="0" destOrd="0" presId="urn:microsoft.com/office/officeart/2008/layout/HorizontalMultiLevelHierarchy"/>
    <dgm:cxn modelId="{8802076A-DBD0-4023-ACC7-E2ACAEBE13DC}" type="presParOf" srcId="{75E84400-CD5B-1745-9F35-DD74C1373A52}" destId="{2626FD65-A09F-074C-B85E-5C6D0B8AAF3B}" srcOrd="5" destOrd="0" presId="urn:microsoft.com/office/officeart/2008/layout/HorizontalMultiLevelHierarchy"/>
    <dgm:cxn modelId="{908160EE-B3D3-4EB4-A55D-41489BC93618}" type="presParOf" srcId="{2626FD65-A09F-074C-B85E-5C6D0B8AAF3B}" destId="{00793FC5-1424-B34B-B493-F80243F391F3}" srcOrd="0" destOrd="0" presId="urn:microsoft.com/office/officeart/2008/layout/HorizontalMultiLevelHierarchy"/>
    <dgm:cxn modelId="{837AC0C3-C693-41C7-A12A-B56FD197238B}" type="presParOf" srcId="{2626FD65-A09F-074C-B85E-5C6D0B8AAF3B}" destId="{4F871890-6D1F-AE43-9AC2-0DAC2AC75FDF}" srcOrd="1" destOrd="0" presId="urn:microsoft.com/office/officeart/2008/layout/HorizontalMultiLevelHierarchy"/>
    <dgm:cxn modelId="{45C5A8AE-E23C-4483-83D4-2072C0CDCC66}" type="presParOf" srcId="{4F871890-6D1F-AE43-9AC2-0DAC2AC75FDF}" destId="{22228478-8AE5-BA49-BE5B-152E8E5700D1}" srcOrd="0" destOrd="0" presId="urn:microsoft.com/office/officeart/2008/layout/HorizontalMultiLevelHierarchy"/>
    <dgm:cxn modelId="{5F822B95-7376-4C0A-B4A7-6A42327C0286}" type="presParOf" srcId="{22228478-8AE5-BA49-BE5B-152E8E5700D1}" destId="{5FCB875A-BE25-A44A-B188-B4DBE7948312}" srcOrd="0" destOrd="0" presId="urn:microsoft.com/office/officeart/2008/layout/HorizontalMultiLevelHierarchy"/>
    <dgm:cxn modelId="{7CAD5335-0F48-4EAB-B058-2660A4BA625B}" type="presParOf" srcId="{4F871890-6D1F-AE43-9AC2-0DAC2AC75FDF}" destId="{58ADC065-D8FA-8B46-8B97-78A160387126}" srcOrd="1" destOrd="0" presId="urn:microsoft.com/office/officeart/2008/layout/HorizontalMultiLevelHierarchy"/>
    <dgm:cxn modelId="{D52BBA64-D713-4F8D-B4D6-DDC57C3B2C11}" type="presParOf" srcId="{58ADC065-D8FA-8B46-8B97-78A160387126}" destId="{9FD4C313-9AC5-754D-AA5A-5D3D31505614}" srcOrd="0" destOrd="0" presId="urn:microsoft.com/office/officeart/2008/layout/HorizontalMultiLevelHierarchy"/>
    <dgm:cxn modelId="{54D015D5-004A-4DAB-BC73-E74040AE9C70}" type="presParOf" srcId="{58ADC065-D8FA-8B46-8B97-78A160387126}" destId="{B916F693-4EDB-A246-9B65-DE6EE72B531A}" srcOrd="1" destOrd="0" presId="urn:microsoft.com/office/officeart/2008/layout/HorizontalMultiLevelHierarchy"/>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B1DA368-85EB-4847-A90E-0331C6C39961}"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ru-RU"/>
        </a:p>
      </dgm:t>
    </dgm:pt>
    <dgm:pt modelId="{7988778E-4B25-674D-80C8-39560D2DAD2F}">
      <dgm:prSet phldrT="[Текст]" custT="1"/>
      <dgm:spPr>
        <a:solidFill>
          <a:schemeClr val="bg1"/>
        </a:solidFill>
        <a:ln>
          <a:solidFill>
            <a:schemeClr val="tx1"/>
          </a:solidFill>
        </a:ln>
      </dgm:spPr>
      <dgm:t>
        <a:bodyPr/>
        <a:lstStyle/>
        <a:p>
          <a:r>
            <a:rPr lang="en-US" sz="1400">
              <a:solidFill>
                <a:schemeClr val="tx1"/>
              </a:solidFill>
              <a:latin typeface="Times New Roman" panose="02020603050405020304" pitchFamily="18" charset="0"/>
              <a:cs typeface="Times New Roman" panose="02020603050405020304" pitchFamily="18" charset="0"/>
            </a:rPr>
            <a:t>Waqf share scheme (WSS)</a:t>
          </a:r>
          <a:endParaRPr lang="ru-RU" sz="1400">
            <a:solidFill>
              <a:schemeClr val="tx1"/>
            </a:solidFill>
            <a:latin typeface="Times New Roman" panose="02020603050405020304" pitchFamily="18" charset="0"/>
            <a:cs typeface="Times New Roman" panose="02020603050405020304" pitchFamily="18" charset="0"/>
          </a:endParaRPr>
        </a:p>
      </dgm:t>
    </dgm:pt>
    <dgm:pt modelId="{4C684CA5-8530-5F4E-A683-77FF932F96DF}" type="parTrans" cxnId="{B8DB6BFA-512B-F746-A97F-971D6AD11446}">
      <dgm:prSet/>
      <dgm:spPr/>
      <dgm:t>
        <a:bodyPr/>
        <a:lstStyle/>
        <a:p>
          <a:endParaRPr lang="ru-RU"/>
        </a:p>
      </dgm:t>
    </dgm:pt>
    <dgm:pt modelId="{FBDCF82F-4B29-CE43-9209-670204450854}" type="sibTrans" cxnId="{B8DB6BFA-512B-F746-A97F-971D6AD11446}">
      <dgm:prSet/>
      <dgm:spPr/>
      <dgm:t>
        <a:bodyPr/>
        <a:lstStyle/>
        <a:p>
          <a:endParaRPr lang="ru-RU"/>
        </a:p>
      </dgm:t>
    </dgm:pt>
    <dgm:pt modelId="{88A0AE6A-7F00-9E47-9AF6-3504D7D81C33}">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Any institution stated by the state (government) can create the scheme and become the trustee of waqf </a:t>
          </a:r>
          <a:endParaRPr lang="ru-RU" sz="1000">
            <a:solidFill>
              <a:schemeClr val="tx1"/>
            </a:solidFill>
            <a:latin typeface="Times New Roman" panose="02020603050405020304" pitchFamily="18" charset="0"/>
            <a:cs typeface="Times New Roman" panose="02020603050405020304" pitchFamily="18" charset="0"/>
          </a:endParaRPr>
        </a:p>
      </dgm:t>
    </dgm:pt>
    <dgm:pt modelId="{51A8290F-3B6E-C843-8C93-35D2D689FB00}" type="parTrans" cxnId="{2FBF65F4-4069-4C4C-A6B2-66D093173B3D}">
      <dgm:prSet/>
      <dgm:spPr>
        <a:ln>
          <a:solidFill>
            <a:schemeClr val="tx1"/>
          </a:solidFill>
        </a:ln>
      </dgm:spPr>
      <dgm:t>
        <a:bodyPr/>
        <a:lstStyle/>
        <a:p>
          <a:endParaRPr lang="ru-RU"/>
        </a:p>
      </dgm:t>
    </dgm:pt>
    <dgm:pt modelId="{2D5F26E2-52FB-0C4D-86AC-15BF7A5F6637}" type="sibTrans" cxnId="{2FBF65F4-4069-4C4C-A6B2-66D093173B3D}">
      <dgm:prSet/>
      <dgm:spPr/>
      <dgm:t>
        <a:bodyPr/>
        <a:lstStyle/>
        <a:p>
          <a:endParaRPr lang="ru-RU"/>
        </a:p>
      </dgm:t>
    </dgm:pt>
    <dgm:pt modelId="{62D229F8-A6DB-4449-AB22-E4A76951A1B6}">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stated trustee  issues shares of waqf iand sells the shares to donors for a specific project </a:t>
          </a:r>
          <a:endParaRPr lang="ru-RU" sz="1000">
            <a:solidFill>
              <a:schemeClr val="tx1"/>
            </a:solidFill>
            <a:latin typeface="Times New Roman" panose="02020603050405020304" pitchFamily="18" charset="0"/>
            <a:cs typeface="Times New Roman" panose="02020603050405020304" pitchFamily="18" charset="0"/>
          </a:endParaRPr>
        </a:p>
      </dgm:t>
    </dgm:pt>
    <dgm:pt modelId="{6C9EC94C-F066-6A43-A8A8-B82466A0BED7}" type="parTrans" cxnId="{894B31CC-DD10-3F4D-BB0C-2D97458FCA1E}">
      <dgm:prSet/>
      <dgm:spPr>
        <a:ln>
          <a:solidFill>
            <a:schemeClr val="tx1"/>
          </a:solidFill>
        </a:ln>
      </dgm:spPr>
      <dgm:t>
        <a:bodyPr/>
        <a:lstStyle/>
        <a:p>
          <a:endParaRPr lang="ru-RU"/>
        </a:p>
      </dgm:t>
    </dgm:pt>
    <dgm:pt modelId="{E2E7B770-A8EC-BD4C-9602-D1397F378883}" type="sibTrans" cxnId="{894B31CC-DD10-3F4D-BB0C-2D97458FCA1E}">
      <dgm:prSet/>
      <dgm:spPr/>
      <dgm:t>
        <a:bodyPr/>
        <a:lstStyle/>
        <a:p>
          <a:endParaRPr lang="ru-RU"/>
        </a:p>
      </dgm:t>
    </dgm:pt>
    <dgm:pt modelId="{71BD18B6-1980-1E48-8CA0-1080FA8D7F44}">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donors buy the shares according to th availadility </a:t>
          </a:r>
          <a:endParaRPr lang="ru-RU" sz="1000">
            <a:solidFill>
              <a:schemeClr val="tx1"/>
            </a:solidFill>
            <a:latin typeface="Times New Roman" panose="02020603050405020304" pitchFamily="18" charset="0"/>
            <a:cs typeface="Times New Roman" panose="02020603050405020304" pitchFamily="18" charset="0"/>
          </a:endParaRPr>
        </a:p>
      </dgm:t>
    </dgm:pt>
    <dgm:pt modelId="{91A07B26-D583-D448-94CF-F33622B950EB}" type="parTrans" cxnId="{76F395D0-9B0B-A44F-8304-F211738DE45D}">
      <dgm:prSet/>
      <dgm:spPr>
        <a:ln>
          <a:solidFill>
            <a:schemeClr val="tx1"/>
          </a:solidFill>
        </a:ln>
      </dgm:spPr>
      <dgm:t>
        <a:bodyPr/>
        <a:lstStyle/>
        <a:p>
          <a:endParaRPr lang="ru-RU"/>
        </a:p>
      </dgm:t>
    </dgm:pt>
    <dgm:pt modelId="{19BD272F-9391-1C46-B73E-81AA5AA41208}" type="sibTrans" cxnId="{76F395D0-9B0B-A44F-8304-F211738DE45D}">
      <dgm:prSet/>
      <dgm:spPr/>
      <dgm:t>
        <a:bodyPr/>
        <a:lstStyle/>
        <a:p>
          <a:endParaRPr lang="ru-RU"/>
        </a:p>
      </dgm:t>
    </dgm:pt>
    <dgm:pt modelId="{C95A0555-E6AF-2349-9817-74F16D7145B5}">
      <dgm:prSet custT="1"/>
      <dgm:spPr>
        <a:solidFill>
          <a:schemeClr val="bg1"/>
        </a:solidFill>
        <a:ln>
          <a:solidFill>
            <a:schemeClr val="tx1"/>
          </a:solidFill>
        </a:ln>
      </dgm:spPr>
      <dgm:t>
        <a:bodyPr/>
        <a:lstStyle/>
        <a:p>
          <a:r>
            <a:rPr lang="en" sz="1000">
              <a:solidFill>
                <a:schemeClr val="tx1"/>
              </a:solidFill>
              <a:latin typeface="Times New Roman" panose="02020603050405020304" pitchFamily="18" charset="0"/>
              <a:cs typeface="Times New Roman" panose="02020603050405020304" pitchFamily="18" charset="0"/>
            </a:rPr>
            <a:t>The donors receive certificates </a:t>
          </a:r>
          <a:r>
            <a:rPr lang="kk-KZ" sz="1000">
              <a:solidFill>
                <a:schemeClr val="tx1"/>
              </a:solidFill>
              <a:latin typeface="Times New Roman" panose="02020603050405020304" pitchFamily="18" charset="0"/>
              <a:cs typeface="Times New Roman" panose="02020603050405020304" pitchFamily="18" charset="0"/>
            </a:rPr>
            <a:t> </a:t>
          </a:r>
          <a:r>
            <a:rPr lang="en" sz="1000">
              <a:solidFill>
                <a:schemeClr val="tx1"/>
              </a:solidFill>
              <a:latin typeface="Times New Roman" panose="02020603050405020304" pitchFamily="18" charset="0"/>
              <a:cs typeface="Times New Roman" panose="02020603050405020304" pitchFamily="18" charset="0"/>
            </a:rPr>
            <a:t>of the waqf
shares for the specified project</a:t>
          </a:r>
          <a:endParaRPr lang="ru-RU" sz="1000">
            <a:solidFill>
              <a:schemeClr val="tx1"/>
            </a:solidFill>
            <a:latin typeface="Times New Roman" panose="02020603050405020304" pitchFamily="18" charset="0"/>
            <a:cs typeface="Times New Roman" panose="02020603050405020304" pitchFamily="18" charset="0"/>
          </a:endParaRPr>
        </a:p>
      </dgm:t>
    </dgm:pt>
    <dgm:pt modelId="{0BAC8452-B010-A94B-B381-0D967DEC11C8}" type="parTrans" cxnId="{B68B1C68-1B52-F343-B1D7-A932205C3E81}">
      <dgm:prSet/>
      <dgm:spPr>
        <a:ln>
          <a:solidFill>
            <a:schemeClr val="tx1"/>
          </a:solidFill>
        </a:ln>
      </dgm:spPr>
      <dgm:t>
        <a:bodyPr/>
        <a:lstStyle/>
        <a:p>
          <a:endParaRPr lang="ru-RU"/>
        </a:p>
      </dgm:t>
    </dgm:pt>
    <dgm:pt modelId="{1F0C2C97-EC70-2441-AFB0-00FCC30C40EF}" type="sibTrans" cxnId="{B68B1C68-1B52-F343-B1D7-A932205C3E81}">
      <dgm:prSet/>
      <dgm:spPr/>
      <dgm:t>
        <a:bodyPr/>
        <a:lstStyle/>
        <a:p>
          <a:endParaRPr lang="ru-RU"/>
        </a:p>
      </dgm:t>
    </dgm:pt>
    <dgm:pt modelId="{57D44691-FB8D-404E-9B6A-260BCB63F8F9}">
      <dgm:prSet custT="1"/>
      <dgm:spPr>
        <a:solidFill>
          <a:schemeClr val="bg1"/>
        </a:solidFill>
        <a:ln>
          <a:solidFill>
            <a:schemeClr val="tx1"/>
          </a:solidFill>
        </a:ln>
      </dgm:spPr>
      <dgm:t>
        <a:bodyPr/>
        <a:lstStyle/>
        <a:p>
          <a:r>
            <a:rPr lang="en" sz="1000">
              <a:solidFill>
                <a:schemeClr val="tx1"/>
              </a:solidFill>
              <a:latin typeface="Times New Roman" panose="02020603050405020304" pitchFamily="18" charset="0"/>
              <a:cs typeface="Times New Roman" panose="02020603050405020304" pitchFamily="18" charset="0"/>
            </a:rPr>
            <a:t>The collected</a:t>
          </a:r>
          <a:r>
            <a:rPr lang="kk-KZ" sz="1000">
              <a:solidFill>
                <a:schemeClr val="tx1"/>
              </a:solidFill>
              <a:latin typeface="Times New Roman" panose="02020603050405020304" pitchFamily="18" charset="0"/>
              <a:cs typeface="Times New Roman" panose="02020603050405020304" pitchFamily="18" charset="0"/>
            </a:rPr>
            <a:t> </a:t>
          </a:r>
          <a:r>
            <a:rPr lang="en-US" sz="1000">
              <a:solidFill>
                <a:schemeClr val="tx1"/>
              </a:solidFill>
              <a:latin typeface="Times New Roman" panose="02020603050405020304" pitchFamily="18" charset="0"/>
              <a:cs typeface="Times New Roman" panose="02020603050405020304" pitchFamily="18" charset="0"/>
            </a:rPr>
            <a:t>amount of the financing</a:t>
          </a:r>
          <a:r>
            <a:rPr lang="en" sz="1000">
              <a:solidFill>
                <a:schemeClr val="tx1"/>
              </a:solidFill>
              <a:latin typeface="Times New Roman" panose="02020603050405020304" pitchFamily="18" charset="0"/>
              <a:cs typeface="Times New Roman" panose="02020603050405020304" pitchFamily="18" charset="0"/>
            </a:rPr>
            <a:t> is managed by the trustee for investment</a:t>
          </a:r>
          <a:endParaRPr lang="ru-RU" sz="1000">
            <a:solidFill>
              <a:schemeClr val="tx1"/>
            </a:solidFill>
            <a:latin typeface="Times New Roman" panose="02020603050405020304" pitchFamily="18" charset="0"/>
            <a:cs typeface="Times New Roman" panose="02020603050405020304" pitchFamily="18" charset="0"/>
          </a:endParaRPr>
        </a:p>
      </dgm:t>
    </dgm:pt>
    <dgm:pt modelId="{CA556463-69B7-BC44-8E76-56BD71D268F0}" type="parTrans" cxnId="{CC00B170-B9A6-0242-A413-5934A11CE4CB}">
      <dgm:prSet/>
      <dgm:spPr>
        <a:ln>
          <a:solidFill>
            <a:schemeClr val="tx1"/>
          </a:solidFill>
        </a:ln>
      </dgm:spPr>
      <dgm:t>
        <a:bodyPr/>
        <a:lstStyle/>
        <a:p>
          <a:endParaRPr lang="ru-RU"/>
        </a:p>
      </dgm:t>
    </dgm:pt>
    <dgm:pt modelId="{902D25F6-525C-134F-B5F1-3979E5B90939}" type="sibTrans" cxnId="{CC00B170-B9A6-0242-A413-5934A11CE4CB}">
      <dgm:prSet/>
      <dgm:spPr/>
      <dgm:t>
        <a:bodyPr/>
        <a:lstStyle/>
        <a:p>
          <a:endParaRPr lang="ru-RU"/>
        </a:p>
      </dgm:t>
    </dgm:pt>
    <dgm:pt modelId="{E1B9C489-D374-884E-8E41-39885365E11D}">
      <dgm:prSet custT="1"/>
      <dgm:spPr>
        <a:solidFill>
          <a:schemeClr val="bg1"/>
        </a:solidFill>
        <a:ln>
          <a:solidFill>
            <a:schemeClr val="tx1"/>
          </a:solidFill>
        </a:ln>
      </dgm:spPr>
      <dgm:t>
        <a:bodyPr/>
        <a:lstStyle/>
        <a:p>
          <a:r>
            <a:rPr lang="en" sz="1000">
              <a:solidFill>
                <a:schemeClr val="tx1"/>
              </a:solidFill>
              <a:latin typeface="Times New Roman" panose="02020603050405020304" pitchFamily="18" charset="0"/>
              <a:cs typeface="Times New Roman" panose="02020603050405020304" pitchFamily="18" charset="0"/>
            </a:rPr>
            <a:t>The profit from the investment is used for financing the specified projects</a:t>
          </a:r>
          <a:endParaRPr lang="ru-RU" sz="1000">
            <a:solidFill>
              <a:schemeClr val="tx1"/>
            </a:solidFill>
            <a:latin typeface="Times New Roman" panose="02020603050405020304" pitchFamily="18" charset="0"/>
            <a:cs typeface="Times New Roman" panose="02020603050405020304" pitchFamily="18" charset="0"/>
          </a:endParaRPr>
        </a:p>
      </dgm:t>
    </dgm:pt>
    <dgm:pt modelId="{C743FC8D-1756-4747-9769-685C7179EDDD}" type="parTrans" cxnId="{94CA628C-BFF1-D843-8F1A-1055629C986F}">
      <dgm:prSet/>
      <dgm:spPr>
        <a:ln>
          <a:solidFill>
            <a:schemeClr val="tx1"/>
          </a:solidFill>
        </a:ln>
      </dgm:spPr>
      <dgm:t>
        <a:bodyPr/>
        <a:lstStyle/>
        <a:p>
          <a:endParaRPr lang="ru-RU"/>
        </a:p>
      </dgm:t>
    </dgm:pt>
    <dgm:pt modelId="{9763B6CB-C5A8-2F47-A10B-515F0F60073C}" type="sibTrans" cxnId="{94CA628C-BFF1-D843-8F1A-1055629C986F}">
      <dgm:prSet/>
      <dgm:spPr/>
      <dgm:t>
        <a:bodyPr/>
        <a:lstStyle/>
        <a:p>
          <a:endParaRPr lang="ru-RU"/>
        </a:p>
      </dgm:t>
    </dgm:pt>
    <dgm:pt modelId="{24CDE542-B4F5-4644-A936-3719CE433E22}" type="pres">
      <dgm:prSet presAssocID="{2B1DA368-85EB-4847-A90E-0331C6C39961}" presName="Name0" presStyleCnt="0">
        <dgm:presLayoutVars>
          <dgm:chPref val="1"/>
          <dgm:dir/>
          <dgm:animOne val="branch"/>
          <dgm:animLvl val="lvl"/>
          <dgm:resizeHandles val="exact"/>
        </dgm:presLayoutVars>
      </dgm:prSet>
      <dgm:spPr/>
    </dgm:pt>
    <dgm:pt modelId="{0AB76CE6-D3BC-D048-A485-045B165D443D}" type="pres">
      <dgm:prSet presAssocID="{7988778E-4B25-674D-80C8-39560D2DAD2F}" presName="root1" presStyleCnt="0"/>
      <dgm:spPr/>
    </dgm:pt>
    <dgm:pt modelId="{E9CE77FA-6EB7-E94D-B8E9-12CFB0D727E6}" type="pres">
      <dgm:prSet presAssocID="{7988778E-4B25-674D-80C8-39560D2DAD2F}" presName="LevelOneTextNode" presStyleLbl="node0" presStyleIdx="0" presStyleCnt="1">
        <dgm:presLayoutVars>
          <dgm:chPref val="3"/>
        </dgm:presLayoutVars>
      </dgm:prSet>
      <dgm:spPr/>
    </dgm:pt>
    <dgm:pt modelId="{B2FF2C25-ECE6-B942-A258-1CB28BDF7BD0}" type="pres">
      <dgm:prSet presAssocID="{7988778E-4B25-674D-80C8-39560D2DAD2F}" presName="level2hierChild" presStyleCnt="0"/>
      <dgm:spPr/>
    </dgm:pt>
    <dgm:pt modelId="{B70DD5B2-0A58-204B-8B08-71627147140F}" type="pres">
      <dgm:prSet presAssocID="{51A8290F-3B6E-C843-8C93-35D2D689FB00}" presName="conn2-1" presStyleLbl="parChTrans1D2" presStyleIdx="0" presStyleCnt="6"/>
      <dgm:spPr/>
    </dgm:pt>
    <dgm:pt modelId="{4D908951-DA49-C543-B631-C5EE62AA9148}" type="pres">
      <dgm:prSet presAssocID="{51A8290F-3B6E-C843-8C93-35D2D689FB00}" presName="connTx" presStyleLbl="parChTrans1D2" presStyleIdx="0" presStyleCnt="6"/>
      <dgm:spPr/>
    </dgm:pt>
    <dgm:pt modelId="{737F36B4-DBD5-434E-9A98-4DB7FAE1A4E9}" type="pres">
      <dgm:prSet presAssocID="{88A0AE6A-7F00-9E47-9AF6-3504D7D81C33}" presName="root2" presStyleCnt="0"/>
      <dgm:spPr/>
    </dgm:pt>
    <dgm:pt modelId="{971CFD60-D38D-2142-A66B-9B872B1F0007}" type="pres">
      <dgm:prSet presAssocID="{88A0AE6A-7F00-9E47-9AF6-3504D7D81C33}" presName="LevelTwoTextNode" presStyleLbl="node2" presStyleIdx="0" presStyleCnt="6" custScaleX="253854">
        <dgm:presLayoutVars>
          <dgm:chPref val="3"/>
        </dgm:presLayoutVars>
      </dgm:prSet>
      <dgm:spPr/>
    </dgm:pt>
    <dgm:pt modelId="{2602A20A-E9E7-E842-ACD8-39F895E69257}" type="pres">
      <dgm:prSet presAssocID="{88A0AE6A-7F00-9E47-9AF6-3504D7D81C33}" presName="level3hierChild" presStyleCnt="0"/>
      <dgm:spPr/>
    </dgm:pt>
    <dgm:pt modelId="{B4C384AC-7C97-CF47-879C-C5FFF9C80814}" type="pres">
      <dgm:prSet presAssocID="{6C9EC94C-F066-6A43-A8A8-B82466A0BED7}" presName="conn2-1" presStyleLbl="parChTrans1D2" presStyleIdx="1" presStyleCnt="6"/>
      <dgm:spPr/>
    </dgm:pt>
    <dgm:pt modelId="{1F431099-B252-3041-9627-6EDB41B73583}" type="pres">
      <dgm:prSet presAssocID="{6C9EC94C-F066-6A43-A8A8-B82466A0BED7}" presName="connTx" presStyleLbl="parChTrans1D2" presStyleIdx="1" presStyleCnt="6"/>
      <dgm:spPr/>
    </dgm:pt>
    <dgm:pt modelId="{1DF85284-7400-634E-B642-99F4BF45C381}" type="pres">
      <dgm:prSet presAssocID="{62D229F8-A6DB-4449-AB22-E4A76951A1B6}" presName="root2" presStyleCnt="0"/>
      <dgm:spPr/>
    </dgm:pt>
    <dgm:pt modelId="{91581BEB-B850-5347-A1FC-4620561F6C39}" type="pres">
      <dgm:prSet presAssocID="{62D229F8-A6DB-4449-AB22-E4A76951A1B6}" presName="LevelTwoTextNode" presStyleLbl="node2" presStyleIdx="1" presStyleCnt="6" custScaleX="253854">
        <dgm:presLayoutVars>
          <dgm:chPref val="3"/>
        </dgm:presLayoutVars>
      </dgm:prSet>
      <dgm:spPr/>
    </dgm:pt>
    <dgm:pt modelId="{F0E36B45-0220-C540-8390-8451FD1614B7}" type="pres">
      <dgm:prSet presAssocID="{62D229F8-A6DB-4449-AB22-E4A76951A1B6}" presName="level3hierChild" presStyleCnt="0"/>
      <dgm:spPr/>
    </dgm:pt>
    <dgm:pt modelId="{5304A340-383F-064D-B43A-64091D05D714}" type="pres">
      <dgm:prSet presAssocID="{91A07B26-D583-D448-94CF-F33622B950EB}" presName="conn2-1" presStyleLbl="parChTrans1D2" presStyleIdx="2" presStyleCnt="6"/>
      <dgm:spPr/>
    </dgm:pt>
    <dgm:pt modelId="{72DB4CA3-18FF-8B4D-8C69-AD2A845D8EF2}" type="pres">
      <dgm:prSet presAssocID="{91A07B26-D583-D448-94CF-F33622B950EB}" presName="connTx" presStyleLbl="parChTrans1D2" presStyleIdx="2" presStyleCnt="6"/>
      <dgm:spPr/>
    </dgm:pt>
    <dgm:pt modelId="{C729FBCC-89A4-2B4C-B41B-6BD7F486F3CF}" type="pres">
      <dgm:prSet presAssocID="{71BD18B6-1980-1E48-8CA0-1080FA8D7F44}" presName="root2" presStyleCnt="0"/>
      <dgm:spPr/>
    </dgm:pt>
    <dgm:pt modelId="{8AC56ED4-1573-9A46-9484-0E5F6D389AE7}" type="pres">
      <dgm:prSet presAssocID="{71BD18B6-1980-1E48-8CA0-1080FA8D7F44}" presName="LevelTwoTextNode" presStyleLbl="node2" presStyleIdx="2" presStyleCnt="6" custScaleX="253958" custLinFactNeighborX="-527" custLinFactNeighborY="3454">
        <dgm:presLayoutVars>
          <dgm:chPref val="3"/>
        </dgm:presLayoutVars>
      </dgm:prSet>
      <dgm:spPr/>
    </dgm:pt>
    <dgm:pt modelId="{5F7CDBF3-7522-ED46-A88A-9E5F68B63EDE}" type="pres">
      <dgm:prSet presAssocID="{71BD18B6-1980-1E48-8CA0-1080FA8D7F44}" presName="level3hierChild" presStyleCnt="0"/>
      <dgm:spPr/>
    </dgm:pt>
    <dgm:pt modelId="{06BB69D2-41BA-E94C-AE44-0E44B9B11876}" type="pres">
      <dgm:prSet presAssocID="{0BAC8452-B010-A94B-B381-0D967DEC11C8}" presName="conn2-1" presStyleLbl="parChTrans1D2" presStyleIdx="3" presStyleCnt="6"/>
      <dgm:spPr/>
    </dgm:pt>
    <dgm:pt modelId="{1EF37947-5486-4D4E-9C39-59222596869E}" type="pres">
      <dgm:prSet presAssocID="{0BAC8452-B010-A94B-B381-0D967DEC11C8}" presName="connTx" presStyleLbl="parChTrans1D2" presStyleIdx="3" presStyleCnt="6"/>
      <dgm:spPr/>
    </dgm:pt>
    <dgm:pt modelId="{01B86D30-E934-3441-941F-1CECB3F1DB85}" type="pres">
      <dgm:prSet presAssocID="{C95A0555-E6AF-2349-9817-74F16D7145B5}" presName="root2" presStyleCnt="0"/>
      <dgm:spPr/>
    </dgm:pt>
    <dgm:pt modelId="{312ED10C-0D36-D446-B058-97E91E926AA5}" type="pres">
      <dgm:prSet presAssocID="{C95A0555-E6AF-2349-9817-74F16D7145B5}" presName="LevelTwoTextNode" presStyleLbl="node2" presStyleIdx="3" presStyleCnt="6" custScaleX="253217">
        <dgm:presLayoutVars>
          <dgm:chPref val="3"/>
        </dgm:presLayoutVars>
      </dgm:prSet>
      <dgm:spPr/>
    </dgm:pt>
    <dgm:pt modelId="{CA3A27DD-5110-604D-8096-4E36C08515DE}" type="pres">
      <dgm:prSet presAssocID="{C95A0555-E6AF-2349-9817-74F16D7145B5}" presName="level3hierChild" presStyleCnt="0"/>
      <dgm:spPr/>
    </dgm:pt>
    <dgm:pt modelId="{7E2B2425-83BB-1B4D-9266-E3DF3E026EEF}" type="pres">
      <dgm:prSet presAssocID="{CA556463-69B7-BC44-8E76-56BD71D268F0}" presName="conn2-1" presStyleLbl="parChTrans1D2" presStyleIdx="4" presStyleCnt="6"/>
      <dgm:spPr/>
    </dgm:pt>
    <dgm:pt modelId="{565E6A67-8130-8C42-A775-36556BD62CE9}" type="pres">
      <dgm:prSet presAssocID="{CA556463-69B7-BC44-8E76-56BD71D268F0}" presName="connTx" presStyleLbl="parChTrans1D2" presStyleIdx="4" presStyleCnt="6"/>
      <dgm:spPr/>
    </dgm:pt>
    <dgm:pt modelId="{B27BFD1C-9741-8342-B12B-983A81B5D065}" type="pres">
      <dgm:prSet presAssocID="{57D44691-FB8D-404E-9B6A-260BCB63F8F9}" presName="root2" presStyleCnt="0"/>
      <dgm:spPr/>
    </dgm:pt>
    <dgm:pt modelId="{94F5E1F8-3AC2-9F45-850D-8D1101B7DCBF}" type="pres">
      <dgm:prSet presAssocID="{57D44691-FB8D-404E-9B6A-260BCB63F8F9}" presName="LevelTwoTextNode" presStyleLbl="node2" presStyleIdx="4" presStyleCnt="6" custScaleX="255323">
        <dgm:presLayoutVars>
          <dgm:chPref val="3"/>
        </dgm:presLayoutVars>
      </dgm:prSet>
      <dgm:spPr/>
    </dgm:pt>
    <dgm:pt modelId="{7A9B7622-2771-E742-AE40-9DDEF0D59F13}" type="pres">
      <dgm:prSet presAssocID="{57D44691-FB8D-404E-9B6A-260BCB63F8F9}" presName="level3hierChild" presStyleCnt="0"/>
      <dgm:spPr/>
    </dgm:pt>
    <dgm:pt modelId="{0480CC8C-E723-8E41-92BE-105071D78BFB}" type="pres">
      <dgm:prSet presAssocID="{C743FC8D-1756-4747-9769-685C7179EDDD}" presName="conn2-1" presStyleLbl="parChTrans1D2" presStyleIdx="5" presStyleCnt="6"/>
      <dgm:spPr/>
    </dgm:pt>
    <dgm:pt modelId="{CE17C502-F7B8-2342-8980-273622691A18}" type="pres">
      <dgm:prSet presAssocID="{C743FC8D-1756-4747-9769-685C7179EDDD}" presName="connTx" presStyleLbl="parChTrans1D2" presStyleIdx="5" presStyleCnt="6"/>
      <dgm:spPr/>
    </dgm:pt>
    <dgm:pt modelId="{CD86EE67-83E7-A348-A2F6-E73367188022}" type="pres">
      <dgm:prSet presAssocID="{E1B9C489-D374-884E-8E41-39885365E11D}" presName="root2" presStyleCnt="0"/>
      <dgm:spPr/>
    </dgm:pt>
    <dgm:pt modelId="{747244C7-3E96-6747-B544-57DC44FFC1FE}" type="pres">
      <dgm:prSet presAssocID="{E1B9C489-D374-884E-8E41-39885365E11D}" presName="LevelTwoTextNode" presStyleLbl="node2" presStyleIdx="5" presStyleCnt="6" custScaleX="255427">
        <dgm:presLayoutVars>
          <dgm:chPref val="3"/>
        </dgm:presLayoutVars>
      </dgm:prSet>
      <dgm:spPr/>
    </dgm:pt>
    <dgm:pt modelId="{EE4B51D6-F465-6443-AAC2-18BA60ECD8C2}" type="pres">
      <dgm:prSet presAssocID="{E1B9C489-D374-884E-8E41-39885365E11D}" presName="level3hierChild" presStyleCnt="0"/>
      <dgm:spPr/>
    </dgm:pt>
  </dgm:ptLst>
  <dgm:cxnLst>
    <dgm:cxn modelId="{BE1BC809-CD06-4978-8D0C-87C1E476E8BC}" type="presOf" srcId="{C743FC8D-1756-4747-9769-685C7179EDDD}" destId="{0480CC8C-E723-8E41-92BE-105071D78BFB}" srcOrd="0" destOrd="0" presId="urn:microsoft.com/office/officeart/2008/layout/HorizontalMultiLevelHierarchy"/>
    <dgm:cxn modelId="{B0843C1C-4951-429D-8378-B3E05BC749EF}" type="presOf" srcId="{88A0AE6A-7F00-9E47-9AF6-3504D7D81C33}" destId="{971CFD60-D38D-2142-A66B-9B872B1F0007}" srcOrd="0" destOrd="0" presId="urn:microsoft.com/office/officeart/2008/layout/HorizontalMultiLevelHierarchy"/>
    <dgm:cxn modelId="{1E236025-3280-4595-AEC6-FD4773AEF0D9}" type="presOf" srcId="{6C9EC94C-F066-6A43-A8A8-B82466A0BED7}" destId="{B4C384AC-7C97-CF47-879C-C5FFF9C80814}" srcOrd="0" destOrd="0" presId="urn:microsoft.com/office/officeart/2008/layout/HorizontalMultiLevelHierarchy"/>
    <dgm:cxn modelId="{59C45D35-BA91-4533-8992-14CADFAA38DA}" type="presOf" srcId="{6C9EC94C-F066-6A43-A8A8-B82466A0BED7}" destId="{1F431099-B252-3041-9627-6EDB41B73583}" srcOrd="1" destOrd="0" presId="urn:microsoft.com/office/officeart/2008/layout/HorizontalMultiLevelHierarchy"/>
    <dgm:cxn modelId="{119F373D-602F-4B33-B034-63F27A50887E}" type="presOf" srcId="{71BD18B6-1980-1E48-8CA0-1080FA8D7F44}" destId="{8AC56ED4-1573-9A46-9484-0E5F6D389AE7}" srcOrd="0" destOrd="0" presId="urn:microsoft.com/office/officeart/2008/layout/HorizontalMultiLevelHierarchy"/>
    <dgm:cxn modelId="{2DAAB13D-3DA6-452D-8572-B9523B9BC37B}" type="presOf" srcId="{CA556463-69B7-BC44-8E76-56BD71D268F0}" destId="{7E2B2425-83BB-1B4D-9266-E3DF3E026EEF}" srcOrd="0" destOrd="0" presId="urn:microsoft.com/office/officeart/2008/layout/HorizontalMultiLevelHierarchy"/>
    <dgm:cxn modelId="{90EF0A59-4C6A-4496-8654-A005A0995D56}" type="presOf" srcId="{91A07B26-D583-D448-94CF-F33622B950EB}" destId="{5304A340-383F-064D-B43A-64091D05D714}" srcOrd="0" destOrd="0" presId="urn:microsoft.com/office/officeart/2008/layout/HorizontalMultiLevelHierarchy"/>
    <dgm:cxn modelId="{A1DB5562-5CFA-4ADD-A94F-9FC4B284BACD}" type="presOf" srcId="{2B1DA368-85EB-4847-A90E-0331C6C39961}" destId="{24CDE542-B4F5-4644-A936-3719CE433E22}" srcOrd="0" destOrd="0" presId="urn:microsoft.com/office/officeart/2008/layout/HorizontalMultiLevelHierarchy"/>
    <dgm:cxn modelId="{DFDF2E64-CD0E-4BD5-A29D-08B2FA26A453}" type="presOf" srcId="{62D229F8-A6DB-4449-AB22-E4A76951A1B6}" destId="{91581BEB-B850-5347-A1FC-4620561F6C39}" srcOrd="0" destOrd="0" presId="urn:microsoft.com/office/officeart/2008/layout/HorizontalMultiLevelHierarchy"/>
    <dgm:cxn modelId="{6BFB2166-198E-4EF8-BA23-0BABF29ACFC4}" type="presOf" srcId="{E1B9C489-D374-884E-8E41-39885365E11D}" destId="{747244C7-3E96-6747-B544-57DC44FFC1FE}" srcOrd="0" destOrd="0" presId="urn:microsoft.com/office/officeart/2008/layout/HorizontalMultiLevelHierarchy"/>
    <dgm:cxn modelId="{B68B1C68-1B52-F343-B1D7-A932205C3E81}" srcId="{7988778E-4B25-674D-80C8-39560D2DAD2F}" destId="{C95A0555-E6AF-2349-9817-74F16D7145B5}" srcOrd="3" destOrd="0" parTransId="{0BAC8452-B010-A94B-B381-0D967DEC11C8}" sibTransId="{1F0C2C97-EC70-2441-AFB0-00FCC30C40EF}"/>
    <dgm:cxn modelId="{876A786C-0C84-42E6-BDD6-62DD5ECCAC13}" type="presOf" srcId="{57D44691-FB8D-404E-9B6A-260BCB63F8F9}" destId="{94F5E1F8-3AC2-9F45-850D-8D1101B7DCBF}" srcOrd="0" destOrd="0" presId="urn:microsoft.com/office/officeart/2008/layout/HorizontalMultiLevelHierarchy"/>
    <dgm:cxn modelId="{CC00B170-B9A6-0242-A413-5934A11CE4CB}" srcId="{7988778E-4B25-674D-80C8-39560D2DAD2F}" destId="{57D44691-FB8D-404E-9B6A-260BCB63F8F9}" srcOrd="4" destOrd="0" parTransId="{CA556463-69B7-BC44-8E76-56BD71D268F0}" sibTransId="{902D25F6-525C-134F-B5F1-3979E5B90939}"/>
    <dgm:cxn modelId="{8C475D84-DB00-4AB5-A33A-1B2F78FE99C1}" type="presOf" srcId="{0BAC8452-B010-A94B-B381-0D967DEC11C8}" destId="{1EF37947-5486-4D4E-9C39-59222596869E}" srcOrd="1" destOrd="0" presId="urn:microsoft.com/office/officeart/2008/layout/HorizontalMultiLevelHierarchy"/>
    <dgm:cxn modelId="{94CA628C-BFF1-D843-8F1A-1055629C986F}" srcId="{7988778E-4B25-674D-80C8-39560D2DAD2F}" destId="{E1B9C489-D374-884E-8E41-39885365E11D}" srcOrd="5" destOrd="0" parTransId="{C743FC8D-1756-4747-9769-685C7179EDDD}" sibTransId="{9763B6CB-C5A8-2F47-A10B-515F0F60073C}"/>
    <dgm:cxn modelId="{B6B8D995-2F52-418D-9949-E3EAF34BAB28}" type="presOf" srcId="{0BAC8452-B010-A94B-B381-0D967DEC11C8}" destId="{06BB69D2-41BA-E94C-AE44-0E44B9B11876}" srcOrd="0" destOrd="0" presId="urn:microsoft.com/office/officeart/2008/layout/HorizontalMultiLevelHierarchy"/>
    <dgm:cxn modelId="{053CFEA6-BC65-4B5F-AF08-96A829E01C1A}" type="presOf" srcId="{51A8290F-3B6E-C843-8C93-35D2D689FB00}" destId="{4D908951-DA49-C543-B631-C5EE62AA9148}" srcOrd="1" destOrd="0" presId="urn:microsoft.com/office/officeart/2008/layout/HorizontalMultiLevelHierarchy"/>
    <dgm:cxn modelId="{6A0CA1C0-2C98-46BA-A7EA-C4F2D932B855}" type="presOf" srcId="{51A8290F-3B6E-C843-8C93-35D2D689FB00}" destId="{B70DD5B2-0A58-204B-8B08-71627147140F}" srcOrd="0" destOrd="0" presId="urn:microsoft.com/office/officeart/2008/layout/HorizontalMultiLevelHierarchy"/>
    <dgm:cxn modelId="{EBE93AC3-38E7-4D3E-844E-F15B924CE074}" type="presOf" srcId="{CA556463-69B7-BC44-8E76-56BD71D268F0}" destId="{565E6A67-8130-8C42-A775-36556BD62CE9}" srcOrd="1" destOrd="0" presId="urn:microsoft.com/office/officeart/2008/layout/HorizontalMultiLevelHierarchy"/>
    <dgm:cxn modelId="{16B932C4-4AAD-4306-BF6A-E69442045B4D}" type="presOf" srcId="{C743FC8D-1756-4747-9769-685C7179EDDD}" destId="{CE17C502-F7B8-2342-8980-273622691A18}" srcOrd="1" destOrd="0" presId="urn:microsoft.com/office/officeart/2008/layout/HorizontalMultiLevelHierarchy"/>
    <dgm:cxn modelId="{894B31CC-DD10-3F4D-BB0C-2D97458FCA1E}" srcId="{7988778E-4B25-674D-80C8-39560D2DAD2F}" destId="{62D229F8-A6DB-4449-AB22-E4A76951A1B6}" srcOrd="1" destOrd="0" parTransId="{6C9EC94C-F066-6A43-A8A8-B82466A0BED7}" sibTransId="{E2E7B770-A8EC-BD4C-9602-D1397F378883}"/>
    <dgm:cxn modelId="{76F395D0-9B0B-A44F-8304-F211738DE45D}" srcId="{7988778E-4B25-674D-80C8-39560D2DAD2F}" destId="{71BD18B6-1980-1E48-8CA0-1080FA8D7F44}" srcOrd="2" destOrd="0" parTransId="{91A07B26-D583-D448-94CF-F33622B950EB}" sibTransId="{19BD272F-9391-1C46-B73E-81AA5AA41208}"/>
    <dgm:cxn modelId="{7ADFB7D4-2964-4FEE-B048-40BC65212B18}" type="presOf" srcId="{91A07B26-D583-D448-94CF-F33622B950EB}" destId="{72DB4CA3-18FF-8B4D-8C69-AD2A845D8EF2}" srcOrd="1" destOrd="0" presId="urn:microsoft.com/office/officeart/2008/layout/HorizontalMultiLevelHierarchy"/>
    <dgm:cxn modelId="{2FBF65F4-4069-4C4C-A6B2-66D093173B3D}" srcId="{7988778E-4B25-674D-80C8-39560D2DAD2F}" destId="{88A0AE6A-7F00-9E47-9AF6-3504D7D81C33}" srcOrd="0" destOrd="0" parTransId="{51A8290F-3B6E-C843-8C93-35D2D689FB00}" sibTransId="{2D5F26E2-52FB-0C4D-86AC-15BF7A5F6637}"/>
    <dgm:cxn modelId="{E9292EF6-98FE-4C7D-95ED-0D7E3520138E}" type="presOf" srcId="{C95A0555-E6AF-2349-9817-74F16D7145B5}" destId="{312ED10C-0D36-D446-B058-97E91E926AA5}" srcOrd="0" destOrd="0" presId="urn:microsoft.com/office/officeart/2008/layout/HorizontalMultiLevelHierarchy"/>
    <dgm:cxn modelId="{A6EACDF8-9F1E-4E4C-92A3-96BC242B1D50}" type="presOf" srcId="{7988778E-4B25-674D-80C8-39560D2DAD2F}" destId="{E9CE77FA-6EB7-E94D-B8E9-12CFB0D727E6}" srcOrd="0" destOrd="0" presId="urn:microsoft.com/office/officeart/2008/layout/HorizontalMultiLevelHierarchy"/>
    <dgm:cxn modelId="{B8DB6BFA-512B-F746-A97F-971D6AD11446}" srcId="{2B1DA368-85EB-4847-A90E-0331C6C39961}" destId="{7988778E-4B25-674D-80C8-39560D2DAD2F}" srcOrd="0" destOrd="0" parTransId="{4C684CA5-8530-5F4E-A683-77FF932F96DF}" sibTransId="{FBDCF82F-4B29-CE43-9209-670204450854}"/>
    <dgm:cxn modelId="{629CFFE3-266F-4AD5-A867-5665292C48E9}" type="presParOf" srcId="{24CDE542-B4F5-4644-A936-3719CE433E22}" destId="{0AB76CE6-D3BC-D048-A485-045B165D443D}" srcOrd="0" destOrd="0" presId="urn:microsoft.com/office/officeart/2008/layout/HorizontalMultiLevelHierarchy"/>
    <dgm:cxn modelId="{57251D26-B6FA-448C-8AD8-847002720BFC}" type="presParOf" srcId="{0AB76CE6-D3BC-D048-A485-045B165D443D}" destId="{E9CE77FA-6EB7-E94D-B8E9-12CFB0D727E6}" srcOrd="0" destOrd="0" presId="urn:microsoft.com/office/officeart/2008/layout/HorizontalMultiLevelHierarchy"/>
    <dgm:cxn modelId="{9B9AE2ED-C90F-470D-BEA4-BB0EDA0E29D3}" type="presParOf" srcId="{0AB76CE6-D3BC-D048-A485-045B165D443D}" destId="{B2FF2C25-ECE6-B942-A258-1CB28BDF7BD0}" srcOrd="1" destOrd="0" presId="urn:microsoft.com/office/officeart/2008/layout/HorizontalMultiLevelHierarchy"/>
    <dgm:cxn modelId="{44D3D35C-D791-482E-B4AF-B9E20B7EC524}" type="presParOf" srcId="{B2FF2C25-ECE6-B942-A258-1CB28BDF7BD0}" destId="{B70DD5B2-0A58-204B-8B08-71627147140F}" srcOrd="0" destOrd="0" presId="urn:microsoft.com/office/officeart/2008/layout/HorizontalMultiLevelHierarchy"/>
    <dgm:cxn modelId="{B08B5D7F-FE59-4513-AAE5-850701ADE415}" type="presParOf" srcId="{B70DD5B2-0A58-204B-8B08-71627147140F}" destId="{4D908951-DA49-C543-B631-C5EE62AA9148}" srcOrd="0" destOrd="0" presId="urn:microsoft.com/office/officeart/2008/layout/HorizontalMultiLevelHierarchy"/>
    <dgm:cxn modelId="{4D70F071-2F8D-44D9-A33A-D473C49F61F4}" type="presParOf" srcId="{B2FF2C25-ECE6-B942-A258-1CB28BDF7BD0}" destId="{737F36B4-DBD5-434E-9A98-4DB7FAE1A4E9}" srcOrd="1" destOrd="0" presId="urn:microsoft.com/office/officeart/2008/layout/HorizontalMultiLevelHierarchy"/>
    <dgm:cxn modelId="{230C5A72-44D7-44D8-A55A-4C1494764640}" type="presParOf" srcId="{737F36B4-DBD5-434E-9A98-4DB7FAE1A4E9}" destId="{971CFD60-D38D-2142-A66B-9B872B1F0007}" srcOrd="0" destOrd="0" presId="urn:microsoft.com/office/officeart/2008/layout/HorizontalMultiLevelHierarchy"/>
    <dgm:cxn modelId="{917E18A1-B197-485A-BC9A-E2A94258BF42}" type="presParOf" srcId="{737F36B4-DBD5-434E-9A98-4DB7FAE1A4E9}" destId="{2602A20A-E9E7-E842-ACD8-39F895E69257}" srcOrd="1" destOrd="0" presId="urn:microsoft.com/office/officeart/2008/layout/HorizontalMultiLevelHierarchy"/>
    <dgm:cxn modelId="{64F29010-655D-4074-AA2E-CA2FAD967567}" type="presParOf" srcId="{B2FF2C25-ECE6-B942-A258-1CB28BDF7BD0}" destId="{B4C384AC-7C97-CF47-879C-C5FFF9C80814}" srcOrd="2" destOrd="0" presId="urn:microsoft.com/office/officeart/2008/layout/HorizontalMultiLevelHierarchy"/>
    <dgm:cxn modelId="{920C3800-3670-42C8-ACA6-A1952640FCA3}" type="presParOf" srcId="{B4C384AC-7C97-CF47-879C-C5FFF9C80814}" destId="{1F431099-B252-3041-9627-6EDB41B73583}" srcOrd="0" destOrd="0" presId="urn:microsoft.com/office/officeart/2008/layout/HorizontalMultiLevelHierarchy"/>
    <dgm:cxn modelId="{E88CAB54-3503-4EAA-B606-C2A6AB949DF2}" type="presParOf" srcId="{B2FF2C25-ECE6-B942-A258-1CB28BDF7BD0}" destId="{1DF85284-7400-634E-B642-99F4BF45C381}" srcOrd="3" destOrd="0" presId="urn:microsoft.com/office/officeart/2008/layout/HorizontalMultiLevelHierarchy"/>
    <dgm:cxn modelId="{12B4F456-8388-40E6-8F24-396F7E0B2E0D}" type="presParOf" srcId="{1DF85284-7400-634E-B642-99F4BF45C381}" destId="{91581BEB-B850-5347-A1FC-4620561F6C39}" srcOrd="0" destOrd="0" presId="urn:microsoft.com/office/officeart/2008/layout/HorizontalMultiLevelHierarchy"/>
    <dgm:cxn modelId="{999B3932-560B-4E6C-89FB-878DF6465C63}" type="presParOf" srcId="{1DF85284-7400-634E-B642-99F4BF45C381}" destId="{F0E36B45-0220-C540-8390-8451FD1614B7}" srcOrd="1" destOrd="0" presId="urn:microsoft.com/office/officeart/2008/layout/HorizontalMultiLevelHierarchy"/>
    <dgm:cxn modelId="{8272C784-6709-4028-B726-3008A0A8DEA2}" type="presParOf" srcId="{B2FF2C25-ECE6-B942-A258-1CB28BDF7BD0}" destId="{5304A340-383F-064D-B43A-64091D05D714}" srcOrd="4" destOrd="0" presId="urn:microsoft.com/office/officeart/2008/layout/HorizontalMultiLevelHierarchy"/>
    <dgm:cxn modelId="{8BAEBD17-9CB2-48F2-BD30-665F88A661F8}" type="presParOf" srcId="{5304A340-383F-064D-B43A-64091D05D714}" destId="{72DB4CA3-18FF-8B4D-8C69-AD2A845D8EF2}" srcOrd="0" destOrd="0" presId="urn:microsoft.com/office/officeart/2008/layout/HorizontalMultiLevelHierarchy"/>
    <dgm:cxn modelId="{26B8F348-E4DC-42BA-A7BD-37E75DCA7394}" type="presParOf" srcId="{B2FF2C25-ECE6-B942-A258-1CB28BDF7BD0}" destId="{C729FBCC-89A4-2B4C-B41B-6BD7F486F3CF}" srcOrd="5" destOrd="0" presId="urn:microsoft.com/office/officeart/2008/layout/HorizontalMultiLevelHierarchy"/>
    <dgm:cxn modelId="{B8C35816-8B95-4103-BC35-CBAD660247E4}" type="presParOf" srcId="{C729FBCC-89A4-2B4C-B41B-6BD7F486F3CF}" destId="{8AC56ED4-1573-9A46-9484-0E5F6D389AE7}" srcOrd="0" destOrd="0" presId="urn:microsoft.com/office/officeart/2008/layout/HorizontalMultiLevelHierarchy"/>
    <dgm:cxn modelId="{2A9460CC-F983-40FE-B35A-90E7C3C3D31F}" type="presParOf" srcId="{C729FBCC-89A4-2B4C-B41B-6BD7F486F3CF}" destId="{5F7CDBF3-7522-ED46-A88A-9E5F68B63EDE}" srcOrd="1" destOrd="0" presId="urn:microsoft.com/office/officeart/2008/layout/HorizontalMultiLevelHierarchy"/>
    <dgm:cxn modelId="{4F0712E9-004E-4F3D-9E0E-3E12D3132DBF}" type="presParOf" srcId="{B2FF2C25-ECE6-B942-A258-1CB28BDF7BD0}" destId="{06BB69D2-41BA-E94C-AE44-0E44B9B11876}" srcOrd="6" destOrd="0" presId="urn:microsoft.com/office/officeart/2008/layout/HorizontalMultiLevelHierarchy"/>
    <dgm:cxn modelId="{370A50B7-215E-4AA1-8672-1582D41E1DFC}" type="presParOf" srcId="{06BB69D2-41BA-E94C-AE44-0E44B9B11876}" destId="{1EF37947-5486-4D4E-9C39-59222596869E}" srcOrd="0" destOrd="0" presId="urn:microsoft.com/office/officeart/2008/layout/HorizontalMultiLevelHierarchy"/>
    <dgm:cxn modelId="{59504CC8-E908-4CA2-9DB5-A91695B2AFF0}" type="presParOf" srcId="{B2FF2C25-ECE6-B942-A258-1CB28BDF7BD0}" destId="{01B86D30-E934-3441-941F-1CECB3F1DB85}" srcOrd="7" destOrd="0" presId="urn:microsoft.com/office/officeart/2008/layout/HorizontalMultiLevelHierarchy"/>
    <dgm:cxn modelId="{8BA928B5-05B5-45BB-A24D-FBC1F74E6939}" type="presParOf" srcId="{01B86D30-E934-3441-941F-1CECB3F1DB85}" destId="{312ED10C-0D36-D446-B058-97E91E926AA5}" srcOrd="0" destOrd="0" presId="urn:microsoft.com/office/officeart/2008/layout/HorizontalMultiLevelHierarchy"/>
    <dgm:cxn modelId="{746E5EF5-B3A7-43A5-9EBE-0961C90D8F45}" type="presParOf" srcId="{01B86D30-E934-3441-941F-1CECB3F1DB85}" destId="{CA3A27DD-5110-604D-8096-4E36C08515DE}" srcOrd="1" destOrd="0" presId="urn:microsoft.com/office/officeart/2008/layout/HorizontalMultiLevelHierarchy"/>
    <dgm:cxn modelId="{42CE014F-4261-43C6-9CFA-CBEEF97CB6B9}" type="presParOf" srcId="{B2FF2C25-ECE6-B942-A258-1CB28BDF7BD0}" destId="{7E2B2425-83BB-1B4D-9266-E3DF3E026EEF}" srcOrd="8" destOrd="0" presId="urn:microsoft.com/office/officeart/2008/layout/HorizontalMultiLevelHierarchy"/>
    <dgm:cxn modelId="{8A4BB968-EC1C-44EE-BBED-89609AF3F66C}" type="presParOf" srcId="{7E2B2425-83BB-1B4D-9266-E3DF3E026EEF}" destId="{565E6A67-8130-8C42-A775-36556BD62CE9}" srcOrd="0" destOrd="0" presId="urn:microsoft.com/office/officeart/2008/layout/HorizontalMultiLevelHierarchy"/>
    <dgm:cxn modelId="{BB2021FA-642D-4324-904C-93BBD61E9F0D}" type="presParOf" srcId="{B2FF2C25-ECE6-B942-A258-1CB28BDF7BD0}" destId="{B27BFD1C-9741-8342-B12B-983A81B5D065}" srcOrd="9" destOrd="0" presId="urn:microsoft.com/office/officeart/2008/layout/HorizontalMultiLevelHierarchy"/>
    <dgm:cxn modelId="{F5E28EC5-7D8B-4B0C-B3C5-C2CD87A6F21C}" type="presParOf" srcId="{B27BFD1C-9741-8342-B12B-983A81B5D065}" destId="{94F5E1F8-3AC2-9F45-850D-8D1101B7DCBF}" srcOrd="0" destOrd="0" presId="urn:microsoft.com/office/officeart/2008/layout/HorizontalMultiLevelHierarchy"/>
    <dgm:cxn modelId="{F5D9AF1D-259A-4435-A8CF-0ACC9AC63560}" type="presParOf" srcId="{B27BFD1C-9741-8342-B12B-983A81B5D065}" destId="{7A9B7622-2771-E742-AE40-9DDEF0D59F13}" srcOrd="1" destOrd="0" presId="urn:microsoft.com/office/officeart/2008/layout/HorizontalMultiLevelHierarchy"/>
    <dgm:cxn modelId="{AE6F8658-D719-4ED3-B8F0-E931E9D5D78B}" type="presParOf" srcId="{B2FF2C25-ECE6-B942-A258-1CB28BDF7BD0}" destId="{0480CC8C-E723-8E41-92BE-105071D78BFB}" srcOrd="10" destOrd="0" presId="urn:microsoft.com/office/officeart/2008/layout/HorizontalMultiLevelHierarchy"/>
    <dgm:cxn modelId="{A44A93CD-85E5-4927-B10F-C830F160A1B2}" type="presParOf" srcId="{0480CC8C-E723-8E41-92BE-105071D78BFB}" destId="{CE17C502-F7B8-2342-8980-273622691A18}" srcOrd="0" destOrd="0" presId="urn:microsoft.com/office/officeart/2008/layout/HorizontalMultiLevelHierarchy"/>
    <dgm:cxn modelId="{1BF264F7-331A-4036-95A4-19DBE4142CF6}" type="presParOf" srcId="{B2FF2C25-ECE6-B942-A258-1CB28BDF7BD0}" destId="{CD86EE67-83E7-A348-A2F6-E73367188022}" srcOrd="11" destOrd="0" presId="urn:microsoft.com/office/officeart/2008/layout/HorizontalMultiLevelHierarchy"/>
    <dgm:cxn modelId="{6D63C795-E356-4D30-9041-F227421855DF}" type="presParOf" srcId="{CD86EE67-83E7-A348-A2F6-E73367188022}" destId="{747244C7-3E96-6747-B544-57DC44FFC1FE}" srcOrd="0" destOrd="0" presId="urn:microsoft.com/office/officeart/2008/layout/HorizontalMultiLevelHierarchy"/>
    <dgm:cxn modelId="{4059A875-3C93-4E0B-A7BF-F88FA48924AA}" type="presParOf" srcId="{CD86EE67-83E7-A348-A2F6-E73367188022}" destId="{EE4B51D6-F465-6443-AAC2-18BA60ECD8C2}" srcOrd="1" destOrd="0" presId="urn:microsoft.com/office/officeart/2008/layout/HorizontalMultiLevelHierarchy"/>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B1DA368-85EB-4847-A90E-0331C6C39961}"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ru-RU"/>
        </a:p>
      </dgm:t>
    </dgm:pt>
    <dgm:pt modelId="{7988778E-4B25-674D-80C8-39560D2DAD2F}">
      <dgm:prSet phldrT="[Текст]" custT="1"/>
      <dgm:spPr>
        <a:solidFill>
          <a:schemeClr val="bg1"/>
        </a:solidFill>
        <a:ln>
          <a:solidFill>
            <a:schemeClr val="tx1"/>
          </a:solidFill>
        </a:ln>
      </dgm:spPr>
      <dgm:t>
        <a:bodyPr/>
        <a:lstStyle/>
        <a:p>
          <a:r>
            <a:rPr lang="en-US" sz="1400">
              <a:solidFill>
                <a:schemeClr val="tx1"/>
              </a:solidFill>
              <a:latin typeface="Times New Roman" panose="02020603050405020304" pitchFamily="18" charset="0"/>
              <a:cs typeface="Times New Roman" panose="02020603050405020304" pitchFamily="18" charset="0"/>
            </a:rPr>
            <a:t>Deposit cash Waqf scheme (DCWS)</a:t>
          </a:r>
          <a:endParaRPr lang="ru-RU" sz="1400">
            <a:solidFill>
              <a:schemeClr val="tx1"/>
            </a:solidFill>
            <a:latin typeface="Times New Roman" panose="02020603050405020304" pitchFamily="18" charset="0"/>
            <a:cs typeface="Times New Roman" panose="02020603050405020304" pitchFamily="18" charset="0"/>
          </a:endParaRPr>
        </a:p>
      </dgm:t>
    </dgm:pt>
    <dgm:pt modelId="{4C684CA5-8530-5F4E-A683-77FF932F96DF}" type="parTrans" cxnId="{B8DB6BFA-512B-F746-A97F-971D6AD11446}">
      <dgm:prSet/>
      <dgm:spPr/>
      <dgm:t>
        <a:bodyPr/>
        <a:lstStyle/>
        <a:p>
          <a:endParaRPr lang="ru-RU"/>
        </a:p>
      </dgm:t>
    </dgm:pt>
    <dgm:pt modelId="{FBDCF82F-4B29-CE43-9209-670204450854}" type="sibTrans" cxnId="{B8DB6BFA-512B-F746-A97F-971D6AD11446}">
      <dgm:prSet/>
      <dgm:spPr/>
      <dgm:t>
        <a:bodyPr/>
        <a:lstStyle/>
        <a:p>
          <a:endParaRPr lang="ru-RU"/>
        </a:p>
      </dgm:t>
    </dgm:pt>
    <dgm:pt modelId="{88A0AE6A-7F00-9E47-9AF6-3504D7D81C33}">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donors make a contribution to the waqf as cash waqf to a specific account </a:t>
          </a:r>
          <a:endParaRPr lang="ru-RU" sz="1000">
            <a:solidFill>
              <a:schemeClr val="tx1"/>
            </a:solidFill>
            <a:latin typeface="Times New Roman" panose="02020603050405020304" pitchFamily="18" charset="0"/>
            <a:cs typeface="Times New Roman" panose="02020603050405020304" pitchFamily="18" charset="0"/>
          </a:endParaRPr>
        </a:p>
      </dgm:t>
    </dgm:pt>
    <dgm:pt modelId="{51A8290F-3B6E-C843-8C93-35D2D689FB00}" type="parTrans" cxnId="{2FBF65F4-4069-4C4C-A6B2-66D093173B3D}">
      <dgm:prSet/>
      <dgm:spPr>
        <a:ln>
          <a:solidFill>
            <a:schemeClr val="tx1"/>
          </a:solidFill>
        </a:ln>
      </dgm:spPr>
      <dgm:t>
        <a:bodyPr/>
        <a:lstStyle/>
        <a:p>
          <a:endParaRPr lang="ru-RU"/>
        </a:p>
      </dgm:t>
    </dgm:pt>
    <dgm:pt modelId="{2D5F26E2-52FB-0C4D-86AC-15BF7A5F6637}" type="sibTrans" cxnId="{2FBF65F4-4069-4C4C-A6B2-66D093173B3D}">
      <dgm:prSet/>
      <dgm:spPr/>
      <dgm:t>
        <a:bodyPr/>
        <a:lstStyle/>
        <a:p>
          <a:endParaRPr lang="ru-RU"/>
        </a:p>
      </dgm:t>
    </dgm:pt>
    <dgm:pt modelId="{62D229F8-A6DB-4449-AB22-E4A76951A1B6}">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bank invests the cash waqf byt the agreement with waqf</a:t>
          </a:r>
          <a:endParaRPr lang="ru-RU" sz="1000">
            <a:solidFill>
              <a:schemeClr val="tx1"/>
            </a:solidFill>
            <a:latin typeface="Times New Roman" panose="02020603050405020304" pitchFamily="18" charset="0"/>
            <a:cs typeface="Times New Roman" panose="02020603050405020304" pitchFamily="18" charset="0"/>
          </a:endParaRPr>
        </a:p>
      </dgm:t>
    </dgm:pt>
    <dgm:pt modelId="{6C9EC94C-F066-6A43-A8A8-B82466A0BED7}" type="parTrans" cxnId="{894B31CC-DD10-3F4D-BB0C-2D97458FCA1E}">
      <dgm:prSet/>
      <dgm:spPr>
        <a:ln>
          <a:solidFill>
            <a:schemeClr val="tx1"/>
          </a:solidFill>
        </a:ln>
      </dgm:spPr>
      <dgm:t>
        <a:bodyPr/>
        <a:lstStyle/>
        <a:p>
          <a:endParaRPr lang="ru-RU"/>
        </a:p>
      </dgm:t>
    </dgm:pt>
    <dgm:pt modelId="{E2E7B770-A8EC-BD4C-9602-D1397F378883}" type="sibTrans" cxnId="{894B31CC-DD10-3F4D-BB0C-2D97458FCA1E}">
      <dgm:prSet/>
      <dgm:spPr/>
      <dgm:t>
        <a:bodyPr/>
        <a:lstStyle/>
        <a:p>
          <a:endParaRPr lang="ru-RU"/>
        </a:p>
      </dgm:t>
    </dgm:pt>
    <dgm:pt modelId="{71BD18B6-1980-1E48-8CA0-1080FA8D7F44}">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waqf institution receives the profit from the investment and uses it to charities </a:t>
          </a:r>
          <a:endParaRPr lang="ru-RU" sz="1000">
            <a:solidFill>
              <a:schemeClr val="tx1"/>
            </a:solidFill>
            <a:latin typeface="Times New Roman" panose="02020603050405020304" pitchFamily="18" charset="0"/>
            <a:cs typeface="Times New Roman" panose="02020603050405020304" pitchFamily="18" charset="0"/>
          </a:endParaRPr>
        </a:p>
      </dgm:t>
    </dgm:pt>
    <dgm:pt modelId="{91A07B26-D583-D448-94CF-F33622B950EB}" type="parTrans" cxnId="{76F395D0-9B0B-A44F-8304-F211738DE45D}">
      <dgm:prSet/>
      <dgm:spPr>
        <a:ln>
          <a:solidFill>
            <a:schemeClr val="tx1"/>
          </a:solidFill>
        </a:ln>
      </dgm:spPr>
      <dgm:t>
        <a:bodyPr/>
        <a:lstStyle/>
        <a:p>
          <a:endParaRPr lang="ru-RU"/>
        </a:p>
      </dgm:t>
    </dgm:pt>
    <dgm:pt modelId="{19BD272F-9391-1C46-B73E-81AA5AA41208}" type="sibTrans" cxnId="{76F395D0-9B0B-A44F-8304-F211738DE45D}">
      <dgm:prSet/>
      <dgm:spPr/>
      <dgm:t>
        <a:bodyPr/>
        <a:lstStyle/>
        <a:p>
          <a:endParaRPr lang="ru-RU"/>
        </a:p>
      </dgm:t>
    </dgm:pt>
    <dgm:pt modelId="{24CDE542-B4F5-4644-A936-3719CE433E22}" type="pres">
      <dgm:prSet presAssocID="{2B1DA368-85EB-4847-A90E-0331C6C39961}" presName="Name0" presStyleCnt="0">
        <dgm:presLayoutVars>
          <dgm:chPref val="1"/>
          <dgm:dir/>
          <dgm:animOne val="branch"/>
          <dgm:animLvl val="lvl"/>
          <dgm:resizeHandles val="exact"/>
        </dgm:presLayoutVars>
      </dgm:prSet>
      <dgm:spPr/>
    </dgm:pt>
    <dgm:pt modelId="{0AB76CE6-D3BC-D048-A485-045B165D443D}" type="pres">
      <dgm:prSet presAssocID="{7988778E-4B25-674D-80C8-39560D2DAD2F}" presName="root1" presStyleCnt="0"/>
      <dgm:spPr/>
    </dgm:pt>
    <dgm:pt modelId="{E9CE77FA-6EB7-E94D-B8E9-12CFB0D727E6}" type="pres">
      <dgm:prSet presAssocID="{7988778E-4B25-674D-80C8-39560D2DAD2F}" presName="LevelOneTextNode" presStyleLbl="node0" presStyleIdx="0" presStyleCnt="1">
        <dgm:presLayoutVars>
          <dgm:chPref val="3"/>
        </dgm:presLayoutVars>
      </dgm:prSet>
      <dgm:spPr/>
    </dgm:pt>
    <dgm:pt modelId="{B2FF2C25-ECE6-B942-A258-1CB28BDF7BD0}" type="pres">
      <dgm:prSet presAssocID="{7988778E-4B25-674D-80C8-39560D2DAD2F}" presName="level2hierChild" presStyleCnt="0"/>
      <dgm:spPr/>
    </dgm:pt>
    <dgm:pt modelId="{B70DD5B2-0A58-204B-8B08-71627147140F}" type="pres">
      <dgm:prSet presAssocID="{51A8290F-3B6E-C843-8C93-35D2D689FB00}" presName="conn2-1" presStyleLbl="parChTrans1D2" presStyleIdx="0" presStyleCnt="3"/>
      <dgm:spPr/>
    </dgm:pt>
    <dgm:pt modelId="{4D908951-DA49-C543-B631-C5EE62AA9148}" type="pres">
      <dgm:prSet presAssocID="{51A8290F-3B6E-C843-8C93-35D2D689FB00}" presName="connTx" presStyleLbl="parChTrans1D2" presStyleIdx="0" presStyleCnt="3"/>
      <dgm:spPr/>
    </dgm:pt>
    <dgm:pt modelId="{737F36B4-DBD5-434E-9A98-4DB7FAE1A4E9}" type="pres">
      <dgm:prSet presAssocID="{88A0AE6A-7F00-9E47-9AF6-3504D7D81C33}" presName="root2" presStyleCnt="0"/>
      <dgm:spPr/>
    </dgm:pt>
    <dgm:pt modelId="{971CFD60-D38D-2142-A66B-9B872B1F0007}" type="pres">
      <dgm:prSet presAssocID="{88A0AE6A-7F00-9E47-9AF6-3504D7D81C33}" presName="LevelTwoTextNode" presStyleLbl="node2" presStyleIdx="0" presStyleCnt="3" custScaleX="253854">
        <dgm:presLayoutVars>
          <dgm:chPref val="3"/>
        </dgm:presLayoutVars>
      </dgm:prSet>
      <dgm:spPr/>
    </dgm:pt>
    <dgm:pt modelId="{2602A20A-E9E7-E842-ACD8-39F895E69257}" type="pres">
      <dgm:prSet presAssocID="{88A0AE6A-7F00-9E47-9AF6-3504D7D81C33}" presName="level3hierChild" presStyleCnt="0"/>
      <dgm:spPr/>
    </dgm:pt>
    <dgm:pt modelId="{B4C384AC-7C97-CF47-879C-C5FFF9C80814}" type="pres">
      <dgm:prSet presAssocID="{6C9EC94C-F066-6A43-A8A8-B82466A0BED7}" presName="conn2-1" presStyleLbl="parChTrans1D2" presStyleIdx="1" presStyleCnt="3"/>
      <dgm:spPr/>
    </dgm:pt>
    <dgm:pt modelId="{1F431099-B252-3041-9627-6EDB41B73583}" type="pres">
      <dgm:prSet presAssocID="{6C9EC94C-F066-6A43-A8A8-B82466A0BED7}" presName="connTx" presStyleLbl="parChTrans1D2" presStyleIdx="1" presStyleCnt="3"/>
      <dgm:spPr/>
    </dgm:pt>
    <dgm:pt modelId="{1DF85284-7400-634E-B642-99F4BF45C381}" type="pres">
      <dgm:prSet presAssocID="{62D229F8-A6DB-4449-AB22-E4A76951A1B6}" presName="root2" presStyleCnt="0"/>
      <dgm:spPr/>
    </dgm:pt>
    <dgm:pt modelId="{91581BEB-B850-5347-A1FC-4620561F6C39}" type="pres">
      <dgm:prSet presAssocID="{62D229F8-A6DB-4449-AB22-E4A76951A1B6}" presName="LevelTwoTextNode" presStyleLbl="node2" presStyleIdx="1" presStyleCnt="3" custScaleX="253854">
        <dgm:presLayoutVars>
          <dgm:chPref val="3"/>
        </dgm:presLayoutVars>
      </dgm:prSet>
      <dgm:spPr/>
    </dgm:pt>
    <dgm:pt modelId="{F0E36B45-0220-C540-8390-8451FD1614B7}" type="pres">
      <dgm:prSet presAssocID="{62D229F8-A6DB-4449-AB22-E4A76951A1B6}" presName="level3hierChild" presStyleCnt="0"/>
      <dgm:spPr/>
    </dgm:pt>
    <dgm:pt modelId="{5304A340-383F-064D-B43A-64091D05D714}" type="pres">
      <dgm:prSet presAssocID="{91A07B26-D583-D448-94CF-F33622B950EB}" presName="conn2-1" presStyleLbl="parChTrans1D2" presStyleIdx="2" presStyleCnt="3"/>
      <dgm:spPr/>
    </dgm:pt>
    <dgm:pt modelId="{72DB4CA3-18FF-8B4D-8C69-AD2A845D8EF2}" type="pres">
      <dgm:prSet presAssocID="{91A07B26-D583-D448-94CF-F33622B950EB}" presName="connTx" presStyleLbl="parChTrans1D2" presStyleIdx="2" presStyleCnt="3"/>
      <dgm:spPr/>
    </dgm:pt>
    <dgm:pt modelId="{C729FBCC-89A4-2B4C-B41B-6BD7F486F3CF}" type="pres">
      <dgm:prSet presAssocID="{71BD18B6-1980-1E48-8CA0-1080FA8D7F44}" presName="root2" presStyleCnt="0"/>
      <dgm:spPr/>
    </dgm:pt>
    <dgm:pt modelId="{8AC56ED4-1573-9A46-9484-0E5F6D389AE7}" type="pres">
      <dgm:prSet presAssocID="{71BD18B6-1980-1E48-8CA0-1080FA8D7F44}" presName="LevelTwoTextNode" presStyleLbl="node2" presStyleIdx="2" presStyleCnt="3" custScaleX="253958" custLinFactNeighborX="-527" custLinFactNeighborY="3454">
        <dgm:presLayoutVars>
          <dgm:chPref val="3"/>
        </dgm:presLayoutVars>
      </dgm:prSet>
      <dgm:spPr/>
    </dgm:pt>
    <dgm:pt modelId="{5F7CDBF3-7522-ED46-A88A-9E5F68B63EDE}" type="pres">
      <dgm:prSet presAssocID="{71BD18B6-1980-1E48-8CA0-1080FA8D7F44}" presName="level3hierChild" presStyleCnt="0"/>
      <dgm:spPr/>
    </dgm:pt>
  </dgm:ptLst>
  <dgm:cxnLst>
    <dgm:cxn modelId="{5A8B000F-E764-41BB-AADC-3D49B4BAA45D}" type="presOf" srcId="{6C9EC94C-F066-6A43-A8A8-B82466A0BED7}" destId="{1F431099-B252-3041-9627-6EDB41B73583}" srcOrd="1" destOrd="0" presId="urn:microsoft.com/office/officeart/2008/layout/HorizontalMultiLevelHierarchy"/>
    <dgm:cxn modelId="{8F0C8526-00FC-44B5-A722-0D6F9E9D0B85}" type="presOf" srcId="{6C9EC94C-F066-6A43-A8A8-B82466A0BED7}" destId="{B4C384AC-7C97-CF47-879C-C5FFF9C80814}" srcOrd="0" destOrd="0" presId="urn:microsoft.com/office/officeart/2008/layout/HorizontalMultiLevelHierarchy"/>
    <dgm:cxn modelId="{925F3D29-2C10-4CF2-ADBE-D97BA4AE4FB9}" type="presOf" srcId="{88A0AE6A-7F00-9E47-9AF6-3504D7D81C33}" destId="{971CFD60-D38D-2142-A66B-9B872B1F0007}" srcOrd="0" destOrd="0" presId="urn:microsoft.com/office/officeart/2008/layout/HorizontalMultiLevelHierarchy"/>
    <dgm:cxn modelId="{12ED4B29-C7DE-4D34-8D9F-A634A017C136}" type="presOf" srcId="{7988778E-4B25-674D-80C8-39560D2DAD2F}" destId="{E9CE77FA-6EB7-E94D-B8E9-12CFB0D727E6}" srcOrd="0" destOrd="0" presId="urn:microsoft.com/office/officeart/2008/layout/HorizontalMultiLevelHierarchy"/>
    <dgm:cxn modelId="{4DFFF52E-6C60-4C99-92CB-4ECE50237BB0}" type="presOf" srcId="{62D229F8-A6DB-4449-AB22-E4A76951A1B6}" destId="{91581BEB-B850-5347-A1FC-4620561F6C39}" srcOrd="0" destOrd="0" presId="urn:microsoft.com/office/officeart/2008/layout/HorizontalMultiLevelHierarchy"/>
    <dgm:cxn modelId="{67B07032-BDD1-4846-96E9-A98929947E4A}" type="presOf" srcId="{91A07B26-D583-D448-94CF-F33622B950EB}" destId="{72DB4CA3-18FF-8B4D-8C69-AD2A845D8EF2}" srcOrd="1" destOrd="0" presId="urn:microsoft.com/office/officeart/2008/layout/HorizontalMultiLevelHierarchy"/>
    <dgm:cxn modelId="{ABDB0346-196D-4F9F-8927-26BEEF770FC6}" type="presOf" srcId="{51A8290F-3B6E-C843-8C93-35D2D689FB00}" destId="{4D908951-DA49-C543-B631-C5EE62AA9148}" srcOrd="1" destOrd="0" presId="urn:microsoft.com/office/officeart/2008/layout/HorizontalMultiLevelHierarchy"/>
    <dgm:cxn modelId="{D54B0A7E-A1DE-4B26-B384-1562D8762DF4}" type="presOf" srcId="{91A07B26-D583-D448-94CF-F33622B950EB}" destId="{5304A340-383F-064D-B43A-64091D05D714}" srcOrd="0" destOrd="0" presId="urn:microsoft.com/office/officeart/2008/layout/HorizontalMultiLevelHierarchy"/>
    <dgm:cxn modelId="{1ACA4B9B-9CEF-4710-B6AC-1A226746D020}" type="presOf" srcId="{51A8290F-3B6E-C843-8C93-35D2D689FB00}" destId="{B70DD5B2-0A58-204B-8B08-71627147140F}" srcOrd="0" destOrd="0" presId="urn:microsoft.com/office/officeart/2008/layout/HorizontalMultiLevelHierarchy"/>
    <dgm:cxn modelId="{4B5A54AD-37EA-4B65-B337-EBE8C6304335}" type="presOf" srcId="{71BD18B6-1980-1E48-8CA0-1080FA8D7F44}" destId="{8AC56ED4-1573-9A46-9484-0E5F6D389AE7}" srcOrd="0" destOrd="0" presId="urn:microsoft.com/office/officeart/2008/layout/HorizontalMultiLevelHierarchy"/>
    <dgm:cxn modelId="{894B31CC-DD10-3F4D-BB0C-2D97458FCA1E}" srcId="{7988778E-4B25-674D-80C8-39560D2DAD2F}" destId="{62D229F8-A6DB-4449-AB22-E4A76951A1B6}" srcOrd="1" destOrd="0" parTransId="{6C9EC94C-F066-6A43-A8A8-B82466A0BED7}" sibTransId="{E2E7B770-A8EC-BD4C-9602-D1397F378883}"/>
    <dgm:cxn modelId="{76F395D0-9B0B-A44F-8304-F211738DE45D}" srcId="{7988778E-4B25-674D-80C8-39560D2DAD2F}" destId="{71BD18B6-1980-1E48-8CA0-1080FA8D7F44}" srcOrd="2" destOrd="0" parTransId="{91A07B26-D583-D448-94CF-F33622B950EB}" sibTransId="{19BD272F-9391-1C46-B73E-81AA5AA41208}"/>
    <dgm:cxn modelId="{92A29DD1-2B25-42EE-ABA3-5F23DD4F4880}" type="presOf" srcId="{2B1DA368-85EB-4847-A90E-0331C6C39961}" destId="{24CDE542-B4F5-4644-A936-3719CE433E22}" srcOrd="0" destOrd="0" presId="urn:microsoft.com/office/officeart/2008/layout/HorizontalMultiLevelHierarchy"/>
    <dgm:cxn modelId="{2FBF65F4-4069-4C4C-A6B2-66D093173B3D}" srcId="{7988778E-4B25-674D-80C8-39560D2DAD2F}" destId="{88A0AE6A-7F00-9E47-9AF6-3504D7D81C33}" srcOrd="0" destOrd="0" parTransId="{51A8290F-3B6E-C843-8C93-35D2D689FB00}" sibTransId="{2D5F26E2-52FB-0C4D-86AC-15BF7A5F6637}"/>
    <dgm:cxn modelId="{B8DB6BFA-512B-F746-A97F-971D6AD11446}" srcId="{2B1DA368-85EB-4847-A90E-0331C6C39961}" destId="{7988778E-4B25-674D-80C8-39560D2DAD2F}" srcOrd="0" destOrd="0" parTransId="{4C684CA5-8530-5F4E-A683-77FF932F96DF}" sibTransId="{FBDCF82F-4B29-CE43-9209-670204450854}"/>
    <dgm:cxn modelId="{86853D0E-B2BC-4C57-AC3B-8EB3028A4B76}" type="presParOf" srcId="{24CDE542-B4F5-4644-A936-3719CE433E22}" destId="{0AB76CE6-D3BC-D048-A485-045B165D443D}" srcOrd="0" destOrd="0" presId="urn:microsoft.com/office/officeart/2008/layout/HorizontalMultiLevelHierarchy"/>
    <dgm:cxn modelId="{3EFE44D5-5197-484C-ACF3-43AA82CE5CE2}" type="presParOf" srcId="{0AB76CE6-D3BC-D048-A485-045B165D443D}" destId="{E9CE77FA-6EB7-E94D-B8E9-12CFB0D727E6}" srcOrd="0" destOrd="0" presId="urn:microsoft.com/office/officeart/2008/layout/HorizontalMultiLevelHierarchy"/>
    <dgm:cxn modelId="{5663D0CB-8144-41DE-B6DE-C004E4941A6A}" type="presParOf" srcId="{0AB76CE6-D3BC-D048-A485-045B165D443D}" destId="{B2FF2C25-ECE6-B942-A258-1CB28BDF7BD0}" srcOrd="1" destOrd="0" presId="urn:microsoft.com/office/officeart/2008/layout/HorizontalMultiLevelHierarchy"/>
    <dgm:cxn modelId="{0F4183CB-1021-4734-A3C2-20329F2CE293}" type="presParOf" srcId="{B2FF2C25-ECE6-B942-A258-1CB28BDF7BD0}" destId="{B70DD5B2-0A58-204B-8B08-71627147140F}" srcOrd="0" destOrd="0" presId="urn:microsoft.com/office/officeart/2008/layout/HorizontalMultiLevelHierarchy"/>
    <dgm:cxn modelId="{CD4BA78C-E795-4F05-BBB2-EEEAC88E6005}" type="presParOf" srcId="{B70DD5B2-0A58-204B-8B08-71627147140F}" destId="{4D908951-DA49-C543-B631-C5EE62AA9148}" srcOrd="0" destOrd="0" presId="urn:microsoft.com/office/officeart/2008/layout/HorizontalMultiLevelHierarchy"/>
    <dgm:cxn modelId="{76A44390-055E-4033-8712-9A7AB76F4550}" type="presParOf" srcId="{B2FF2C25-ECE6-B942-A258-1CB28BDF7BD0}" destId="{737F36B4-DBD5-434E-9A98-4DB7FAE1A4E9}" srcOrd="1" destOrd="0" presId="urn:microsoft.com/office/officeart/2008/layout/HorizontalMultiLevelHierarchy"/>
    <dgm:cxn modelId="{A4148B29-6E13-4BE9-B7CC-174D4B6B40AC}" type="presParOf" srcId="{737F36B4-DBD5-434E-9A98-4DB7FAE1A4E9}" destId="{971CFD60-D38D-2142-A66B-9B872B1F0007}" srcOrd="0" destOrd="0" presId="urn:microsoft.com/office/officeart/2008/layout/HorizontalMultiLevelHierarchy"/>
    <dgm:cxn modelId="{CA3DF099-0149-49B4-9378-61232775F872}" type="presParOf" srcId="{737F36B4-DBD5-434E-9A98-4DB7FAE1A4E9}" destId="{2602A20A-E9E7-E842-ACD8-39F895E69257}" srcOrd="1" destOrd="0" presId="urn:microsoft.com/office/officeart/2008/layout/HorizontalMultiLevelHierarchy"/>
    <dgm:cxn modelId="{A0966A59-A1C6-4909-B225-9ED21AFE9EC1}" type="presParOf" srcId="{B2FF2C25-ECE6-B942-A258-1CB28BDF7BD0}" destId="{B4C384AC-7C97-CF47-879C-C5FFF9C80814}" srcOrd="2" destOrd="0" presId="urn:microsoft.com/office/officeart/2008/layout/HorizontalMultiLevelHierarchy"/>
    <dgm:cxn modelId="{28C9635B-FD29-4BC0-A1D7-DC6D50AFF0CF}" type="presParOf" srcId="{B4C384AC-7C97-CF47-879C-C5FFF9C80814}" destId="{1F431099-B252-3041-9627-6EDB41B73583}" srcOrd="0" destOrd="0" presId="urn:microsoft.com/office/officeart/2008/layout/HorizontalMultiLevelHierarchy"/>
    <dgm:cxn modelId="{705D0D02-987D-4829-9D91-246144FF46B2}" type="presParOf" srcId="{B2FF2C25-ECE6-B942-A258-1CB28BDF7BD0}" destId="{1DF85284-7400-634E-B642-99F4BF45C381}" srcOrd="3" destOrd="0" presId="urn:microsoft.com/office/officeart/2008/layout/HorizontalMultiLevelHierarchy"/>
    <dgm:cxn modelId="{306DB0F5-0B93-47FD-AA12-AA4F725C4576}" type="presParOf" srcId="{1DF85284-7400-634E-B642-99F4BF45C381}" destId="{91581BEB-B850-5347-A1FC-4620561F6C39}" srcOrd="0" destOrd="0" presId="urn:microsoft.com/office/officeart/2008/layout/HorizontalMultiLevelHierarchy"/>
    <dgm:cxn modelId="{2188B810-209E-408C-9090-53224F102D49}" type="presParOf" srcId="{1DF85284-7400-634E-B642-99F4BF45C381}" destId="{F0E36B45-0220-C540-8390-8451FD1614B7}" srcOrd="1" destOrd="0" presId="urn:microsoft.com/office/officeart/2008/layout/HorizontalMultiLevelHierarchy"/>
    <dgm:cxn modelId="{BF234E22-D9B7-4F42-8C46-86B2CF4AC86E}" type="presParOf" srcId="{B2FF2C25-ECE6-B942-A258-1CB28BDF7BD0}" destId="{5304A340-383F-064D-B43A-64091D05D714}" srcOrd="4" destOrd="0" presId="urn:microsoft.com/office/officeart/2008/layout/HorizontalMultiLevelHierarchy"/>
    <dgm:cxn modelId="{93BED570-8503-4B00-BE5A-2751EA9921A8}" type="presParOf" srcId="{5304A340-383F-064D-B43A-64091D05D714}" destId="{72DB4CA3-18FF-8B4D-8C69-AD2A845D8EF2}" srcOrd="0" destOrd="0" presId="urn:microsoft.com/office/officeart/2008/layout/HorizontalMultiLevelHierarchy"/>
    <dgm:cxn modelId="{F2C22EE1-FED8-4860-A981-E911F765EB9A}" type="presParOf" srcId="{B2FF2C25-ECE6-B942-A258-1CB28BDF7BD0}" destId="{C729FBCC-89A4-2B4C-B41B-6BD7F486F3CF}" srcOrd="5" destOrd="0" presId="urn:microsoft.com/office/officeart/2008/layout/HorizontalMultiLevelHierarchy"/>
    <dgm:cxn modelId="{5A936A75-C9D3-4156-8589-9A956C3DBD5D}" type="presParOf" srcId="{C729FBCC-89A4-2B4C-B41B-6BD7F486F3CF}" destId="{8AC56ED4-1573-9A46-9484-0E5F6D389AE7}" srcOrd="0" destOrd="0" presId="urn:microsoft.com/office/officeart/2008/layout/HorizontalMultiLevelHierarchy"/>
    <dgm:cxn modelId="{0AF2B622-3C2F-404C-BCAD-B25F26B741F4}" type="presParOf" srcId="{C729FBCC-89A4-2B4C-B41B-6BD7F486F3CF}" destId="{5F7CDBF3-7522-ED46-A88A-9E5F68B63EDE}" srcOrd="1" destOrd="0" presId="urn:microsoft.com/office/officeart/2008/layout/HorizontalMultiLevelHierarchy"/>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1DA368-85EB-4847-A90E-0331C6C39961}"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ru-RU"/>
        </a:p>
      </dgm:t>
    </dgm:pt>
    <dgm:pt modelId="{7988778E-4B25-674D-80C8-39560D2DAD2F}">
      <dgm:prSet phldrT="[Текст]" custT="1"/>
      <dgm:spPr>
        <a:solidFill>
          <a:schemeClr val="bg1"/>
        </a:solidFill>
        <a:ln>
          <a:solidFill>
            <a:schemeClr val="tx1"/>
          </a:solidFill>
        </a:ln>
      </dgm:spPr>
      <dgm:t>
        <a:bodyPr/>
        <a:lstStyle/>
        <a:p>
          <a:r>
            <a:rPr lang="en-US" sz="1400">
              <a:solidFill>
                <a:schemeClr val="tx1"/>
              </a:solidFill>
              <a:latin typeface="Times New Roman" panose="02020603050405020304" pitchFamily="18" charset="0"/>
              <a:cs typeface="Times New Roman" panose="02020603050405020304" pitchFamily="18" charset="0"/>
            </a:rPr>
            <a:t>Corporate Waqf scheme (CWS)</a:t>
          </a:r>
          <a:endParaRPr lang="ru-RU" sz="1400">
            <a:solidFill>
              <a:schemeClr val="tx1"/>
            </a:solidFill>
            <a:latin typeface="Times New Roman" panose="02020603050405020304" pitchFamily="18" charset="0"/>
            <a:cs typeface="Times New Roman" panose="02020603050405020304" pitchFamily="18" charset="0"/>
          </a:endParaRPr>
        </a:p>
      </dgm:t>
    </dgm:pt>
    <dgm:pt modelId="{4C684CA5-8530-5F4E-A683-77FF932F96DF}" type="parTrans" cxnId="{B8DB6BFA-512B-F746-A97F-971D6AD11446}">
      <dgm:prSet/>
      <dgm:spPr/>
      <dgm:t>
        <a:bodyPr/>
        <a:lstStyle/>
        <a:p>
          <a:endParaRPr lang="ru-RU"/>
        </a:p>
      </dgm:t>
    </dgm:pt>
    <dgm:pt modelId="{FBDCF82F-4B29-CE43-9209-670204450854}" type="sibTrans" cxnId="{B8DB6BFA-512B-F746-A97F-971D6AD11446}">
      <dgm:prSet/>
      <dgm:spPr/>
      <dgm:t>
        <a:bodyPr/>
        <a:lstStyle/>
        <a:p>
          <a:endParaRPr lang="ru-RU"/>
        </a:p>
      </dgm:t>
    </dgm:pt>
    <dgm:pt modelId="{88A0AE6A-7F00-9E47-9AF6-3504D7D81C33}">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founder (privite/public corporation) establishes the waqf institution</a:t>
          </a:r>
          <a:endParaRPr lang="ru-RU" sz="1000">
            <a:solidFill>
              <a:schemeClr val="tx1"/>
            </a:solidFill>
            <a:latin typeface="Times New Roman" panose="02020603050405020304" pitchFamily="18" charset="0"/>
            <a:cs typeface="Times New Roman" panose="02020603050405020304" pitchFamily="18" charset="0"/>
          </a:endParaRPr>
        </a:p>
      </dgm:t>
    </dgm:pt>
    <dgm:pt modelId="{51A8290F-3B6E-C843-8C93-35D2D689FB00}" type="parTrans" cxnId="{2FBF65F4-4069-4C4C-A6B2-66D093173B3D}">
      <dgm:prSet/>
      <dgm:spPr>
        <a:ln>
          <a:solidFill>
            <a:schemeClr val="tx1"/>
          </a:solidFill>
        </a:ln>
      </dgm:spPr>
      <dgm:t>
        <a:bodyPr/>
        <a:lstStyle/>
        <a:p>
          <a:endParaRPr lang="ru-RU"/>
        </a:p>
      </dgm:t>
    </dgm:pt>
    <dgm:pt modelId="{2D5F26E2-52FB-0C4D-86AC-15BF7A5F6637}" type="sibTrans" cxnId="{2FBF65F4-4069-4C4C-A6B2-66D093173B3D}">
      <dgm:prSet/>
      <dgm:spPr/>
      <dgm:t>
        <a:bodyPr/>
        <a:lstStyle/>
        <a:p>
          <a:endParaRPr lang="ru-RU"/>
        </a:p>
      </dgm:t>
    </dgm:pt>
    <dgm:pt modelId="{62D229F8-A6DB-4449-AB22-E4A76951A1B6}">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founder requestsl subsidiaries to contribute to the corporate waqf on a regular basis, and also asks other donors to contribute to the waqf institution</a:t>
          </a:r>
          <a:endParaRPr lang="ru-RU" sz="1000">
            <a:solidFill>
              <a:schemeClr val="tx1"/>
            </a:solidFill>
            <a:latin typeface="Times New Roman" panose="02020603050405020304" pitchFamily="18" charset="0"/>
            <a:cs typeface="Times New Roman" panose="02020603050405020304" pitchFamily="18" charset="0"/>
          </a:endParaRPr>
        </a:p>
      </dgm:t>
    </dgm:pt>
    <dgm:pt modelId="{6C9EC94C-F066-6A43-A8A8-B82466A0BED7}" type="parTrans" cxnId="{894B31CC-DD10-3F4D-BB0C-2D97458FCA1E}">
      <dgm:prSet/>
      <dgm:spPr>
        <a:ln>
          <a:solidFill>
            <a:schemeClr val="tx1"/>
          </a:solidFill>
        </a:ln>
      </dgm:spPr>
      <dgm:t>
        <a:bodyPr/>
        <a:lstStyle/>
        <a:p>
          <a:endParaRPr lang="ru-RU"/>
        </a:p>
      </dgm:t>
    </dgm:pt>
    <dgm:pt modelId="{E2E7B770-A8EC-BD4C-9602-D1397F378883}" type="sibTrans" cxnId="{894B31CC-DD10-3F4D-BB0C-2D97458FCA1E}">
      <dgm:prSet/>
      <dgm:spPr/>
      <dgm:t>
        <a:bodyPr/>
        <a:lstStyle/>
        <a:p>
          <a:endParaRPr lang="ru-RU"/>
        </a:p>
      </dgm:t>
    </dgm:pt>
    <dgm:pt modelId="{71BD18B6-1980-1E48-8CA0-1080FA8D7F44}">
      <dgm:prSet phldrT="[Текст]" custT="1"/>
      <dgm:spPr>
        <a:solidFill>
          <a:schemeClr val="bg1"/>
        </a:solidFill>
        <a:ln>
          <a:solidFill>
            <a:schemeClr val="tx1"/>
          </a:solidFill>
        </a:ln>
      </dgm:spPr>
      <dgm:t>
        <a:bodyPr/>
        <a:lstStyle/>
        <a:p>
          <a:pPr>
            <a:buFont typeface="Arial" panose="020B0604020202020204" pitchFamily="34" charset="0"/>
            <a:buChar char="•"/>
          </a:pPr>
          <a:r>
            <a:rPr lang="en" sz="1000">
              <a:solidFill>
                <a:schemeClr val="tx1"/>
              </a:solidFill>
              <a:latin typeface="Times New Roman" panose="02020603050405020304" pitchFamily="18" charset="0"/>
              <a:cs typeface="Times New Roman" panose="02020603050405020304" pitchFamily="18" charset="0"/>
            </a:rPr>
            <a:t>The founder manages and invests the generated cash waqf from the donors, as a trustee </a:t>
          </a:r>
          <a:endParaRPr lang="ru-RU" sz="1000">
            <a:solidFill>
              <a:schemeClr val="tx1"/>
            </a:solidFill>
            <a:latin typeface="Times New Roman" panose="02020603050405020304" pitchFamily="18" charset="0"/>
            <a:cs typeface="Times New Roman" panose="02020603050405020304" pitchFamily="18" charset="0"/>
          </a:endParaRPr>
        </a:p>
      </dgm:t>
    </dgm:pt>
    <dgm:pt modelId="{91A07B26-D583-D448-94CF-F33622B950EB}" type="parTrans" cxnId="{76F395D0-9B0B-A44F-8304-F211738DE45D}">
      <dgm:prSet/>
      <dgm:spPr>
        <a:ln>
          <a:solidFill>
            <a:schemeClr val="tx1"/>
          </a:solidFill>
        </a:ln>
      </dgm:spPr>
      <dgm:t>
        <a:bodyPr/>
        <a:lstStyle/>
        <a:p>
          <a:endParaRPr lang="ru-RU"/>
        </a:p>
      </dgm:t>
    </dgm:pt>
    <dgm:pt modelId="{19BD272F-9391-1C46-B73E-81AA5AA41208}" type="sibTrans" cxnId="{76F395D0-9B0B-A44F-8304-F211738DE45D}">
      <dgm:prSet/>
      <dgm:spPr/>
      <dgm:t>
        <a:bodyPr/>
        <a:lstStyle/>
        <a:p>
          <a:endParaRPr lang="ru-RU"/>
        </a:p>
      </dgm:t>
    </dgm:pt>
    <dgm:pt modelId="{088644EB-1A01-F34A-869E-5519D4E1D128}">
      <dgm:prSet custT="1"/>
      <dgm:spPr>
        <a:solidFill>
          <a:schemeClr val="bg1"/>
        </a:solidFill>
        <a:ln>
          <a:solidFill>
            <a:schemeClr val="tx1"/>
          </a:solidFill>
        </a:ln>
      </dgm:spPr>
      <dgm:t>
        <a:bodyPr/>
        <a:lstStyle/>
        <a:p>
          <a:r>
            <a:rPr lang="en" sz="1000">
              <a:solidFill>
                <a:schemeClr val="tx1"/>
              </a:solidFill>
              <a:latin typeface="Times New Roman" panose="02020603050405020304" pitchFamily="18" charset="0"/>
              <a:cs typeface="Times New Roman" panose="02020603050405020304" pitchFamily="18" charset="0"/>
            </a:rPr>
            <a:t>The profit from the invetments is channelled to the projects</a:t>
          </a:r>
          <a:endParaRPr lang="ru-RU" sz="1000">
            <a:solidFill>
              <a:schemeClr val="tx1"/>
            </a:solidFill>
            <a:latin typeface="Times New Roman" panose="02020603050405020304" pitchFamily="18" charset="0"/>
            <a:cs typeface="Times New Roman" panose="02020603050405020304" pitchFamily="18" charset="0"/>
          </a:endParaRPr>
        </a:p>
      </dgm:t>
    </dgm:pt>
    <dgm:pt modelId="{880FAB20-45C1-C849-AAB0-30D59FAFCC18}" type="parTrans" cxnId="{42AFA90C-D0FD-C246-9F24-1641252BC5B4}">
      <dgm:prSet/>
      <dgm:spPr>
        <a:ln>
          <a:solidFill>
            <a:schemeClr val="tx1"/>
          </a:solidFill>
        </a:ln>
      </dgm:spPr>
      <dgm:t>
        <a:bodyPr/>
        <a:lstStyle/>
        <a:p>
          <a:endParaRPr lang="ru-RU"/>
        </a:p>
      </dgm:t>
    </dgm:pt>
    <dgm:pt modelId="{2770C6A1-184A-174D-8C78-5480DE81DA05}" type="sibTrans" cxnId="{42AFA90C-D0FD-C246-9F24-1641252BC5B4}">
      <dgm:prSet/>
      <dgm:spPr/>
      <dgm:t>
        <a:bodyPr/>
        <a:lstStyle/>
        <a:p>
          <a:endParaRPr lang="ru-RU"/>
        </a:p>
      </dgm:t>
    </dgm:pt>
    <dgm:pt modelId="{24CDE542-B4F5-4644-A936-3719CE433E22}" type="pres">
      <dgm:prSet presAssocID="{2B1DA368-85EB-4847-A90E-0331C6C39961}" presName="Name0" presStyleCnt="0">
        <dgm:presLayoutVars>
          <dgm:chPref val="1"/>
          <dgm:dir/>
          <dgm:animOne val="branch"/>
          <dgm:animLvl val="lvl"/>
          <dgm:resizeHandles val="exact"/>
        </dgm:presLayoutVars>
      </dgm:prSet>
      <dgm:spPr/>
    </dgm:pt>
    <dgm:pt modelId="{0AB76CE6-D3BC-D048-A485-045B165D443D}" type="pres">
      <dgm:prSet presAssocID="{7988778E-4B25-674D-80C8-39560D2DAD2F}" presName="root1" presStyleCnt="0"/>
      <dgm:spPr/>
    </dgm:pt>
    <dgm:pt modelId="{E9CE77FA-6EB7-E94D-B8E9-12CFB0D727E6}" type="pres">
      <dgm:prSet presAssocID="{7988778E-4B25-674D-80C8-39560D2DAD2F}" presName="LevelOneTextNode" presStyleLbl="node0" presStyleIdx="0" presStyleCnt="1">
        <dgm:presLayoutVars>
          <dgm:chPref val="3"/>
        </dgm:presLayoutVars>
      </dgm:prSet>
      <dgm:spPr/>
    </dgm:pt>
    <dgm:pt modelId="{B2FF2C25-ECE6-B942-A258-1CB28BDF7BD0}" type="pres">
      <dgm:prSet presAssocID="{7988778E-4B25-674D-80C8-39560D2DAD2F}" presName="level2hierChild" presStyleCnt="0"/>
      <dgm:spPr/>
    </dgm:pt>
    <dgm:pt modelId="{B70DD5B2-0A58-204B-8B08-71627147140F}" type="pres">
      <dgm:prSet presAssocID="{51A8290F-3B6E-C843-8C93-35D2D689FB00}" presName="conn2-1" presStyleLbl="parChTrans1D2" presStyleIdx="0" presStyleCnt="4"/>
      <dgm:spPr/>
    </dgm:pt>
    <dgm:pt modelId="{4D908951-DA49-C543-B631-C5EE62AA9148}" type="pres">
      <dgm:prSet presAssocID="{51A8290F-3B6E-C843-8C93-35D2D689FB00}" presName="connTx" presStyleLbl="parChTrans1D2" presStyleIdx="0" presStyleCnt="4"/>
      <dgm:spPr/>
    </dgm:pt>
    <dgm:pt modelId="{737F36B4-DBD5-434E-9A98-4DB7FAE1A4E9}" type="pres">
      <dgm:prSet presAssocID="{88A0AE6A-7F00-9E47-9AF6-3504D7D81C33}" presName="root2" presStyleCnt="0"/>
      <dgm:spPr/>
    </dgm:pt>
    <dgm:pt modelId="{971CFD60-D38D-2142-A66B-9B872B1F0007}" type="pres">
      <dgm:prSet presAssocID="{88A0AE6A-7F00-9E47-9AF6-3504D7D81C33}" presName="LevelTwoTextNode" presStyleLbl="node2" presStyleIdx="0" presStyleCnt="4" custScaleX="253854">
        <dgm:presLayoutVars>
          <dgm:chPref val="3"/>
        </dgm:presLayoutVars>
      </dgm:prSet>
      <dgm:spPr/>
    </dgm:pt>
    <dgm:pt modelId="{2602A20A-E9E7-E842-ACD8-39F895E69257}" type="pres">
      <dgm:prSet presAssocID="{88A0AE6A-7F00-9E47-9AF6-3504D7D81C33}" presName="level3hierChild" presStyleCnt="0"/>
      <dgm:spPr/>
    </dgm:pt>
    <dgm:pt modelId="{B4C384AC-7C97-CF47-879C-C5FFF9C80814}" type="pres">
      <dgm:prSet presAssocID="{6C9EC94C-F066-6A43-A8A8-B82466A0BED7}" presName="conn2-1" presStyleLbl="parChTrans1D2" presStyleIdx="1" presStyleCnt="4"/>
      <dgm:spPr/>
    </dgm:pt>
    <dgm:pt modelId="{1F431099-B252-3041-9627-6EDB41B73583}" type="pres">
      <dgm:prSet presAssocID="{6C9EC94C-F066-6A43-A8A8-B82466A0BED7}" presName="connTx" presStyleLbl="parChTrans1D2" presStyleIdx="1" presStyleCnt="4"/>
      <dgm:spPr/>
    </dgm:pt>
    <dgm:pt modelId="{1DF85284-7400-634E-B642-99F4BF45C381}" type="pres">
      <dgm:prSet presAssocID="{62D229F8-A6DB-4449-AB22-E4A76951A1B6}" presName="root2" presStyleCnt="0"/>
      <dgm:spPr/>
    </dgm:pt>
    <dgm:pt modelId="{91581BEB-B850-5347-A1FC-4620561F6C39}" type="pres">
      <dgm:prSet presAssocID="{62D229F8-A6DB-4449-AB22-E4A76951A1B6}" presName="LevelTwoTextNode" presStyleLbl="node2" presStyleIdx="1" presStyleCnt="4" custScaleX="253854">
        <dgm:presLayoutVars>
          <dgm:chPref val="3"/>
        </dgm:presLayoutVars>
      </dgm:prSet>
      <dgm:spPr/>
    </dgm:pt>
    <dgm:pt modelId="{F0E36B45-0220-C540-8390-8451FD1614B7}" type="pres">
      <dgm:prSet presAssocID="{62D229F8-A6DB-4449-AB22-E4A76951A1B6}" presName="level3hierChild" presStyleCnt="0"/>
      <dgm:spPr/>
    </dgm:pt>
    <dgm:pt modelId="{5304A340-383F-064D-B43A-64091D05D714}" type="pres">
      <dgm:prSet presAssocID="{91A07B26-D583-D448-94CF-F33622B950EB}" presName="conn2-1" presStyleLbl="parChTrans1D2" presStyleIdx="2" presStyleCnt="4"/>
      <dgm:spPr/>
    </dgm:pt>
    <dgm:pt modelId="{72DB4CA3-18FF-8B4D-8C69-AD2A845D8EF2}" type="pres">
      <dgm:prSet presAssocID="{91A07B26-D583-D448-94CF-F33622B950EB}" presName="connTx" presStyleLbl="parChTrans1D2" presStyleIdx="2" presStyleCnt="4"/>
      <dgm:spPr/>
    </dgm:pt>
    <dgm:pt modelId="{C729FBCC-89A4-2B4C-B41B-6BD7F486F3CF}" type="pres">
      <dgm:prSet presAssocID="{71BD18B6-1980-1E48-8CA0-1080FA8D7F44}" presName="root2" presStyleCnt="0"/>
      <dgm:spPr/>
    </dgm:pt>
    <dgm:pt modelId="{8AC56ED4-1573-9A46-9484-0E5F6D389AE7}" type="pres">
      <dgm:prSet presAssocID="{71BD18B6-1980-1E48-8CA0-1080FA8D7F44}" presName="LevelTwoTextNode" presStyleLbl="node2" presStyleIdx="2" presStyleCnt="4" custScaleX="253958" custLinFactNeighborX="-527" custLinFactNeighborY="3454">
        <dgm:presLayoutVars>
          <dgm:chPref val="3"/>
        </dgm:presLayoutVars>
      </dgm:prSet>
      <dgm:spPr/>
    </dgm:pt>
    <dgm:pt modelId="{5F7CDBF3-7522-ED46-A88A-9E5F68B63EDE}" type="pres">
      <dgm:prSet presAssocID="{71BD18B6-1980-1E48-8CA0-1080FA8D7F44}" presName="level3hierChild" presStyleCnt="0"/>
      <dgm:spPr/>
    </dgm:pt>
    <dgm:pt modelId="{164F099F-2E55-5342-B4F0-9DEE5D2A3D31}" type="pres">
      <dgm:prSet presAssocID="{880FAB20-45C1-C849-AAB0-30D59FAFCC18}" presName="conn2-1" presStyleLbl="parChTrans1D2" presStyleIdx="3" presStyleCnt="4"/>
      <dgm:spPr/>
    </dgm:pt>
    <dgm:pt modelId="{F2CCCDD2-8BD1-7D48-92E6-C9CBDC1BCB1B}" type="pres">
      <dgm:prSet presAssocID="{880FAB20-45C1-C849-AAB0-30D59FAFCC18}" presName="connTx" presStyleLbl="parChTrans1D2" presStyleIdx="3" presStyleCnt="4"/>
      <dgm:spPr/>
    </dgm:pt>
    <dgm:pt modelId="{BE3FE130-DDFB-BB4F-8AE1-60595F71A0B7}" type="pres">
      <dgm:prSet presAssocID="{088644EB-1A01-F34A-869E-5519D4E1D128}" presName="root2" presStyleCnt="0"/>
      <dgm:spPr/>
    </dgm:pt>
    <dgm:pt modelId="{3A42ACA9-4B25-BE43-B6F8-BE8E6834D4E4}" type="pres">
      <dgm:prSet presAssocID="{088644EB-1A01-F34A-869E-5519D4E1D128}" presName="LevelTwoTextNode" presStyleLbl="node2" presStyleIdx="3" presStyleCnt="4" custScaleX="256255" custLinFactNeighborX="3445" custLinFactNeighborY="-1883">
        <dgm:presLayoutVars>
          <dgm:chPref val="3"/>
        </dgm:presLayoutVars>
      </dgm:prSet>
      <dgm:spPr/>
    </dgm:pt>
    <dgm:pt modelId="{217FB43D-C05D-D742-AB2E-85B6E56B422D}" type="pres">
      <dgm:prSet presAssocID="{088644EB-1A01-F34A-869E-5519D4E1D128}" presName="level3hierChild" presStyleCnt="0"/>
      <dgm:spPr/>
    </dgm:pt>
  </dgm:ptLst>
  <dgm:cxnLst>
    <dgm:cxn modelId="{852EC70A-BCC4-4444-875F-5B5F349AFADA}" type="presOf" srcId="{88A0AE6A-7F00-9E47-9AF6-3504D7D81C33}" destId="{971CFD60-D38D-2142-A66B-9B872B1F0007}" srcOrd="0" destOrd="0" presId="urn:microsoft.com/office/officeart/2008/layout/HorizontalMultiLevelHierarchy"/>
    <dgm:cxn modelId="{42AFA90C-D0FD-C246-9F24-1641252BC5B4}" srcId="{7988778E-4B25-674D-80C8-39560D2DAD2F}" destId="{088644EB-1A01-F34A-869E-5519D4E1D128}" srcOrd="3" destOrd="0" parTransId="{880FAB20-45C1-C849-AAB0-30D59FAFCC18}" sibTransId="{2770C6A1-184A-174D-8C78-5480DE81DA05}"/>
    <dgm:cxn modelId="{67EC2A32-1BAB-42A6-A44A-C5267C8CFDCA}" type="presOf" srcId="{880FAB20-45C1-C849-AAB0-30D59FAFCC18}" destId="{F2CCCDD2-8BD1-7D48-92E6-C9CBDC1BCB1B}" srcOrd="1" destOrd="0" presId="urn:microsoft.com/office/officeart/2008/layout/HorizontalMultiLevelHierarchy"/>
    <dgm:cxn modelId="{AB8B2735-A60D-4EE4-A126-1FBBA80454AC}" type="presOf" srcId="{880FAB20-45C1-C849-AAB0-30D59FAFCC18}" destId="{164F099F-2E55-5342-B4F0-9DEE5D2A3D31}" srcOrd="0" destOrd="0" presId="urn:microsoft.com/office/officeart/2008/layout/HorizontalMultiLevelHierarchy"/>
    <dgm:cxn modelId="{AEB27E4D-3F27-4C78-AFB0-AAE6873F45C2}" type="presOf" srcId="{7988778E-4B25-674D-80C8-39560D2DAD2F}" destId="{E9CE77FA-6EB7-E94D-B8E9-12CFB0D727E6}" srcOrd="0" destOrd="0" presId="urn:microsoft.com/office/officeart/2008/layout/HorizontalMultiLevelHierarchy"/>
    <dgm:cxn modelId="{1AF28254-FE19-4221-B179-EFDAD961A616}" type="presOf" srcId="{51A8290F-3B6E-C843-8C93-35D2D689FB00}" destId="{4D908951-DA49-C543-B631-C5EE62AA9148}" srcOrd="1" destOrd="0" presId="urn:microsoft.com/office/officeart/2008/layout/HorizontalMultiLevelHierarchy"/>
    <dgm:cxn modelId="{BEBC536B-66EF-4D31-83C0-DF2EA3C76D0D}" type="presOf" srcId="{2B1DA368-85EB-4847-A90E-0331C6C39961}" destId="{24CDE542-B4F5-4644-A936-3719CE433E22}" srcOrd="0" destOrd="0" presId="urn:microsoft.com/office/officeart/2008/layout/HorizontalMultiLevelHierarchy"/>
    <dgm:cxn modelId="{C895B576-0E94-4CC1-B139-3B2A02D5AA11}" type="presOf" srcId="{088644EB-1A01-F34A-869E-5519D4E1D128}" destId="{3A42ACA9-4B25-BE43-B6F8-BE8E6834D4E4}" srcOrd="0" destOrd="0" presId="urn:microsoft.com/office/officeart/2008/layout/HorizontalMultiLevelHierarchy"/>
    <dgm:cxn modelId="{E5906A85-3EBA-488C-91B7-A1A93D9C23BB}" type="presOf" srcId="{71BD18B6-1980-1E48-8CA0-1080FA8D7F44}" destId="{8AC56ED4-1573-9A46-9484-0E5F6D389AE7}" srcOrd="0" destOrd="0" presId="urn:microsoft.com/office/officeart/2008/layout/HorizontalMultiLevelHierarchy"/>
    <dgm:cxn modelId="{10C8788B-8997-4188-9E35-C417FAC027D7}" type="presOf" srcId="{6C9EC94C-F066-6A43-A8A8-B82466A0BED7}" destId="{1F431099-B252-3041-9627-6EDB41B73583}" srcOrd="1" destOrd="0" presId="urn:microsoft.com/office/officeart/2008/layout/HorizontalMultiLevelHierarchy"/>
    <dgm:cxn modelId="{3078938B-52B1-48BF-8B71-0F3E9EFAEB29}" type="presOf" srcId="{91A07B26-D583-D448-94CF-F33622B950EB}" destId="{72DB4CA3-18FF-8B4D-8C69-AD2A845D8EF2}" srcOrd="1" destOrd="0" presId="urn:microsoft.com/office/officeart/2008/layout/HorizontalMultiLevelHierarchy"/>
    <dgm:cxn modelId="{0742D8A6-88FD-43F5-926F-2F88DC468456}" type="presOf" srcId="{91A07B26-D583-D448-94CF-F33622B950EB}" destId="{5304A340-383F-064D-B43A-64091D05D714}" srcOrd="0" destOrd="0" presId="urn:microsoft.com/office/officeart/2008/layout/HorizontalMultiLevelHierarchy"/>
    <dgm:cxn modelId="{E4638AC9-206D-4554-816E-D02679202B6E}" type="presOf" srcId="{62D229F8-A6DB-4449-AB22-E4A76951A1B6}" destId="{91581BEB-B850-5347-A1FC-4620561F6C39}" srcOrd="0" destOrd="0" presId="urn:microsoft.com/office/officeart/2008/layout/HorizontalMultiLevelHierarchy"/>
    <dgm:cxn modelId="{894B31CC-DD10-3F4D-BB0C-2D97458FCA1E}" srcId="{7988778E-4B25-674D-80C8-39560D2DAD2F}" destId="{62D229F8-A6DB-4449-AB22-E4A76951A1B6}" srcOrd="1" destOrd="0" parTransId="{6C9EC94C-F066-6A43-A8A8-B82466A0BED7}" sibTransId="{E2E7B770-A8EC-BD4C-9602-D1397F378883}"/>
    <dgm:cxn modelId="{76F395D0-9B0B-A44F-8304-F211738DE45D}" srcId="{7988778E-4B25-674D-80C8-39560D2DAD2F}" destId="{71BD18B6-1980-1E48-8CA0-1080FA8D7F44}" srcOrd="2" destOrd="0" parTransId="{91A07B26-D583-D448-94CF-F33622B950EB}" sibTransId="{19BD272F-9391-1C46-B73E-81AA5AA41208}"/>
    <dgm:cxn modelId="{EE6846D9-DEE8-4D8F-98B0-0D47EC5A5B97}" type="presOf" srcId="{51A8290F-3B6E-C843-8C93-35D2D689FB00}" destId="{B70DD5B2-0A58-204B-8B08-71627147140F}" srcOrd="0" destOrd="0" presId="urn:microsoft.com/office/officeart/2008/layout/HorizontalMultiLevelHierarchy"/>
    <dgm:cxn modelId="{B49BCFD9-5422-44E4-8F16-DB073B57E923}" type="presOf" srcId="{6C9EC94C-F066-6A43-A8A8-B82466A0BED7}" destId="{B4C384AC-7C97-CF47-879C-C5FFF9C80814}" srcOrd="0" destOrd="0" presId="urn:microsoft.com/office/officeart/2008/layout/HorizontalMultiLevelHierarchy"/>
    <dgm:cxn modelId="{2FBF65F4-4069-4C4C-A6B2-66D093173B3D}" srcId="{7988778E-4B25-674D-80C8-39560D2DAD2F}" destId="{88A0AE6A-7F00-9E47-9AF6-3504D7D81C33}" srcOrd="0" destOrd="0" parTransId="{51A8290F-3B6E-C843-8C93-35D2D689FB00}" sibTransId="{2D5F26E2-52FB-0C4D-86AC-15BF7A5F6637}"/>
    <dgm:cxn modelId="{B8DB6BFA-512B-F746-A97F-971D6AD11446}" srcId="{2B1DA368-85EB-4847-A90E-0331C6C39961}" destId="{7988778E-4B25-674D-80C8-39560D2DAD2F}" srcOrd="0" destOrd="0" parTransId="{4C684CA5-8530-5F4E-A683-77FF932F96DF}" sibTransId="{FBDCF82F-4B29-CE43-9209-670204450854}"/>
    <dgm:cxn modelId="{C4ADC24B-F05C-4D6C-95EA-C23209021478}" type="presParOf" srcId="{24CDE542-B4F5-4644-A936-3719CE433E22}" destId="{0AB76CE6-D3BC-D048-A485-045B165D443D}" srcOrd="0" destOrd="0" presId="urn:microsoft.com/office/officeart/2008/layout/HorizontalMultiLevelHierarchy"/>
    <dgm:cxn modelId="{736487F8-0D2B-4695-85D6-3C1C4D9B3E56}" type="presParOf" srcId="{0AB76CE6-D3BC-D048-A485-045B165D443D}" destId="{E9CE77FA-6EB7-E94D-B8E9-12CFB0D727E6}" srcOrd="0" destOrd="0" presId="urn:microsoft.com/office/officeart/2008/layout/HorizontalMultiLevelHierarchy"/>
    <dgm:cxn modelId="{3B0462E1-7504-40B2-9662-B39857A1EF19}" type="presParOf" srcId="{0AB76CE6-D3BC-D048-A485-045B165D443D}" destId="{B2FF2C25-ECE6-B942-A258-1CB28BDF7BD0}" srcOrd="1" destOrd="0" presId="urn:microsoft.com/office/officeart/2008/layout/HorizontalMultiLevelHierarchy"/>
    <dgm:cxn modelId="{12D3BB91-F7D4-4CAE-B147-0E9D746E5308}" type="presParOf" srcId="{B2FF2C25-ECE6-B942-A258-1CB28BDF7BD0}" destId="{B70DD5B2-0A58-204B-8B08-71627147140F}" srcOrd="0" destOrd="0" presId="urn:microsoft.com/office/officeart/2008/layout/HorizontalMultiLevelHierarchy"/>
    <dgm:cxn modelId="{3271A438-D2CB-4334-A4BD-5768690EC4A3}" type="presParOf" srcId="{B70DD5B2-0A58-204B-8B08-71627147140F}" destId="{4D908951-DA49-C543-B631-C5EE62AA9148}" srcOrd="0" destOrd="0" presId="urn:microsoft.com/office/officeart/2008/layout/HorizontalMultiLevelHierarchy"/>
    <dgm:cxn modelId="{7816C61F-808B-49C4-9EF2-BA2A8F206964}" type="presParOf" srcId="{B2FF2C25-ECE6-B942-A258-1CB28BDF7BD0}" destId="{737F36B4-DBD5-434E-9A98-4DB7FAE1A4E9}" srcOrd="1" destOrd="0" presId="urn:microsoft.com/office/officeart/2008/layout/HorizontalMultiLevelHierarchy"/>
    <dgm:cxn modelId="{6503A06A-67CA-4032-9074-1AC95E96E5E4}" type="presParOf" srcId="{737F36B4-DBD5-434E-9A98-4DB7FAE1A4E9}" destId="{971CFD60-D38D-2142-A66B-9B872B1F0007}" srcOrd="0" destOrd="0" presId="urn:microsoft.com/office/officeart/2008/layout/HorizontalMultiLevelHierarchy"/>
    <dgm:cxn modelId="{698D715E-AAFE-46C5-BF0D-B67AD6443A33}" type="presParOf" srcId="{737F36B4-DBD5-434E-9A98-4DB7FAE1A4E9}" destId="{2602A20A-E9E7-E842-ACD8-39F895E69257}" srcOrd="1" destOrd="0" presId="urn:microsoft.com/office/officeart/2008/layout/HorizontalMultiLevelHierarchy"/>
    <dgm:cxn modelId="{3F51D1DC-33A5-4A09-8375-FB3977BE1298}" type="presParOf" srcId="{B2FF2C25-ECE6-B942-A258-1CB28BDF7BD0}" destId="{B4C384AC-7C97-CF47-879C-C5FFF9C80814}" srcOrd="2" destOrd="0" presId="urn:microsoft.com/office/officeart/2008/layout/HorizontalMultiLevelHierarchy"/>
    <dgm:cxn modelId="{78901E27-C6DF-4604-A8A3-482D5E743C23}" type="presParOf" srcId="{B4C384AC-7C97-CF47-879C-C5FFF9C80814}" destId="{1F431099-B252-3041-9627-6EDB41B73583}" srcOrd="0" destOrd="0" presId="urn:microsoft.com/office/officeart/2008/layout/HorizontalMultiLevelHierarchy"/>
    <dgm:cxn modelId="{57A10BC3-9FD9-40B0-B1D2-1BCB0B3F846C}" type="presParOf" srcId="{B2FF2C25-ECE6-B942-A258-1CB28BDF7BD0}" destId="{1DF85284-7400-634E-B642-99F4BF45C381}" srcOrd="3" destOrd="0" presId="urn:microsoft.com/office/officeart/2008/layout/HorizontalMultiLevelHierarchy"/>
    <dgm:cxn modelId="{031A0C76-0183-49BD-AE2C-1D44FA1CD270}" type="presParOf" srcId="{1DF85284-7400-634E-B642-99F4BF45C381}" destId="{91581BEB-B850-5347-A1FC-4620561F6C39}" srcOrd="0" destOrd="0" presId="urn:microsoft.com/office/officeart/2008/layout/HorizontalMultiLevelHierarchy"/>
    <dgm:cxn modelId="{B3E9094F-C546-4214-B71A-6AB8584A7243}" type="presParOf" srcId="{1DF85284-7400-634E-B642-99F4BF45C381}" destId="{F0E36B45-0220-C540-8390-8451FD1614B7}" srcOrd="1" destOrd="0" presId="urn:microsoft.com/office/officeart/2008/layout/HorizontalMultiLevelHierarchy"/>
    <dgm:cxn modelId="{E876F94E-2BC6-42D7-A4FA-3C3A59855A00}" type="presParOf" srcId="{B2FF2C25-ECE6-B942-A258-1CB28BDF7BD0}" destId="{5304A340-383F-064D-B43A-64091D05D714}" srcOrd="4" destOrd="0" presId="urn:microsoft.com/office/officeart/2008/layout/HorizontalMultiLevelHierarchy"/>
    <dgm:cxn modelId="{073AA357-571B-45F5-B4D5-CCB074424636}" type="presParOf" srcId="{5304A340-383F-064D-B43A-64091D05D714}" destId="{72DB4CA3-18FF-8B4D-8C69-AD2A845D8EF2}" srcOrd="0" destOrd="0" presId="urn:microsoft.com/office/officeart/2008/layout/HorizontalMultiLevelHierarchy"/>
    <dgm:cxn modelId="{1E0D332C-1591-48EA-A239-1ABC7AE86802}" type="presParOf" srcId="{B2FF2C25-ECE6-B942-A258-1CB28BDF7BD0}" destId="{C729FBCC-89A4-2B4C-B41B-6BD7F486F3CF}" srcOrd="5" destOrd="0" presId="urn:microsoft.com/office/officeart/2008/layout/HorizontalMultiLevelHierarchy"/>
    <dgm:cxn modelId="{CD118581-0219-4E52-A070-F0373BFA4181}" type="presParOf" srcId="{C729FBCC-89A4-2B4C-B41B-6BD7F486F3CF}" destId="{8AC56ED4-1573-9A46-9484-0E5F6D389AE7}" srcOrd="0" destOrd="0" presId="urn:microsoft.com/office/officeart/2008/layout/HorizontalMultiLevelHierarchy"/>
    <dgm:cxn modelId="{524EB7EF-ED0E-46CC-A7B2-540C46B8CD29}" type="presParOf" srcId="{C729FBCC-89A4-2B4C-B41B-6BD7F486F3CF}" destId="{5F7CDBF3-7522-ED46-A88A-9E5F68B63EDE}" srcOrd="1" destOrd="0" presId="urn:microsoft.com/office/officeart/2008/layout/HorizontalMultiLevelHierarchy"/>
    <dgm:cxn modelId="{51CD278B-AF80-4462-B3F8-6E3C7489CC6D}" type="presParOf" srcId="{B2FF2C25-ECE6-B942-A258-1CB28BDF7BD0}" destId="{164F099F-2E55-5342-B4F0-9DEE5D2A3D31}" srcOrd="6" destOrd="0" presId="urn:microsoft.com/office/officeart/2008/layout/HorizontalMultiLevelHierarchy"/>
    <dgm:cxn modelId="{E3921960-F62F-486D-8C19-E0500E53F4CE}" type="presParOf" srcId="{164F099F-2E55-5342-B4F0-9DEE5D2A3D31}" destId="{F2CCCDD2-8BD1-7D48-92E6-C9CBDC1BCB1B}" srcOrd="0" destOrd="0" presId="urn:microsoft.com/office/officeart/2008/layout/HorizontalMultiLevelHierarchy"/>
    <dgm:cxn modelId="{74588A97-C27D-428C-BDEC-3ADF0305D2CF}" type="presParOf" srcId="{B2FF2C25-ECE6-B942-A258-1CB28BDF7BD0}" destId="{BE3FE130-DDFB-BB4F-8AE1-60595F71A0B7}" srcOrd="7" destOrd="0" presId="urn:microsoft.com/office/officeart/2008/layout/HorizontalMultiLevelHierarchy"/>
    <dgm:cxn modelId="{342ABAA4-1E84-48A5-B558-A6484BC531C0}" type="presParOf" srcId="{BE3FE130-DDFB-BB4F-8AE1-60595F71A0B7}" destId="{3A42ACA9-4B25-BE43-B6F8-BE8E6834D4E4}" srcOrd="0" destOrd="0" presId="urn:microsoft.com/office/officeart/2008/layout/HorizontalMultiLevelHierarchy"/>
    <dgm:cxn modelId="{1823A556-2F59-41D3-B76F-146C23AB5BE1}" type="presParOf" srcId="{BE3FE130-DDFB-BB4F-8AE1-60595F71A0B7}" destId="{217FB43D-C05D-D742-AB2E-85B6E56B422D}" srcOrd="1" destOrd="0" presId="urn:microsoft.com/office/officeart/2008/layout/HorizontalMultiLevelHierarchy"/>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98761B-C26A-EC4C-80B3-061637A30106}">
      <dsp:nvSpPr>
        <dsp:cNvPr id="0" name=""/>
        <dsp:cNvSpPr/>
      </dsp:nvSpPr>
      <dsp:spPr>
        <a:xfrm rot="5400000">
          <a:off x="133062" y="702432"/>
          <a:ext cx="1092110" cy="13208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D6B00C-6798-DF4D-AF8D-3E4399E8EAD6}">
      <dsp:nvSpPr>
        <dsp:cNvPr id="0" name=""/>
        <dsp:cNvSpPr/>
      </dsp:nvSpPr>
      <dsp:spPr>
        <a:xfrm>
          <a:off x="381284" y="1001"/>
          <a:ext cx="1467631" cy="88057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Times New Roman" panose="02020603050405020304" pitchFamily="18" charset="0"/>
              <a:cs typeface="Times New Roman" panose="02020603050405020304" pitchFamily="18" charset="0"/>
            </a:rPr>
            <a:t>Efficiency</a:t>
          </a:r>
          <a:r>
            <a:rPr lang="en-US" sz="900" i="0" kern="1200">
              <a:latin typeface="Times New Roman" panose="02020603050405020304" pitchFamily="18" charset="0"/>
              <a:cs typeface="Times New Roman" panose="02020603050405020304" pitchFamily="18" charset="0"/>
            </a:rPr>
            <a:t> </a:t>
          </a:r>
          <a:endParaRPr lang="ru-RU" sz="900" i="0" kern="1200">
            <a:latin typeface="Times New Roman" panose="02020603050405020304" pitchFamily="18" charset="0"/>
            <a:cs typeface="Times New Roman" panose="02020603050405020304" pitchFamily="18" charset="0"/>
          </a:endParaRPr>
        </a:p>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profit and loss sharing (PLS) or Mudaraba;</a:t>
          </a:r>
          <a:endParaRPr lang="ru-RU" sz="900" i="0" kern="1200">
            <a:latin typeface="Times New Roman" panose="02020603050405020304" pitchFamily="18" charset="0"/>
            <a:cs typeface="Times New Roman" panose="02020603050405020304" pitchFamily="18" charset="0"/>
          </a:endParaRPr>
        </a:p>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efficient financial resources</a:t>
          </a:r>
          <a:r>
            <a:rPr lang="ru-RU" sz="900" i="0" kern="1200">
              <a:latin typeface="Times New Roman" panose="02020603050405020304" pitchFamily="18" charset="0"/>
              <a:cs typeface="Times New Roman" panose="02020603050405020304" pitchFamily="18" charset="0"/>
            </a:rPr>
            <a:t> </a:t>
          </a:r>
          <a:r>
            <a:rPr lang="en-US" sz="900" i="0" kern="1200">
              <a:latin typeface="Times New Roman" panose="02020603050405020304" pitchFamily="18" charset="0"/>
              <a:cs typeface="Times New Roman" panose="02020603050405020304" pitchFamily="18" charset="0"/>
            </a:rPr>
            <a:t>allocation</a:t>
          </a:r>
          <a:endParaRPr lang="ru-RU" sz="900" i="0" kern="1200">
            <a:latin typeface="Times New Roman" panose="02020603050405020304" pitchFamily="18" charset="0"/>
            <a:cs typeface="Times New Roman" panose="02020603050405020304" pitchFamily="18" charset="0"/>
          </a:endParaRPr>
        </a:p>
      </dsp:txBody>
      <dsp:txXfrm>
        <a:off x="407075" y="26792"/>
        <a:ext cx="1416049" cy="828996"/>
      </dsp:txXfrm>
    </dsp:sp>
    <dsp:sp modelId="{475A6ABD-421F-6441-8534-6D2D5102EE82}">
      <dsp:nvSpPr>
        <dsp:cNvPr id="0" name=""/>
        <dsp:cNvSpPr/>
      </dsp:nvSpPr>
      <dsp:spPr>
        <a:xfrm rot="5400000">
          <a:off x="108970" y="1827248"/>
          <a:ext cx="1140295" cy="13208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224237-2268-4342-9B32-F8A84C63923E}">
      <dsp:nvSpPr>
        <dsp:cNvPr id="0" name=""/>
        <dsp:cNvSpPr/>
      </dsp:nvSpPr>
      <dsp:spPr>
        <a:xfrm>
          <a:off x="381284" y="1101724"/>
          <a:ext cx="1467631" cy="88057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Times New Roman" panose="02020603050405020304" pitchFamily="18" charset="0"/>
              <a:cs typeface="Times New Roman" panose="02020603050405020304" pitchFamily="18" charset="0"/>
            </a:rPr>
            <a:t>Stability</a:t>
          </a:r>
        </a:p>
        <a:p>
          <a:pPr marL="0" lvl="0" indent="0" algn="ctr" defTabSz="400050">
            <a:lnSpc>
              <a:spcPct val="90000"/>
            </a:lnSpc>
            <a:spcBef>
              <a:spcPct val="0"/>
            </a:spcBef>
            <a:spcAft>
              <a:spcPct val="35000"/>
            </a:spcAft>
            <a:buNone/>
          </a:pPr>
          <a:r>
            <a:rPr lang="en-US" sz="900" b="0" i="0" kern="1200">
              <a:latin typeface="Times New Roman" panose="02020603050405020304" pitchFamily="18" charset="0"/>
              <a:cs typeface="Times New Roman" panose="02020603050405020304" pitchFamily="18" charset="0"/>
            </a:rPr>
            <a:t>debt and risk trading prohibition;</a:t>
          </a:r>
        </a:p>
        <a:p>
          <a:pPr marL="0" lvl="0" indent="0" algn="ctr" defTabSz="400050">
            <a:lnSpc>
              <a:spcPct val="90000"/>
            </a:lnSpc>
            <a:spcBef>
              <a:spcPct val="0"/>
            </a:spcBef>
            <a:spcAft>
              <a:spcPct val="35000"/>
            </a:spcAft>
            <a:buNone/>
          </a:pPr>
          <a:r>
            <a:rPr lang="en-US" sz="900" b="0" i="0" kern="1200">
              <a:latin typeface="Times New Roman" panose="02020603050405020304" pitchFamily="18" charset="0"/>
              <a:cs typeface="Times New Roman" panose="02020603050405020304" pitchFamily="18" charset="0"/>
            </a:rPr>
            <a:t>strong connection between finance operations and real assets;</a:t>
          </a:r>
          <a:endParaRPr lang="ru-RU" sz="900" b="0" i="0" kern="1200">
            <a:latin typeface="Times New Roman" panose="02020603050405020304" pitchFamily="18" charset="0"/>
            <a:cs typeface="Times New Roman" panose="02020603050405020304" pitchFamily="18" charset="0"/>
          </a:endParaRPr>
        </a:p>
      </dsp:txBody>
      <dsp:txXfrm>
        <a:off x="407075" y="1127515"/>
        <a:ext cx="1416049" cy="828996"/>
      </dsp:txXfrm>
    </dsp:sp>
    <dsp:sp modelId="{1380DF29-DA75-0849-98C6-05533B07585C}">
      <dsp:nvSpPr>
        <dsp:cNvPr id="0" name=""/>
        <dsp:cNvSpPr/>
      </dsp:nvSpPr>
      <dsp:spPr>
        <a:xfrm rot="1433">
          <a:off x="683424" y="2402583"/>
          <a:ext cx="1943336" cy="13208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0F2551-1CEC-0F4E-9E8A-B8CFD6E0BAAA}">
      <dsp:nvSpPr>
        <dsp:cNvPr id="0" name=""/>
        <dsp:cNvSpPr/>
      </dsp:nvSpPr>
      <dsp:spPr>
        <a:xfrm>
          <a:off x="381284" y="2202448"/>
          <a:ext cx="1467631" cy="9779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Times New Roman" panose="02020603050405020304" pitchFamily="18" charset="0"/>
              <a:cs typeface="Times New Roman" panose="02020603050405020304" pitchFamily="18" charset="0"/>
            </a:rPr>
            <a:t>Reducing information-asymmetry risks</a:t>
          </a:r>
        </a:p>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about all of 20 Islamic contracts are informational symmetric (except wakala, salam, mudaraba)</a:t>
          </a:r>
          <a:endParaRPr lang="ru-RU" sz="900" i="0" kern="1200">
            <a:latin typeface="Times New Roman" panose="02020603050405020304" pitchFamily="18" charset="0"/>
            <a:cs typeface="Times New Roman" panose="02020603050405020304" pitchFamily="18" charset="0"/>
          </a:endParaRPr>
        </a:p>
      </dsp:txBody>
      <dsp:txXfrm>
        <a:off x="409926" y="2231090"/>
        <a:ext cx="1410347" cy="920616"/>
      </dsp:txXfrm>
    </dsp:sp>
    <dsp:sp modelId="{0F330487-A6AD-C44E-9F99-B1D56137D21E}">
      <dsp:nvSpPr>
        <dsp:cNvPr id="0" name=""/>
        <dsp:cNvSpPr/>
      </dsp:nvSpPr>
      <dsp:spPr>
        <a:xfrm rot="16200000">
          <a:off x="2061320" y="1828467"/>
          <a:ext cx="1139492" cy="13208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1D7804-64EF-0B4C-B3A6-292BAAA2CFEE}">
      <dsp:nvSpPr>
        <dsp:cNvPr id="0" name=""/>
        <dsp:cNvSpPr/>
      </dsp:nvSpPr>
      <dsp:spPr>
        <a:xfrm>
          <a:off x="2333234" y="2204068"/>
          <a:ext cx="1467631" cy="97628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Times New Roman" panose="02020603050405020304" pitchFamily="18" charset="0"/>
              <a:cs typeface="Times New Roman" panose="02020603050405020304" pitchFamily="18" charset="0"/>
            </a:rPr>
            <a:t>Establishing equity</a:t>
          </a:r>
        </a:p>
        <a:p>
          <a:pPr marL="0" lvl="0" indent="0" algn="ctr" defTabSz="400050">
            <a:lnSpc>
              <a:spcPct val="90000"/>
            </a:lnSpc>
            <a:spcBef>
              <a:spcPct val="0"/>
            </a:spcBef>
            <a:spcAft>
              <a:spcPct val="35000"/>
            </a:spcAft>
            <a:buNone/>
          </a:pPr>
          <a:r>
            <a:rPr lang="en-US" sz="900" b="0" i="0" kern="1200">
              <a:latin typeface="Times New Roman" panose="02020603050405020304" pitchFamily="18" charset="0"/>
              <a:cs typeface="Times New Roman" panose="02020603050405020304" pitchFamily="18" charset="0"/>
            </a:rPr>
            <a:t>special account for charity where generated profit from Shariah non-compliant activity;</a:t>
          </a:r>
        </a:p>
        <a:p>
          <a:pPr marL="0" lvl="0" indent="0" algn="ctr" defTabSz="400050">
            <a:lnSpc>
              <a:spcPct val="90000"/>
            </a:lnSpc>
            <a:spcBef>
              <a:spcPct val="0"/>
            </a:spcBef>
            <a:spcAft>
              <a:spcPct val="35000"/>
            </a:spcAft>
            <a:buNone/>
          </a:pPr>
          <a:r>
            <a:rPr lang="en-US" sz="900" b="0" i="0" kern="1200">
              <a:latin typeface="Times New Roman" panose="02020603050405020304" pitchFamily="18" charset="0"/>
              <a:cs typeface="Times New Roman" panose="02020603050405020304" pitchFamily="18" charset="0"/>
            </a:rPr>
            <a:t>equal capacity in obtaining finance for clients</a:t>
          </a:r>
          <a:endParaRPr lang="ru-RU" sz="900" b="0" i="0" kern="1200">
            <a:latin typeface="Times New Roman" panose="02020603050405020304" pitchFamily="18" charset="0"/>
            <a:cs typeface="Times New Roman" panose="02020603050405020304" pitchFamily="18" charset="0"/>
          </a:endParaRPr>
        </a:p>
      </dsp:txBody>
      <dsp:txXfrm>
        <a:off x="2361828" y="2232662"/>
        <a:ext cx="1410443" cy="919092"/>
      </dsp:txXfrm>
    </dsp:sp>
    <dsp:sp modelId="{B7AD7173-0DBA-C84F-B066-1FAEFF097ED3}">
      <dsp:nvSpPr>
        <dsp:cNvPr id="0" name=""/>
        <dsp:cNvSpPr/>
      </dsp:nvSpPr>
      <dsp:spPr>
        <a:xfrm rot="16200000">
          <a:off x="2085012" y="704053"/>
          <a:ext cx="1092110" cy="13208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A45B87-2667-5743-A5D6-E56C088EEC3D}">
      <dsp:nvSpPr>
        <dsp:cNvPr id="0" name=""/>
        <dsp:cNvSpPr/>
      </dsp:nvSpPr>
      <dsp:spPr>
        <a:xfrm>
          <a:off x="2333234" y="1103345"/>
          <a:ext cx="1467631" cy="88057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Times New Roman" panose="02020603050405020304" pitchFamily="18" charset="0"/>
              <a:cs typeface="Times New Roman" panose="02020603050405020304" pitchFamily="18" charset="0"/>
            </a:rPr>
            <a:t>Systemic integrity</a:t>
          </a:r>
        </a:p>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linking of financial transactions with real sector;</a:t>
          </a:r>
        </a:p>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stronger market mechanism </a:t>
          </a:r>
          <a:endParaRPr lang="en-US" sz="900" i="0" kern="1200">
            <a:latin typeface="Times New Roman" panose="02020603050405020304" pitchFamily="18" charset="0"/>
            <a:cs typeface="Times New Roman" panose="02020603050405020304" pitchFamily="18" charset="0"/>
          </a:endParaRPr>
        </a:p>
      </dsp:txBody>
      <dsp:txXfrm>
        <a:off x="2359025" y="1129136"/>
        <a:ext cx="1416049" cy="828996"/>
      </dsp:txXfrm>
    </dsp:sp>
    <dsp:sp modelId="{78763C99-D630-8F4D-8C16-70EE39E48ED5}">
      <dsp:nvSpPr>
        <dsp:cNvPr id="0" name=""/>
        <dsp:cNvSpPr/>
      </dsp:nvSpPr>
      <dsp:spPr>
        <a:xfrm>
          <a:off x="2635373" y="153691"/>
          <a:ext cx="1943336" cy="13208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4EEE9F-73B8-DA47-8043-C196F753384F}">
      <dsp:nvSpPr>
        <dsp:cNvPr id="0" name=""/>
        <dsp:cNvSpPr/>
      </dsp:nvSpPr>
      <dsp:spPr>
        <a:xfrm>
          <a:off x="2333234" y="2621"/>
          <a:ext cx="1467631" cy="88057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Times New Roman" panose="02020603050405020304" pitchFamily="18" charset="0"/>
              <a:cs typeface="Times New Roman" panose="02020603050405020304" pitchFamily="18" charset="0"/>
            </a:rPr>
            <a:t>Financing economic development</a:t>
          </a:r>
        </a:p>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ability to mobilize resources in ethical investments </a:t>
          </a:r>
          <a:endParaRPr lang="ru-RU" sz="900" i="0" kern="1200">
            <a:latin typeface="Times New Roman" panose="02020603050405020304" pitchFamily="18" charset="0"/>
            <a:cs typeface="Times New Roman" panose="02020603050405020304" pitchFamily="18" charset="0"/>
          </a:endParaRPr>
        </a:p>
      </dsp:txBody>
      <dsp:txXfrm>
        <a:off x="2359025" y="28412"/>
        <a:ext cx="1416049" cy="828996"/>
      </dsp:txXfrm>
    </dsp:sp>
    <dsp:sp modelId="{5DFB61E7-B350-3540-B978-1851DC4F4EAA}">
      <dsp:nvSpPr>
        <dsp:cNvPr id="0" name=""/>
        <dsp:cNvSpPr/>
      </dsp:nvSpPr>
      <dsp:spPr>
        <a:xfrm rot="5400000">
          <a:off x="4036961" y="704053"/>
          <a:ext cx="1092110" cy="13208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A51725-D6F9-7547-8015-B924B1C5824F}">
      <dsp:nvSpPr>
        <dsp:cNvPr id="0" name=""/>
        <dsp:cNvSpPr/>
      </dsp:nvSpPr>
      <dsp:spPr>
        <a:xfrm>
          <a:off x="4285184" y="2621"/>
          <a:ext cx="1467631" cy="88057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Times New Roman" panose="02020603050405020304" pitchFamily="18" charset="0"/>
              <a:cs typeface="Times New Roman" panose="02020603050405020304" pitchFamily="18" charset="0"/>
            </a:rPr>
            <a:t>Sustainability</a:t>
          </a:r>
        </a:p>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absence of institutional features exposed to crises;</a:t>
          </a:r>
        </a:p>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tools for weakening crises' effects</a:t>
          </a:r>
        </a:p>
        <a:p>
          <a:pPr marL="0" lvl="0" indent="0" algn="ctr" defTabSz="400050">
            <a:lnSpc>
              <a:spcPct val="90000"/>
            </a:lnSpc>
            <a:spcBef>
              <a:spcPct val="0"/>
            </a:spcBef>
            <a:spcAft>
              <a:spcPct val="35000"/>
            </a:spcAft>
            <a:buNone/>
          </a:pPr>
          <a:r>
            <a:rPr lang="en-US" sz="900" i="0" kern="1200">
              <a:latin typeface="Times New Roman" panose="02020603050405020304" pitchFamily="18" charset="0"/>
              <a:cs typeface="Times New Roman" panose="02020603050405020304" pitchFamily="18" charset="0"/>
            </a:rPr>
            <a:t> </a:t>
          </a:r>
          <a:endParaRPr lang="ru-RU" sz="900" i="0" kern="1200">
            <a:latin typeface="Times New Roman" panose="02020603050405020304" pitchFamily="18" charset="0"/>
            <a:cs typeface="Times New Roman" panose="02020603050405020304" pitchFamily="18" charset="0"/>
          </a:endParaRPr>
        </a:p>
      </dsp:txBody>
      <dsp:txXfrm>
        <a:off x="4310975" y="28412"/>
        <a:ext cx="1416049" cy="828996"/>
      </dsp:txXfrm>
    </dsp:sp>
    <dsp:sp modelId="{1438D1EE-E156-2344-A661-4D7D2FD22E1C}">
      <dsp:nvSpPr>
        <dsp:cNvPr id="0" name=""/>
        <dsp:cNvSpPr/>
      </dsp:nvSpPr>
      <dsp:spPr>
        <a:xfrm rot="5400000">
          <a:off x="4036961" y="1804776"/>
          <a:ext cx="1092110" cy="13208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40390A-69C6-FB4C-BA2D-CDBC5C045FEB}">
      <dsp:nvSpPr>
        <dsp:cNvPr id="0" name=""/>
        <dsp:cNvSpPr/>
      </dsp:nvSpPr>
      <dsp:spPr>
        <a:xfrm>
          <a:off x="4285184" y="1103345"/>
          <a:ext cx="1467631" cy="88057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 sz="900" b="1" i="0" kern="1200">
              <a:latin typeface="Times New Roman" panose="02020603050405020304" pitchFamily="18" charset="0"/>
              <a:cs typeface="Times New Roman" panose="02020603050405020304" pitchFamily="18" charset="0"/>
            </a:rPr>
            <a:t>Society-oriented financing </a:t>
          </a:r>
          <a:r>
            <a:rPr lang="en-US" sz="900" b="0" i="0" kern="1200">
              <a:latin typeface="Times New Roman" panose="02020603050405020304" pitchFamily="18" charset="0"/>
              <a:cs typeface="Times New Roman" panose="02020603050405020304" pitchFamily="18" charset="0"/>
            </a:rPr>
            <a:t>poverty eradication through zakat and  charity funds</a:t>
          </a:r>
          <a:endParaRPr lang="ru-RU" sz="900" b="0" i="0" kern="1200">
            <a:latin typeface="Times New Roman" panose="02020603050405020304" pitchFamily="18" charset="0"/>
            <a:cs typeface="Times New Roman" panose="02020603050405020304" pitchFamily="18" charset="0"/>
          </a:endParaRPr>
        </a:p>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qard-hasan for microfinance</a:t>
          </a:r>
          <a:endParaRPr lang="ru-RU" sz="900" kern="1200">
            <a:latin typeface="Times New Roman" panose="02020603050405020304" pitchFamily="18" charset="0"/>
            <a:cs typeface="Times New Roman" panose="02020603050405020304" pitchFamily="18" charset="0"/>
          </a:endParaRPr>
        </a:p>
      </dsp:txBody>
      <dsp:txXfrm>
        <a:off x="4310975" y="1129136"/>
        <a:ext cx="1416049" cy="828996"/>
      </dsp:txXfrm>
    </dsp:sp>
    <dsp:sp modelId="{43DB1EBA-16FF-3641-B219-8C86188AF002}">
      <dsp:nvSpPr>
        <dsp:cNvPr id="0" name=""/>
        <dsp:cNvSpPr/>
      </dsp:nvSpPr>
      <dsp:spPr>
        <a:xfrm>
          <a:off x="4285184" y="2204068"/>
          <a:ext cx="1467631" cy="88057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Times New Roman" panose="02020603050405020304" pitchFamily="18" charset="0"/>
              <a:cs typeface="Times New Roman" panose="02020603050405020304" pitchFamily="18" charset="0"/>
            </a:rPr>
            <a:t>Revolutionary formula for reforming international monetary and financial reform </a:t>
          </a:r>
          <a:endParaRPr lang="ru-RU" sz="900" b="1" i="0" kern="1200">
            <a:latin typeface="Times New Roman" panose="02020603050405020304" pitchFamily="18" charset="0"/>
            <a:cs typeface="Times New Roman" panose="02020603050405020304" pitchFamily="18" charset="0"/>
          </a:endParaRPr>
        </a:p>
      </dsp:txBody>
      <dsp:txXfrm>
        <a:off x="4310975" y="2229859"/>
        <a:ext cx="1416049" cy="82899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F099F-2E55-5342-B4F0-9DEE5D2A3D31}">
      <dsp:nvSpPr>
        <dsp:cNvPr id="0" name=""/>
        <dsp:cNvSpPr/>
      </dsp:nvSpPr>
      <dsp:spPr>
        <a:xfrm>
          <a:off x="725261" y="1066800"/>
          <a:ext cx="311130" cy="750992"/>
        </a:xfrm>
        <a:custGeom>
          <a:avLst/>
          <a:gdLst/>
          <a:ahLst/>
          <a:cxnLst/>
          <a:rect l="0" t="0" r="0" b="0"/>
          <a:pathLst>
            <a:path>
              <a:moveTo>
                <a:pt x="0" y="0"/>
              </a:moveTo>
              <a:lnTo>
                <a:pt x="155565" y="0"/>
              </a:lnTo>
              <a:lnTo>
                <a:pt x="155565" y="750992"/>
              </a:lnTo>
              <a:lnTo>
                <a:pt x="311130" y="7509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60504" y="1421974"/>
        <a:ext cx="40644" cy="40644"/>
      </dsp:txXfrm>
    </dsp:sp>
    <dsp:sp modelId="{5304A340-383F-064D-B43A-64091D05D714}">
      <dsp:nvSpPr>
        <dsp:cNvPr id="0" name=""/>
        <dsp:cNvSpPr/>
      </dsp:nvSpPr>
      <dsp:spPr>
        <a:xfrm>
          <a:off x="725261" y="1066800"/>
          <a:ext cx="250801" cy="282090"/>
        </a:xfrm>
        <a:custGeom>
          <a:avLst/>
          <a:gdLst/>
          <a:ahLst/>
          <a:cxnLst/>
          <a:rect l="0" t="0" r="0" b="0"/>
          <a:pathLst>
            <a:path>
              <a:moveTo>
                <a:pt x="0" y="0"/>
              </a:moveTo>
              <a:lnTo>
                <a:pt x="125400" y="0"/>
              </a:lnTo>
              <a:lnTo>
                <a:pt x="125400" y="282090"/>
              </a:lnTo>
              <a:lnTo>
                <a:pt x="250801" y="28209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41225" y="1198408"/>
        <a:ext cx="18873" cy="18873"/>
      </dsp:txXfrm>
    </dsp:sp>
    <dsp:sp modelId="{B4C384AC-7C97-CF47-879C-C5FFF9C80814}">
      <dsp:nvSpPr>
        <dsp:cNvPr id="0" name=""/>
        <dsp:cNvSpPr/>
      </dsp:nvSpPr>
      <dsp:spPr>
        <a:xfrm>
          <a:off x="725261" y="798688"/>
          <a:ext cx="265412" cy="268111"/>
        </a:xfrm>
        <a:custGeom>
          <a:avLst/>
          <a:gdLst/>
          <a:ahLst/>
          <a:cxnLst/>
          <a:rect l="0" t="0" r="0" b="0"/>
          <a:pathLst>
            <a:path>
              <a:moveTo>
                <a:pt x="0" y="268111"/>
              </a:moveTo>
              <a:lnTo>
                <a:pt x="132706" y="268111"/>
              </a:lnTo>
              <a:lnTo>
                <a:pt x="132706" y="0"/>
              </a:lnTo>
              <a:lnTo>
                <a:pt x="265412"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48536" y="923312"/>
        <a:ext cx="18863" cy="18863"/>
      </dsp:txXfrm>
    </dsp:sp>
    <dsp:sp modelId="{B70DD5B2-0A58-204B-8B08-71627147140F}">
      <dsp:nvSpPr>
        <dsp:cNvPr id="0" name=""/>
        <dsp:cNvSpPr/>
      </dsp:nvSpPr>
      <dsp:spPr>
        <a:xfrm>
          <a:off x="725261" y="308188"/>
          <a:ext cx="265412" cy="758611"/>
        </a:xfrm>
        <a:custGeom>
          <a:avLst/>
          <a:gdLst/>
          <a:ahLst/>
          <a:cxnLst/>
          <a:rect l="0" t="0" r="0" b="0"/>
          <a:pathLst>
            <a:path>
              <a:moveTo>
                <a:pt x="0" y="758611"/>
              </a:moveTo>
              <a:lnTo>
                <a:pt x="132706" y="758611"/>
              </a:lnTo>
              <a:lnTo>
                <a:pt x="132706" y="0"/>
              </a:lnTo>
              <a:lnTo>
                <a:pt x="265412"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37875" y="667401"/>
        <a:ext cx="40185" cy="40185"/>
      </dsp:txXfrm>
    </dsp:sp>
    <dsp:sp modelId="{E9CE77FA-6EB7-E94D-B8E9-12CFB0D727E6}">
      <dsp:nvSpPr>
        <dsp:cNvPr id="0" name=""/>
        <dsp:cNvSpPr/>
      </dsp:nvSpPr>
      <dsp:spPr>
        <a:xfrm rot="16200000">
          <a:off x="-541752" y="864503"/>
          <a:ext cx="2129434"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Cooperative-Waqf model (CWM)</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41752" y="864503"/>
        <a:ext cx="2129434" cy="404592"/>
      </dsp:txXfrm>
    </dsp:sp>
    <dsp:sp modelId="{971CFD60-D38D-2142-A66B-9B872B1F0007}">
      <dsp:nvSpPr>
        <dsp:cNvPr id="0" name=""/>
        <dsp:cNvSpPr/>
      </dsp:nvSpPr>
      <dsp:spPr>
        <a:xfrm>
          <a:off x="990674" y="105892"/>
          <a:ext cx="3412849"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US" sz="1000" kern="1200">
              <a:solidFill>
                <a:schemeClr val="tx1"/>
              </a:solidFill>
              <a:latin typeface="Times New Roman" panose="02020603050405020304" pitchFamily="18" charset="0"/>
              <a:cs typeface="Times New Roman" panose="02020603050405020304" pitchFamily="18" charset="0"/>
            </a:rPr>
            <a:t>Donors</a:t>
          </a:r>
          <a:r>
            <a:rPr lang="en-US" sz="1000" kern="1200" baseline="0">
              <a:solidFill>
                <a:schemeClr val="tx1"/>
              </a:solidFill>
              <a:latin typeface="Times New Roman" panose="02020603050405020304" pitchFamily="18" charset="0"/>
              <a:cs typeface="Times New Roman" panose="02020603050405020304" pitchFamily="18" charset="0"/>
            </a:rPr>
            <a:t> contribuet cash waqf, waqf institution issues waqf sertificates of specified project</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990674" y="105892"/>
        <a:ext cx="3412849" cy="404592"/>
      </dsp:txXfrm>
    </dsp:sp>
    <dsp:sp modelId="{91581BEB-B850-5347-A1FC-4620561F6C39}">
      <dsp:nvSpPr>
        <dsp:cNvPr id="0" name=""/>
        <dsp:cNvSpPr/>
      </dsp:nvSpPr>
      <dsp:spPr>
        <a:xfrm>
          <a:off x="990674" y="596392"/>
          <a:ext cx="3428296"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waqf institution starts developing the projects </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990674" y="596392"/>
        <a:ext cx="3428296" cy="404592"/>
      </dsp:txXfrm>
    </dsp:sp>
    <dsp:sp modelId="{8AC56ED4-1573-9A46-9484-0E5F6D389AE7}">
      <dsp:nvSpPr>
        <dsp:cNvPr id="0" name=""/>
        <dsp:cNvSpPr/>
      </dsp:nvSpPr>
      <dsp:spPr>
        <a:xfrm>
          <a:off x="976063" y="1146593"/>
          <a:ext cx="3428296"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waqf institution issues membership cards for donors who donate more than specific ammount, which based on cooperative concept </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976063" y="1146593"/>
        <a:ext cx="3428296" cy="404592"/>
      </dsp:txXfrm>
    </dsp:sp>
    <dsp:sp modelId="{3A42ACA9-4B25-BE43-B6F8-BE8E6834D4E4}">
      <dsp:nvSpPr>
        <dsp:cNvPr id="0" name=""/>
        <dsp:cNvSpPr/>
      </dsp:nvSpPr>
      <dsp:spPr>
        <a:xfrm>
          <a:off x="1036391" y="1615496"/>
          <a:ext cx="3400667"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 sz="1000" kern="1200">
              <a:solidFill>
                <a:schemeClr val="tx1"/>
              </a:solidFill>
              <a:latin typeface="Times New Roman" panose="02020603050405020304" pitchFamily="18" charset="0"/>
              <a:cs typeface="Times New Roman" panose="02020603050405020304" pitchFamily="18" charset="0"/>
            </a:rPr>
            <a:t>The membership provides a preveleged options to the donors at waqf-based commercial projects (servisec or goods)</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036391" y="1615496"/>
        <a:ext cx="3400667" cy="40459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CFD55-47DA-214D-9950-32A52240D0AA}">
      <dsp:nvSpPr>
        <dsp:cNvPr id="0" name=""/>
        <dsp:cNvSpPr/>
      </dsp:nvSpPr>
      <dsp:spPr>
        <a:xfrm>
          <a:off x="0" y="115208"/>
          <a:ext cx="685799" cy="46934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Inputs</a:t>
          </a:r>
          <a:endParaRPr lang="ru-RU" sz="1100" kern="1200">
            <a:latin typeface="Times New Roman" panose="02020603050405020304" pitchFamily="18" charset="0"/>
            <a:cs typeface="Times New Roman" panose="02020603050405020304" pitchFamily="18" charset="0"/>
          </a:endParaRPr>
        </a:p>
      </dsp:txBody>
      <dsp:txXfrm>
        <a:off x="13747" y="128955"/>
        <a:ext cx="658305" cy="441850"/>
      </dsp:txXfrm>
    </dsp:sp>
    <dsp:sp modelId="{3D020830-3424-034A-A1A1-0AC0BB10C547}">
      <dsp:nvSpPr>
        <dsp:cNvPr id="0" name=""/>
        <dsp:cNvSpPr/>
      </dsp:nvSpPr>
      <dsp:spPr>
        <a:xfrm>
          <a:off x="754380" y="264841"/>
          <a:ext cx="145389" cy="1700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754380" y="298857"/>
        <a:ext cx="101772" cy="102046"/>
      </dsp:txXfrm>
    </dsp:sp>
    <dsp:sp modelId="{3BEE9346-D77A-EF4C-8785-48A07A612A90}">
      <dsp:nvSpPr>
        <dsp:cNvPr id="0" name=""/>
        <dsp:cNvSpPr/>
      </dsp:nvSpPr>
      <dsp:spPr>
        <a:xfrm>
          <a:off x="960120" y="115208"/>
          <a:ext cx="685799" cy="46934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Activity</a:t>
          </a:r>
          <a:endParaRPr lang="ru-RU" sz="1100" kern="1200">
            <a:latin typeface="Times New Roman" panose="02020603050405020304" pitchFamily="18" charset="0"/>
            <a:cs typeface="Times New Roman" panose="02020603050405020304" pitchFamily="18" charset="0"/>
          </a:endParaRPr>
        </a:p>
      </dsp:txBody>
      <dsp:txXfrm>
        <a:off x="973867" y="128955"/>
        <a:ext cx="658305" cy="441850"/>
      </dsp:txXfrm>
    </dsp:sp>
    <dsp:sp modelId="{91F8B4A2-5BA7-B242-B57B-186183A16F4C}">
      <dsp:nvSpPr>
        <dsp:cNvPr id="0" name=""/>
        <dsp:cNvSpPr/>
      </dsp:nvSpPr>
      <dsp:spPr>
        <a:xfrm>
          <a:off x="1714500" y="264841"/>
          <a:ext cx="145389" cy="1700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1714500" y="298857"/>
        <a:ext cx="101772" cy="102046"/>
      </dsp:txXfrm>
    </dsp:sp>
    <dsp:sp modelId="{5E4787D7-3589-764F-91A5-8A88CA9684BD}">
      <dsp:nvSpPr>
        <dsp:cNvPr id="0" name=""/>
        <dsp:cNvSpPr/>
      </dsp:nvSpPr>
      <dsp:spPr>
        <a:xfrm>
          <a:off x="1920240" y="115208"/>
          <a:ext cx="685799" cy="46934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Output</a:t>
          </a:r>
          <a:endParaRPr lang="ru-RU" sz="1100" kern="1200">
            <a:latin typeface="Times New Roman" panose="02020603050405020304" pitchFamily="18" charset="0"/>
            <a:cs typeface="Times New Roman" panose="02020603050405020304" pitchFamily="18" charset="0"/>
          </a:endParaRPr>
        </a:p>
      </dsp:txBody>
      <dsp:txXfrm>
        <a:off x="1933987" y="128955"/>
        <a:ext cx="658305" cy="441850"/>
      </dsp:txXfrm>
    </dsp:sp>
    <dsp:sp modelId="{02A181D9-E11F-7648-A9E3-639CDC54A6FD}">
      <dsp:nvSpPr>
        <dsp:cNvPr id="0" name=""/>
        <dsp:cNvSpPr/>
      </dsp:nvSpPr>
      <dsp:spPr>
        <a:xfrm>
          <a:off x="2674620" y="264841"/>
          <a:ext cx="145389" cy="1700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2674620" y="298857"/>
        <a:ext cx="101772" cy="102046"/>
      </dsp:txXfrm>
    </dsp:sp>
    <dsp:sp modelId="{56ED1337-3C6C-1E43-9118-9F5F2C812F1C}">
      <dsp:nvSpPr>
        <dsp:cNvPr id="0" name=""/>
        <dsp:cNvSpPr/>
      </dsp:nvSpPr>
      <dsp:spPr>
        <a:xfrm>
          <a:off x="2880360" y="115208"/>
          <a:ext cx="685799" cy="46934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Quality</a:t>
          </a:r>
          <a:endParaRPr lang="ru-RU" sz="1100" kern="1200">
            <a:latin typeface="Times New Roman" panose="02020603050405020304" pitchFamily="18" charset="0"/>
            <a:cs typeface="Times New Roman" panose="02020603050405020304" pitchFamily="18" charset="0"/>
          </a:endParaRPr>
        </a:p>
      </dsp:txBody>
      <dsp:txXfrm>
        <a:off x="2894107" y="128955"/>
        <a:ext cx="658305" cy="441850"/>
      </dsp:txXfrm>
    </dsp:sp>
    <dsp:sp modelId="{67608750-86B3-B845-B828-6086BE14D574}">
      <dsp:nvSpPr>
        <dsp:cNvPr id="0" name=""/>
        <dsp:cNvSpPr/>
      </dsp:nvSpPr>
      <dsp:spPr>
        <a:xfrm>
          <a:off x="3634740" y="264841"/>
          <a:ext cx="145389" cy="1700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3634740" y="298857"/>
        <a:ext cx="101772" cy="102046"/>
      </dsp:txXfrm>
    </dsp:sp>
    <dsp:sp modelId="{84BFAA8C-6951-A348-ACE9-A2867457AD1F}">
      <dsp:nvSpPr>
        <dsp:cNvPr id="0" name=""/>
        <dsp:cNvSpPr/>
      </dsp:nvSpPr>
      <dsp:spPr>
        <a:xfrm>
          <a:off x="3840480" y="115208"/>
          <a:ext cx="685799" cy="46934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Outcome</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(social) </a:t>
          </a:r>
          <a:endParaRPr lang="ru-RU" sz="1100" kern="1200">
            <a:latin typeface="Times New Roman" panose="02020603050405020304" pitchFamily="18" charset="0"/>
            <a:cs typeface="Times New Roman" panose="02020603050405020304" pitchFamily="18" charset="0"/>
          </a:endParaRPr>
        </a:p>
      </dsp:txBody>
      <dsp:txXfrm>
        <a:off x="3854227" y="128955"/>
        <a:ext cx="658305" cy="441850"/>
      </dsp:txXfrm>
    </dsp:sp>
    <dsp:sp modelId="{1E4F134A-031C-DC44-B6B1-6C81D832040D}">
      <dsp:nvSpPr>
        <dsp:cNvPr id="0" name=""/>
        <dsp:cNvSpPr/>
      </dsp:nvSpPr>
      <dsp:spPr>
        <a:xfrm>
          <a:off x="4594860" y="264841"/>
          <a:ext cx="145389" cy="1700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4594860" y="298857"/>
        <a:ext cx="101772" cy="102046"/>
      </dsp:txXfrm>
    </dsp:sp>
    <dsp:sp modelId="{770CF1E4-B53A-764B-A97F-F59B79F59A38}">
      <dsp:nvSpPr>
        <dsp:cNvPr id="0" name=""/>
        <dsp:cNvSpPr/>
      </dsp:nvSpPr>
      <dsp:spPr>
        <a:xfrm>
          <a:off x="4800600" y="115208"/>
          <a:ext cx="685799" cy="46934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Ipmpact</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(social)</a:t>
          </a:r>
          <a:endParaRPr lang="ru-RU" sz="1100" kern="1200">
            <a:latin typeface="Times New Roman" panose="02020603050405020304" pitchFamily="18" charset="0"/>
            <a:cs typeface="Times New Roman" panose="02020603050405020304" pitchFamily="18" charset="0"/>
          </a:endParaRPr>
        </a:p>
      </dsp:txBody>
      <dsp:txXfrm>
        <a:off x="4814347" y="128955"/>
        <a:ext cx="658305" cy="4418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311F07-46F6-E444-948A-8DAB134EB0ED}">
      <dsp:nvSpPr>
        <dsp:cNvPr id="0" name=""/>
        <dsp:cNvSpPr/>
      </dsp:nvSpPr>
      <dsp:spPr>
        <a:xfrm>
          <a:off x="5177289" y="1061595"/>
          <a:ext cx="692995" cy="91440"/>
        </a:xfrm>
        <a:custGeom>
          <a:avLst/>
          <a:gdLst/>
          <a:ahLst/>
          <a:cxnLst/>
          <a:rect l="0" t="0" r="0" b="0"/>
          <a:pathLst>
            <a:path>
              <a:moveTo>
                <a:pt x="0" y="45720"/>
              </a:moveTo>
              <a:lnTo>
                <a:pt x="0" y="82610"/>
              </a:lnTo>
              <a:lnTo>
                <a:pt x="692995" y="82610"/>
              </a:lnTo>
              <a:lnTo>
                <a:pt x="692995" y="9985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05D5F3-2C74-524E-BFF4-8B55D5933E67}">
      <dsp:nvSpPr>
        <dsp:cNvPr id="0" name=""/>
        <dsp:cNvSpPr/>
      </dsp:nvSpPr>
      <dsp:spPr>
        <a:xfrm>
          <a:off x="5131569" y="1061595"/>
          <a:ext cx="91440" cy="91440"/>
        </a:xfrm>
        <a:custGeom>
          <a:avLst/>
          <a:gdLst/>
          <a:ahLst/>
          <a:cxnLst/>
          <a:rect l="0" t="0" r="0" b="0"/>
          <a:pathLst>
            <a:path>
              <a:moveTo>
                <a:pt x="45720" y="45720"/>
              </a:moveTo>
              <a:lnTo>
                <a:pt x="45720" y="9985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3D336B-E4F2-BF44-BD9B-DB3419F52265}">
      <dsp:nvSpPr>
        <dsp:cNvPr id="0" name=""/>
        <dsp:cNvSpPr/>
      </dsp:nvSpPr>
      <dsp:spPr>
        <a:xfrm>
          <a:off x="4484293" y="1061595"/>
          <a:ext cx="692995" cy="91440"/>
        </a:xfrm>
        <a:custGeom>
          <a:avLst/>
          <a:gdLst/>
          <a:ahLst/>
          <a:cxnLst/>
          <a:rect l="0" t="0" r="0" b="0"/>
          <a:pathLst>
            <a:path>
              <a:moveTo>
                <a:pt x="692995" y="45720"/>
              </a:moveTo>
              <a:lnTo>
                <a:pt x="692995" y="82610"/>
              </a:lnTo>
              <a:lnTo>
                <a:pt x="0" y="82610"/>
              </a:lnTo>
              <a:lnTo>
                <a:pt x="0" y="9985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C19296-A347-6649-A2FC-43845FA66230}">
      <dsp:nvSpPr>
        <dsp:cNvPr id="0" name=""/>
        <dsp:cNvSpPr/>
      </dsp:nvSpPr>
      <dsp:spPr>
        <a:xfrm>
          <a:off x="3098301" y="772205"/>
          <a:ext cx="2078987" cy="91440"/>
        </a:xfrm>
        <a:custGeom>
          <a:avLst/>
          <a:gdLst/>
          <a:ahLst/>
          <a:cxnLst/>
          <a:rect l="0" t="0" r="0" b="0"/>
          <a:pathLst>
            <a:path>
              <a:moveTo>
                <a:pt x="0" y="45720"/>
              </a:moveTo>
              <a:lnTo>
                <a:pt x="0" y="82610"/>
              </a:lnTo>
              <a:lnTo>
                <a:pt x="2078987" y="82610"/>
              </a:lnTo>
              <a:lnTo>
                <a:pt x="2078987" y="99853"/>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022F59-C1A1-3341-AEBA-6A586481E209}">
      <dsp:nvSpPr>
        <dsp:cNvPr id="0" name=""/>
        <dsp:cNvSpPr/>
      </dsp:nvSpPr>
      <dsp:spPr>
        <a:xfrm>
          <a:off x="3098301" y="1061595"/>
          <a:ext cx="692995" cy="91440"/>
        </a:xfrm>
        <a:custGeom>
          <a:avLst/>
          <a:gdLst/>
          <a:ahLst/>
          <a:cxnLst/>
          <a:rect l="0" t="0" r="0" b="0"/>
          <a:pathLst>
            <a:path>
              <a:moveTo>
                <a:pt x="0" y="45720"/>
              </a:moveTo>
              <a:lnTo>
                <a:pt x="0" y="82610"/>
              </a:lnTo>
              <a:lnTo>
                <a:pt x="692995" y="82610"/>
              </a:lnTo>
              <a:lnTo>
                <a:pt x="692995" y="9985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F8E520-2947-F041-9FA7-AEB4CC1E927B}">
      <dsp:nvSpPr>
        <dsp:cNvPr id="0" name=""/>
        <dsp:cNvSpPr/>
      </dsp:nvSpPr>
      <dsp:spPr>
        <a:xfrm>
          <a:off x="3052581" y="1061595"/>
          <a:ext cx="91440" cy="91440"/>
        </a:xfrm>
        <a:custGeom>
          <a:avLst/>
          <a:gdLst/>
          <a:ahLst/>
          <a:cxnLst/>
          <a:rect l="0" t="0" r="0" b="0"/>
          <a:pathLst>
            <a:path>
              <a:moveTo>
                <a:pt x="45720" y="45720"/>
              </a:moveTo>
              <a:lnTo>
                <a:pt x="45720" y="9985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39FE3D-5CFF-444C-B975-DFF80409F60C}">
      <dsp:nvSpPr>
        <dsp:cNvPr id="0" name=""/>
        <dsp:cNvSpPr/>
      </dsp:nvSpPr>
      <dsp:spPr>
        <a:xfrm>
          <a:off x="2405306" y="1061595"/>
          <a:ext cx="692995" cy="91440"/>
        </a:xfrm>
        <a:custGeom>
          <a:avLst/>
          <a:gdLst/>
          <a:ahLst/>
          <a:cxnLst/>
          <a:rect l="0" t="0" r="0" b="0"/>
          <a:pathLst>
            <a:path>
              <a:moveTo>
                <a:pt x="692995" y="45720"/>
              </a:moveTo>
              <a:lnTo>
                <a:pt x="692995" y="82610"/>
              </a:lnTo>
              <a:lnTo>
                <a:pt x="0" y="82610"/>
              </a:lnTo>
              <a:lnTo>
                <a:pt x="0" y="9985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6F6F91-FF46-7647-93E9-1AD42EBC3F40}">
      <dsp:nvSpPr>
        <dsp:cNvPr id="0" name=""/>
        <dsp:cNvSpPr/>
      </dsp:nvSpPr>
      <dsp:spPr>
        <a:xfrm>
          <a:off x="3052581" y="772205"/>
          <a:ext cx="91440" cy="91440"/>
        </a:xfrm>
        <a:custGeom>
          <a:avLst/>
          <a:gdLst/>
          <a:ahLst/>
          <a:cxnLst/>
          <a:rect l="0" t="0" r="0" b="0"/>
          <a:pathLst>
            <a:path>
              <a:moveTo>
                <a:pt x="45720" y="45720"/>
              </a:moveTo>
              <a:lnTo>
                <a:pt x="45720" y="99853"/>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F761D2-86CD-5A48-8073-31FB131BE757}">
      <dsp:nvSpPr>
        <dsp:cNvPr id="0" name=""/>
        <dsp:cNvSpPr/>
      </dsp:nvSpPr>
      <dsp:spPr>
        <a:xfrm>
          <a:off x="1019314" y="1061595"/>
          <a:ext cx="692995" cy="91440"/>
        </a:xfrm>
        <a:custGeom>
          <a:avLst/>
          <a:gdLst/>
          <a:ahLst/>
          <a:cxnLst/>
          <a:rect l="0" t="0" r="0" b="0"/>
          <a:pathLst>
            <a:path>
              <a:moveTo>
                <a:pt x="0" y="45720"/>
              </a:moveTo>
              <a:lnTo>
                <a:pt x="0" y="82610"/>
              </a:lnTo>
              <a:lnTo>
                <a:pt x="692995" y="82610"/>
              </a:lnTo>
              <a:lnTo>
                <a:pt x="692995" y="9985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66AF4-AF6F-F142-849C-6864C021AD03}">
      <dsp:nvSpPr>
        <dsp:cNvPr id="0" name=""/>
        <dsp:cNvSpPr/>
      </dsp:nvSpPr>
      <dsp:spPr>
        <a:xfrm>
          <a:off x="973594" y="1061595"/>
          <a:ext cx="91440" cy="91440"/>
        </a:xfrm>
        <a:custGeom>
          <a:avLst/>
          <a:gdLst/>
          <a:ahLst/>
          <a:cxnLst/>
          <a:rect l="0" t="0" r="0" b="0"/>
          <a:pathLst>
            <a:path>
              <a:moveTo>
                <a:pt x="45720" y="45720"/>
              </a:moveTo>
              <a:lnTo>
                <a:pt x="45720" y="9985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3A809A-3B6D-0A4D-B097-7C9AA729141B}">
      <dsp:nvSpPr>
        <dsp:cNvPr id="0" name=""/>
        <dsp:cNvSpPr/>
      </dsp:nvSpPr>
      <dsp:spPr>
        <a:xfrm>
          <a:off x="326318" y="1061595"/>
          <a:ext cx="692995" cy="91440"/>
        </a:xfrm>
        <a:custGeom>
          <a:avLst/>
          <a:gdLst/>
          <a:ahLst/>
          <a:cxnLst/>
          <a:rect l="0" t="0" r="0" b="0"/>
          <a:pathLst>
            <a:path>
              <a:moveTo>
                <a:pt x="692995" y="45720"/>
              </a:moveTo>
              <a:lnTo>
                <a:pt x="692995" y="82610"/>
              </a:lnTo>
              <a:lnTo>
                <a:pt x="0" y="82610"/>
              </a:lnTo>
              <a:lnTo>
                <a:pt x="0" y="9985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3E44BE-5947-934F-91C3-1F4B50DBF773}">
      <dsp:nvSpPr>
        <dsp:cNvPr id="0" name=""/>
        <dsp:cNvSpPr/>
      </dsp:nvSpPr>
      <dsp:spPr>
        <a:xfrm>
          <a:off x="1019314" y="772205"/>
          <a:ext cx="2078987" cy="91440"/>
        </a:xfrm>
        <a:custGeom>
          <a:avLst/>
          <a:gdLst/>
          <a:ahLst/>
          <a:cxnLst/>
          <a:rect l="0" t="0" r="0" b="0"/>
          <a:pathLst>
            <a:path>
              <a:moveTo>
                <a:pt x="2078987" y="45720"/>
              </a:moveTo>
              <a:lnTo>
                <a:pt x="2078987" y="82610"/>
              </a:lnTo>
              <a:lnTo>
                <a:pt x="0" y="82610"/>
              </a:lnTo>
              <a:lnTo>
                <a:pt x="0" y="99853"/>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F5DBF8-2F76-6742-8707-24450A6592EC}">
      <dsp:nvSpPr>
        <dsp:cNvPr id="0" name=""/>
        <dsp:cNvSpPr/>
      </dsp:nvSpPr>
      <dsp:spPr>
        <a:xfrm>
          <a:off x="2689974" y="199509"/>
          <a:ext cx="816653" cy="618415"/>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0E5713-15AC-064B-BF20-BE1D08090422}">
      <dsp:nvSpPr>
        <dsp:cNvPr id="0" name=""/>
        <dsp:cNvSpPr/>
      </dsp:nvSpPr>
      <dsp:spPr>
        <a:xfrm>
          <a:off x="2710656" y="219157"/>
          <a:ext cx="816653" cy="618415"/>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Goal</a:t>
          </a:r>
          <a:endParaRPr lang="ru-RU" sz="1200" kern="1200">
            <a:latin typeface="Times New Roman" panose="02020603050405020304" pitchFamily="18" charset="0"/>
            <a:cs typeface="Times New Roman" panose="02020603050405020304" pitchFamily="18" charset="0"/>
          </a:endParaRPr>
        </a:p>
      </dsp:txBody>
      <dsp:txXfrm>
        <a:off x="2728769" y="237270"/>
        <a:ext cx="780427" cy="582189"/>
      </dsp:txXfrm>
    </dsp:sp>
    <dsp:sp modelId="{1F2497F8-796E-A242-8CF2-6C43845866A4}">
      <dsp:nvSpPr>
        <dsp:cNvPr id="0" name=""/>
        <dsp:cNvSpPr/>
      </dsp:nvSpPr>
      <dsp:spPr>
        <a:xfrm>
          <a:off x="693497" y="872058"/>
          <a:ext cx="651633" cy="23525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C04B55-700A-2B42-B302-4323B1E68019}">
      <dsp:nvSpPr>
        <dsp:cNvPr id="0" name=""/>
        <dsp:cNvSpPr/>
      </dsp:nvSpPr>
      <dsp:spPr>
        <a:xfrm>
          <a:off x="714178" y="891705"/>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Criterion 1</a:t>
          </a:r>
          <a:endParaRPr lang="ru-RU" sz="1100" kern="1200">
            <a:latin typeface="Times New Roman" panose="02020603050405020304" pitchFamily="18" charset="0"/>
            <a:cs typeface="Times New Roman" panose="02020603050405020304" pitchFamily="18" charset="0"/>
          </a:endParaRPr>
        </a:p>
      </dsp:txBody>
      <dsp:txXfrm>
        <a:off x="721068" y="898595"/>
        <a:ext cx="637853" cy="221477"/>
      </dsp:txXfrm>
    </dsp:sp>
    <dsp:sp modelId="{68F860DF-9BD5-EF46-BFD5-41124E5834F4}">
      <dsp:nvSpPr>
        <dsp:cNvPr id="0" name=""/>
        <dsp:cNvSpPr/>
      </dsp:nvSpPr>
      <dsp:spPr>
        <a:xfrm>
          <a:off x="501" y="1161448"/>
          <a:ext cx="651633" cy="23525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080705-6E06-E141-A57F-456028BBA13B}">
      <dsp:nvSpPr>
        <dsp:cNvPr id="0" name=""/>
        <dsp:cNvSpPr/>
      </dsp:nvSpPr>
      <dsp:spPr>
        <a:xfrm>
          <a:off x="21183" y="1181096"/>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Alternative 1</a:t>
          </a:r>
          <a:endParaRPr lang="ru-RU" sz="1100" kern="1200">
            <a:latin typeface="Times New Roman" panose="02020603050405020304" pitchFamily="18" charset="0"/>
            <a:cs typeface="Times New Roman" panose="02020603050405020304" pitchFamily="18" charset="0"/>
          </a:endParaRPr>
        </a:p>
      </dsp:txBody>
      <dsp:txXfrm>
        <a:off x="28073" y="1187986"/>
        <a:ext cx="637853" cy="221477"/>
      </dsp:txXfrm>
    </dsp:sp>
    <dsp:sp modelId="{212761F2-8056-2B41-B1BE-F89D1B43AD0A}">
      <dsp:nvSpPr>
        <dsp:cNvPr id="0" name=""/>
        <dsp:cNvSpPr/>
      </dsp:nvSpPr>
      <dsp:spPr>
        <a:xfrm>
          <a:off x="693497" y="1161448"/>
          <a:ext cx="651633" cy="23525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363EFD-007D-D64A-8C1E-58BE5DB970DD}">
      <dsp:nvSpPr>
        <dsp:cNvPr id="0" name=""/>
        <dsp:cNvSpPr/>
      </dsp:nvSpPr>
      <dsp:spPr>
        <a:xfrm>
          <a:off x="714178" y="1181096"/>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Alternative 2</a:t>
          </a:r>
          <a:endParaRPr lang="ru-RU" sz="1100" kern="1200">
            <a:latin typeface="Times New Roman" panose="02020603050405020304" pitchFamily="18" charset="0"/>
            <a:cs typeface="Times New Roman" panose="02020603050405020304" pitchFamily="18" charset="0"/>
          </a:endParaRPr>
        </a:p>
      </dsp:txBody>
      <dsp:txXfrm>
        <a:off x="721068" y="1187986"/>
        <a:ext cx="637853" cy="221477"/>
      </dsp:txXfrm>
    </dsp:sp>
    <dsp:sp modelId="{569DCE40-B31F-1B42-8076-8F6E76F17528}">
      <dsp:nvSpPr>
        <dsp:cNvPr id="0" name=""/>
        <dsp:cNvSpPr/>
      </dsp:nvSpPr>
      <dsp:spPr>
        <a:xfrm>
          <a:off x="1386493" y="1161448"/>
          <a:ext cx="651633" cy="23525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F2855F-CC51-3945-A377-7A013A913DB6}">
      <dsp:nvSpPr>
        <dsp:cNvPr id="0" name=""/>
        <dsp:cNvSpPr/>
      </dsp:nvSpPr>
      <dsp:spPr>
        <a:xfrm>
          <a:off x="1407174" y="1181096"/>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Alternative3</a:t>
          </a:r>
          <a:endParaRPr lang="ru-RU" sz="1100" kern="1200">
            <a:latin typeface="Times New Roman" panose="02020603050405020304" pitchFamily="18" charset="0"/>
            <a:cs typeface="Times New Roman" panose="02020603050405020304" pitchFamily="18" charset="0"/>
          </a:endParaRPr>
        </a:p>
      </dsp:txBody>
      <dsp:txXfrm>
        <a:off x="1414064" y="1187986"/>
        <a:ext cx="637853" cy="221477"/>
      </dsp:txXfrm>
    </dsp:sp>
    <dsp:sp modelId="{91AE157C-D9A3-404B-A58D-6AD3776DBC8B}">
      <dsp:nvSpPr>
        <dsp:cNvPr id="0" name=""/>
        <dsp:cNvSpPr/>
      </dsp:nvSpPr>
      <dsp:spPr>
        <a:xfrm>
          <a:off x="2772485" y="872058"/>
          <a:ext cx="651633" cy="23525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1D3764-19D3-0C42-B422-4144C76442A1}">
      <dsp:nvSpPr>
        <dsp:cNvPr id="0" name=""/>
        <dsp:cNvSpPr/>
      </dsp:nvSpPr>
      <dsp:spPr>
        <a:xfrm>
          <a:off x="2793166" y="891705"/>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Criterion 2</a:t>
          </a:r>
          <a:endParaRPr lang="ru-RU" sz="1100" kern="1200">
            <a:latin typeface="Times New Roman" panose="02020603050405020304" pitchFamily="18" charset="0"/>
            <a:cs typeface="Times New Roman" panose="02020603050405020304" pitchFamily="18" charset="0"/>
          </a:endParaRPr>
        </a:p>
      </dsp:txBody>
      <dsp:txXfrm>
        <a:off x="2800056" y="898595"/>
        <a:ext cx="637853" cy="221477"/>
      </dsp:txXfrm>
    </dsp:sp>
    <dsp:sp modelId="{6E9130DC-A14D-CA49-B921-7204A426E656}">
      <dsp:nvSpPr>
        <dsp:cNvPr id="0" name=""/>
        <dsp:cNvSpPr/>
      </dsp:nvSpPr>
      <dsp:spPr>
        <a:xfrm>
          <a:off x="2079489" y="1161448"/>
          <a:ext cx="651633" cy="23525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713B52-B9E5-6D42-80F2-220165708A59}">
      <dsp:nvSpPr>
        <dsp:cNvPr id="0" name=""/>
        <dsp:cNvSpPr/>
      </dsp:nvSpPr>
      <dsp:spPr>
        <a:xfrm>
          <a:off x="2100170" y="1181096"/>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Alternative 1</a:t>
          </a:r>
          <a:endParaRPr lang="ru-RU" sz="1100" kern="1200">
            <a:latin typeface="Times New Roman" panose="02020603050405020304" pitchFamily="18" charset="0"/>
            <a:cs typeface="Times New Roman" panose="02020603050405020304" pitchFamily="18" charset="0"/>
          </a:endParaRPr>
        </a:p>
      </dsp:txBody>
      <dsp:txXfrm>
        <a:off x="2107060" y="1187986"/>
        <a:ext cx="637853" cy="221477"/>
      </dsp:txXfrm>
    </dsp:sp>
    <dsp:sp modelId="{A84D2051-B2D1-D445-961F-EA67B098AEDE}">
      <dsp:nvSpPr>
        <dsp:cNvPr id="0" name=""/>
        <dsp:cNvSpPr/>
      </dsp:nvSpPr>
      <dsp:spPr>
        <a:xfrm>
          <a:off x="2772485" y="1161448"/>
          <a:ext cx="651633" cy="23525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E0AB18-92FF-F446-A8DF-D6620DCA1CB9}">
      <dsp:nvSpPr>
        <dsp:cNvPr id="0" name=""/>
        <dsp:cNvSpPr/>
      </dsp:nvSpPr>
      <dsp:spPr>
        <a:xfrm>
          <a:off x="2793166" y="1181096"/>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Alternative 2</a:t>
          </a:r>
          <a:endParaRPr lang="ru-RU" sz="1100" kern="1200">
            <a:latin typeface="Times New Roman" panose="02020603050405020304" pitchFamily="18" charset="0"/>
            <a:cs typeface="Times New Roman" panose="02020603050405020304" pitchFamily="18" charset="0"/>
          </a:endParaRPr>
        </a:p>
      </dsp:txBody>
      <dsp:txXfrm>
        <a:off x="2800056" y="1187986"/>
        <a:ext cx="637853" cy="221477"/>
      </dsp:txXfrm>
    </dsp:sp>
    <dsp:sp modelId="{028001E7-91F1-724C-AA77-C9BBF2680926}">
      <dsp:nvSpPr>
        <dsp:cNvPr id="0" name=""/>
        <dsp:cNvSpPr/>
      </dsp:nvSpPr>
      <dsp:spPr>
        <a:xfrm>
          <a:off x="3465481" y="1161448"/>
          <a:ext cx="651633" cy="23525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AAA7BC-0C50-B149-B0B3-1567C5367E84}">
      <dsp:nvSpPr>
        <dsp:cNvPr id="0" name=""/>
        <dsp:cNvSpPr/>
      </dsp:nvSpPr>
      <dsp:spPr>
        <a:xfrm>
          <a:off x="3486162" y="1181096"/>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Alternative 3</a:t>
          </a:r>
          <a:endParaRPr lang="ru-RU" sz="1100" kern="1200">
            <a:latin typeface="Times New Roman" panose="02020603050405020304" pitchFamily="18" charset="0"/>
            <a:cs typeface="Times New Roman" panose="02020603050405020304" pitchFamily="18" charset="0"/>
          </a:endParaRPr>
        </a:p>
      </dsp:txBody>
      <dsp:txXfrm>
        <a:off x="3493052" y="1187986"/>
        <a:ext cx="637853" cy="221477"/>
      </dsp:txXfrm>
    </dsp:sp>
    <dsp:sp modelId="{AE5A1695-5863-1146-82B0-E516CD7577BA}">
      <dsp:nvSpPr>
        <dsp:cNvPr id="0" name=""/>
        <dsp:cNvSpPr/>
      </dsp:nvSpPr>
      <dsp:spPr>
        <a:xfrm>
          <a:off x="4851472" y="872058"/>
          <a:ext cx="651633" cy="23525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E77718-5906-A545-A962-26E7A3FF1CD3}">
      <dsp:nvSpPr>
        <dsp:cNvPr id="0" name=""/>
        <dsp:cNvSpPr/>
      </dsp:nvSpPr>
      <dsp:spPr>
        <a:xfrm>
          <a:off x="4872154" y="891705"/>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Criterion 3</a:t>
          </a:r>
          <a:endParaRPr lang="ru-RU" sz="1100" kern="1200">
            <a:latin typeface="Times New Roman" panose="02020603050405020304" pitchFamily="18" charset="0"/>
            <a:cs typeface="Times New Roman" panose="02020603050405020304" pitchFamily="18" charset="0"/>
          </a:endParaRPr>
        </a:p>
      </dsp:txBody>
      <dsp:txXfrm>
        <a:off x="4879044" y="898595"/>
        <a:ext cx="637853" cy="221477"/>
      </dsp:txXfrm>
    </dsp:sp>
    <dsp:sp modelId="{3AD9F72D-7410-F04F-A541-DF3822BA5BB8}">
      <dsp:nvSpPr>
        <dsp:cNvPr id="0" name=""/>
        <dsp:cNvSpPr/>
      </dsp:nvSpPr>
      <dsp:spPr>
        <a:xfrm>
          <a:off x="4158476" y="1161448"/>
          <a:ext cx="651633" cy="23525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7CD5D9-5445-E544-BB4A-6A95C1CB19BB}">
      <dsp:nvSpPr>
        <dsp:cNvPr id="0" name=""/>
        <dsp:cNvSpPr/>
      </dsp:nvSpPr>
      <dsp:spPr>
        <a:xfrm>
          <a:off x="4179158" y="1181096"/>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Alternative 1</a:t>
          </a:r>
          <a:endParaRPr lang="ru-RU" sz="1100" kern="1200">
            <a:latin typeface="Times New Roman" panose="02020603050405020304" pitchFamily="18" charset="0"/>
            <a:cs typeface="Times New Roman" panose="02020603050405020304" pitchFamily="18" charset="0"/>
          </a:endParaRPr>
        </a:p>
      </dsp:txBody>
      <dsp:txXfrm>
        <a:off x="4186048" y="1187986"/>
        <a:ext cx="637853" cy="221477"/>
      </dsp:txXfrm>
    </dsp:sp>
    <dsp:sp modelId="{B6485415-6192-4247-A0FB-2126BBABF3F2}">
      <dsp:nvSpPr>
        <dsp:cNvPr id="0" name=""/>
        <dsp:cNvSpPr/>
      </dsp:nvSpPr>
      <dsp:spPr>
        <a:xfrm>
          <a:off x="4851472" y="1161448"/>
          <a:ext cx="651633" cy="23525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C92CB3-EDA5-D44E-A163-9ADEF495361C}">
      <dsp:nvSpPr>
        <dsp:cNvPr id="0" name=""/>
        <dsp:cNvSpPr/>
      </dsp:nvSpPr>
      <dsp:spPr>
        <a:xfrm>
          <a:off x="4872154" y="1181096"/>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Alternative 2</a:t>
          </a:r>
          <a:endParaRPr lang="ru-RU" sz="1100" kern="1200">
            <a:latin typeface="Times New Roman" panose="02020603050405020304" pitchFamily="18" charset="0"/>
            <a:cs typeface="Times New Roman" panose="02020603050405020304" pitchFamily="18" charset="0"/>
          </a:endParaRPr>
        </a:p>
      </dsp:txBody>
      <dsp:txXfrm>
        <a:off x="4879044" y="1187986"/>
        <a:ext cx="637853" cy="221477"/>
      </dsp:txXfrm>
    </dsp:sp>
    <dsp:sp modelId="{78E9D969-514E-7245-B37E-887535B96F03}">
      <dsp:nvSpPr>
        <dsp:cNvPr id="0" name=""/>
        <dsp:cNvSpPr/>
      </dsp:nvSpPr>
      <dsp:spPr>
        <a:xfrm>
          <a:off x="5544468" y="1161448"/>
          <a:ext cx="651633" cy="23525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CFF630-C906-574F-9779-87BDC9523E8D}">
      <dsp:nvSpPr>
        <dsp:cNvPr id="0" name=""/>
        <dsp:cNvSpPr/>
      </dsp:nvSpPr>
      <dsp:spPr>
        <a:xfrm>
          <a:off x="5565149" y="1181096"/>
          <a:ext cx="651633" cy="23525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Alternative 3</a:t>
          </a:r>
          <a:endParaRPr lang="ru-RU" sz="1100" kern="1200">
            <a:latin typeface="Times New Roman" panose="02020603050405020304" pitchFamily="18" charset="0"/>
            <a:cs typeface="Times New Roman" panose="02020603050405020304" pitchFamily="18" charset="0"/>
          </a:endParaRPr>
        </a:p>
      </dsp:txBody>
      <dsp:txXfrm>
        <a:off x="5572039" y="1187986"/>
        <a:ext cx="637853" cy="22147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D6AAE-458B-8242-AE36-DBAC401353B7}">
      <dsp:nvSpPr>
        <dsp:cNvPr id="0" name=""/>
        <dsp:cNvSpPr/>
      </dsp:nvSpPr>
      <dsp:spPr>
        <a:xfrm>
          <a:off x="2820088" y="1567808"/>
          <a:ext cx="130782" cy="1442213"/>
        </a:xfrm>
        <a:custGeom>
          <a:avLst/>
          <a:gdLst/>
          <a:ahLst/>
          <a:cxnLst/>
          <a:rect l="0" t="0" r="0" b="0"/>
          <a:pathLst>
            <a:path>
              <a:moveTo>
                <a:pt x="0" y="0"/>
              </a:moveTo>
              <a:lnTo>
                <a:pt x="65391" y="0"/>
              </a:lnTo>
              <a:lnTo>
                <a:pt x="65391" y="1442213"/>
              </a:lnTo>
              <a:lnTo>
                <a:pt x="130782" y="14422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49276" y="2252711"/>
        <a:ext cx="72406" cy="72406"/>
      </dsp:txXfrm>
    </dsp:sp>
    <dsp:sp modelId="{BE8A1301-37B7-534B-AB79-CB625BB67310}">
      <dsp:nvSpPr>
        <dsp:cNvPr id="0" name=""/>
        <dsp:cNvSpPr/>
      </dsp:nvSpPr>
      <dsp:spPr>
        <a:xfrm>
          <a:off x="2820088" y="1567808"/>
          <a:ext cx="130782" cy="1128304"/>
        </a:xfrm>
        <a:custGeom>
          <a:avLst/>
          <a:gdLst/>
          <a:ahLst/>
          <a:cxnLst/>
          <a:rect l="0" t="0" r="0" b="0"/>
          <a:pathLst>
            <a:path>
              <a:moveTo>
                <a:pt x="0" y="0"/>
              </a:moveTo>
              <a:lnTo>
                <a:pt x="65391" y="0"/>
              </a:lnTo>
              <a:lnTo>
                <a:pt x="65391" y="1128304"/>
              </a:lnTo>
              <a:lnTo>
                <a:pt x="130782" y="11283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57083" y="2103564"/>
        <a:ext cx="56792" cy="56792"/>
      </dsp:txXfrm>
    </dsp:sp>
    <dsp:sp modelId="{957BD0B2-3428-DE43-B324-214B93069299}">
      <dsp:nvSpPr>
        <dsp:cNvPr id="0" name=""/>
        <dsp:cNvSpPr/>
      </dsp:nvSpPr>
      <dsp:spPr>
        <a:xfrm>
          <a:off x="2820088" y="1567808"/>
          <a:ext cx="130782" cy="838426"/>
        </a:xfrm>
        <a:custGeom>
          <a:avLst/>
          <a:gdLst/>
          <a:ahLst/>
          <a:cxnLst/>
          <a:rect l="0" t="0" r="0" b="0"/>
          <a:pathLst>
            <a:path>
              <a:moveTo>
                <a:pt x="0" y="0"/>
              </a:moveTo>
              <a:lnTo>
                <a:pt x="65391" y="0"/>
              </a:lnTo>
              <a:lnTo>
                <a:pt x="65391" y="838426"/>
              </a:lnTo>
              <a:lnTo>
                <a:pt x="130782" y="83842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64265" y="1965807"/>
        <a:ext cx="42428" cy="42428"/>
      </dsp:txXfrm>
    </dsp:sp>
    <dsp:sp modelId="{B3B45AC7-889A-D344-B7A1-5FE43FB10D98}">
      <dsp:nvSpPr>
        <dsp:cNvPr id="0" name=""/>
        <dsp:cNvSpPr/>
      </dsp:nvSpPr>
      <dsp:spPr>
        <a:xfrm>
          <a:off x="2820088" y="1567808"/>
          <a:ext cx="130782" cy="589221"/>
        </a:xfrm>
        <a:custGeom>
          <a:avLst/>
          <a:gdLst/>
          <a:ahLst/>
          <a:cxnLst/>
          <a:rect l="0" t="0" r="0" b="0"/>
          <a:pathLst>
            <a:path>
              <a:moveTo>
                <a:pt x="0" y="0"/>
              </a:moveTo>
              <a:lnTo>
                <a:pt x="65391" y="0"/>
              </a:lnTo>
              <a:lnTo>
                <a:pt x="65391" y="589221"/>
              </a:lnTo>
              <a:lnTo>
                <a:pt x="130782" y="5892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70390" y="1847330"/>
        <a:ext cx="30178" cy="30178"/>
      </dsp:txXfrm>
    </dsp:sp>
    <dsp:sp modelId="{7C41BDC2-C437-B44D-A329-9EA31340FCBE}">
      <dsp:nvSpPr>
        <dsp:cNvPr id="0" name=""/>
        <dsp:cNvSpPr/>
      </dsp:nvSpPr>
      <dsp:spPr>
        <a:xfrm>
          <a:off x="2820088" y="1567808"/>
          <a:ext cx="130782" cy="340017"/>
        </a:xfrm>
        <a:custGeom>
          <a:avLst/>
          <a:gdLst/>
          <a:ahLst/>
          <a:cxnLst/>
          <a:rect l="0" t="0" r="0" b="0"/>
          <a:pathLst>
            <a:path>
              <a:moveTo>
                <a:pt x="0" y="0"/>
              </a:moveTo>
              <a:lnTo>
                <a:pt x="65391" y="0"/>
              </a:lnTo>
              <a:lnTo>
                <a:pt x="65391" y="340017"/>
              </a:lnTo>
              <a:lnTo>
                <a:pt x="130782" y="3400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76371" y="1728709"/>
        <a:ext cx="18215" cy="18215"/>
      </dsp:txXfrm>
    </dsp:sp>
    <dsp:sp modelId="{3BAD75AD-B520-DF49-BA4F-531254AFF3B6}">
      <dsp:nvSpPr>
        <dsp:cNvPr id="0" name=""/>
        <dsp:cNvSpPr/>
      </dsp:nvSpPr>
      <dsp:spPr>
        <a:xfrm>
          <a:off x="2820088" y="1522088"/>
          <a:ext cx="130782" cy="91440"/>
        </a:xfrm>
        <a:custGeom>
          <a:avLst/>
          <a:gdLst/>
          <a:ahLst/>
          <a:cxnLst/>
          <a:rect l="0" t="0" r="0" b="0"/>
          <a:pathLst>
            <a:path>
              <a:moveTo>
                <a:pt x="0" y="45720"/>
              </a:moveTo>
              <a:lnTo>
                <a:pt x="65391" y="45720"/>
              </a:lnTo>
              <a:lnTo>
                <a:pt x="65391" y="105746"/>
              </a:lnTo>
              <a:lnTo>
                <a:pt x="130782" y="1057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81881" y="1564210"/>
        <a:ext cx="7195" cy="7195"/>
      </dsp:txXfrm>
    </dsp:sp>
    <dsp:sp modelId="{40038C64-180F-084C-B43B-FFB811B066C3}">
      <dsp:nvSpPr>
        <dsp:cNvPr id="0" name=""/>
        <dsp:cNvSpPr/>
      </dsp:nvSpPr>
      <dsp:spPr>
        <a:xfrm>
          <a:off x="2820088" y="1315315"/>
          <a:ext cx="130782" cy="252493"/>
        </a:xfrm>
        <a:custGeom>
          <a:avLst/>
          <a:gdLst/>
          <a:ahLst/>
          <a:cxnLst/>
          <a:rect l="0" t="0" r="0" b="0"/>
          <a:pathLst>
            <a:path>
              <a:moveTo>
                <a:pt x="0" y="252493"/>
              </a:moveTo>
              <a:lnTo>
                <a:pt x="65391" y="252493"/>
              </a:lnTo>
              <a:lnTo>
                <a:pt x="65391" y="0"/>
              </a:lnTo>
              <a:lnTo>
                <a:pt x="13078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78370" y="1434452"/>
        <a:ext cx="14217" cy="14217"/>
      </dsp:txXfrm>
    </dsp:sp>
    <dsp:sp modelId="{7B2E137B-CF53-EB44-8AE7-100DB3ACD83C}">
      <dsp:nvSpPr>
        <dsp:cNvPr id="0" name=""/>
        <dsp:cNvSpPr/>
      </dsp:nvSpPr>
      <dsp:spPr>
        <a:xfrm>
          <a:off x="3604784" y="958486"/>
          <a:ext cx="130782" cy="91440"/>
        </a:xfrm>
        <a:custGeom>
          <a:avLst/>
          <a:gdLst/>
          <a:ahLst/>
          <a:cxnLst/>
          <a:rect l="0" t="0" r="0" b="0"/>
          <a:pathLst>
            <a:path>
              <a:moveTo>
                <a:pt x="0" y="45720"/>
              </a:moveTo>
              <a:lnTo>
                <a:pt x="13078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66906" y="1000937"/>
        <a:ext cx="6539" cy="6539"/>
      </dsp:txXfrm>
    </dsp:sp>
    <dsp:sp modelId="{27E60DFC-626D-CF40-9769-A7B3E8812391}">
      <dsp:nvSpPr>
        <dsp:cNvPr id="0" name=""/>
        <dsp:cNvSpPr/>
      </dsp:nvSpPr>
      <dsp:spPr>
        <a:xfrm>
          <a:off x="2820088" y="1004206"/>
          <a:ext cx="130782" cy="563601"/>
        </a:xfrm>
        <a:custGeom>
          <a:avLst/>
          <a:gdLst/>
          <a:ahLst/>
          <a:cxnLst/>
          <a:rect l="0" t="0" r="0" b="0"/>
          <a:pathLst>
            <a:path>
              <a:moveTo>
                <a:pt x="0" y="563601"/>
              </a:moveTo>
              <a:lnTo>
                <a:pt x="65391" y="563601"/>
              </a:lnTo>
              <a:lnTo>
                <a:pt x="65391" y="0"/>
              </a:lnTo>
              <a:lnTo>
                <a:pt x="13078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71015" y="1271543"/>
        <a:ext cx="28928" cy="28928"/>
      </dsp:txXfrm>
    </dsp:sp>
    <dsp:sp modelId="{2EBA1326-992A-EB48-90CC-61C68AAAA5FE}">
      <dsp:nvSpPr>
        <dsp:cNvPr id="0" name=""/>
        <dsp:cNvSpPr/>
      </dsp:nvSpPr>
      <dsp:spPr>
        <a:xfrm>
          <a:off x="2820088" y="688127"/>
          <a:ext cx="130782" cy="879681"/>
        </a:xfrm>
        <a:custGeom>
          <a:avLst/>
          <a:gdLst/>
          <a:ahLst/>
          <a:cxnLst/>
          <a:rect l="0" t="0" r="0" b="0"/>
          <a:pathLst>
            <a:path>
              <a:moveTo>
                <a:pt x="0" y="879681"/>
              </a:moveTo>
              <a:lnTo>
                <a:pt x="65391" y="879681"/>
              </a:lnTo>
              <a:lnTo>
                <a:pt x="65391" y="0"/>
              </a:lnTo>
              <a:lnTo>
                <a:pt x="13078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63245" y="1105734"/>
        <a:ext cx="44467" cy="44467"/>
      </dsp:txXfrm>
    </dsp:sp>
    <dsp:sp modelId="{F1914590-53DD-9247-8FFC-320ACA56DB20}">
      <dsp:nvSpPr>
        <dsp:cNvPr id="0" name=""/>
        <dsp:cNvSpPr/>
      </dsp:nvSpPr>
      <dsp:spPr>
        <a:xfrm>
          <a:off x="2820088" y="376096"/>
          <a:ext cx="130782" cy="1191712"/>
        </a:xfrm>
        <a:custGeom>
          <a:avLst/>
          <a:gdLst/>
          <a:ahLst/>
          <a:cxnLst/>
          <a:rect l="0" t="0" r="0" b="0"/>
          <a:pathLst>
            <a:path>
              <a:moveTo>
                <a:pt x="0" y="1191712"/>
              </a:moveTo>
              <a:lnTo>
                <a:pt x="65391" y="1191712"/>
              </a:lnTo>
              <a:lnTo>
                <a:pt x="65391" y="0"/>
              </a:lnTo>
              <a:lnTo>
                <a:pt x="13078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55507" y="941980"/>
        <a:ext cx="59943" cy="59943"/>
      </dsp:txXfrm>
    </dsp:sp>
    <dsp:sp modelId="{02E7BF89-0312-EA4B-8737-A95B3F8754DC}">
      <dsp:nvSpPr>
        <dsp:cNvPr id="0" name=""/>
        <dsp:cNvSpPr/>
      </dsp:nvSpPr>
      <dsp:spPr>
        <a:xfrm>
          <a:off x="2820088" y="101565"/>
          <a:ext cx="130782" cy="1466243"/>
        </a:xfrm>
        <a:custGeom>
          <a:avLst/>
          <a:gdLst/>
          <a:ahLst/>
          <a:cxnLst/>
          <a:rect l="0" t="0" r="0" b="0"/>
          <a:pathLst>
            <a:path>
              <a:moveTo>
                <a:pt x="0" y="1466243"/>
              </a:moveTo>
              <a:lnTo>
                <a:pt x="65391" y="1466243"/>
              </a:lnTo>
              <a:lnTo>
                <a:pt x="65391" y="0"/>
              </a:lnTo>
              <a:lnTo>
                <a:pt x="13078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48677" y="797885"/>
        <a:ext cx="73603" cy="73603"/>
      </dsp:txXfrm>
    </dsp:sp>
    <dsp:sp modelId="{C7D5A4FC-866A-8F47-A9C5-175436A812E5}">
      <dsp:nvSpPr>
        <dsp:cNvPr id="0" name=""/>
        <dsp:cNvSpPr/>
      </dsp:nvSpPr>
      <dsp:spPr>
        <a:xfrm>
          <a:off x="2035391" y="1522088"/>
          <a:ext cx="130782" cy="91440"/>
        </a:xfrm>
        <a:custGeom>
          <a:avLst/>
          <a:gdLst/>
          <a:ahLst/>
          <a:cxnLst/>
          <a:rect l="0" t="0" r="0" b="0"/>
          <a:pathLst>
            <a:path>
              <a:moveTo>
                <a:pt x="0" y="45720"/>
              </a:moveTo>
              <a:lnTo>
                <a:pt x="13078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97513" y="1564538"/>
        <a:ext cx="6539" cy="6539"/>
      </dsp:txXfrm>
    </dsp:sp>
    <dsp:sp modelId="{04A3486A-4EEB-224A-A732-CCB4D0C0417A}">
      <dsp:nvSpPr>
        <dsp:cNvPr id="0" name=""/>
        <dsp:cNvSpPr/>
      </dsp:nvSpPr>
      <dsp:spPr>
        <a:xfrm>
          <a:off x="1250695" y="1522088"/>
          <a:ext cx="130782" cy="91440"/>
        </a:xfrm>
        <a:custGeom>
          <a:avLst/>
          <a:gdLst/>
          <a:ahLst/>
          <a:cxnLst/>
          <a:rect l="0" t="0" r="0" b="0"/>
          <a:pathLst>
            <a:path>
              <a:moveTo>
                <a:pt x="0" y="45720"/>
              </a:moveTo>
              <a:lnTo>
                <a:pt x="130782"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312817" y="1564538"/>
        <a:ext cx="6539" cy="6539"/>
      </dsp:txXfrm>
    </dsp:sp>
    <dsp:sp modelId="{BFFB0145-388C-D34E-BB76-787FB6977ACB}">
      <dsp:nvSpPr>
        <dsp:cNvPr id="0" name=""/>
        <dsp:cNvSpPr/>
      </dsp:nvSpPr>
      <dsp:spPr>
        <a:xfrm rot="16200000">
          <a:off x="573282" y="1415036"/>
          <a:ext cx="1049283" cy="3055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Ministry of Information and Social Development of the RK</a:t>
          </a:r>
          <a:endParaRPr lang="ru-RU" sz="700" kern="1200">
            <a:latin typeface="Times New Roman" panose="02020603050405020304" pitchFamily="18" charset="0"/>
            <a:cs typeface="Times New Roman" panose="02020603050405020304" pitchFamily="18" charset="0"/>
          </a:endParaRPr>
        </a:p>
      </dsp:txBody>
      <dsp:txXfrm>
        <a:off x="573282" y="1415036"/>
        <a:ext cx="1049283" cy="305543"/>
      </dsp:txXfrm>
    </dsp:sp>
    <dsp:sp modelId="{D7EBD4D9-14A6-0743-84EA-6151ADDC122B}">
      <dsp:nvSpPr>
        <dsp:cNvPr id="0" name=""/>
        <dsp:cNvSpPr/>
      </dsp:nvSpPr>
      <dsp:spPr>
        <a:xfrm>
          <a:off x="1381478" y="1315817"/>
          <a:ext cx="653913" cy="5039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Committee of Religious Affairs </a:t>
          </a:r>
          <a:endParaRPr lang="ru-RU" sz="700" kern="1200">
            <a:latin typeface="Times New Roman" panose="02020603050405020304" pitchFamily="18" charset="0"/>
            <a:cs typeface="Times New Roman" panose="02020603050405020304" pitchFamily="18" charset="0"/>
          </a:endParaRPr>
        </a:p>
      </dsp:txBody>
      <dsp:txXfrm>
        <a:off x="1381478" y="1315817"/>
        <a:ext cx="653913" cy="503981"/>
      </dsp:txXfrm>
    </dsp:sp>
    <dsp:sp modelId="{91836A72-4AC4-6F4A-8D06-4953EEE7B035}">
      <dsp:nvSpPr>
        <dsp:cNvPr id="0" name=""/>
        <dsp:cNvSpPr/>
      </dsp:nvSpPr>
      <dsp:spPr>
        <a:xfrm>
          <a:off x="2166174" y="1328347"/>
          <a:ext cx="653913" cy="4789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 sz="700" kern="1200">
              <a:latin typeface="Times New Roman" panose="02020603050405020304" pitchFamily="18" charset="0"/>
              <a:cs typeface="Times New Roman" panose="02020603050405020304" pitchFamily="18" charset="0"/>
            </a:rPr>
            <a:t>Spiritual Administration of Muslims of Kazakhstan (SAMK)</a:t>
          </a:r>
          <a:endParaRPr lang="ru-RU" sz="700" kern="1200">
            <a:latin typeface="Times New Roman" panose="02020603050405020304" pitchFamily="18" charset="0"/>
            <a:cs typeface="Times New Roman" panose="02020603050405020304" pitchFamily="18" charset="0"/>
          </a:endParaRPr>
        </a:p>
      </dsp:txBody>
      <dsp:txXfrm>
        <a:off x="2166174" y="1328347"/>
        <a:ext cx="653913" cy="478921"/>
      </dsp:txXfrm>
    </dsp:sp>
    <dsp:sp modelId="{991FC06E-40A5-8D44-B60F-6C0716673470}">
      <dsp:nvSpPr>
        <dsp:cNvPr id="0" name=""/>
        <dsp:cNvSpPr/>
      </dsp:nvSpPr>
      <dsp:spPr>
        <a:xfrm>
          <a:off x="2950870" y="1883"/>
          <a:ext cx="653913" cy="1993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Shariah and fatwa Department</a:t>
          </a:r>
          <a:endParaRPr lang="ru-RU" sz="700" kern="1200">
            <a:latin typeface="Times New Roman" panose="02020603050405020304" pitchFamily="18" charset="0"/>
            <a:cs typeface="Times New Roman" panose="02020603050405020304" pitchFamily="18" charset="0"/>
          </a:endParaRPr>
        </a:p>
      </dsp:txBody>
      <dsp:txXfrm>
        <a:off x="2950870" y="1883"/>
        <a:ext cx="653913" cy="199363"/>
      </dsp:txXfrm>
    </dsp:sp>
    <dsp:sp modelId="{4BEFD87C-B04E-4647-90AD-C977864362B2}">
      <dsp:nvSpPr>
        <dsp:cNvPr id="0" name=""/>
        <dsp:cNvSpPr/>
      </dsp:nvSpPr>
      <dsp:spPr>
        <a:xfrm>
          <a:off x="2950870" y="251087"/>
          <a:ext cx="653913" cy="2500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Department of religious education</a:t>
          </a:r>
          <a:endParaRPr lang="ru-RU" sz="700" kern="1200">
            <a:latin typeface="Times New Roman" panose="02020603050405020304" pitchFamily="18" charset="0"/>
            <a:cs typeface="Times New Roman" panose="02020603050405020304" pitchFamily="18" charset="0"/>
          </a:endParaRPr>
        </a:p>
      </dsp:txBody>
      <dsp:txXfrm>
        <a:off x="2950870" y="251087"/>
        <a:ext cx="653913" cy="250016"/>
      </dsp:txXfrm>
    </dsp:sp>
    <dsp:sp modelId="{2EEC5563-D9DE-3541-9C90-8B93E45B08C4}">
      <dsp:nvSpPr>
        <dsp:cNvPr id="0" name=""/>
        <dsp:cNvSpPr/>
      </dsp:nvSpPr>
      <dsp:spPr>
        <a:xfrm>
          <a:off x="2950870" y="550945"/>
          <a:ext cx="653913" cy="2743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Department of religious reabilitation</a:t>
          </a:r>
          <a:endParaRPr lang="ru-RU" sz="700" kern="1200">
            <a:latin typeface="Times New Roman" panose="02020603050405020304" pitchFamily="18" charset="0"/>
            <a:cs typeface="Times New Roman" panose="02020603050405020304" pitchFamily="18" charset="0"/>
          </a:endParaRPr>
        </a:p>
      </dsp:txBody>
      <dsp:txXfrm>
        <a:off x="2950870" y="550945"/>
        <a:ext cx="653913" cy="274364"/>
      </dsp:txXfrm>
    </dsp:sp>
    <dsp:sp modelId="{D7BCA765-3592-004E-9D46-E43BA7279E19}">
      <dsp:nvSpPr>
        <dsp:cNvPr id="0" name=""/>
        <dsp:cNvSpPr/>
      </dsp:nvSpPr>
      <dsp:spPr>
        <a:xfrm>
          <a:off x="2950870" y="875150"/>
          <a:ext cx="653913" cy="2581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Charity (zakat) and Waqf Department</a:t>
          </a:r>
          <a:endParaRPr lang="ru-RU" sz="700" kern="1200">
            <a:latin typeface="Times New Roman" panose="02020603050405020304" pitchFamily="18" charset="0"/>
            <a:cs typeface="Times New Roman" panose="02020603050405020304" pitchFamily="18" charset="0"/>
          </a:endParaRPr>
        </a:p>
      </dsp:txBody>
      <dsp:txXfrm>
        <a:off x="2950870" y="875150"/>
        <a:ext cx="653913" cy="258112"/>
      </dsp:txXfrm>
    </dsp:sp>
    <dsp:sp modelId="{91923923-4AD0-3142-B9F8-CC2F8D02269F}">
      <dsp:nvSpPr>
        <dsp:cNvPr id="0" name=""/>
        <dsp:cNvSpPr/>
      </dsp:nvSpPr>
      <dsp:spPr>
        <a:xfrm>
          <a:off x="3735567" y="779664"/>
          <a:ext cx="805680" cy="449085"/>
        </a:xfrm>
        <a:prstGeom prst="rect">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 sz="700" b="0" i="0" u="none" kern="1200">
              <a:latin typeface="Times New Roman" panose="02020603050405020304" pitchFamily="18" charset="0"/>
              <a:cs typeface="Times New Roman" panose="02020603050405020304" pitchFamily="18" charset="0"/>
            </a:rPr>
            <a:t>Zeket Fund of the Spiritual Administration of Muslims of Kazakhstan</a:t>
          </a:r>
          <a:endParaRPr lang="en" sz="700" kern="1200">
            <a:latin typeface="Times New Roman" panose="02020603050405020304" pitchFamily="18" charset="0"/>
            <a:cs typeface="Times New Roman" panose="02020603050405020304" pitchFamily="18" charset="0"/>
          </a:endParaRPr>
        </a:p>
      </dsp:txBody>
      <dsp:txXfrm>
        <a:off x="3735567" y="779664"/>
        <a:ext cx="805680" cy="449085"/>
      </dsp:txXfrm>
    </dsp:sp>
    <dsp:sp modelId="{77FB60AB-F159-2243-AD62-FEADF838C3E9}">
      <dsp:nvSpPr>
        <dsp:cNvPr id="0" name=""/>
        <dsp:cNvSpPr/>
      </dsp:nvSpPr>
      <dsp:spPr>
        <a:xfrm>
          <a:off x="2950870" y="1183104"/>
          <a:ext cx="653913" cy="2644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 sz="700" kern="1200">
              <a:latin typeface="Times New Roman" panose="02020603050405020304" pitchFamily="18" charset="0"/>
              <a:cs typeface="Times New Roman" panose="02020603050405020304" pitchFamily="18" charset="0"/>
            </a:rPr>
            <a:t>Department of information and public relations</a:t>
          </a:r>
          <a:endParaRPr lang="ru-RU" sz="700" kern="1200">
            <a:latin typeface="Times New Roman" panose="02020603050405020304" pitchFamily="18" charset="0"/>
            <a:cs typeface="Times New Roman" panose="02020603050405020304" pitchFamily="18" charset="0"/>
          </a:endParaRPr>
        </a:p>
      </dsp:txBody>
      <dsp:txXfrm>
        <a:off x="2950870" y="1183104"/>
        <a:ext cx="653913" cy="264422"/>
      </dsp:txXfrm>
    </dsp:sp>
    <dsp:sp modelId="{5C84EAB1-B1A6-C047-8567-B7263DF24FD3}">
      <dsp:nvSpPr>
        <dsp:cNvPr id="0" name=""/>
        <dsp:cNvSpPr/>
      </dsp:nvSpPr>
      <dsp:spPr>
        <a:xfrm>
          <a:off x="2950870" y="1497367"/>
          <a:ext cx="653913" cy="26093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 sz="700" kern="1200">
              <a:latin typeface="Times New Roman" panose="02020603050405020304" pitchFamily="18" charset="0"/>
              <a:cs typeface="Times New Roman" panose="02020603050405020304" pitchFamily="18" charset="0"/>
            </a:rPr>
            <a:t>Propaganda and public relations Department</a:t>
          </a:r>
          <a:endParaRPr lang="ru-RU" sz="700" kern="1200">
            <a:latin typeface="Times New Roman" panose="02020603050405020304" pitchFamily="18" charset="0"/>
            <a:cs typeface="Times New Roman" panose="02020603050405020304" pitchFamily="18" charset="0"/>
          </a:endParaRPr>
        </a:p>
      </dsp:txBody>
      <dsp:txXfrm>
        <a:off x="2950870" y="1497367"/>
        <a:ext cx="653913" cy="260935"/>
      </dsp:txXfrm>
    </dsp:sp>
    <dsp:sp modelId="{483ED330-A978-5C40-82B1-E02A53F0F7DC}">
      <dsp:nvSpPr>
        <dsp:cNvPr id="0" name=""/>
        <dsp:cNvSpPr/>
      </dsp:nvSpPr>
      <dsp:spPr>
        <a:xfrm>
          <a:off x="2950870" y="1808143"/>
          <a:ext cx="653913" cy="1993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Hadj Department</a:t>
          </a:r>
          <a:endParaRPr lang="ru-RU" sz="700" kern="1200">
            <a:latin typeface="Times New Roman" panose="02020603050405020304" pitchFamily="18" charset="0"/>
            <a:cs typeface="Times New Roman" panose="02020603050405020304" pitchFamily="18" charset="0"/>
          </a:endParaRPr>
        </a:p>
      </dsp:txBody>
      <dsp:txXfrm>
        <a:off x="2950870" y="1808143"/>
        <a:ext cx="653913" cy="199363"/>
      </dsp:txXfrm>
    </dsp:sp>
    <dsp:sp modelId="{84B4D875-C2A0-374B-A8C5-C846F31A03A6}">
      <dsp:nvSpPr>
        <dsp:cNvPr id="0" name=""/>
        <dsp:cNvSpPr/>
      </dsp:nvSpPr>
      <dsp:spPr>
        <a:xfrm>
          <a:off x="2950870" y="2057348"/>
          <a:ext cx="653913" cy="1993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 sz="700" kern="1200">
              <a:latin typeface="Times New Roman" panose="02020603050405020304" pitchFamily="18" charset="0"/>
              <a:cs typeface="Times New Roman" panose="02020603050405020304" pitchFamily="18" charset="0"/>
            </a:rPr>
            <a:t>Department of mosque Affairs</a:t>
          </a:r>
          <a:endParaRPr lang="ru-RU" sz="700" kern="1200">
            <a:latin typeface="Times New Roman" panose="02020603050405020304" pitchFamily="18" charset="0"/>
            <a:cs typeface="Times New Roman" panose="02020603050405020304" pitchFamily="18" charset="0"/>
          </a:endParaRPr>
        </a:p>
      </dsp:txBody>
      <dsp:txXfrm>
        <a:off x="2950870" y="2057348"/>
        <a:ext cx="653913" cy="199363"/>
      </dsp:txXfrm>
    </dsp:sp>
    <dsp:sp modelId="{0384D194-C782-C747-BACB-B87A891CCC1F}">
      <dsp:nvSpPr>
        <dsp:cNvPr id="0" name=""/>
        <dsp:cNvSpPr/>
      </dsp:nvSpPr>
      <dsp:spPr>
        <a:xfrm>
          <a:off x="2950870" y="2306553"/>
          <a:ext cx="653913" cy="1993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 sz="700" kern="1200">
              <a:latin typeface="Times New Roman" panose="02020603050405020304" pitchFamily="18" charset="0"/>
              <a:cs typeface="Times New Roman" panose="02020603050405020304" pitchFamily="18" charset="0"/>
            </a:rPr>
            <a:t>The Department for recruitment</a:t>
          </a:r>
          <a:endParaRPr lang="ru-RU" sz="700" kern="1200">
            <a:latin typeface="Times New Roman" panose="02020603050405020304" pitchFamily="18" charset="0"/>
            <a:cs typeface="Times New Roman" panose="02020603050405020304" pitchFamily="18" charset="0"/>
          </a:endParaRPr>
        </a:p>
      </dsp:txBody>
      <dsp:txXfrm>
        <a:off x="2950870" y="2306553"/>
        <a:ext cx="653913" cy="199363"/>
      </dsp:txXfrm>
    </dsp:sp>
    <dsp:sp modelId="{374096F7-9F1C-AE44-94A4-12FBD0A930A0}">
      <dsp:nvSpPr>
        <dsp:cNvPr id="0" name=""/>
        <dsp:cNvSpPr/>
      </dsp:nvSpPr>
      <dsp:spPr>
        <a:xfrm>
          <a:off x="2950870" y="2555758"/>
          <a:ext cx="653913" cy="28071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 sz="700" kern="1200">
              <a:latin typeface="Times New Roman" panose="02020603050405020304" pitchFamily="18" charset="0"/>
              <a:cs typeface="Times New Roman" panose="02020603050405020304" pitchFamily="18" charset="0"/>
            </a:rPr>
            <a:t>Publishing and translation Department</a:t>
          </a:r>
          <a:endParaRPr lang="ru-RU" sz="700" kern="1200">
            <a:latin typeface="Times New Roman" panose="02020603050405020304" pitchFamily="18" charset="0"/>
            <a:cs typeface="Times New Roman" panose="02020603050405020304" pitchFamily="18" charset="0"/>
          </a:endParaRPr>
        </a:p>
      </dsp:txBody>
      <dsp:txXfrm>
        <a:off x="2950870" y="2555758"/>
        <a:ext cx="653913" cy="280710"/>
      </dsp:txXfrm>
    </dsp:sp>
    <dsp:sp modelId="{BDB2E1C1-CC6F-0547-8B3A-76347B09CCC8}">
      <dsp:nvSpPr>
        <dsp:cNvPr id="0" name=""/>
        <dsp:cNvSpPr/>
      </dsp:nvSpPr>
      <dsp:spPr>
        <a:xfrm>
          <a:off x="2950870" y="2886309"/>
          <a:ext cx="653913" cy="2474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 sz="700" kern="1200">
              <a:latin typeface="Times New Roman" panose="02020603050405020304" pitchFamily="18" charset="0"/>
              <a:cs typeface="Times New Roman" panose="02020603050405020304" pitchFamily="18" charset="0"/>
            </a:rPr>
            <a:t>Department of religious Affairs and analysis</a:t>
          </a:r>
          <a:endParaRPr lang="ru-RU" sz="700" kern="1200">
            <a:latin typeface="Times New Roman" panose="02020603050405020304" pitchFamily="18" charset="0"/>
            <a:cs typeface="Times New Roman" panose="02020603050405020304" pitchFamily="18" charset="0"/>
          </a:endParaRPr>
        </a:p>
      </dsp:txBody>
      <dsp:txXfrm>
        <a:off x="2950870" y="2886309"/>
        <a:ext cx="653913" cy="2474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408991-EC6F-BF4D-BD1D-C20DDBA57513}">
      <dsp:nvSpPr>
        <dsp:cNvPr id="0" name=""/>
        <dsp:cNvSpPr/>
      </dsp:nvSpPr>
      <dsp:spPr>
        <a:xfrm>
          <a:off x="437760" y="1573"/>
          <a:ext cx="1601311" cy="755451"/>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SDG 8++</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Decent work and Economic growth </a:t>
          </a:r>
          <a:endParaRPr lang="ru-RU" sz="800" kern="1200">
            <a:latin typeface="Times New Roman" panose="02020603050405020304" pitchFamily="18" charset="0"/>
            <a:cs typeface="Times New Roman" panose="02020603050405020304" pitchFamily="18" charset="0"/>
          </a:endParaRPr>
        </a:p>
      </dsp:txBody>
      <dsp:txXfrm>
        <a:off x="815486" y="1573"/>
        <a:ext cx="845860" cy="755451"/>
      </dsp:txXfrm>
    </dsp:sp>
    <dsp:sp modelId="{1C0B9711-FEA1-0242-A45F-165D496601CA}">
      <dsp:nvSpPr>
        <dsp:cNvPr id="0" name=""/>
        <dsp:cNvSpPr/>
      </dsp:nvSpPr>
      <dsp:spPr>
        <a:xfrm>
          <a:off x="1793552" y="70740"/>
          <a:ext cx="3255089" cy="627024"/>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Islamic Finance growth-related impact trough real-sector linkage</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Islamic Finance resilience during crisis</a:t>
          </a:r>
          <a:endParaRPr lang="ru-RU" sz="800" kern="1200">
            <a:latin typeface="Times New Roman" panose="02020603050405020304" pitchFamily="18" charset="0"/>
            <a:cs typeface="Times New Roman" panose="02020603050405020304" pitchFamily="18" charset="0"/>
          </a:endParaRPr>
        </a:p>
      </dsp:txBody>
      <dsp:txXfrm>
        <a:off x="2107064" y="70740"/>
        <a:ext cx="2628065" cy="627024"/>
      </dsp:txXfrm>
    </dsp:sp>
    <dsp:sp modelId="{CFAC848A-B0CA-9146-B943-572E30042643}">
      <dsp:nvSpPr>
        <dsp:cNvPr id="0" name=""/>
        <dsp:cNvSpPr/>
      </dsp:nvSpPr>
      <dsp:spPr>
        <a:xfrm>
          <a:off x="437760" y="862788"/>
          <a:ext cx="1888628" cy="755451"/>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US" sz="700" b="0" kern="1200">
              <a:latin typeface="Times New Roman" panose="02020603050405020304" pitchFamily="18" charset="0"/>
              <a:cs typeface="Times New Roman" panose="02020603050405020304" pitchFamily="18" charset="0"/>
            </a:rPr>
            <a:t>SDG 1No Poverty</a:t>
          </a:r>
        </a:p>
        <a:p>
          <a:pPr marL="0" lvl="0" indent="0" algn="ctr" defTabSz="311150">
            <a:lnSpc>
              <a:spcPct val="90000"/>
            </a:lnSpc>
            <a:spcBef>
              <a:spcPct val="0"/>
            </a:spcBef>
            <a:spcAft>
              <a:spcPct val="35000"/>
            </a:spcAft>
            <a:buNone/>
          </a:pPr>
          <a:r>
            <a:rPr lang="en-US" sz="700" b="0" kern="1200">
              <a:latin typeface="Times New Roman" panose="02020603050405020304" pitchFamily="18" charset="0"/>
              <a:cs typeface="Times New Roman" panose="02020603050405020304" pitchFamily="18" charset="0"/>
            </a:rPr>
            <a:t>SDG 2 Zero Hunger</a:t>
          </a:r>
        </a:p>
        <a:p>
          <a:pPr marL="0" lvl="0" indent="0" algn="ctr" defTabSz="311150">
            <a:lnSpc>
              <a:spcPct val="90000"/>
            </a:lnSpc>
            <a:spcBef>
              <a:spcPct val="0"/>
            </a:spcBef>
            <a:spcAft>
              <a:spcPct val="35000"/>
            </a:spcAft>
            <a:buNone/>
          </a:pPr>
          <a:r>
            <a:rPr lang="en-US" sz="700" b="0" kern="1200">
              <a:latin typeface="Times New Roman" panose="02020603050405020304" pitchFamily="18" charset="0"/>
              <a:cs typeface="Times New Roman" panose="02020603050405020304" pitchFamily="18" charset="0"/>
            </a:rPr>
            <a:t>SDG 3 Good Health and Well-being </a:t>
          </a:r>
        </a:p>
        <a:p>
          <a:pPr marL="0" lvl="0" indent="0" algn="ctr" defTabSz="311150">
            <a:lnSpc>
              <a:spcPct val="90000"/>
            </a:lnSpc>
            <a:spcBef>
              <a:spcPct val="0"/>
            </a:spcBef>
            <a:spcAft>
              <a:spcPct val="35000"/>
            </a:spcAft>
            <a:buNone/>
          </a:pPr>
          <a:r>
            <a:rPr lang="en-US" sz="700" b="0" kern="1200">
              <a:latin typeface="Times New Roman" panose="02020603050405020304" pitchFamily="18" charset="0"/>
              <a:cs typeface="Times New Roman" panose="02020603050405020304" pitchFamily="18" charset="0"/>
            </a:rPr>
            <a:t>SDG 16 Peace Justice and Strong Institutions </a:t>
          </a:r>
          <a:endParaRPr lang="ru-RU" sz="700" b="0" kern="1200">
            <a:latin typeface="Times New Roman" panose="02020603050405020304" pitchFamily="18" charset="0"/>
            <a:cs typeface="Times New Roman" panose="02020603050405020304" pitchFamily="18" charset="0"/>
          </a:endParaRPr>
        </a:p>
      </dsp:txBody>
      <dsp:txXfrm>
        <a:off x="815486" y="862788"/>
        <a:ext cx="1133177" cy="755451"/>
      </dsp:txXfrm>
    </dsp:sp>
    <dsp:sp modelId="{F1E693AD-8B41-CD44-A367-70F762CA6374}">
      <dsp:nvSpPr>
        <dsp:cNvPr id="0" name=""/>
        <dsp:cNvSpPr/>
      </dsp:nvSpPr>
      <dsp:spPr>
        <a:xfrm>
          <a:off x="2080867" y="927002"/>
          <a:ext cx="2914959" cy="627024"/>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Islamic Finance promotion of financial inclusion and more equitable distribution of wealth</a:t>
          </a:r>
          <a:endParaRPr lang="ru-RU" sz="800" kern="1200">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ct val="35000"/>
            </a:spcAft>
            <a:buFont typeface="Calibri" panose="020F0502020204030204" pitchFamily="34" charset="0"/>
            <a:buNone/>
          </a:pPr>
          <a:r>
            <a:rPr lang="en-US" sz="800" kern="1200">
              <a:latin typeface="Times New Roman" panose="02020603050405020304" pitchFamily="18" charset="0"/>
              <a:cs typeface="Times New Roman" panose="02020603050405020304" pitchFamily="18" charset="0"/>
            </a:rPr>
            <a:t>Application of Zakat, Waqf, Sadaqah</a:t>
          </a:r>
          <a:endParaRPr lang="ru-RU" sz="800" kern="1200">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ct val="35000"/>
            </a:spcAft>
            <a:buFont typeface="Calibri" panose="020F0502020204030204" pitchFamily="34" charset="0"/>
            <a:buNone/>
          </a:pPr>
          <a:r>
            <a:rPr lang="en-US" sz="800" kern="1200">
              <a:latin typeface="Times New Roman" panose="02020603050405020304" pitchFamily="18" charset="0"/>
              <a:cs typeface="Times New Roman" panose="02020603050405020304" pitchFamily="18" charset="0"/>
            </a:rPr>
            <a:t>Encouraging circulation of wealth </a:t>
          </a:r>
          <a:endParaRPr lang="ru-RU" sz="800" kern="1200">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ct val="35000"/>
            </a:spcAft>
            <a:buFont typeface="Calibri" panose="020F0502020204030204" pitchFamily="34" charset="0"/>
            <a:buNone/>
          </a:pPr>
          <a:r>
            <a:rPr lang="en-US" sz="800" kern="1200">
              <a:latin typeface="Times New Roman" panose="02020603050405020304" pitchFamily="18" charset="0"/>
              <a:cs typeface="Times New Roman" panose="02020603050405020304" pitchFamily="18" charset="0"/>
            </a:rPr>
            <a:t>Promoting a peaceful and inclusive society</a:t>
          </a:r>
          <a:endParaRPr lang="ru-RU" sz="800" kern="1200">
            <a:latin typeface="Times New Roman" panose="02020603050405020304" pitchFamily="18" charset="0"/>
            <a:cs typeface="Times New Roman" panose="02020603050405020304" pitchFamily="18" charset="0"/>
          </a:endParaRPr>
        </a:p>
      </dsp:txBody>
      <dsp:txXfrm>
        <a:off x="2394379" y="927002"/>
        <a:ext cx="2287935" cy="627024"/>
      </dsp:txXfrm>
    </dsp:sp>
    <dsp:sp modelId="{C27D7E5C-9786-8346-AC95-EC1BE3248198}">
      <dsp:nvSpPr>
        <dsp:cNvPr id="0" name=""/>
        <dsp:cNvSpPr/>
      </dsp:nvSpPr>
      <dsp:spPr>
        <a:xfrm>
          <a:off x="437760" y="1724003"/>
          <a:ext cx="1888628" cy="755451"/>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US" sz="700" b="0" kern="1200">
              <a:latin typeface="Times New Roman" panose="02020603050405020304" pitchFamily="18" charset="0"/>
              <a:cs typeface="Times New Roman" panose="02020603050405020304" pitchFamily="18" charset="0"/>
            </a:rPr>
            <a:t>SDG 6 Reduced Inequality</a:t>
          </a:r>
          <a:endParaRPr lang="ru-RU" sz="700" b="0" kern="1200">
            <a:latin typeface="Times New Roman" panose="02020603050405020304" pitchFamily="18" charset="0"/>
            <a:cs typeface="Times New Roman" panose="02020603050405020304" pitchFamily="18" charset="0"/>
          </a:endParaRPr>
        </a:p>
        <a:p>
          <a:pPr marL="0" lvl="0" indent="0" algn="ctr" defTabSz="311150">
            <a:lnSpc>
              <a:spcPct val="90000"/>
            </a:lnSpc>
            <a:spcBef>
              <a:spcPct val="0"/>
            </a:spcBef>
            <a:spcAft>
              <a:spcPct val="35000"/>
            </a:spcAft>
            <a:buNone/>
          </a:pPr>
          <a:r>
            <a:rPr lang="en-US" sz="700" b="0" kern="1200">
              <a:latin typeface="Times New Roman" panose="02020603050405020304" pitchFamily="18" charset="0"/>
              <a:cs typeface="Times New Roman" panose="02020603050405020304" pitchFamily="18" charset="0"/>
            </a:rPr>
            <a:t>SDG 9 Affordable and Clean energy </a:t>
          </a:r>
          <a:endParaRPr lang="ru-RU" sz="700" b="0" kern="1200">
            <a:latin typeface="Times New Roman" panose="02020603050405020304" pitchFamily="18" charset="0"/>
            <a:cs typeface="Times New Roman" panose="02020603050405020304" pitchFamily="18" charset="0"/>
          </a:endParaRPr>
        </a:p>
        <a:p>
          <a:pPr marL="0" lvl="0" indent="0" algn="ctr" defTabSz="311150">
            <a:lnSpc>
              <a:spcPct val="90000"/>
            </a:lnSpc>
            <a:spcBef>
              <a:spcPct val="0"/>
            </a:spcBef>
            <a:spcAft>
              <a:spcPct val="35000"/>
            </a:spcAft>
            <a:buNone/>
          </a:pPr>
          <a:r>
            <a:rPr lang="en-US" sz="700" b="0" kern="1200">
              <a:latin typeface="Times New Roman" panose="02020603050405020304" pitchFamily="18" charset="0"/>
              <a:cs typeface="Times New Roman" panose="02020603050405020304" pitchFamily="18" charset="0"/>
            </a:rPr>
            <a:t>SDG11 Sustainable Cities and Communities</a:t>
          </a:r>
          <a:endParaRPr lang="ru-RU" sz="700" b="0" kern="1200">
            <a:latin typeface="Times New Roman" panose="02020603050405020304" pitchFamily="18" charset="0"/>
            <a:cs typeface="Times New Roman" panose="02020603050405020304" pitchFamily="18" charset="0"/>
          </a:endParaRPr>
        </a:p>
      </dsp:txBody>
      <dsp:txXfrm>
        <a:off x="815486" y="1724003"/>
        <a:ext cx="1133177" cy="755451"/>
      </dsp:txXfrm>
    </dsp:sp>
    <dsp:sp modelId="{5DE8B1B8-F971-A749-B2FA-EF2015AABACD}">
      <dsp:nvSpPr>
        <dsp:cNvPr id="0" name=""/>
        <dsp:cNvSpPr/>
      </dsp:nvSpPr>
      <dsp:spPr>
        <a:xfrm>
          <a:off x="2080867" y="1788216"/>
          <a:ext cx="2956892" cy="627024"/>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Font typeface="Calibri" panose="020F0502020204030204" pitchFamily="34" charset="0"/>
            <a:buNone/>
          </a:pPr>
          <a:r>
            <a:rPr lang="en-US" sz="800" kern="1200">
              <a:latin typeface="Times New Roman" panose="02020603050405020304" pitchFamily="18" charset="0"/>
              <a:cs typeface="Times New Roman" panose="02020603050405020304" pitchFamily="18" charset="0"/>
            </a:rPr>
            <a:t>A significant portion of the target population are in predominantly Muslim-populated countries</a:t>
          </a:r>
          <a:endParaRPr lang="ru-RU" sz="800" kern="1200">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ct val="35000"/>
            </a:spcAft>
            <a:buFont typeface="Calibri" panose="020F0502020204030204" pitchFamily="34" charset="0"/>
            <a:buNone/>
          </a:pPr>
          <a:r>
            <a:rPr lang="en-US" sz="800" kern="1200">
              <a:latin typeface="Times New Roman" panose="02020603050405020304" pitchFamily="18" charset="0"/>
              <a:cs typeface="Times New Roman" panose="02020603050405020304" pitchFamily="18" charset="0"/>
            </a:rPr>
            <a:t>Sukuk issuance for the development of global infrastructure</a:t>
          </a:r>
          <a:endParaRPr lang="ru-RU" sz="800" kern="1200">
            <a:latin typeface="Times New Roman" panose="02020603050405020304" pitchFamily="18" charset="0"/>
            <a:cs typeface="Times New Roman" panose="02020603050405020304" pitchFamily="18" charset="0"/>
          </a:endParaRPr>
        </a:p>
      </dsp:txBody>
      <dsp:txXfrm>
        <a:off x="2394379" y="1788216"/>
        <a:ext cx="2329868" cy="6270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C7003A-DB31-2E4B-B44B-8952A7D4B186}">
      <dsp:nvSpPr>
        <dsp:cNvPr id="0" name=""/>
        <dsp:cNvSpPr/>
      </dsp:nvSpPr>
      <dsp:spPr>
        <a:xfrm>
          <a:off x="125686" y="275484"/>
          <a:ext cx="957156" cy="47857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President</a:t>
          </a:r>
          <a:endParaRPr lang="ru-RU" sz="900" kern="1200">
            <a:solidFill>
              <a:schemeClr val="tx1"/>
            </a:solidFill>
            <a:latin typeface="Times New Roman" panose="02020603050405020304" pitchFamily="18" charset="0"/>
            <a:cs typeface="Times New Roman" panose="02020603050405020304" pitchFamily="18" charset="0"/>
          </a:endParaRPr>
        </a:p>
      </dsp:txBody>
      <dsp:txXfrm>
        <a:off x="139703" y="289501"/>
        <a:ext cx="929122" cy="450544"/>
      </dsp:txXfrm>
    </dsp:sp>
    <dsp:sp modelId="{0139CA3B-2C3C-B74E-90DC-3C52A68874CC}">
      <dsp:nvSpPr>
        <dsp:cNvPr id="0" name=""/>
        <dsp:cNvSpPr/>
      </dsp:nvSpPr>
      <dsp:spPr>
        <a:xfrm>
          <a:off x="1082843" y="472937"/>
          <a:ext cx="382862" cy="83671"/>
        </a:xfrm>
        <a:custGeom>
          <a:avLst/>
          <a:gdLst/>
          <a:ahLst/>
          <a:cxnLst/>
          <a:rect l="0" t="0" r="0" b="0"/>
          <a:pathLst>
            <a:path>
              <a:moveTo>
                <a:pt x="0" y="41835"/>
              </a:moveTo>
              <a:lnTo>
                <a:pt x="382862" y="4183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chemeClr val="tx1"/>
            </a:solidFill>
            <a:latin typeface="Times New Roman" panose="02020603050405020304" pitchFamily="18" charset="0"/>
            <a:cs typeface="Times New Roman" panose="02020603050405020304" pitchFamily="18" charset="0"/>
          </a:endParaRPr>
        </a:p>
      </dsp:txBody>
      <dsp:txXfrm>
        <a:off x="1264703" y="505201"/>
        <a:ext cx="19143" cy="19143"/>
      </dsp:txXfrm>
    </dsp:sp>
    <dsp:sp modelId="{4A458499-58E7-374D-9CAF-3FA5383C274D}">
      <dsp:nvSpPr>
        <dsp:cNvPr id="0" name=""/>
        <dsp:cNvSpPr/>
      </dsp:nvSpPr>
      <dsp:spPr>
        <a:xfrm>
          <a:off x="1465706" y="275484"/>
          <a:ext cx="957156" cy="47857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Minister of religious affairs </a:t>
          </a:r>
          <a:endParaRPr lang="ru-RU" sz="900" kern="1200">
            <a:solidFill>
              <a:schemeClr val="tx1"/>
            </a:solidFill>
            <a:latin typeface="Times New Roman" panose="02020603050405020304" pitchFamily="18" charset="0"/>
            <a:cs typeface="Times New Roman" panose="02020603050405020304" pitchFamily="18" charset="0"/>
          </a:endParaRPr>
        </a:p>
      </dsp:txBody>
      <dsp:txXfrm>
        <a:off x="1479723" y="289501"/>
        <a:ext cx="929122" cy="450544"/>
      </dsp:txXfrm>
    </dsp:sp>
    <dsp:sp modelId="{6A4B79F5-A8E8-6545-8774-241940C70E55}">
      <dsp:nvSpPr>
        <dsp:cNvPr id="0" name=""/>
        <dsp:cNvSpPr/>
      </dsp:nvSpPr>
      <dsp:spPr>
        <a:xfrm>
          <a:off x="2422863" y="472937"/>
          <a:ext cx="382862" cy="83671"/>
        </a:xfrm>
        <a:custGeom>
          <a:avLst/>
          <a:gdLst/>
          <a:ahLst/>
          <a:cxnLst/>
          <a:rect l="0" t="0" r="0" b="0"/>
          <a:pathLst>
            <a:path>
              <a:moveTo>
                <a:pt x="0" y="41835"/>
              </a:moveTo>
              <a:lnTo>
                <a:pt x="382862" y="4183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chemeClr val="tx1"/>
            </a:solidFill>
            <a:latin typeface="Times New Roman" panose="02020603050405020304" pitchFamily="18" charset="0"/>
            <a:cs typeface="Times New Roman" panose="02020603050405020304" pitchFamily="18" charset="0"/>
          </a:endParaRPr>
        </a:p>
      </dsp:txBody>
      <dsp:txXfrm>
        <a:off x="2604723" y="505201"/>
        <a:ext cx="19143" cy="19143"/>
      </dsp:txXfrm>
    </dsp:sp>
    <dsp:sp modelId="{E4FAF9F4-D4CA-8740-9445-6DAE23C89BA5}">
      <dsp:nvSpPr>
        <dsp:cNvPr id="0" name=""/>
        <dsp:cNvSpPr/>
      </dsp:nvSpPr>
      <dsp:spPr>
        <a:xfrm>
          <a:off x="2805726" y="112123"/>
          <a:ext cx="957156" cy="805299"/>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0" kern="1200">
              <a:ln>
                <a:solidFill>
                  <a:schemeClr val="tx1"/>
                </a:solidFill>
              </a:ln>
              <a:solidFill>
                <a:schemeClr val="tx1"/>
              </a:solidFill>
              <a:latin typeface="Times New Roman" panose="02020603050405020304" pitchFamily="18" charset="0"/>
              <a:cs typeface="Times New Roman" panose="02020603050405020304" pitchFamily="18" charset="0"/>
            </a:rPr>
            <a:t>Badan Amil Zakat Nasional (National Zakat fund)</a:t>
          </a:r>
          <a:endParaRPr lang="ru-RU" sz="900" b="0" kern="1200">
            <a:ln>
              <a:solidFill>
                <a:schemeClr val="tx1"/>
              </a:solidFill>
            </a:ln>
            <a:solidFill>
              <a:schemeClr val="tx1"/>
            </a:solidFill>
            <a:latin typeface="Times New Roman" panose="02020603050405020304" pitchFamily="18" charset="0"/>
            <a:cs typeface="Times New Roman" panose="02020603050405020304" pitchFamily="18" charset="0"/>
          </a:endParaRPr>
        </a:p>
      </dsp:txBody>
      <dsp:txXfrm>
        <a:off x="2829312" y="135709"/>
        <a:ext cx="909984" cy="758127"/>
      </dsp:txXfrm>
    </dsp:sp>
    <dsp:sp modelId="{FD8F5B97-8E2F-2C43-B809-D00EDC5F4D37}">
      <dsp:nvSpPr>
        <dsp:cNvPr id="0" name=""/>
        <dsp:cNvSpPr/>
      </dsp:nvSpPr>
      <dsp:spPr>
        <a:xfrm rot="19457599">
          <a:off x="3718566" y="335346"/>
          <a:ext cx="471496" cy="83671"/>
        </a:xfrm>
        <a:custGeom>
          <a:avLst/>
          <a:gdLst/>
          <a:ahLst/>
          <a:cxnLst/>
          <a:rect l="0" t="0" r="0" b="0"/>
          <a:pathLst>
            <a:path>
              <a:moveTo>
                <a:pt x="0" y="41835"/>
              </a:moveTo>
              <a:lnTo>
                <a:pt x="471496" y="4183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42527" y="365394"/>
        <a:ext cx="23574" cy="23574"/>
      </dsp:txXfrm>
    </dsp:sp>
    <dsp:sp modelId="{D21271F8-0421-8B45-A9E0-06A14CF02E38}">
      <dsp:nvSpPr>
        <dsp:cNvPr id="0" name=""/>
        <dsp:cNvSpPr/>
      </dsp:nvSpPr>
      <dsp:spPr>
        <a:xfrm>
          <a:off x="4145746" y="301"/>
          <a:ext cx="957156" cy="47857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Amil Zakat Institutions</a:t>
          </a:r>
          <a:endParaRPr lang="ru-RU" sz="900" kern="1200">
            <a:solidFill>
              <a:schemeClr val="tx1"/>
            </a:solidFill>
            <a:latin typeface="Times New Roman" panose="02020603050405020304" pitchFamily="18" charset="0"/>
            <a:cs typeface="Times New Roman" panose="02020603050405020304" pitchFamily="18" charset="0"/>
          </a:endParaRPr>
        </a:p>
      </dsp:txBody>
      <dsp:txXfrm>
        <a:off x="4159763" y="14318"/>
        <a:ext cx="929122" cy="450544"/>
      </dsp:txXfrm>
    </dsp:sp>
    <dsp:sp modelId="{001A59CB-E564-5D47-9A99-047A573BEB5F}">
      <dsp:nvSpPr>
        <dsp:cNvPr id="0" name=""/>
        <dsp:cNvSpPr/>
      </dsp:nvSpPr>
      <dsp:spPr>
        <a:xfrm rot="2142401">
          <a:off x="3718566" y="610528"/>
          <a:ext cx="471496" cy="83671"/>
        </a:xfrm>
        <a:custGeom>
          <a:avLst/>
          <a:gdLst/>
          <a:ahLst/>
          <a:cxnLst/>
          <a:rect l="0" t="0" r="0" b="0"/>
          <a:pathLst>
            <a:path>
              <a:moveTo>
                <a:pt x="0" y="41835"/>
              </a:moveTo>
              <a:lnTo>
                <a:pt x="471496" y="4183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42527" y="640577"/>
        <a:ext cx="23574" cy="23574"/>
      </dsp:txXfrm>
    </dsp:sp>
    <dsp:sp modelId="{2394D480-8CAE-8B44-BD9D-96F869542319}">
      <dsp:nvSpPr>
        <dsp:cNvPr id="0" name=""/>
        <dsp:cNvSpPr/>
      </dsp:nvSpPr>
      <dsp:spPr>
        <a:xfrm>
          <a:off x="4145746" y="550666"/>
          <a:ext cx="957156" cy="478578"/>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Zakat collecting Units </a:t>
          </a:r>
          <a:endParaRPr lang="ru-RU" sz="900" kern="1200">
            <a:solidFill>
              <a:schemeClr val="tx1"/>
            </a:solidFill>
            <a:latin typeface="Times New Roman" panose="02020603050405020304" pitchFamily="18" charset="0"/>
            <a:cs typeface="Times New Roman" panose="02020603050405020304" pitchFamily="18" charset="0"/>
          </a:endParaRPr>
        </a:p>
      </dsp:txBody>
      <dsp:txXfrm>
        <a:off x="4159763" y="564683"/>
        <a:ext cx="929122" cy="4505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241B5-008E-4C48-AA8C-88D756A9094D}">
      <dsp:nvSpPr>
        <dsp:cNvPr id="0" name=""/>
        <dsp:cNvSpPr/>
      </dsp:nvSpPr>
      <dsp:spPr>
        <a:xfrm>
          <a:off x="107474" y="217671"/>
          <a:ext cx="1309168" cy="3774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Minister of religious affairs</a:t>
          </a:r>
          <a:endParaRPr lang="ru-RU" sz="900" kern="1200">
            <a:latin typeface="Times New Roman" panose="02020603050405020304" pitchFamily="18" charset="0"/>
            <a:cs typeface="Times New Roman" panose="02020603050405020304" pitchFamily="18" charset="0"/>
          </a:endParaRPr>
        </a:p>
      </dsp:txBody>
      <dsp:txXfrm>
        <a:off x="118529" y="228726"/>
        <a:ext cx="1287058" cy="355346"/>
      </dsp:txXfrm>
    </dsp:sp>
    <dsp:sp modelId="{7B77EAD0-0F20-A541-8DF4-1C10834BA0E9}">
      <dsp:nvSpPr>
        <dsp:cNvPr id="0" name=""/>
        <dsp:cNvSpPr/>
      </dsp:nvSpPr>
      <dsp:spPr>
        <a:xfrm>
          <a:off x="1416642" y="364604"/>
          <a:ext cx="301964" cy="83590"/>
        </a:xfrm>
        <a:custGeom>
          <a:avLst/>
          <a:gdLst/>
          <a:ahLst/>
          <a:cxnLst/>
          <a:rect l="0" t="0" r="0" b="0"/>
          <a:pathLst>
            <a:path>
              <a:moveTo>
                <a:pt x="0" y="41795"/>
              </a:moveTo>
              <a:lnTo>
                <a:pt x="301964" y="417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60075" y="398850"/>
        <a:ext cx="15098" cy="15098"/>
      </dsp:txXfrm>
    </dsp:sp>
    <dsp:sp modelId="{EAE36E9F-228B-2F41-B061-BC61D00E052E}">
      <dsp:nvSpPr>
        <dsp:cNvPr id="0" name=""/>
        <dsp:cNvSpPr/>
      </dsp:nvSpPr>
      <dsp:spPr>
        <a:xfrm>
          <a:off x="1718607" y="217671"/>
          <a:ext cx="1604912" cy="3774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Department/Board of Zakat</a:t>
          </a:r>
          <a:endParaRPr lang="ru-RU" sz="900" kern="1200">
            <a:latin typeface="Times New Roman" panose="02020603050405020304" pitchFamily="18" charset="0"/>
            <a:cs typeface="Times New Roman" panose="02020603050405020304" pitchFamily="18" charset="0"/>
          </a:endParaRPr>
        </a:p>
      </dsp:txBody>
      <dsp:txXfrm>
        <a:off x="1729662" y="228726"/>
        <a:ext cx="1582802" cy="355346"/>
      </dsp:txXfrm>
    </dsp:sp>
    <dsp:sp modelId="{B32DB502-6836-A340-AEBF-64F60C4F0AAD}">
      <dsp:nvSpPr>
        <dsp:cNvPr id="0" name=""/>
        <dsp:cNvSpPr/>
      </dsp:nvSpPr>
      <dsp:spPr>
        <a:xfrm rot="19604889">
          <a:off x="3293959" y="265609"/>
          <a:ext cx="361086" cy="83590"/>
        </a:xfrm>
        <a:custGeom>
          <a:avLst/>
          <a:gdLst/>
          <a:ahLst/>
          <a:cxnLst/>
          <a:rect l="0" t="0" r="0" b="0"/>
          <a:pathLst>
            <a:path>
              <a:moveTo>
                <a:pt x="0" y="41795"/>
              </a:moveTo>
              <a:lnTo>
                <a:pt x="361086" y="417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465475" y="298377"/>
        <a:ext cx="18054" cy="18054"/>
      </dsp:txXfrm>
    </dsp:sp>
    <dsp:sp modelId="{451AA9A5-7A03-AF4A-9A43-1B66ACC3D839}">
      <dsp:nvSpPr>
        <dsp:cNvPr id="0" name=""/>
        <dsp:cNvSpPr/>
      </dsp:nvSpPr>
      <dsp:spPr>
        <a:xfrm>
          <a:off x="3625485" y="19681"/>
          <a:ext cx="1536993" cy="3774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Institutional Zakat collectors</a:t>
          </a:r>
          <a:endParaRPr lang="ru-RU" sz="900" kern="1200">
            <a:latin typeface="Times New Roman" panose="02020603050405020304" pitchFamily="18" charset="0"/>
            <a:cs typeface="Times New Roman" panose="02020603050405020304" pitchFamily="18" charset="0"/>
          </a:endParaRPr>
        </a:p>
      </dsp:txBody>
      <dsp:txXfrm>
        <a:off x="3636540" y="30736"/>
        <a:ext cx="1514883" cy="355346"/>
      </dsp:txXfrm>
    </dsp:sp>
    <dsp:sp modelId="{95C4AF28-554F-AB43-AAAE-FEC9A70A1818}">
      <dsp:nvSpPr>
        <dsp:cNvPr id="0" name=""/>
        <dsp:cNvSpPr/>
      </dsp:nvSpPr>
      <dsp:spPr>
        <a:xfrm rot="2142401">
          <a:off x="3288567" y="473123"/>
          <a:ext cx="371870" cy="83590"/>
        </a:xfrm>
        <a:custGeom>
          <a:avLst/>
          <a:gdLst/>
          <a:ahLst/>
          <a:cxnLst/>
          <a:rect l="0" t="0" r="0" b="0"/>
          <a:pathLst>
            <a:path>
              <a:moveTo>
                <a:pt x="0" y="41795"/>
              </a:moveTo>
              <a:lnTo>
                <a:pt x="371870" y="417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465205" y="505621"/>
        <a:ext cx="18593" cy="18593"/>
      </dsp:txXfrm>
    </dsp:sp>
    <dsp:sp modelId="{06EEA19B-D327-454A-8D58-F8E50DF86493}">
      <dsp:nvSpPr>
        <dsp:cNvPr id="0" name=""/>
        <dsp:cNvSpPr/>
      </dsp:nvSpPr>
      <dsp:spPr>
        <a:xfrm>
          <a:off x="3625485" y="434709"/>
          <a:ext cx="1557013" cy="377456"/>
        </a:xfrm>
        <a:prstGeom prst="roundRect">
          <a:avLst>
            <a:gd name="adj" fmla="val 10000"/>
          </a:avLst>
        </a:prstGeom>
        <a:solidFill>
          <a:schemeClr val="lt1">
            <a:hueOff val="0"/>
            <a:satOff val="0"/>
            <a:lumOff val="0"/>
            <a:alpha val="65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Individuals</a:t>
          </a:r>
          <a:r>
            <a:rPr lang="en-US" sz="900" kern="1200"/>
            <a:t> </a:t>
          </a:r>
          <a:endParaRPr lang="ru-RU" sz="900" kern="1200"/>
        </a:p>
      </dsp:txBody>
      <dsp:txXfrm>
        <a:off x="3636540" y="445764"/>
        <a:ext cx="1534903" cy="3553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4433B6-E55A-9A4C-824D-F442A9E2BBE7}">
      <dsp:nvSpPr>
        <dsp:cNvPr id="0" name=""/>
        <dsp:cNvSpPr/>
      </dsp:nvSpPr>
      <dsp:spPr>
        <a:xfrm flipH="1">
          <a:off x="274920" y="370898"/>
          <a:ext cx="1097211" cy="3216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President/</a:t>
          </a:r>
        </a:p>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Sultan</a:t>
          </a:r>
          <a:endParaRPr lang="ru-RU" sz="900" kern="1200">
            <a:latin typeface="Times New Roman" panose="02020603050405020304" pitchFamily="18" charset="0"/>
            <a:cs typeface="Times New Roman" panose="02020603050405020304" pitchFamily="18" charset="0"/>
          </a:endParaRPr>
        </a:p>
      </dsp:txBody>
      <dsp:txXfrm>
        <a:off x="284340" y="380318"/>
        <a:ext cx="1078371" cy="302777"/>
      </dsp:txXfrm>
    </dsp:sp>
    <dsp:sp modelId="{735F8718-304E-DF47-98CB-FD3AB6C9F370}">
      <dsp:nvSpPr>
        <dsp:cNvPr id="0" name=""/>
        <dsp:cNvSpPr/>
      </dsp:nvSpPr>
      <dsp:spPr>
        <a:xfrm>
          <a:off x="1372131" y="504487"/>
          <a:ext cx="257294" cy="54438"/>
        </a:xfrm>
        <a:custGeom>
          <a:avLst/>
          <a:gdLst/>
          <a:ahLst/>
          <a:cxnLst/>
          <a:rect l="0" t="0" r="0" b="0"/>
          <a:pathLst>
            <a:path>
              <a:moveTo>
                <a:pt x="0" y="27219"/>
              </a:moveTo>
              <a:lnTo>
                <a:pt x="257294" y="2721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494346" y="525274"/>
        <a:ext cx="12864" cy="12864"/>
      </dsp:txXfrm>
    </dsp:sp>
    <dsp:sp modelId="{8EC979EC-09D4-E348-8E6A-75F4DD8E8A31}">
      <dsp:nvSpPr>
        <dsp:cNvPr id="0" name=""/>
        <dsp:cNvSpPr/>
      </dsp:nvSpPr>
      <dsp:spPr>
        <a:xfrm>
          <a:off x="1629425" y="370898"/>
          <a:ext cx="915767" cy="3216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Minister of religious affairs</a:t>
          </a:r>
          <a:endParaRPr lang="ru-RU" sz="900" kern="1200">
            <a:latin typeface="Times New Roman" panose="02020603050405020304" pitchFamily="18" charset="0"/>
            <a:cs typeface="Times New Roman" panose="02020603050405020304" pitchFamily="18" charset="0"/>
          </a:endParaRPr>
        </a:p>
      </dsp:txBody>
      <dsp:txXfrm>
        <a:off x="1638845" y="380318"/>
        <a:ext cx="896927" cy="302777"/>
      </dsp:txXfrm>
    </dsp:sp>
    <dsp:sp modelId="{7B77EAD0-0F20-A541-8DF4-1C10834BA0E9}">
      <dsp:nvSpPr>
        <dsp:cNvPr id="0" name=""/>
        <dsp:cNvSpPr/>
      </dsp:nvSpPr>
      <dsp:spPr>
        <a:xfrm>
          <a:off x="2545193" y="504487"/>
          <a:ext cx="257294" cy="54438"/>
        </a:xfrm>
        <a:custGeom>
          <a:avLst/>
          <a:gdLst/>
          <a:ahLst/>
          <a:cxnLst/>
          <a:rect l="0" t="0" r="0" b="0"/>
          <a:pathLst>
            <a:path>
              <a:moveTo>
                <a:pt x="0" y="27219"/>
              </a:moveTo>
              <a:lnTo>
                <a:pt x="257294" y="272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667407" y="525274"/>
        <a:ext cx="12864" cy="12864"/>
      </dsp:txXfrm>
    </dsp:sp>
    <dsp:sp modelId="{EAE36E9F-228B-2F41-B061-BC61D00E052E}">
      <dsp:nvSpPr>
        <dsp:cNvPr id="0" name=""/>
        <dsp:cNvSpPr/>
      </dsp:nvSpPr>
      <dsp:spPr>
        <a:xfrm>
          <a:off x="2802487" y="370898"/>
          <a:ext cx="1002366" cy="3216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Islamic Religious Council</a:t>
          </a:r>
          <a:endParaRPr lang="ru-RU" sz="900" kern="1200">
            <a:latin typeface="Times New Roman" panose="02020603050405020304" pitchFamily="18" charset="0"/>
            <a:cs typeface="Times New Roman" panose="02020603050405020304" pitchFamily="18" charset="0"/>
          </a:endParaRPr>
        </a:p>
      </dsp:txBody>
      <dsp:txXfrm>
        <a:off x="2811907" y="380318"/>
        <a:ext cx="983526" cy="302777"/>
      </dsp:txXfrm>
    </dsp:sp>
    <dsp:sp modelId="{B32DB502-6836-A340-AEBF-64F60C4F0AAD}">
      <dsp:nvSpPr>
        <dsp:cNvPr id="0" name=""/>
        <dsp:cNvSpPr/>
      </dsp:nvSpPr>
      <dsp:spPr>
        <a:xfrm rot="18289469">
          <a:off x="3708224" y="319557"/>
          <a:ext cx="450551" cy="54438"/>
        </a:xfrm>
        <a:custGeom>
          <a:avLst/>
          <a:gdLst/>
          <a:ahLst/>
          <a:cxnLst/>
          <a:rect l="0" t="0" r="0" b="0"/>
          <a:pathLst>
            <a:path>
              <a:moveTo>
                <a:pt x="0" y="27219"/>
              </a:moveTo>
              <a:lnTo>
                <a:pt x="450551" y="272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22236" y="335513"/>
        <a:ext cx="22527" cy="22527"/>
      </dsp:txXfrm>
    </dsp:sp>
    <dsp:sp modelId="{451AA9A5-7A03-AF4A-9A43-1B66ACC3D839}">
      <dsp:nvSpPr>
        <dsp:cNvPr id="0" name=""/>
        <dsp:cNvSpPr/>
      </dsp:nvSpPr>
      <dsp:spPr>
        <a:xfrm>
          <a:off x="4062147" y="1037"/>
          <a:ext cx="1202290" cy="3216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Zakat office</a:t>
          </a:r>
          <a:endParaRPr lang="ru-RU" sz="900" kern="1200">
            <a:latin typeface="Times New Roman" panose="02020603050405020304" pitchFamily="18" charset="0"/>
            <a:cs typeface="Times New Roman" panose="02020603050405020304" pitchFamily="18" charset="0"/>
          </a:endParaRPr>
        </a:p>
      </dsp:txBody>
      <dsp:txXfrm>
        <a:off x="4071567" y="10457"/>
        <a:ext cx="1183450" cy="302777"/>
      </dsp:txXfrm>
    </dsp:sp>
    <dsp:sp modelId="{95C4AF28-554F-AB43-AAAE-FEC9A70A1818}">
      <dsp:nvSpPr>
        <dsp:cNvPr id="0" name=""/>
        <dsp:cNvSpPr/>
      </dsp:nvSpPr>
      <dsp:spPr>
        <a:xfrm>
          <a:off x="3804853" y="504487"/>
          <a:ext cx="257294" cy="54438"/>
        </a:xfrm>
        <a:custGeom>
          <a:avLst/>
          <a:gdLst/>
          <a:ahLst/>
          <a:cxnLst/>
          <a:rect l="0" t="0" r="0" b="0"/>
          <a:pathLst>
            <a:path>
              <a:moveTo>
                <a:pt x="0" y="27219"/>
              </a:moveTo>
              <a:lnTo>
                <a:pt x="257294" y="272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27068" y="525274"/>
        <a:ext cx="12864" cy="12864"/>
      </dsp:txXfrm>
    </dsp:sp>
    <dsp:sp modelId="{06EEA19B-D327-454A-8D58-F8E50DF86493}">
      <dsp:nvSpPr>
        <dsp:cNvPr id="0" name=""/>
        <dsp:cNvSpPr/>
      </dsp:nvSpPr>
      <dsp:spPr>
        <a:xfrm>
          <a:off x="4062147" y="370898"/>
          <a:ext cx="1222963" cy="321617"/>
        </a:xfrm>
        <a:prstGeom prst="roundRect">
          <a:avLst>
            <a:gd name="adj" fmla="val 10000"/>
          </a:avLst>
        </a:prstGeom>
        <a:solidFill>
          <a:schemeClr val="lt1">
            <a:hueOff val="0"/>
            <a:satOff val="0"/>
            <a:lumOff val="0"/>
            <a:alpha val="65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Amil</a:t>
          </a:r>
          <a:r>
            <a:rPr lang="en-US" sz="900" kern="1200"/>
            <a:t> </a:t>
          </a:r>
          <a:endParaRPr lang="ru-RU" sz="900" kern="1200"/>
        </a:p>
      </dsp:txBody>
      <dsp:txXfrm>
        <a:off x="4071567" y="380318"/>
        <a:ext cx="1204123" cy="302777"/>
      </dsp:txXfrm>
    </dsp:sp>
    <dsp:sp modelId="{85E1C3C6-1EC2-0C47-BB6E-73DFE04D55D9}">
      <dsp:nvSpPr>
        <dsp:cNvPr id="0" name=""/>
        <dsp:cNvSpPr/>
      </dsp:nvSpPr>
      <dsp:spPr>
        <a:xfrm rot="3310531">
          <a:off x="3708224" y="689417"/>
          <a:ext cx="450551" cy="54438"/>
        </a:xfrm>
        <a:custGeom>
          <a:avLst/>
          <a:gdLst/>
          <a:ahLst/>
          <a:cxnLst/>
          <a:rect l="0" t="0" r="0" b="0"/>
          <a:pathLst>
            <a:path>
              <a:moveTo>
                <a:pt x="0" y="27219"/>
              </a:moveTo>
              <a:lnTo>
                <a:pt x="450551" y="272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922236" y="705373"/>
        <a:ext cx="22527" cy="22527"/>
      </dsp:txXfrm>
    </dsp:sp>
    <dsp:sp modelId="{F7829B4E-F212-F94C-B348-62999BF8C386}">
      <dsp:nvSpPr>
        <dsp:cNvPr id="0" name=""/>
        <dsp:cNvSpPr/>
      </dsp:nvSpPr>
      <dsp:spPr>
        <a:xfrm flipH="1">
          <a:off x="4062147" y="740758"/>
          <a:ext cx="1257917" cy="3216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Agent/bank</a:t>
          </a:r>
          <a:endParaRPr lang="ru-RU" sz="900" kern="1200">
            <a:latin typeface="Times New Roman" panose="02020603050405020304" pitchFamily="18" charset="0"/>
            <a:cs typeface="Times New Roman" panose="02020603050405020304" pitchFamily="18" charset="0"/>
          </a:endParaRPr>
        </a:p>
      </dsp:txBody>
      <dsp:txXfrm>
        <a:off x="4071567" y="750178"/>
        <a:ext cx="1239077" cy="3027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28478-8AE5-BA49-BE5B-152E8E5700D1}">
      <dsp:nvSpPr>
        <dsp:cNvPr id="0" name=""/>
        <dsp:cNvSpPr/>
      </dsp:nvSpPr>
      <dsp:spPr>
        <a:xfrm>
          <a:off x="4632662" y="1844385"/>
          <a:ext cx="141651" cy="91440"/>
        </a:xfrm>
        <a:custGeom>
          <a:avLst/>
          <a:gdLst/>
          <a:ahLst/>
          <a:cxnLst/>
          <a:rect l="0" t="0" r="0" b="0"/>
          <a:pathLst>
            <a:path>
              <a:moveTo>
                <a:pt x="0" y="45720"/>
              </a:moveTo>
              <a:lnTo>
                <a:pt x="141651"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699947" y="1886564"/>
        <a:ext cx="7082" cy="7082"/>
      </dsp:txXfrm>
    </dsp:sp>
    <dsp:sp modelId="{BEF6223C-9267-2F46-AB14-5BFB7DB95EA9}">
      <dsp:nvSpPr>
        <dsp:cNvPr id="0" name=""/>
        <dsp:cNvSpPr/>
      </dsp:nvSpPr>
      <dsp:spPr>
        <a:xfrm>
          <a:off x="3782752" y="1506989"/>
          <a:ext cx="141651" cy="383115"/>
        </a:xfrm>
        <a:custGeom>
          <a:avLst/>
          <a:gdLst/>
          <a:ahLst/>
          <a:cxnLst/>
          <a:rect l="0" t="0" r="0" b="0"/>
          <a:pathLst>
            <a:path>
              <a:moveTo>
                <a:pt x="0" y="0"/>
              </a:moveTo>
              <a:lnTo>
                <a:pt x="70825" y="0"/>
              </a:lnTo>
              <a:lnTo>
                <a:pt x="70825" y="383115"/>
              </a:lnTo>
              <a:lnTo>
                <a:pt x="141651" y="3831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843366" y="1688336"/>
        <a:ext cx="20423" cy="20423"/>
      </dsp:txXfrm>
    </dsp:sp>
    <dsp:sp modelId="{00EB609B-AD48-A945-A0B1-82E7D5D50A97}">
      <dsp:nvSpPr>
        <dsp:cNvPr id="0" name=""/>
        <dsp:cNvSpPr/>
      </dsp:nvSpPr>
      <dsp:spPr>
        <a:xfrm>
          <a:off x="3782752" y="1383362"/>
          <a:ext cx="141651" cy="91440"/>
        </a:xfrm>
        <a:custGeom>
          <a:avLst/>
          <a:gdLst/>
          <a:ahLst/>
          <a:cxnLst/>
          <a:rect l="0" t="0" r="0" b="0"/>
          <a:pathLst>
            <a:path>
              <a:moveTo>
                <a:pt x="0" y="123627"/>
              </a:moveTo>
              <a:lnTo>
                <a:pt x="70825" y="123627"/>
              </a:lnTo>
              <a:lnTo>
                <a:pt x="70825" y="45720"/>
              </a:lnTo>
              <a:lnTo>
                <a:pt x="141651"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849537" y="1425040"/>
        <a:ext cx="8083" cy="8083"/>
      </dsp:txXfrm>
    </dsp:sp>
    <dsp:sp modelId="{C41C9261-5FF3-1444-ADCF-94CC44A7259D}">
      <dsp:nvSpPr>
        <dsp:cNvPr id="0" name=""/>
        <dsp:cNvSpPr/>
      </dsp:nvSpPr>
      <dsp:spPr>
        <a:xfrm>
          <a:off x="3782752" y="1045966"/>
          <a:ext cx="141651" cy="461023"/>
        </a:xfrm>
        <a:custGeom>
          <a:avLst/>
          <a:gdLst/>
          <a:ahLst/>
          <a:cxnLst/>
          <a:rect l="0" t="0" r="0" b="0"/>
          <a:pathLst>
            <a:path>
              <a:moveTo>
                <a:pt x="0" y="461023"/>
              </a:moveTo>
              <a:lnTo>
                <a:pt x="70825" y="461023"/>
              </a:lnTo>
              <a:lnTo>
                <a:pt x="70825" y="0"/>
              </a:lnTo>
              <a:lnTo>
                <a:pt x="141651"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841521" y="1264420"/>
        <a:ext cx="24114" cy="24114"/>
      </dsp:txXfrm>
    </dsp:sp>
    <dsp:sp modelId="{63F80ACD-6690-3447-95E4-5B29592F8FFB}">
      <dsp:nvSpPr>
        <dsp:cNvPr id="0" name=""/>
        <dsp:cNvSpPr/>
      </dsp:nvSpPr>
      <dsp:spPr>
        <a:xfrm>
          <a:off x="2932842" y="1074293"/>
          <a:ext cx="141651" cy="432695"/>
        </a:xfrm>
        <a:custGeom>
          <a:avLst/>
          <a:gdLst/>
          <a:ahLst/>
          <a:cxnLst/>
          <a:rect l="0" t="0" r="0" b="0"/>
          <a:pathLst>
            <a:path>
              <a:moveTo>
                <a:pt x="0" y="0"/>
              </a:moveTo>
              <a:lnTo>
                <a:pt x="70825" y="0"/>
              </a:lnTo>
              <a:lnTo>
                <a:pt x="70825" y="432695"/>
              </a:lnTo>
              <a:lnTo>
                <a:pt x="141651" y="4326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92286" y="1279259"/>
        <a:ext cx="22764" cy="22764"/>
      </dsp:txXfrm>
    </dsp:sp>
    <dsp:sp modelId="{7FD01493-E068-BF42-9B33-D7DD73BC9C23}">
      <dsp:nvSpPr>
        <dsp:cNvPr id="0" name=""/>
        <dsp:cNvSpPr/>
      </dsp:nvSpPr>
      <dsp:spPr>
        <a:xfrm>
          <a:off x="3782752" y="592637"/>
          <a:ext cx="141651" cy="91440"/>
        </a:xfrm>
        <a:custGeom>
          <a:avLst/>
          <a:gdLst/>
          <a:ahLst/>
          <a:cxnLst/>
          <a:rect l="0" t="0" r="0" b="0"/>
          <a:pathLst>
            <a:path>
              <a:moveTo>
                <a:pt x="0" y="45720"/>
              </a:moveTo>
              <a:lnTo>
                <a:pt x="141651"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850037" y="634815"/>
        <a:ext cx="7082" cy="7082"/>
      </dsp:txXfrm>
    </dsp:sp>
    <dsp:sp modelId="{9B29F674-A9F3-4D4A-B01A-CFB7C9791337}">
      <dsp:nvSpPr>
        <dsp:cNvPr id="0" name=""/>
        <dsp:cNvSpPr/>
      </dsp:nvSpPr>
      <dsp:spPr>
        <a:xfrm>
          <a:off x="2932842" y="638357"/>
          <a:ext cx="141651" cy="435936"/>
        </a:xfrm>
        <a:custGeom>
          <a:avLst/>
          <a:gdLst/>
          <a:ahLst/>
          <a:cxnLst/>
          <a:rect l="0" t="0" r="0" b="0"/>
          <a:pathLst>
            <a:path>
              <a:moveTo>
                <a:pt x="0" y="435936"/>
              </a:moveTo>
              <a:lnTo>
                <a:pt x="70825" y="435936"/>
              </a:lnTo>
              <a:lnTo>
                <a:pt x="70825" y="0"/>
              </a:lnTo>
              <a:lnTo>
                <a:pt x="141651"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92209" y="844866"/>
        <a:ext cx="22918" cy="22918"/>
      </dsp:txXfrm>
    </dsp:sp>
    <dsp:sp modelId="{828B0782-53C5-A74A-A219-5482014D8CE6}">
      <dsp:nvSpPr>
        <dsp:cNvPr id="0" name=""/>
        <dsp:cNvSpPr/>
      </dsp:nvSpPr>
      <dsp:spPr>
        <a:xfrm>
          <a:off x="2082932" y="861696"/>
          <a:ext cx="141651" cy="212597"/>
        </a:xfrm>
        <a:custGeom>
          <a:avLst/>
          <a:gdLst/>
          <a:ahLst/>
          <a:cxnLst/>
          <a:rect l="0" t="0" r="0" b="0"/>
          <a:pathLst>
            <a:path>
              <a:moveTo>
                <a:pt x="0" y="0"/>
              </a:moveTo>
              <a:lnTo>
                <a:pt x="70825" y="0"/>
              </a:lnTo>
              <a:lnTo>
                <a:pt x="70825" y="212597"/>
              </a:lnTo>
              <a:lnTo>
                <a:pt x="141651" y="2125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147371" y="961608"/>
        <a:ext cx="12773" cy="12773"/>
      </dsp:txXfrm>
    </dsp:sp>
    <dsp:sp modelId="{A16B380C-50EC-3147-8628-189EF417564C}">
      <dsp:nvSpPr>
        <dsp:cNvPr id="0" name=""/>
        <dsp:cNvSpPr/>
      </dsp:nvSpPr>
      <dsp:spPr>
        <a:xfrm>
          <a:off x="2082932" y="666130"/>
          <a:ext cx="141651" cy="195565"/>
        </a:xfrm>
        <a:custGeom>
          <a:avLst/>
          <a:gdLst/>
          <a:ahLst/>
          <a:cxnLst/>
          <a:rect l="0" t="0" r="0" b="0"/>
          <a:pathLst>
            <a:path>
              <a:moveTo>
                <a:pt x="0" y="195565"/>
              </a:moveTo>
              <a:lnTo>
                <a:pt x="70825" y="195565"/>
              </a:lnTo>
              <a:lnTo>
                <a:pt x="70825" y="0"/>
              </a:lnTo>
              <a:lnTo>
                <a:pt x="141651"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147721" y="757876"/>
        <a:ext cx="12073" cy="12073"/>
      </dsp:txXfrm>
    </dsp:sp>
    <dsp:sp modelId="{E6551FAE-9A42-4744-BA56-E06525C325F1}">
      <dsp:nvSpPr>
        <dsp:cNvPr id="0" name=""/>
        <dsp:cNvSpPr/>
      </dsp:nvSpPr>
      <dsp:spPr>
        <a:xfrm>
          <a:off x="1069669" y="679405"/>
          <a:ext cx="141651" cy="182291"/>
        </a:xfrm>
        <a:custGeom>
          <a:avLst/>
          <a:gdLst/>
          <a:ahLst/>
          <a:cxnLst/>
          <a:rect l="0" t="0" r="0" b="0"/>
          <a:pathLst>
            <a:path>
              <a:moveTo>
                <a:pt x="0" y="0"/>
              </a:moveTo>
              <a:lnTo>
                <a:pt x="70825" y="0"/>
              </a:lnTo>
              <a:lnTo>
                <a:pt x="70825" y="182291"/>
              </a:lnTo>
              <a:lnTo>
                <a:pt x="141651" y="1822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134723" y="764779"/>
        <a:ext cx="11542" cy="11542"/>
      </dsp:txXfrm>
    </dsp:sp>
    <dsp:sp modelId="{B7BBE896-2373-CC4F-A256-B170F392A8F1}">
      <dsp:nvSpPr>
        <dsp:cNvPr id="0" name=""/>
        <dsp:cNvSpPr/>
      </dsp:nvSpPr>
      <dsp:spPr>
        <a:xfrm>
          <a:off x="1069669" y="467033"/>
          <a:ext cx="141651" cy="212371"/>
        </a:xfrm>
        <a:custGeom>
          <a:avLst/>
          <a:gdLst/>
          <a:ahLst/>
          <a:cxnLst/>
          <a:rect l="0" t="0" r="0" b="0"/>
          <a:pathLst>
            <a:path>
              <a:moveTo>
                <a:pt x="0" y="212371"/>
              </a:moveTo>
              <a:lnTo>
                <a:pt x="70825" y="212371"/>
              </a:lnTo>
              <a:lnTo>
                <a:pt x="70825" y="0"/>
              </a:lnTo>
              <a:lnTo>
                <a:pt x="141651"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134113" y="566837"/>
        <a:ext cx="12763" cy="12763"/>
      </dsp:txXfrm>
    </dsp:sp>
    <dsp:sp modelId="{C0B11F2F-1EA5-4D4D-B724-E4F0B75C0E13}">
      <dsp:nvSpPr>
        <dsp:cNvPr id="0" name=""/>
        <dsp:cNvSpPr/>
      </dsp:nvSpPr>
      <dsp:spPr>
        <a:xfrm>
          <a:off x="219759" y="633685"/>
          <a:ext cx="141651" cy="91440"/>
        </a:xfrm>
        <a:custGeom>
          <a:avLst/>
          <a:gdLst/>
          <a:ahLst/>
          <a:cxnLst/>
          <a:rect l="0" t="0" r="0" b="0"/>
          <a:pathLst>
            <a:path>
              <a:moveTo>
                <a:pt x="0" y="45720"/>
              </a:moveTo>
              <a:lnTo>
                <a:pt x="141651"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87043" y="675864"/>
        <a:ext cx="7082" cy="7082"/>
      </dsp:txXfrm>
    </dsp:sp>
    <dsp:sp modelId="{91DB3F93-0604-0046-ADAE-7AD533545212}">
      <dsp:nvSpPr>
        <dsp:cNvPr id="0" name=""/>
        <dsp:cNvSpPr/>
      </dsp:nvSpPr>
      <dsp:spPr>
        <a:xfrm rot="16200000">
          <a:off x="-456450" y="571439"/>
          <a:ext cx="1136486" cy="21593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Times New Roman" panose="02020603050405020304" pitchFamily="18" charset="0"/>
              <a:cs typeface="Times New Roman" panose="02020603050405020304" pitchFamily="18" charset="0"/>
            </a:rPr>
            <a:t>Origin</a:t>
          </a:r>
          <a:r>
            <a:rPr lang="en-US" sz="500" kern="1200">
              <a:solidFill>
                <a:schemeClr val="tx1"/>
              </a:solidFill>
              <a:latin typeface="Times New Roman" panose="02020603050405020304" pitchFamily="18" charset="0"/>
              <a:cs typeface="Times New Roman" panose="02020603050405020304" pitchFamily="18" charset="0"/>
            </a:rPr>
            <a:t> </a:t>
          </a:r>
          <a:r>
            <a:rPr lang="en-US" sz="800" kern="1200">
              <a:solidFill>
                <a:schemeClr val="tx1"/>
              </a:solidFill>
              <a:latin typeface="Times New Roman" panose="02020603050405020304" pitchFamily="18" charset="0"/>
              <a:cs typeface="Times New Roman" panose="02020603050405020304" pitchFamily="18" charset="0"/>
            </a:rPr>
            <a:t>of</a:t>
          </a:r>
          <a:r>
            <a:rPr lang="en-US" sz="500" kern="1200">
              <a:solidFill>
                <a:schemeClr val="tx1"/>
              </a:solidFill>
              <a:latin typeface="Times New Roman" panose="02020603050405020304" pitchFamily="18" charset="0"/>
              <a:cs typeface="Times New Roman" panose="02020603050405020304" pitchFamily="18" charset="0"/>
            </a:rPr>
            <a:t> </a:t>
          </a:r>
          <a:r>
            <a:rPr lang="en-US" sz="800" kern="1200">
              <a:solidFill>
                <a:schemeClr val="tx1"/>
              </a:solidFill>
              <a:latin typeface="Times New Roman" panose="02020603050405020304" pitchFamily="18" charset="0"/>
              <a:cs typeface="Times New Roman" panose="02020603050405020304" pitchFamily="18" charset="0"/>
            </a:rPr>
            <a:t>waqf</a:t>
          </a:r>
          <a:endParaRPr lang="ru-RU" sz="800" kern="1200">
            <a:solidFill>
              <a:schemeClr val="tx1"/>
            </a:solidFill>
            <a:latin typeface="Times New Roman" panose="02020603050405020304" pitchFamily="18" charset="0"/>
            <a:cs typeface="Times New Roman" panose="02020603050405020304" pitchFamily="18" charset="0"/>
          </a:endParaRPr>
        </a:p>
      </dsp:txBody>
      <dsp:txXfrm>
        <a:off x="-456450" y="571439"/>
        <a:ext cx="1136486" cy="215932"/>
      </dsp:txXfrm>
    </dsp:sp>
    <dsp:sp modelId="{6CC30F39-D6FF-7240-B0E5-DA431DECA812}">
      <dsp:nvSpPr>
        <dsp:cNvPr id="0" name=""/>
        <dsp:cNvSpPr/>
      </dsp:nvSpPr>
      <dsp:spPr>
        <a:xfrm>
          <a:off x="361411" y="510654"/>
          <a:ext cx="708258" cy="33750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Times New Roman" panose="02020603050405020304" pitchFamily="18" charset="0"/>
              <a:cs typeface="Times New Roman" panose="02020603050405020304" pitchFamily="18" charset="0"/>
            </a:rPr>
            <a:t>the concept of infaq</a:t>
          </a:r>
          <a:endParaRPr lang="ru-RU" sz="800" kern="1200">
            <a:solidFill>
              <a:schemeClr val="tx1"/>
            </a:solidFill>
            <a:latin typeface="Times New Roman" panose="02020603050405020304" pitchFamily="18" charset="0"/>
            <a:cs typeface="Times New Roman" panose="02020603050405020304" pitchFamily="18" charset="0"/>
          </a:endParaRPr>
        </a:p>
      </dsp:txBody>
      <dsp:txXfrm>
        <a:off x="361411" y="510654"/>
        <a:ext cx="708258" cy="337502"/>
      </dsp:txXfrm>
    </dsp:sp>
    <dsp:sp modelId="{D7470810-00D0-7240-B202-B696FA6B5453}">
      <dsp:nvSpPr>
        <dsp:cNvPr id="0" name=""/>
        <dsp:cNvSpPr/>
      </dsp:nvSpPr>
      <dsp:spPr>
        <a:xfrm>
          <a:off x="1211321" y="311733"/>
          <a:ext cx="845419" cy="310599"/>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Times New Roman" panose="02020603050405020304" pitchFamily="18" charset="0"/>
              <a:cs typeface="Times New Roman" panose="02020603050405020304" pitchFamily="18" charset="0"/>
            </a:rPr>
            <a:t>Oral</a:t>
          </a:r>
          <a:r>
            <a:rPr lang="en-US" sz="500" kern="1200">
              <a:solidFill>
                <a:schemeClr val="tx1"/>
              </a:solidFill>
              <a:latin typeface="Times New Roman" panose="02020603050405020304" pitchFamily="18" charset="0"/>
              <a:cs typeface="Times New Roman" panose="02020603050405020304" pitchFamily="18" charset="0"/>
            </a:rPr>
            <a:t>/</a:t>
          </a:r>
          <a:r>
            <a:rPr lang="en-US" sz="800" kern="1200">
              <a:solidFill>
                <a:schemeClr val="tx1"/>
              </a:solidFill>
              <a:latin typeface="Times New Roman" panose="02020603050405020304" pitchFamily="18" charset="0"/>
              <a:cs typeface="Times New Roman" panose="02020603050405020304" pitchFamily="18" charset="0"/>
            </a:rPr>
            <a:t>Physical</a:t>
          </a:r>
          <a:r>
            <a:rPr lang="en-US" sz="500" kern="1200">
              <a:solidFill>
                <a:schemeClr val="tx1"/>
              </a:solidFill>
              <a:latin typeface="Times New Roman" panose="02020603050405020304" pitchFamily="18" charset="0"/>
              <a:cs typeface="Times New Roman" panose="02020603050405020304" pitchFamily="18" charset="0"/>
            </a:rPr>
            <a:t> sadaqah</a:t>
          </a:r>
          <a:endParaRPr lang="ru-RU" sz="500" kern="1200">
            <a:solidFill>
              <a:schemeClr val="tx1"/>
            </a:solidFill>
            <a:latin typeface="Times New Roman" panose="02020603050405020304" pitchFamily="18" charset="0"/>
            <a:cs typeface="Times New Roman" panose="02020603050405020304" pitchFamily="18" charset="0"/>
          </a:endParaRPr>
        </a:p>
      </dsp:txBody>
      <dsp:txXfrm>
        <a:off x="1211321" y="311733"/>
        <a:ext cx="845419" cy="310599"/>
      </dsp:txXfrm>
    </dsp:sp>
    <dsp:sp modelId="{4E037500-1793-AE46-82DE-BC7AA6EAE75F}">
      <dsp:nvSpPr>
        <dsp:cNvPr id="0" name=""/>
        <dsp:cNvSpPr/>
      </dsp:nvSpPr>
      <dsp:spPr>
        <a:xfrm>
          <a:off x="1211321" y="676316"/>
          <a:ext cx="871611" cy="370760"/>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Times New Roman" panose="02020603050405020304" pitchFamily="18" charset="0"/>
              <a:cs typeface="Times New Roman" panose="02020603050405020304" pitchFamily="18" charset="0"/>
            </a:rPr>
            <a:t>Material</a:t>
          </a:r>
          <a:r>
            <a:rPr lang="en-US" sz="500" kern="1200">
              <a:solidFill>
                <a:schemeClr val="tx1"/>
              </a:solidFill>
              <a:latin typeface="Times New Roman" panose="02020603050405020304" pitchFamily="18" charset="0"/>
              <a:cs typeface="Times New Roman" panose="02020603050405020304" pitchFamily="18" charset="0"/>
            </a:rPr>
            <a:t>/</a:t>
          </a:r>
          <a:r>
            <a:rPr lang="en-US" sz="800" kern="1200">
              <a:solidFill>
                <a:schemeClr val="tx1"/>
              </a:solidFill>
              <a:latin typeface="Times New Roman" panose="02020603050405020304" pitchFamily="18" charset="0"/>
              <a:cs typeface="Times New Roman" panose="02020603050405020304" pitchFamily="18" charset="0"/>
            </a:rPr>
            <a:t>Pecuniary</a:t>
          </a:r>
          <a:r>
            <a:rPr lang="en-US" sz="500" kern="1200">
              <a:solidFill>
                <a:schemeClr val="tx1"/>
              </a:solidFill>
              <a:latin typeface="Times New Roman" panose="02020603050405020304" pitchFamily="18" charset="0"/>
              <a:cs typeface="Times New Roman" panose="02020603050405020304" pitchFamily="18" charset="0"/>
            </a:rPr>
            <a:t> sadaqah</a:t>
          </a:r>
          <a:endParaRPr lang="ru-RU" sz="500" kern="1200">
            <a:solidFill>
              <a:schemeClr val="tx1"/>
            </a:solidFill>
            <a:latin typeface="Times New Roman" panose="02020603050405020304" pitchFamily="18" charset="0"/>
            <a:cs typeface="Times New Roman" panose="02020603050405020304" pitchFamily="18" charset="0"/>
          </a:endParaRPr>
        </a:p>
      </dsp:txBody>
      <dsp:txXfrm>
        <a:off x="1211321" y="676316"/>
        <a:ext cx="871611" cy="370760"/>
      </dsp:txXfrm>
    </dsp:sp>
    <dsp:sp modelId="{719DEF74-F175-6C40-8E07-CE348FC124BB}">
      <dsp:nvSpPr>
        <dsp:cNvPr id="0" name=""/>
        <dsp:cNvSpPr/>
      </dsp:nvSpPr>
      <dsp:spPr>
        <a:xfrm>
          <a:off x="2224584" y="480525"/>
          <a:ext cx="708258" cy="371211"/>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Times New Roman" panose="02020603050405020304" pitchFamily="18" charset="0"/>
              <a:cs typeface="Times New Roman" panose="02020603050405020304" pitchFamily="18" charset="0"/>
            </a:rPr>
            <a:t>Obligatory</a:t>
          </a:r>
          <a:r>
            <a:rPr lang="en-US" sz="500" kern="1200">
              <a:solidFill>
                <a:schemeClr val="tx1"/>
              </a:solidFill>
              <a:latin typeface="Times New Roman" panose="02020603050405020304" pitchFamily="18" charset="0"/>
              <a:cs typeface="Times New Roman" panose="02020603050405020304" pitchFamily="18" charset="0"/>
            </a:rPr>
            <a:t> </a:t>
          </a:r>
          <a:r>
            <a:rPr lang="en-US" sz="800" kern="1200">
              <a:solidFill>
                <a:schemeClr val="tx1"/>
              </a:solidFill>
              <a:latin typeface="Times New Roman" panose="02020603050405020304" pitchFamily="18" charset="0"/>
              <a:cs typeface="Times New Roman" panose="02020603050405020304" pitchFamily="18" charset="0"/>
            </a:rPr>
            <a:t>sadaqah</a:t>
          </a:r>
          <a:r>
            <a:rPr lang="en-US" sz="500" kern="1200">
              <a:solidFill>
                <a:schemeClr val="tx1"/>
              </a:solidFill>
              <a:latin typeface="Times New Roman" panose="02020603050405020304" pitchFamily="18" charset="0"/>
              <a:cs typeface="Times New Roman" panose="02020603050405020304" pitchFamily="18" charset="0"/>
            </a:rPr>
            <a:t> (zakat)</a:t>
          </a:r>
          <a:endParaRPr lang="ru-RU" sz="500" kern="1200">
            <a:solidFill>
              <a:schemeClr val="tx1"/>
            </a:solidFill>
            <a:latin typeface="Times New Roman" panose="02020603050405020304" pitchFamily="18" charset="0"/>
            <a:cs typeface="Times New Roman" panose="02020603050405020304" pitchFamily="18" charset="0"/>
          </a:endParaRPr>
        </a:p>
      </dsp:txBody>
      <dsp:txXfrm>
        <a:off x="2224584" y="480525"/>
        <a:ext cx="708258" cy="371211"/>
      </dsp:txXfrm>
    </dsp:sp>
    <dsp:sp modelId="{98FF26E5-C4D7-344B-B1A5-2969FC5D0628}">
      <dsp:nvSpPr>
        <dsp:cNvPr id="0" name=""/>
        <dsp:cNvSpPr/>
      </dsp:nvSpPr>
      <dsp:spPr>
        <a:xfrm>
          <a:off x="2224584" y="905719"/>
          <a:ext cx="708258" cy="33714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Times New Roman" panose="02020603050405020304" pitchFamily="18" charset="0"/>
              <a:cs typeface="Times New Roman" panose="02020603050405020304" pitchFamily="18" charset="0"/>
            </a:rPr>
            <a:t>Non-obligarory</a:t>
          </a:r>
          <a:r>
            <a:rPr lang="en-US" sz="500" kern="1200">
              <a:solidFill>
                <a:schemeClr val="tx1"/>
              </a:solidFill>
              <a:latin typeface="Times New Roman" panose="02020603050405020304" pitchFamily="18" charset="0"/>
              <a:cs typeface="Times New Roman" panose="02020603050405020304" pitchFamily="18" charset="0"/>
            </a:rPr>
            <a:t> sadaqah</a:t>
          </a:r>
          <a:endParaRPr lang="ru-RU" sz="500" kern="1200">
            <a:solidFill>
              <a:schemeClr val="tx1"/>
            </a:solidFill>
            <a:latin typeface="Times New Roman" panose="02020603050405020304" pitchFamily="18" charset="0"/>
            <a:cs typeface="Times New Roman" panose="02020603050405020304" pitchFamily="18" charset="0"/>
          </a:endParaRPr>
        </a:p>
      </dsp:txBody>
      <dsp:txXfrm>
        <a:off x="2224584" y="905719"/>
        <a:ext cx="708258" cy="337148"/>
      </dsp:txXfrm>
    </dsp:sp>
    <dsp:sp modelId="{15D8D1EE-4360-9649-B38B-CDD8E76F5E91}">
      <dsp:nvSpPr>
        <dsp:cNvPr id="0" name=""/>
        <dsp:cNvSpPr/>
      </dsp:nvSpPr>
      <dsp:spPr>
        <a:xfrm>
          <a:off x="3074494" y="456416"/>
          <a:ext cx="708258" cy="363880"/>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Times New Roman" panose="02020603050405020304" pitchFamily="18" charset="0"/>
              <a:cs typeface="Times New Roman" panose="02020603050405020304" pitchFamily="18" charset="0"/>
            </a:rPr>
            <a:t>Absolute</a:t>
          </a:r>
          <a:r>
            <a:rPr lang="en-US" sz="500" kern="1200">
              <a:solidFill>
                <a:schemeClr val="tx1"/>
              </a:solidFill>
              <a:latin typeface="Times New Roman" panose="02020603050405020304" pitchFamily="18" charset="0"/>
              <a:cs typeface="Times New Roman" panose="02020603050405020304" pitchFamily="18" charset="0"/>
            </a:rPr>
            <a:t> </a:t>
          </a:r>
        </a:p>
        <a:p>
          <a:pPr marL="0" lvl="0" indent="0" algn="ctr" defTabSz="355600">
            <a:lnSpc>
              <a:spcPct val="90000"/>
            </a:lnSpc>
            <a:spcBef>
              <a:spcPct val="0"/>
            </a:spcBef>
            <a:spcAft>
              <a:spcPct val="35000"/>
            </a:spcAft>
            <a:buNone/>
          </a:pPr>
          <a:r>
            <a:rPr lang="en-US" sz="500" kern="1200">
              <a:solidFill>
                <a:schemeClr val="tx1"/>
              </a:solidFill>
              <a:latin typeface="Times New Roman" panose="02020603050405020304" pitchFamily="18" charset="0"/>
              <a:cs typeface="Times New Roman" panose="02020603050405020304" pitchFamily="18" charset="0"/>
            </a:rPr>
            <a:t>sadaqah</a:t>
          </a:r>
          <a:endParaRPr lang="ru-RU" sz="500" kern="1200">
            <a:solidFill>
              <a:schemeClr val="tx1"/>
            </a:solidFill>
            <a:latin typeface="Times New Roman" panose="02020603050405020304" pitchFamily="18" charset="0"/>
            <a:cs typeface="Times New Roman" panose="02020603050405020304" pitchFamily="18" charset="0"/>
          </a:endParaRPr>
        </a:p>
      </dsp:txBody>
      <dsp:txXfrm>
        <a:off x="3074494" y="456416"/>
        <a:ext cx="708258" cy="363880"/>
      </dsp:txXfrm>
    </dsp:sp>
    <dsp:sp modelId="{4316A2F9-C393-9342-ABCA-0EB1E6F9D0FB}">
      <dsp:nvSpPr>
        <dsp:cNvPr id="0" name=""/>
        <dsp:cNvSpPr/>
      </dsp:nvSpPr>
      <dsp:spPr>
        <a:xfrm>
          <a:off x="3924404" y="450678"/>
          <a:ext cx="708258" cy="375357"/>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latin typeface="Times New Roman" panose="02020603050405020304" pitchFamily="18" charset="0"/>
              <a:cs typeface="Times New Roman" panose="02020603050405020304" pitchFamily="18" charset="0"/>
            </a:rPr>
            <a:t>Transfer of fuul ownership to the beneficiary</a:t>
          </a:r>
          <a:endParaRPr lang="ru-RU" sz="700" kern="1200">
            <a:solidFill>
              <a:schemeClr val="tx1"/>
            </a:solidFill>
            <a:latin typeface="Times New Roman" panose="02020603050405020304" pitchFamily="18" charset="0"/>
            <a:cs typeface="Times New Roman" panose="02020603050405020304" pitchFamily="18" charset="0"/>
          </a:endParaRPr>
        </a:p>
      </dsp:txBody>
      <dsp:txXfrm>
        <a:off x="3924404" y="450678"/>
        <a:ext cx="708258" cy="375357"/>
      </dsp:txXfrm>
    </dsp:sp>
    <dsp:sp modelId="{5E5EE7B1-87E9-3845-B65F-80FBF3F9CD5B}">
      <dsp:nvSpPr>
        <dsp:cNvPr id="0" name=""/>
        <dsp:cNvSpPr/>
      </dsp:nvSpPr>
      <dsp:spPr>
        <a:xfrm>
          <a:off x="3074494" y="1321808"/>
          <a:ext cx="708258" cy="370363"/>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Times New Roman" panose="02020603050405020304" pitchFamily="18" charset="0"/>
              <a:cs typeface="Times New Roman" panose="02020603050405020304" pitchFamily="18" charset="0"/>
            </a:rPr>
            <a:t>Non-absolute</a:t>
          </a:r>
          <a:r>
            <a:rPr lang="en-US" sz="500" kern="1200">
              <a:latin typeface="Times New Roman" panose="02020603050405020304" pitchFamily="18" charset="0"/>
              <a:cs typeface="Times New Roman" panose="02020603050405020304" pitchFamily="18" charset="0"/>
            </a:rPr>
            <a:t> </a:t>
          </a:r>
          <a:r>
            <a:rPr lang="en-US" sz="500" kern="1200">
              <a:solidFill>
                <a:schemeClr val="tx1"/>
              </a:solidFill>
              <a:latin typeface="Times New Roman" panose="02020603050405020304" pitchFamily="18" charset="0"/>
              <a:cs typeface="Times New Roman" panose="02020603050405020304" pitchFamily="18" charset="0"/>
            </a:rPr>
            <a:t>sadaqah</a:t>
          </a:r>
          <a:endParaRPr lang="ru-RU" sz="500" kern="1200">
            <a:solidFill>
              <a:schemeClr val="tx1"/>
            </a:solidFill>
            <a:latin typeface="Times New Roman" panose="02020603050405020304" pitchFamily="18" charset="0"/>
            <a:cs typeface="Times New Roman" panose="02020603050405020304" pitchFamily="18" charset="0"/>
          </a:endParaRPr>
        </a:p>
      </dsp:txBody>
      <dsp:txXfrm>
        <a:off x="3074494" y="1321808"/>
        <a:ext cx="708258" cy="370363"/>
      </dsp:txXfrm>
    </dsp:sp>
    <dsp:sp modelId="{FF00886D-3321-6247-B193-A9A223AC43EA}">
      <dsp:nvSpPr>
        <dsp:cNvPr id="0" name=""/>
        <dsp:cNvSpPr/>
      </dsp:nvSpPr>
      <dsp:spPr>
        <a:xfrm>
          <a:off x="3924404" y="880018"/>
          <a:ext cx="708258" cy="331894"/>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latin typeface="Times New Roman" panose="02020603050405020304" pitchFamily="18" charset="0"/>
              <a:cs typeface="Times New Roman" panose="02020603050405020304" pitchFamily="18" charset="0"/>
            </a:rPr>
            <a:t>Entitlement to usufruct only</a:t>
          </a:r>
          <a:endParaRPr lang="ru-RU" sz="700" kern="1200">
            <a:solidFill>
              <a:schemeClr val="tx1"/>
            </a:solidFill>
            <a:latin typeface="Times New Roman" panose="02020603050405020304" pitchFamily="18" charset="0"/>
            <a:cs typeface="Times New Roman" panose="02020603050405020304" pitchFamily="18" charset="0"/>
          </a:endParaRPr>
        </a:p>
      </dsp:txBody>
      <dsp:txXfrm>
        <a:off x="3924404" y="880018"/>
        <a:ext cx="708258" cy="331894"/>
      </dsp:txXfrm>
    </dsp:sp>
    <dsp:sp modelId="{529BAF52-81C9-1840-817B-D8C707063F2F}">
      <dsp:nvSpPr>
        <dsp:cNvPr id="0" name=""/>
        <dsp:cNvSpPr/>
      </dsp:nvSpPr>
      <dsp:spPr>
        <a:xfrm>
          <a:off x="3924404" y="1265896"/>
          <a:ext cx="708258" cy="326371"/>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latin typeface="Times New Roman" panose="02020603050405020304" pitchFamily="18" charset="0"/>
              <a:cs typeface="Times New Roman" panose="02020603050405020304" pitchFamily="18" charset="0"/>
            </a:rPr>
            <a:t>Provisional transfer of ownership</a:t>
          </a:r>
          <a:endParaRPr lang="ru-RU" sz="700" kern="1200">
            <a:solidFill>
              <a:schemeClr val="tx1"/>
            </a:solidFill>
            <a:latin typeface="Times New Roman" panose="02020603050405020304" pitchFamily="18" charset="0"/>
            <a:cs typeface="Times New Roman" panose="02020603050405020304" pitchFamily="18" charset="0"/>
          </a:endParaRPr>
        </a:p>
      </dsp:txBody>
      <dsp:txXfrm>
        <a:off x="3924404" y="1265896"/>
        <a:ext cx="708258" cy="326371"/>
      </dsp:txXfrm>
    </dsp:sp>
    <dsp:sp modelId="{00793FC5-1424-B34B-B493-F80243F391F3}">
      <dsp:nvSpPr>
        <dsp:cNvPr id="0" name=""/>
        <dsp:cNvSpPr/>
      </dsp:nvSpPr>
      <dsp:spPr>
        <a:xfrm>
          <a:off x="3924404" y="1646250"/>
          <a:ext cx="708258" cy="487709"/>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latin typeface="Times New Roman" panose="02020603050405020304" pitchFamily="18" charset="0"/>
              <a:cs typeface="Times New Roman" panose="02020603050405020304" pitchFamily="18" charset="0"/>
            </a:rPr>
            <a:t>Revenue with perpetual ownership suspension</a:t>
          </a:r>
          <a:endParaRPr lang="ru-RU" sz="700" kern="1200">
            <a:solidFill>
              <a:schemeClr val="tx1"/>
            </a:solidFill>
            <a:latin typeface="Times New Roman" panose="02020603050405020304" pitchFamily="18" charset="0"/>
            <a:cs typeface="Times New Roman" panose="02020603050405020304" pitchFamily="18" charset="0"/>
          </a:endParaRPr>
        </a:p>
      </dsp:txBody>
      <dsp:txXfrm>
        <a:off x="3924404" y="1646250"/>
        <a:ext cx="708258" cy="487709"/>
      </dsp:txXfrm>
    </dsp:sp>
    <dsp:sp modelId="{9FD4C313-9AC5-754D-AA5A-5D3D31505614}">
      <dsp:nvSpPr>
        <dsp:cNvPr id="0" name=""/>
        <dsp:cNvSpPr/>
      </dsp:nvSpPr>
      <dsp:spPr>
        <a:xfrm>
          <a:off x="4774314" y="1620613"/>
          <a:ext cx="708258" cy="538984"/>
        </a:xfrm>
        <a:prstGeom prst="rect">
          <a:avLst/>
        </a:prstGeom>
        <a:solidFill>
          <a:schemeClr val="bg1"/>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Times New Roman" panose="02020603050405020304" pitchFamily="18" charset="0"/>
              <a:cs typeface="Times New Roman" panose="02020603050405020304" pitchFamily="18" charset="0"/>
            </a:rPr>
            <a:t>Waqf Habs/Habis</a:t>
          </a:r>
          <a:endParaRPr lang="ru-RU" sz="900" kern="1200">
            <a:solidFill>
              <a:schemeClr val="tx1"/>
            </a:solidFill>
            <a:latin typeface="Times New Roman" panose="02020603050405020304" pitchFamily="18" charset="0"/>
            <a:cs typeface="Times New Roman" panose="02020603050405020304" pitchFamily="18" charset="0"/>
          </a:endParaRPr>
        </a:p>
      </dsp:txBody>
      <dsp:txXfrm>
        <a:off x="4774314" y="1620613"/>
        <a:ext cx="708258" cy="5389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80CC8C-E723-8E41-92BE-105071D78BFB}">
      <dsp:nvSpPr>
        <dsp:cNvPr id="0" name=""/>
        <dsp:cNvSpPr/>
      </dsp:nvSpPr>
      <dsp:spPr>
        <a:xfrm>
          <a:off x="1748996" y="1191195"/>
          <a:ext cx="215245" cy="1025370"/>
        </a:xfrm>
        <a:custGeom>
          <a:avLst/>
          <a:gdLst/>
          <a:ahLst/>
          <a:cxnLst/>
          <a:rect l="0" t="0" r="0" b="0"/>
          <a:pathLst>
            <a:path>
              <a:moveTo>
                <a:pt x="0" y="0"/>
              </a:moveTo>
              <a:lnTo>
                <a:pt x="107622" y="0"/>
              </a:lnTo>
              <a:lnTo>
                <a:pt x="107622" y="1025370"/>
              </a:lnTo>
              <a:lnTo>
                <a:pt x="215245" y="102537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0426" y="1677687"/>
        <a:ext cx="52385" cy="52385"/>
      </dsp:txXfrm>
    </dsp:sp>
    <dsp:sp modelId="{7E2B2425-83BB-1B4D-9266-E3DF3E026EEF}">
      <dsp:nvSpPr>
        <dsp:cNvPr id="0" name=""/>
        <dsp:cNvSpPr/>
      </dsp:nvSpPr>
      <dsp:spPr>
        <a:xfrm>
          <a:off x="1748996" y="1191195"/>
          <a:ext cx="215245" cy="615222"/>
        </a:xfrm>
        <a:custGeom>
          <a:avLst/>
          <a:gdLst/>
          <a:ahLst/>
          <a:cxnLst/>
          <a:rect l="0" t="0" r="0" b="0"/>
          <a:pathLst>
            <a:path>
              <a:moveTo>
                <a:pt x="0" y="0"/>
              </a:moveTo>
              <a:lnTo>
                <a:pt x="107622" y="0"/>
              </a:lnTo>
              <a:lnTo>
                <a:pt x="107622" y="615222"/>
              </a:lnTo>
              <a:lnTo>
                <a:pt x="215245" y="61522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40324" y="1482511"/>
        <a:ext cx="32589" cy="32589"/>
      </dsp:txXfrm>
    </dsp:sp>
    <dsp:sp modelId="{06BB69D2-41BA-E94C-AE44-0E44B9B11876}">
      <dsp:nvSpPr>
        <dsp:cNvPr id="0" name=""/>
        <dsp:cNvSpPr/>
      </dsp:nvSpPr>
      <dsp:spPr>
        <a:xfrm>
          <a:off x="1748996" y="1191195"/>
          <a:ext cx="215245" cy="205074"/>
        </a:xfrm>
        <a:custGeom>
          <a:avLst/>
          <a:gdLst/>
          <a:ahLst/>
          <a:cxnLst/>
          <a:rect l="0" t="0" r="0" b="0"/>
          <a:pathLst>
            <a:path>
              <a:moveTo>
                <a:pt x="0" y="0"/>
              </a:moveTo>
              <a:lnTo>
                <a:pt x="107622" y="0"/>
              </a:lnTo>
              <a:lnTo>
                <a:pt x="107622" y="205074"/>
              </a:lnTo>
              <a:lnTo>
                <a:pt x="215245" y="205074"/>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49186" y="1286299"/>
        <a:ext cx="14864" cy="14864"/>
      </dsp:txXfrm>
    </dsp:sp>
    <dsp:sp modelId="{5304A340-383F-064D-B43A-64091D05D714}">
      <dsp:nvSpPr>
        <dsp:cNvPr id="0" name=""/>
        <dsp:cNvSpPr/>
      </dsp:nvSpPr>
      <dsp:spPr>
        <a:xfrm>
          <a:off x="1748996" y="997454"/>
          <a:ext cx="209574" cy="193740"/>
        </a:xfrm>
        <a:custGeom>
          <a:avLst/>
          <a:gdLst/>
          <a:ahLst/>
          <a:cxnLst/>
          <a:rect l="0" t="0" r="0" b="0"/>
          <a:pathLst>
            <a:path>
              <a:moveTo>
                <a:pt x="0" y="193740"/>
              </a:moveTo>
              <a:lnTo>
                <a:pt x="104787" y="193740"/>
              </a:lnTo>
              <a:lnTo>
                <a:pt x="104787" y="0"/>
              </a:lnTo>
              <a:lnTo>
                <a:pt x="209574"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46648" y="1087189"/>
        <a:ext cx="14270" cy="14270"/>
      </dsp:txXfrm>
    </dsp:sp>
    <dsp:sp modelId="{B4C384AC-7C97-CF47-879C-C5FFF9C80814}">
      <dsp:nvSpPr>
        <dsp:cNvPr id="0" name=""/>
        <dsp:cNvSpPr/>
      </dsp:nvSpPr>
      <dsp:spPr>
        <a:xfrm>
          <a:off x="1748996" y="575972"/>
          <a:ext cx="215245" cy="615222"/>
        </a:xfrm>
        <a:custGeom>
          <a:avLst/>
          <a:gdLst/>
          <a:ahLst/>
          <a:cxnLst/>
          <a:rect l="0" t="0" r="0" b="0"/>
          <a:pathLst>
            <a:path>
              <a:moveTo>
                <a:pt x="0" y="615222"/>
              </a:moveTo>
              <a:lnTo>
                <a:pt x="107622" y="615222"/>
              </a:lnTo>
              <a:lnTo>
                <a:pt x="107622" y="0"/>
              </a:lnTo>
              <a:lnTo>
                <a:pt x="215245"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40324" y="867288"/>
        <a:ext cx="32589" cy="32589"/>
      </dsp:txXfrm>
    </dsp:sp>
    <dsp:sp modelId="{B70DD5B2-0A58-204B-8B08-71627147140F}">
      <dsp:nvSpPr>
        <dsp:cNvPr id="0" name=""/>
        <dsp:cNvSpPr/>
      </dsp:nvSpPr>
      <dsp:spPr>
        <a:xfrm>
          <a:off x="1748996" y="165824"/>
          <a:ext cx="215245" cy="1025370"/>
        </a:xfrm>
        <a:custGeom>
          <a:avLst/>
          <a:gdLst/>
          <a:ahLst/>
          <a:cxnLst/>
          <a:rect l="0" t="0" r="0" b="0"/>
          <a:pathLst>
            <a:path>
              <a:moveTo>
                <a:pt x="0" y="1025370"/>
              </a:moveTo>
              <a:lnTo>
                <a:pt x="107622" y="1025370"/>
              </a:lnTo>
              <a:lnTo>
                <a:pt x="107622" y="0"/>
              </a:lnTo>
              <a:lnTo>
                <a:pt x="215245"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0426" y="652316"/>
        <a:ext cx="52385" cy="52385"/>
      </dsp:txXfrm>
    </dsp:sp>
    <dsp:sp modelId="{E9CE77FA-6EB7-E94D-B8E9-12CFB0D727E6}">
      <dsp:nvSpPr>
        <dsp:cNvPr id="0" name=""/>
        <dsp:cNvSpPr/>
      </dsp:nvSpPr>
      <dsp:spPr>
        <a:xfrm rot="16200000">
          <a:off x="721466" y="1027135"/>
          <a:ext cx="1726940" cy="32811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Waqf share scheme (WSS)</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721466" y="1027135"/>
        <a:ext cx="1726940" cy="328118"/>
      </dsp:txXfrm>
    </dsp:sp>
    <dsp:sp modelId="{971CFD60-D38D-2142-A66B-9B872B1F0007}">
      <dsp:nvSpPr>
        <dsp:cNvPr id="0" name=""/>
        <dsp:cNvSpPr/>
      </dsp:nvSpPr>
      <dsp:spPr>
        <a:xfrm>
          <a:off x="1964242" y="1764"/>
          <a:ext cx="2732051" cy="32811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Any institution stated by the state (government) can create the scheme and become the trustee of waqf </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964242" y="1764"/>
        <a:ext cx="2732051" cy="328118"/>
      </dsp:txXfrm>
    </dsp:sp>
    <dsp:sp modelId="{91581BEB-B850-5347-A1FC-4620561F6C39}">
      <dsp:nvSpPr>
        <dsp:cNvPr id="0" name=""/>
        <dsp:cNvSpPr/>
      </dsp:nvSpPr>
      <dsp:spPr>
        <a:xfrm>
          <a:off x="1964242" y="411913"/>
          <a:ext cx="2732051" cy="32811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stated trustee  issues shares of waqf iand sells the shares to donors for a specific project </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964242" y="411913"/>
        <a:ext cx="2732051" cy="328118"/>
      </dsp:txXfrm>
    </dsp:sp>
    <dsp:sp modelId="{8AC56ED4-1573-9A46-9484-0E5F6D389AE7}">
      <dsp:nvSpPr>
        <dsp:cNvPr id="0" name=""/>
        <dsp:cNvSpPr/>
      </dsp:nvSpPr>
      <dsp:spPr>
        <a:xfrm>
          <a:off x="1958570" y="833394"/>
          <a:ext cx="2733170" cy="32811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donors buy the shares according to th availadility </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958570" y="833394"/>
        <a:ext cx="2733170" cy="328118"/>
      </dsp:txXfrm>
    </dsp:sp>
    <dsp:sp modelId="{312ED10C-0D36-D446-B058-97E91E926AA5}">
      <dsp:nvSpPr>
        <dsp:cNvPr id="0" name=""/>
        <dsp:cNvSpPr/>
      </dsp:nvSpPr>
      <dsp:spPr>
        <a:xfrm>
          <a:off x="1964242" y="1232209"/>
          <a:ext cx="2725195" cy="32811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 sz="1000" kern="1200">
              <a:solidFill>
                <a:schemeClr val="tx1"/>
              </a:solidFill>
              <a:latin typeface="Times New Roman" panose="02020603050405020304" pitchFamily="18" charset="0"/>
              <a:cs typeface="Times New Roman" panose="02020603050405020304" pitchFamily="18" charset="0"/>
            </a:rPr>
            <a:t>The donors receive certificates </a:t>
          </a:r>
          <a:r>
            <a:rPr lang="kk-KZ" sz="1000" kern="1200">
              <a:solidFill>
                <a:schemeClr val="tx1"/>
              </a:solidFill>
              <a:latin typeface="Times New Roman" panose="02020603050405020304" pitchFamily="18" charset="0"/>
              <a:cs typeface="Times New Roman" panose="02020603050405020304" pitchFamily="18" charset="0"/>
            </a:rPr>
            <a:t> </a:t>
          </a:r>
          <a:r>
            <a:rPr lang="en" sz="1000" kern="1200">
              <a:solidFill>
                <a:schemeClr val="tx1"/>
              </a:solidFill>
              <a:latin typeface="Times New Roman" panose="02020603050405020304" pitchFamily="18" charset="0"/>
              <a:cs typeface="Times New Roman" panose="02020603050405020304" pitchFamily="18" charset="0"/>
            </a:rPr>
            <a:t>of the waqf
shares for the specified project</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964242" y="1232209"/>
        <a:ext cx="2725195" cy="328118"/>
      </dsp:txXfrm>
    </dsp:sp>
    <dsp:sp modelId="{94F5E1F8-3AC2-9F45-850D-8D1101B7DCBF}">
      <dsp:nvSpPr>
        <dsp:cNvPr id="0" name=""/>
        <dsp:cNvSpPr/>
      </dsp:nvSpPr>
      <dsp:spPr>
        <a:xfrm>
          <a:off x="1964242" y="1642358"/>
          <a:ext cx="2747861" cy="32811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 sz="1000" kern="1200">
              <a:solidFill>
                <a:schemeClr val="tx1"/>
              </a:solidFill>
              <a:latin typeface="Times New Roman" panose="02020603050405020304" pitchFamily="18" charset="0"/>
              <a:cs typeface="Times New Roman" panose="02020603050405020304" pitchFamily="18" charset="0"/>
            </a:rPr>
            <a:t>The collected</a:t>
          </a:r>
          <a:r>
            <a:rPr lang="kk-KZ" sz="1000" kern="1200">
              <a:solidFill>
                <a:schemeClr val="tx1"/>
              </a:solidFill>
              <a:latin typeface="Times New Roman" panose="02020603050405020304" pitchFamily="18" charset="0"/>
              <a:cs typeface="Times New Roman" panose="02020603050405020304" pitchFamily="18" charset="0"/>
            </a:rPr>
            <a:t> </a:t>
          </a:r>
          <a:r>
            <a:rPr lang="en-US" sz="1000" kern="1200">
              <a:solidFill>
                <a:schemeClr val="tx1"/>
              </a:solidFill>
              <a:latin typeface="Times New Roman" panose="02020603050405020304" pitchFamily="18" charset="0"/>
              <a:cs typeface="Times New Roman" panose="02020603050405020304" pitchFamily="18" charset="0"/>
            </a:rPr>
            <a:t>amount of the financing</a:t>
          </a:r>
          <a:r>
            <a:rPr lang="en" sz="1000" kern="1200">
              <a:solidFill>
                <a:schemeClr val="tx1"/>
              </a:solidFill>
              <a:latin typeface="Times New Roman" panose="02020603050405020304" pitchFamily="18" charset="0"/>
              <a:cs typeface="Times New Roman" panose="02020603050405020304" pitchFamily="18" charset="0"/>
            </a:rPr>
            <a:t> is managed by the trustee for investment</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964242" y="1642358"/>
        <a:ext cx="2747861" cy="328118"/>
      </dsp:txXfrm>
    </dsp:sp>
    <dsp:sp modelId="{747244C7-3E96-6747-B544-57DC44FFC1FE}">
      <dsp:nvSpPr>
        <dsp:cNvPr id="0" name=""/>
        <dsp:cNvSpPr/>
      </dsp:nvSpPr>
      <dsp:spPr>
        <a:xfrm>
          <a:off x="1964242" y="2052506"/>
          <a:ext cx="2748980" cy="32811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 sz="1000" kern="1200">
              <a:solidFill>
                <a:schemeClr val="tx1"/>
              </a:solidFill>
              <a:latin typeface="Times New Roman" panose="02020603050405020304" pitchFamily="18" charset="0"/>
              <a:cs typeface="Times New Roman" panose="02020603050405020304" pitchFamily="18" charset="0"/>
            </a:rPr>
            <a:t>The profit from the investment is used for financing the specified projects</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964242" y="2052506"/>
        <a:ext cx="2748980" cy="32811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4A340-383F-064D-B43A-64091D05D714}">
      <dsp:nvSpPr>
        <dsp:cNvPr id="0" name=""/>
        <dsp:cNvSpPr/>
      </dsp:nvSpPr>
      <dsp:spPr>
        <a:xfrm>
          <a:off x="754317" y="1066800"/>
          <a:ext cx="258419" cy="519715"/>
        </a:xfrm>
        <a:custGeom>
          <a:avLst/>
          <a:gdLst/>
          <a:ahLst/>
          <a:cxnLst/>
          <a:rect l="0" t="0" r="0" b="0"/>
          <a:pathLst>
            <a:path>
              <a:moveTo>
                <a:pt x="0" y="0"/>
              </a:moveTo>
              <a:lnTo>
                <a:pt x="129209" y="0"/>
              </a:lnTo>
              <a:lnTo>
                <a:pt x="129209" y="519715"/>
              </a:lnTo>
              <a:lnTo>
                <a:pt x="258419" y="5197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69016" y="1312147"/>
        <a:ext cx="29020" cy="29020"/>
      </dsp:txXfrm>
    </dsp:sp>
    <dsp:sp modelId="{B4C384AC-7C97-CF47-879C-C5FFF9C80814}">
      <dsp:nvSpPr>
        <dsp:cNvPr id="0" name=""/>
        <dsp:cNvSpPr/>
      </dsp:nvSpPr>
      <dsp:spPr>
        <a:xfrm>
          <a:off x="754317" y="1021080"/>
          <a:ext cx="265412" cy="91440"/>
        </a:xfrm>
        <a:custGeom>
          <a:avLst/>
          <a:gdLst/>
          <a:ahLst/>
          <a:cxnLst/>
          <a:rect l="0" t="0" r="0" b="0"/>
          <a:pathLst>
            <a:path>
              <a:moveTo>
                <a:pt x="0" y="45720"/>
              </a:moveTo>
              <a:lnTo>
                <a:pt x="265412"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80388" y="1060164"/>
        <a:ext cx="13270" cy="13270"/>
      </dsp:txXfrm>
    </dsp:sp>
    <dsp:sp modelId="{B70DD5B2-0A58-204B-8B08-71627147140F}">
      <dsp:nvSpPr>
        <dsp:cNvPr id="0" name=""/>
        <dsp:cNvSpPr/>
      </dsp:nvSpPr>
      <dsp:spPr>
        <a:xfrm>
          <a:off x="754317" y="561059"/>
          <a:ext cx="265412" cy="505740"/>
        </a:xfrm>
        <a:custGeom>
          <a:avLst/>
          <a:gdLst/>
          <a:ahLst/>
          <a:cxnLst/>
          <a:rect l="0" t="0" r="0" b="0"/>
          <a:pathLst>
            <a:path>
              <a:moveTo>
                <a:pt x="0" y="505740"/>
              </a:moveTo>
              <a:lnTo>
                <a:pt x="132706" y="505740"/>
              </a:lnTo>
              <a:lnTo>
                <a:pt x="132706" y="0"/>
              </a:lnTo>
              <a:lnTo>
                <a:pt x="265412"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72745" y="799650"/>
        <a:ext cx="28557" cy="28557"/>
      </dsp:txXfrm>
    </dsp:sp>
    <dsp:sp modelId="{E9CE77FA-6EB7-E94D-B8E9-12CFB0D727E6}">
      <dsp:nvSpPr>
        <dsp:cNvPr id="0" name=""/>
        <dsp:cNvSpPr/>
      </dsp:nvSpPr>
      <dsp:spPr>
        <a:xfrm rot="16200000">
          <a:off x="-512696" y="864503"/>
          <a:ext cx="2129434"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Deposit cash Waqf scheme (DCWS)</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12696" y="864503"/>
        <a:ext cx="2129434" cy="404592"/>
      </dsp:txXfrm>
    </dsp:sp>
    <dsp:sp modelId="{971CFD60-D38D-2142-A66B-9B872B1F0007}">
      <dsp:nvSpPr>
        <dsp:cNvPr id="0" name=""/>
        <dsp:cNvSpPr/>
      </dsp:nvSpPr>
      <dsp:spPr>
        <a:xfrm>
          <a:off x="1019730" y="358762"/>
          <a:ext cx="3368804"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donors make a contribution to the waqf as cash waqf to a specific account </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019730" y="358762"/>
        <a:ext cx="3368804" cy="404592"/>
      </dsp:txXfrm>
    </dsp:sp>
    <dsp:sp modelId="{91581BEB-B850-5347-A1FC-4620561F6C39}">
      <dsp:nvSpPr>
        <dsp:cNvPr id="0" name=""/>
        <dsp:cNvSpPr/>
      </dsp:nvSpPr>
      <dsp:spPr>
        <a:xfrm>
          <a:off x="1019730" y="864503"/>
          <a:ext cx="3368804"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bank invests the cash waqf byt the agreement with waqf</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019730" y="864503"/>
        <a:ext cx="3368804" cy="404592"/>
      </dsp:txXfrm>
    </dsp:sp>
    <dsp:sp modelId="{8AC56ED4-1573-9A46-9484-0E5F6D389AE7}">
      <dsp:nvSpPr>
        <dsp:cNvPr id="0" name=""/>
        <dsp:cNvSpPr/>
      </dsp:nvSpPr>
      <dsp:spPr>
        <a:xfrm>
          <a:off x="1012736" y="1384219"/>
          <a:ext cx="3370184"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waqf institution receives the profit from the investment and uses it to charities </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012736" y="1384219"/>
        <a:ext cx="3370184" cy="4045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F099F-2E55-5342-B4F0-9DEE5D2A3D31}">
      <dsp:nvSpPr>
        <dsp:cNvPr id="0" name=""/>
        <dsp:cNvSpPr/>
      </dsp:nvSpPr>
      <dsp:spPr>
        <a:xfrm>
          <a:off x="739076" y="1066800"/>
          <a:ext cx="311130" cy="750992"/>
        </a:xfrm>
        <a:custGeom>
          <a:avLst/>
          <a:gdLst/>
          <a:ahLst/>
          <a:cxnLst/>
          <a:rect l="0" t="0" r="0" b="0"/>
          <a:pathLst>
            <a:path>
              <a:moveTo>
                <a:pt x="0" y="0"/>
              </a:moveTo>
              <a:lnTo>
                <a:pt x="155565" y="0"/>
              </a:lnTo>
              <a:lnTo>
                <a:pt x="155565" y="750992"/>
              </a:lnTo>
              <a:lnTo>
                <a:pt x="311130" y="7509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74319" y="1421974"/>
        <a:ext cx="40644" cy="40644"/>
      </dsp:txXfrm>
    </dsp:sp>
    <dsp:sp modelId="{5304A340-383F-064D-B43A-64091D05D714}">
      <dsp:nvSpPr>
        <dsp:cNvPr id="0" name=""/>
        <dsp:cNvSpPr/>
      </dsp:nvSpPr>
      <dsp:spPr>
        <a:xfrm>
          <a:off x="739076" y="1066800"/>
          <a:ext cx="258419" cy="266845"/>
        </a:xfrm>
        <a:custGeom>
          <a:avLst/>
          <a:gdLst/>
          <a:ahLst/>
          <a:cxnLst/>
          <a:rect l="0" t="0" r="0" b="0"/>
          <a:pathLst>
            <a:path>
              <a:moveTo>
                <a:pt x="0" y="0"/>
              </a:moveTo>
              <a:lnTo>
                <a:pt x="129209" y="0"/>
              </a:lnTo>
              <a:lnTo>
                <a:pt x="129209" y="266845"/>
              </a:lnTo>
              <a:lnTo>
                <a:pt x="258419" y="26684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58999" y="1190935"/>
        <a:ext cx="18573" cy="18573"/>
      </dsp:txXfrm>
    </dsp:sp>
    <dsp:sp modelId="{B4C384AC-7C97-CF47-879C-C5FFF9C80814}">
      <dsp:nvSpPr>
        <dsp:cNvPr id="0" name=""/>
        <dsp:cNvSpPr/>
      </dsp:nvSpPr>
      <dsp:spPr>
        <a:xfrm>
          <a:off x="739076" y="813929"/>
          <a:ext cx="265412" cy="252870"/>
        </a:xfrm>
        <a:custGeom>
          <a:avLst/>
          <a:gdLst/>
          <a:ahLst/>
          <a:cxnLst/>
          <a:rect l="0" t="0" r="0" b="0"/>
          <a:pathLst>
            <a:path>
              <a:moveTo>
                <a:pt x="0" y="252870"/>
              </a:moveTo>
              <a:lnTo>
                <a:pt x="132706" y="252870"/>
              </a:lnTo>
              <a:lnTo>
                <a:pt x="132706" y="0"/>
              </a:lnTo>
              <a:lnTo>
                <a:pt x="265412"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62617" y="931200"/>
        <a:ext cx="18329" cy="18329"/>
      </dsp:txXfrm>
    </dsp:sp>
    <dsp:sp modelId="{B70DD5B2-0A58-204B-8B08-71627147140F}">
      <dsp:nvSpPr>
        <dsp:cNvPr id="0" name=""/>
        <dsp:cNvSpPr/>
      </dsp:nvSpPr>
      <dsp:spPr>
        <a:xfrm>
          <a:off x="739076" y="308188"/>
          <a:ext cx="265412" cy="758611"/>
        </a:xfrm>
        <a:custGeom>
          <a:avLst/>
          <a:gdLst/>
          <a:ahLst/>
          <a:cxnLst/>
          <a:rect l="0" t="0" r="0" b="0"/>
          <a:pathLst>
            <a:path>
              <a:moveTo>
                <a:pt x="0" y="758611"/>
              </a:moveTo>
              <a:lnTo>
                <a:pt x="132706" y="758611"/>
              </a:lnTo>
              <a:lnTo>
                <a:pt x="132706" y="0"/>
              </a:lnTo>
              <a:lnTo>
                <a:pt x="265412"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51690" y="667401"/>
        <a:ext cx="40185" cy="40185"/>
      </dsp:txXfrm>
    </dsp:sp>
    <dsp:sp modelId="{E9CE77FA-6EB7-E94D-B8E9-12CFB0D727E6}">
      <dsp:nvSpPr>
        <dsp:cNvPr id="0" name=""/>
        <dsp:cNvSpPr/>
      </dsp:nvSpPr>
      <dsp:spPr>
        <a:xfrm rot="16200000">
          <a:off x="-527937" y="864503"/>
          <a:ext cx="2129434"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Times New Roman" panose="02020603050405020304" pitchFamily="18" charset="0"/>
              <a:cs typeface="Times New Roman" panose="02020603050405020304" pitchFamily="18" charset="0"/>
            </a:rPr>
            <a:t>Corporate Waqf scheme (CWS)</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27937" y="864503"/>
        <a:ext cx="2129434" cy="404592"/>
      </dsp:txXfrm>
    </dsp:sp>
    <dsp:sp modelId="{971CFD60-D38D-2142-A66B-9B872B1F0007}">
      <dsp:nvSpPr>
        <dsp:cNvPr id="0" name=""/>
        <dsp:cNvSpPr/>
      </dsp:nvSpPr>
      <dsp:spPr>
        <a:xfrm>
          <a:off x="1004489" y="105892"/>
          <a:ext cx="3368804"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founder (privite/public corporation) establishes the waqf institution</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004489" y="105892"/>
        <a:ext cx="3368804" cy="404592"/>
      </dsp:txXfrm>
    </dsp:sp>
    <dsp:sp modelId="{91581BEB-B850-5347-A1FC-4620561F6C39}">
      <dsp:nvSpPr>
        <dsp:cNvPr id="0" name=""/>
        <dsp:cNvSpPr/>
      </dsp:nvSpPr>
      <dsp:spPr>
        <a:xfrm>
          <a:off x="1004489" y="611633"/>
          <a:ext cx="3368804"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founder requestsl subsidiaries to contribute to the corporate waqf on a regular basis, and also asks other donors to contribute to the waqf institution</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004489" y="611633"/>
        <a:ext cx="3368804" cy="404592"/>
      </dsp:txXfrm>
    </dsp:sp>
    <dsp:sp modelId="{8AC56ED4-1573-9A46-9484-0E5F6D389AE7}">
      <dsp:nvSpPr>
        <dsp:cNvPr id="0" name=""/>
        <dsp:cNvSpPr/>
      </dsp:nvSpPr>
      <dsp:spPr>
        <a:xfrm>
          <a:off x="997495" y="1131348"/>
          <a:ext cx="3370184"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 sz="1000" kern="1200">
              <a:solidFill>
                <a:schemeClr val="tx1"/>
              </a:solidFill>
              <a:latin typeface="Times New Roman" panose="02020603050405020304" pitchFamily="18" charset="0"/>
              <a:cs typeface="Times New Roman" panose="02020603050405020304" pitchFamily="18" charset="0"/>
            </a:rPr>
            <a:t>The founder manages and invests the generated cash waqf from the donors, as a trustee </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997495" y="1131348"/>
        <a:ext cx="3370184" cy="404592"/>
      </dsp:txXfrm>
    </dsp:sp>
    <dsp:sp modelId="{3A42ACA9-4B25-BE43-B6F8-BE8E6834D4E4}">
      <dsp:nvSpPr>
        <dsp:cNvPr id="0" name=""/>
        <dsp:cNvSpPr/>
      </dsp:nvSpPr>
      <dsp:spPr>
        <a:xfrm>
          <a:off x="1050206" y="1615496"/>
          <a:ext cx="3400667" cy="404592"/>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 sz="1000" kern="1200">
              <a:solidFill>
                <a:schemeClr val="tx1"/>
              </a:solidFill>
              <a:latin typeface="Times New Roman" panose="02020603050405020304" pitchFamily="18" charset="0"/>
              <a:cs typeface="Times New Roman" panose="02020603050405020304" pitchFamily="18" charset="0"/>
            </a:rPr>
            <a:t>The profit from the invetments is channelled to the projects</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050206" y="1615496"/>
        <a:ext cx="3400667" cy="40459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4E4B77-DB58-9A4E-BCE3-5476635DEDAC}">
  <we:reference id="wa200001011" version="1.2.0.0" store="ru-RU"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Ern98</b:Tag>
    <b:SourceType>Book</b:SourceType>
    <b:Guid>{7E8B9DAD-9407-4944-A75F-1C58EC21AEC9}</b:Guid>
    <b:Title>Factor Four. Doubling wealth, halving resources use</b:Title>
    <b:Year>1998</b:Year>
    <b:Author>
      <b:Author>
        <b:NameList>
          <b:Person>
            <b:Last>Weizsacker</b:Last>
            <b:First>Ernst</b:First>
            <b:Middle>U von</b:Middle>
          </b:Person>
          <b:Person>
            <b:Last>Lovins</b:Last>
            <b:First>Amory</b:First>
            <b:Middle>B.</b:Middle>
          </b:Person>
          <b:Person>
            <b:Last>Lovins</b:Last>
            <b:First>L.</b:First>
            <b:Middle>Hunter</b:Middle>
          </b:Person>
        </b:NameList>
      </b:Author>
    </b:Author>
    <b:City>UK</b:City>
    <b:Publisher>Earthscan</b:Publisher>
    <b:RefOrder>4</b:RefOrder>
  </b:Source>
  <b:Source>
    <b:Tag>Asi19</b:Tag>
    <b:SourceType>Report</b:SourceType>
    <b:Guid>{C3A808B5-9957-5F4C-8F6B-1B992616DB7B}</b:Guid>
    <b:Author>
      <b:Author>
        <b:Corporate>Asian Development Bank</b:Corporate>
      </b:Author>
    </b:Author>
    <b:Title>Asian Devalopment Outlook supplement</b:Title>
    <b:Year>2019</b:Year>
    <b:City>Mandaluyong City</b:City>
    <b:RefOrder>6</b:RefOrder>
  </b:Source>
  <b:Source>
    <b:Tag>Sag19</b:Tag>
    <b:SourceType>JournalArticle</b:SourceType>
    <b:Guid>{80FB0113-E5E8-CD42-83FC-B3823BCBA181}</b:Guid>
    <b:Title>Analysis of Islamic Finance development in Kazakhstan: overview and prospects</b:Title>
    <b:Year>2019</b:Year>
    <b:JournalName>Economics: strategy and practice</b:JournalName>
    <b:Pages>39-49</b:Pages>
    <b:Author>
      <b:Author>
        <b:NameList>
          <b:Person>
            <b:Last>Sagiyeva</b:Last>
            <b:Middle>K</b:Middle>
            <b:First>Rimma</b:First>
          </b:Person>
          <b:Person>
            <b:Last>Kuanova</b:Last>
            <b:Middle>A</b:Middle>
            <b:First>Laura</b:First>
          </b:Person>
        </b:NameList>
      </b:Author>
    </b:Author>
    <b:RefOrder>7</b:RefOrder>
  </b:Source>
  <b:Source>
    <b:Tag>Glo14</b:Tag>
    <b:SourceType>InternetSite</b:SourceType>
    <b:Guid>{191820B6-366D-3B4F-9A39-783142BF2949}</b:Guid>
    <b:Title>GIFA 2014</b:Title>
    <b:Year>2014</b:Year>
    <b:Author>
      <b:Author>
        <b:Corporate>Global Islamic Finance Awards</b:Corporate>
      </b:Author>
    </b:Author>
    <b:InternetSiteTitle>GIFA</b:InternetSiteTitle>
    <b:URL>https://www.gifaawards.com/gifa_2014.php?fileName=supplement_2016</b:URL>
    <b:RefOrder>8</b:RefOrder>
  </b:Source>
  <b:Source>
    <b:Tag>Glo17</b:Tag>
    <b:SourceType>InternetSite</b:SourceType>
    <b:Guid>{602FE4E0-7B59-BC4E-8C45-6F38B90A98E6}</b:Guid>
    <b:Author>
      <b:Author>
        <b:Corporate>Global Islamic Fianace Awards </b:Corporate>
      </b:Author>
    </b:Author>
    <b:Title>GIFA 2017 Report</b:Title>
    <b:InternetSiteTitle>GIFA</b:InternetSiteTitle>
    <b:URL>https://www.gifaawards.com/gifa_2017.php</b:URL>
    <b:Year>2017</b:Year>
    <b:Month>October</b:Month>
    <b:RefOrder>9</b:RefOrder>
  </b:Source>
  <b:Source>
    <b:Tag>Glo18</b:Tag>
    <b:SourceType>InternetSite</b:SourceType>
    <b:Guid>{998068E0-3480-F549-BFD2-00091224724E}</b:Guid>
    <b:Author>
      <b:Author>
        <b:Corporate>Global Islamic Finance Awards</b:Corporate>
      </b:Author>
    </b:Author>
    <b:Title>GIFA</b:Title>
    <b:InternetSiteTitle>GIFA 2018 Report</b:InternetSiteTitle>
    <b:URL>https://www.gifaawards.com/gifa_2018.php</b:URL>
    <b:Year>2018</b:Year>
    <b:RefOrder>10</b:RefOrder>
  </b:Source>
  <b:Source>
    <b:Tag>Sta19</b:Tag>
    <b:SourceType>DocumentFromInternetSite</b:SourceType>
    <b:Guid>{52361F8C-1A7C-D14D-BB02-50E602B13CA9}</b:Guid>
    <b:Title>Official statistics</b:Title>
    <b:Year>2019</b:Year>
    <b:Author>
      <b:Author>
        <b:Corporate>Statistics committee</b:Corporate>
      </b:Author>
    </b:Author>
    <b:InternetSiteTitle>Ministry of National economy of the Republic of Kazakhstan</b:InternetSiteTitle>
    <b:URL>https://stat.gov.kz/official/dynamic</b:URL>
    <b:RefOrder>11</b:RefOrder>
  </b:Source>
  <b:Source>
    <b:Tag>Nat19</b:Tag>
    <b:SourceType>InternetSite</b:SourceType>
    <b:Guid>{40049E22-47F1-DB45-BAAE-4D4D5383047B}</b:Guid>
    <b:Title>Deposits of individuals in the Banks of Kazakhstan</b:Title>
    <b:InternetSiteTitle>National Bank of Kazakhstan official internet resource</b:InternetSiteTitle>
    <b:URL>https://nationalbank.kz/?docid=351&amp;switch=russian</b:URL>
    <b:Year>2019</b:Year>
    <b:Author>
      <b:Author>
        <b:Corporate>National Bank of Kazakhstan</b:Corporate>
      </b:Author>
    </b:Author>
    <b:RefOrder>12</b:RefOrder>
  </b:Source>
  <b:Source>
    <b:Tag>Rew12</b:Tag>
    <b:SourceType>InternetSite</b:SourceType>
    <b:Guid>{E85582A7-FC9E-B846-940F-1DE1C3EA9148}</b:Guid>
    <b:Author>
      <b:Author>
        <b:Corporate>Countrymeters</b:Corporate>
      </b:Author>
    </b:Author>
    <b:Title>Countrymeters</b:Title>
    <b:InternetSiteTitle>Russain Federation. Kazakhstan Population</b:InternetSiteTitle>
    <b:URL>https://countrymeters.info/ru/Kazakhstan, https://countrymeters.info/ru/Russian_Federation#literacy</b:URL>
    <b:Year>2019</b:Year>
    <b:RefOrder>14</b:RefOrder>
  </b:Source>
</b:Sources>
</file>

<file path=customXml/itemProps1.xml><?xml version="1.0" encoding="utf-8"?>
<ds:datastoreItem xmlns:ds="http://schemas.openxmlformats.org/officeDocument/2006/customXml" ds:itemID="{E4061EA4-E6CF-EE4C-9A4F-7190FF3E9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92974</Words>
  <Characters>529957</Characters>
  <Application>Microsoft Office Word</Application>
  <DocSecurity>0</DocSecurity>
  <Lines>4416</Lines>
  <Paragraphs>1243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2021-06-16T11:07:00Z</cp:lastPrinted>
  <dcterms:created xsi:type="dcterms:W3CDTF">2022-04-19T11:09:00Z</dcterms:created>
  <dcterms:modified xsi:type="dcterms:W3CDTF">2022-04-20T04:37:00Z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http://www.zotero.org/styles/emerald-harvard</vt:lpwstr>
  </property>
  <property fmtid="{D5CDD505-2E9C-101B-9397-08002B2CF9AE}" pid="7" name="Mendeley Recent Style Name 2_1">
    <vt:lpwstr>Emerald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http://www.zotero.org/styles/journal-of-economic-behavior-and-organization</vt:lpwstr>
  </property>
  <property fmtid="{D5CDD505-2E9C-101B-9397-08002B2CF9AE}" pid="11" name="Mendeley Recent Style Name 4_1">
    <vt:lpwstr>Journal of Economic Behavior and Organization</vt:lpwstr>
  </property>
  <property fmtid="{D5CDD505-2E9C-101B-9397-08002B2CF9AE}" pid="12" name="Mendeley Recent Style Id 5_1">
    <vt:lpwstr>http://www.zotero.org/styles/russian-chemical-reviews</vt:lpwstr>
  </property>
  <property fmtid="{D5CDD505-2E9C-101B-9397-08002B2CF9AE}" pid="13" name="Mendeley Recent Style Name 5_1">
    <vt:lpwstr>Russian Chemical Reviews</vt:lpwstr>
  </property>
  <property fmtid="{D5CDD505-2E9C-101B-9397-08002B2CF9AE}" pid="14" name="Mendeley Recent Style Id 6_1">
    <vt:lpwstr>http://www.zotero.org/styles/gost-r-7-0-5-2008</vt:lpwstr>
  </property>
  <property fmtid="{D5CDD505-2E9C-101B-9397-08002B2CF9AE}" pid="15" name="Mendeley Recent Style Name 6_1">
    <vt:lpwstr>Russian GOST R 7.0.5-2008 (Russian)</vt:lpwstr>
  </property>
  <property fmtid="{D5CDD505-2E9C-101B-9397-08002B2CF9AE}" pid="16" name="Mendeley Recent Style Id 7_1">
    <vt:lpwstr>http://www.zotero.org/styles/gost-r-7-0-5-2008-numeric</vt:lpwstr>
  </property>
  <property fmtid="{D5CDD505-2E9C-101B-9397-08002B2CF9AE}" pid="17" name="Mendeley Recent Style Name 7_1">
    <vt:lpwstr>Russian GOST R 7.0.5-2008 (numeric)</vt:lpwstr>
  </property>
  <property fmtid="{D5CDD505-2E9C-101B-9397-08002B2CF9AE}" pid="18" name="Mendeley Recent Style Id 8_1">
    <vt:lpwstr>http://www.zotero.org/styles/rossiiskii-fiziologicheskii-zhurnal-imeni-i-m-sechenova</vt:lpwstr>
  </property>
  <property fmtid="{D5CDD505-2E9C-101B-9397-08002B2CF9AE}" pid="19" name="Mendeley Recent Style Name 8_1">
    <vt:lpwstr>Российский физиологический журнал им. И.М. Сеченова (Russian)</vt:lpwstr>
  </property>
  <property fmtid="{D5CDD505-2E9C-101B-9397-08002B2CF9AE}" pid="20" name="Mendeley Recent Style Id 9_1">
    <vt:lpwstr>http://www.zotero.org/styles/uspekhi-gerontologii</vt:lpwstr>
  </property>
  <property fmtid="{D5CDD505-2E9C-101B-9397-08002B2CF9AE}" pid="21" name="Mendeley Recent Style Name 9_1">
    <vt:lpwstr>Успехи геронтологии (Russian)</vt:lpwstr>
  </property>
  <property fmtid="{D5CDD505-2E9C-101B-9397-08002B2CF9AE}" pid="22" name="Mendeley Document_1">
    <vt:lpwstr>True</vt:lpwstr>
  </property>
  <property fmtid="{D5CDD505-2E9C-101B-9397-08002B2CF9AE}" pid="23" name="Mendeley Citation Style_1">
    <vt:lpwstr>http://www.zotero.org/styles/gost-r-7-0-5-2008-numeric</vt:lpwstr>
  </property>
  <property fmtid="{D5CDD505-2E9C-101B-9397-08002B2CF9AE}" pid="24" name="Mendeley Unique User Id_1">
    <vt:lpwstr>329e2302-3595-35ab-8f69-58672ebf74f3</vt:lpwstr>
  </property>
  <property fmtid="{D5CDD505-2E9C-101B-9397-08002B2CF9AE}" pid="25" name="Mendeley Recent Style Id 10_1">
    <vt:lpwstr>(Bekkin, 2003)</vt:lpwstr>
  </property>
  <property fmtid="{D5CDD505-2E9C-101B-9397-08002B2CF9AE}" pid="26" name="Mendeley Recent Style Name 10_1">
    <vt:lpwstr>(Bekkin, 2003)</vt:lpwstr>
  </property>
  <property fmtid="{D5CDD505-2E9C-101B-9397-08002B2CF9AE}" pid="27" name="Mendeley Recent Style Id 11_1">
    <vt:lpwstr>ADDIN CSL_CITATION {"citationItems":[{"id":"ITEM-1","itemData":{"author":[{"dropping-particle":"","family":"Rew Research Center","given":"","non-dropping-particle":"","parse-names":false,"suffix":""}],"id":"ITEM-1","issued":{"date-parts":[["2015"]]},"titl</vt:lpwstr>
  </property>
  <property fmtid="{D5CDD505-2E9C-101B-9397-08002B2CF9AE}" pid="28" name="Mendeley Recent Style Id 11_2">
    <vt:lpwstr>e":"The Future of World Religions : Population Growth Projections , 2010-2050 Why Muslims Are Rising Fastest and the Unaffiliated Are","type":"report"},"uris":["http://www.mendeley.com/documents/?uuid=718dc28e-4548-49e2-ad7d-37fe017ab426"]}],"mendeley":{"</vt:lpwstr>
  </property>
  <property fmtid="{D5CDD505-2E9C-101B-9397-08002B2CF9AE}" pid="29" name="Mendeley Recent Style Id 11_3">
    <vt:lpwstr>formattedCitation":"(Rew Research Center, 2015)","plainTextFormattedCitation":"(Rew Research Center, 2015)","previouslyFormattedCitation":"(Rew Research Center, 2015)"},"properties":{"noteIndex":0},"schema":"https://github.com/citation-style-language/sche</vt:lpwstr>
  </property>
  <property fmtid="{D5CDD505-2E9C-101B-9397-08002B2CF9AE}" pid="30" name="Mendeley Recent Style Id 11_4">
    <vt:lpwstr>ma/raw/master/csl-citation.json"}</vt:lpwstr>
  </property>
  <property fmtid="{D5CDD505-2E9C-101B-9397-08002B2CF9AE}" pid="31" name="Mendeley Recent Style Name 11_1">
    <vt:lpwstr>(Rew Research Center, 2015)</vt:lpwstr>
  </property>
  <property fmtid="{D5CDD505-2E9C-101B-9397-08002B2CF9AE}" pid="32" name="Mendeley Recent Style Id 12_1">
    <vt:lpwstr>(Rew Research Center, 2015)</vt:lpwstr>
  </property>
  <property fmtid="{D5CDD505-2E9C-101B-9397-08002B2CF9AE}" pid="33" name="Mendeley Recent Style Name 12_1">
    <vt:lpwstr>(Rew Research Center, 2015)</vt:lpwstr>
  </property>
  <property fmtid="{D5CDD505-2E9C-101B-9397-08002B2CF9AE}" pid="34" name="Mendeley Recent Style Id 13_1">
    <vt:lpwstr>ADDIN CSL_CITATION {"citationItems":[{"id":"ITEM-1","itemData":{"id":"ITEM-1","issued":{"date-parts":[["0"]]},"title":"Holy-Quran","type":"book"},"uris":["http://www.mendeley.com/documents/?uuid=f9fa377e-58aa-401f-80ab-8caf62735865"]}],"mendeley":{"format</vt:lpwstr>
  </property>
  <property fmtid="{D5CDD505-2E9C-101B-9397-08002B2CF9AE}" pid="35" name="Mendeley Recent Style Id 13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36" name="Mendeley Recent Style Id 13_3">
    <vt:lpwstr>l-citation.json"}</vt:lpwstr>
  </property>
  <property fmtid="{D5CDD505-2E9C-101B-9397-08002B2CF9AE}" pid="37" name="Mendeley Recent Style Name 13_1">
    <vt:lpwstr>(&lt;i&gt;Holy-Quran&lt;/i&gt;, n.d.)</vt:lpwstr>
  </property>
  <property fmtid="{D5CDD505-2E9C-101B-9397-08002B2CF9AE}" pid="38" name="Mendeley Recent Style Id 14_1">
    <vt:lpwstr>(&lt;i&gt;Holy-Quran&lt;/i&gt;, no date)</vt:lpwstr>
  </property>
  <property fmtid="{D5CDD505-2E9C-101B-9397-08002B2CF9AE}" pid="39" name="Mendeley Recent Style Name 14_1">
    <vt:lpwstr>(Holy-Quran, n.d.)</vt:lpwstr>
  </property>
  <property fmtid="{D5CDD505-2E9C-101B-9397-08002B2CF9AE}" pid="40" name="Mendeley Recent Style Id 15_1">
    <vt:lpwstr>ADDIN CSL_CITATION {"citationItems":[{"id":"ITEM-1","itemData":{"author":[{"dropping-particle":"","family":"Maududi","given":"Abul Al’a","non-dropping-particle":"","parse-names":false,"suffix":""}],"container-title":"2","id":"ITEM-1","issued":{"date-parts</vt:lpwstr>
  </property>
  <property fmtid="{D5CDD505-2E9C-101B-9397-08002B2CF9AE}" pid="41" name="Mendeley Recent Style Id 15_2">
    <vt:lpwstr>":[["0"]]},"page":"68","publisher":"Pakistan Philosophical Congress [3]","publisher-place":"Pakistan","title":"A history of Muslim Philosophy: Advent Of Islam, Fundamental Teachings Of The Qur'an","type":"chapter"},"uris":["http://www.mendeley.com/documen</vt:lpwstr>
  </property>
  <property fmtid="{D5CDD505-2E9C-101B-9397-08002B2CF9AE}" pid="42" name="Mendeley Recent Style Id 15_3">
    <vt:lpwstr>ts/?uuid=93238ed5-ddfe-4780-96c4-17d8e98b357a"]}],"mendeley":{"formattedCitation":"(Maududi, n.d.)","plainTextFormattedCitation":"(Maududi, n.d.)","previouslyFormattedCitation":"(Maududi, no date)"},"properties":{"noteIndex":0},"schema":"https://github.co</vt:lpwstr>
  </property>
  <property fmtid="{D5CDD505-2E9C-101B-9397-08002B2CF9AE}" pid="43" name="Mendeley Recent Style Id 15_4">
    <vt:lpwstr>m/citation-style-language/schema/raw/master/csl-citation.json"}</vt:lpwstr>
  </property>
  <property fmtid="{D5CDD505-2E9C-101B-9397-08002B2CF9AE}" pid="44" name="Mendeley Recent Style Name 15_1">
    <vt:lpwstr>(Maududi, n.d.)</vt:lpwstr>
  </property>
  <property fmtid="{D5CDD505-2E9C-101B-9397-08002B2CF9AE}" pid="45" name="Mendeley Recent Style Id 16_1">
    <vt:lpwstr>(Maududi, no date)</vt:lpwstr>
  </property>
  <property fmtid="{D5CDD505-2E9C-101B-9397-08002B2CF9AE}" pid="46" name="Mendeley Recent Style Name 16_1">
    <vt:lpwstr>(Maududi, n.d.)</vt:lpwstr>
  </property>
  <property fmtid="{D5CDD505-2E9C-101B-9397-08002B2CF9AE}" pid="47" name="Mendeley Recent Style Id 17_1">
    <vt:lpwstr>ADDIN CSL_CITATION {"citationItems":[{"id":"ITEM-1","itemData":{"ISBN":"9783030176235","author":[{"dropping-particle":"","family":"Billah","given":"Mohd Ma’Sum","non-dropping-particle":"","parse-names":false,"suffix":""}],"id":"ITEM-1","issued":{"date-par</vt:lpwstr>
  </property>
  <property fmtid="{D5CDD505-2E9C-101B-9397-08002B2CF9AE}" pid="48" name="Mendeley Recent Style Id 17_2">
    <vt:lpwstr>ts":[["2019"]]},"number-of-pages":"443","publisher":"Pulgrave macmillan","publisher-place":"Jeddah, Saudi Arabia ISB","title":"Islamic Financial Products Principles , Instruments","type":"book"},"uris":["http://www.mendeley.com/documents/?uuid=304f5e72-0a</vt:lpwstr>
  </property>
  <property fmtid="{D5CDD505-2E9C-101B-9397-08002B2CF9AE}" pid="49" name="Mendeley Recent Style Id 17_3">
    <vt:lpwstr>fc-4c93-be90-c84d72882612"]}],"mendeley":{"formattedCitation":"(Billah, 2019)","plainTextFormattedCitation":"(Billah, 2019)","previouslyFormattedCitation":"(Billah, 2019)"},"properties":{"noteIndex":0},"schema":"https://github.com/citation-style-language/</vt:lpwstr>
  </property>
  <property fmtid="{D5CDD505-2E9C-101B-9397-08002B2CF9AE}" pid="50" name="Mendeley Recent Style Id 17_4">
    <vt:lpwstr>schema/raw/master/csl-citation.json"}</vt:lpwstr>
  </property>
  <property fmtid="{D5CDD505-2E9C-101B-9397-08002B2CF9AE}" pid="51" name="Mendeley Recent Style Name 17_1">
    <vt:lpwstr>(Billah, 2019)</vt:lpwstr>
  </property>
  <property fmtid="{D5CDD505-2E9C-101B-9397-08002B2CF9AE}" pid="52" name="Mendeley Recent Style Id 18_1">
    <vt:lpwstr>(Billah, 2019)</vt:lpwstr>
  </property>
  <property fmtid="{D5CDD505-2E9C-101B-9397-08002B2CF9AE}" pid="53" name="Mendeley Recent Style Name 18_1">
    <vt:lpwstr>(Billah, 2019)</vt:lpwstr>
  </property>
  <property fmtid="{D5CDD505-2E9C-101B-9397-08002B2CF9AE}" pid="54" name="Mendeley Recent Style Id 19_1">
    <vt:lpwstr>ADDIN CSL_CITATION {"citationItems":[{"id":"ITEM-1","itemData":{"ISBN":"9781849300179","author":[{"dropping-particle":"","family":"Ali","given":"Amjid","non-dropping-particle":"","parse-names":false,"suffix":""},{"dropping-particle":"","family":"Asutay","</vt:lpwstr>
  </property>
  <property fmtid="{D5CDD505-2E9C-101B-9397-08002B2CF9AE}" pid="55" name="Mendeley Recent Style Id 19_2">
    <vt:lpwstr>given":"Mehmet","non-dropping-particle":"","parse-names":false,"suffix":""},{"dropping-particle":"","family":"Bälz","given":"Kilian","non-dropping-particle":"","parse-names":false,"suffix":""},{"dropping-particle":"Ben","family":"Naceur","given":"Samy","n</vt:lpwstr>
  </property>
  <property fmtid="{D5CDD505-2E9C-101B-9397-08002B2CF9AE}" pid="56" name="Mendeley Recent Style Id 19_3">
    <vt:lpwstr>on-dropping-particle":"","parse-names":false,"suffix":""},{"dropping-particle":"","family":"Cosgrave","given":"Barry","non-dropping-particle":"","parse-names":false,"suffix":""},{"dropping-particle":"","family":"Crawford","given":"Susi","non-dropping-part</vt:lpwstr>
  </property>
  <property fmtid="{D5CDD505-2E9C-101B-9397-08002B2CF9AE}" pid="57" name="Mendeley Recent Style Id 19_4">
    <vt:lpwstr>icle":"","parse-names":false,"suffix":""},{"dropping-particle":"","family":"Is","given":"Omar Fisher","non-dropping-particle":"","parse-names":false,"suffix":""}],"id":"ITEM-1","issued":{"date-parts":[["2010"]]},"number-of-pages":"238","publisher-place":"</vt:lpwstr>
  </property>
  <property fmtid="{D5CDD505-2E9C-101B-9397-08002B2CF9AE}" pid="58" name="Mendeley Recent Style Id 19_5">
    <vt:lpwstr>London","title":"Islamic Finance: Instruments and Markets","type":"book"},"uris":["http://www.mendeley.com/documents/?uuid=fa38f272-8c81-4ed8-b2d8-f06929e3cca7"]}],"mendeley":{"formattedCitation":"(Ali &lt;i&gt;et al.&lt;/i&gt;, 2010)","plainTextFormattedCitation":"(</vt:lpwstr>
  </property>
  <property fmtid="{D5CDD505-2E9C-101B-9397-08002B2CF9AE}" pid="59" name="Mendeley Recent Style Id 19_6">
    <vt:lpwstr>Ali et al., 2010)","previouslyFormattedCitation":"(Ali &lt;i&gt;et al.&lt;/i&gt;, 2010)"},"properties":{"noteIndex":0},"schema":"https://github.com/citation-style-language/schema/raw/master/csl-citation.json"}</vt:lpwstr>
  </property>
  <property fmtid="{D5CDD505-2E9C-101B-9397-08002B2CF9AE}" pid="60" name="Mendeley Recent Style Name 19_1">
    <vt:lpwstr>(Ali &lt;i&gt;et al.&lt;/i&gt;, 2010)</vt:lpwstr>
  </property>
  <property fmtid="{D5CDD505-2E9C-101B-9397-08002B2CF9AE}" pid="61" name="Mendeley Recent Style Id 20_1">
    <vt:lpwstr>(Ali &lt;i&gt;et al.&lt;/i&gt;, 2010)</vt:lpwstr>
  </property>
  <property fmtid="{D5CDD505-2E9C-101B-9397-08002B2CF9AE}" pid="62" name="Mendeley Recent Style Name 20_1">
    <vt:lpwstr>(Ali et al., 2010)</vt:lpwstr>
  </property>
  <property fmtid="{D5CDD505-2E9C-101B-9397-08002B2CF9AE}" pid="63" name="Mendeley Recent Style Id 21_1">
    <vt:lpwstr>ADDIN CSL_CITATION {"citationItems":[{"id":"ITEM-1","itemData":{"ISBN":"9783030176235","author":[{"dropping-particle":"","family":"Billah","given":"Mohd Ma’Sum","non-dropping-particle":"","parse-names":false,"suffix":""}],"id":"ITEM-1","issued":{"date-par</vt:lpwstr>
  </property>
  <property fmtid="{D5CDD505-2E9C-101B-9397-08002B2CF9AE}" pid="64" name="Mendeley Recent Style Id 21_2">
    <vt:lpwstr>ts":[["2019"]]},"number-of-pages":"443","publisher":"Pulgrave macmillan","publisher-place":"Jeddah, Saudi Arabia ISB","title":"Islamic Financial Products Principles , Instruments","type":"book"},"uris":["http://www.mendeley.com/documents/?uuid=304f5e72-0a</vt:lpwstr>
  </property>
  <property fmtid="{D5CDD505-2E9C-101B-9397-08002B2CF9AE}" pid="65" name="Mendeley Recent Style Id 21_3">
    <vt:lpwstr>fc-4c93-be90-c84d72882612"]}],"mendeley":{"formattedCitation":"(Billah, 2019)","plainTextFormattedCitation":"(Billah, 2019)","previouslyFormattedCitation":"(Billah, 2019)"},"properties":{"noteIndex":0},"schema":"https://github.com/citation-style-language/</vt:lpwstr>
  </property>
  <property fmtid="{D5CDD505-2E9C-101B-9397-08002B2CF9AE}" pid="66" name="Mendeley Recent Style Id 21_4">
    <vt:lpwstr>schema/raw/master/csl-citation.json"}</vt:lpwstr>
  </property>
  <property fmtid="{D5CDD505-2E9C-101B-9397-08002B2CF9AE}" pid="67" name="Mendeley Recent Style Name 21_1">
    <vt:lpwstr>(Billah, 2019)</vt:lpwstr>
  </property>
  <property fmtid="{D5CDD505-2E9C-101B-9397-08002B2CF9AE}" pid="68" name="Mendeley Recent Style Id 22_1">
    <vt:lpwstr>(Billah, 2019)</vt:lpwstr>
  </property>
  <property fmtid="{D5CDD505-2E9C-101B-9397-08002B2CF9AE}" pid="69" name="Mendeley Recent Style Name 22_1">
    <vt:lpwstr>(Billah, 2019)</vt:lpwstr>
  </property>
  <property fmtid="{D5CDD505-2E9C-101B-9397-08002B2CF9AE}" pid="70" name="Mendeley Recent Style Id 23_1">
    <vt:lpwstr>ADDIN CSL_CITATION {"citationItems":[{"id":"ITEM-1","itemData":{"id":"ITEM-1","issued":{"date-parts":[["0"]]},"title":"Holy-Quran","type":"book"},"uris":["http://www.mendeley.com/documents/?uuid=f9fa377e-58aa-401f-80ab-8caf62735865"]}],"mendeley":{"format</vt:lpwstr>
  </property>
  <property fmtid="{D5CDD505-2E9C-101B-9397-08002B2CF9AE}" pid="71" name="Mendeley Recent Style Id 23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72" name="Mendeley Recent Style Id 23_3">
    <vt:lpwstr>l-citation.json"}</vt:lpwstr>
  </property>
  <property fmtid="{D5CDD505-2E9C-101B-9397-08002B2CF9AE}" pid="73" name="Mendeley Recent Style Name 23_1">
    <vt:lpwstr>(&lt;i&gt;Holy-Quran&lt;/i&gt;, n.d.)</vt:lpwstr>
  </property>
  <property fmtid="{D5CDD505-2E9C-101B-9397-08002B2CF9AE}" pid="74" name="Mendeley Recent Style Id 24_1">
    <vt:lpwstr>(&lt;i&gt;Holy-Quran&lt;/i&gt;, no date)</vt:lpwstr>
  </property>
  <property fmtid="{D5CDD505-2E9C-101B-9397-08002B2CF9AE}" pid="75" name="Mendeley Recent Style Name 24_1">
    <vt:lpwstr>(Holy-Quran, n.d.)</vt:lpwstr>
  </property>
  <property fmtid="{D5CDD505-2E9C-101B-9397-08002B2CF9AE}" pid="76" name="Mendeley Recent Style Id 25_1">
    <vt:lpwstr>ADDIN CSL_CITATION {"citationItems":[{"id":"ITEM-1","itemData":{"id":"ITEM-1","issued":{"date-parts":[["0"]]},"title":"Holy-Quran","type":"book"},"uris":["http://www.mendeley.com/documents/?uuid=f9fa377e-58aa-401f-80ab-8caf62735865"]}],"mendeley":{"format</vt:lpwstr>
  </property>
  <property fmtid="{D5CDD505-2E9C-101B-9397-08002B2CF9AE}" pid="77" name="Mendeley Recent Style Id 25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78" name="Mendeley Recent Style Id 25_3">
    <vt:lpwstr>l-citation.json"}</vt:lpwstr>
  </property>
  <property fmtid="{D5CDD505-2E9C-101B-9397-08002B2CF9AE}" pid="79" name="Mendeley Recent Style Name 25_1">
    <vt:lpwstr>(&lt;i&gt;Holy-Quran&lt;/i&gt;, n.d.)</vt:lpwstr>
  </property>
  <property fmtid="{D5CDD505-2E9C-101B-9397-08002B2CF9AE}" pid="80" name="Mendeley Recent Style Id 26_1">
    <vt:lpwstr>(&lt;i&gt;Holy-Quran&lt;/i&gt;, no date)</vt:lpwstr>
  </property>
  <property fmtid="{D5CDD505-2E9C-101B-9397-08002B2CF9AE}" pid="81" name="Mendeley Recent Style Name 26_1">
    <vt:lpwstr>(Holy-Quran, n.d.)</vt:lpwstr>
  </property>
  <property fmtid="{D5CDD505-2E9C-101B-9397-08002B2CF9AE}" pid="82" name="Mendeley Recent Style Id 27_1">
    <vt:lpwstr>ADDIN CSL_CITATION {"citationItems":[{"id":"ITEM-1","itemData":{"id":"ITEM-1","issued":{"date-parts":[["0"]]},"title":"Holy-Quran","type":"book"},"uris":["http://www.mendeley.com/documents/?uuid=f9fa377e-58aa-401f-80ab-8caf62735865"]}],"mendeley":{"format</vt:lpwstr>
  </property>
  <property fmtid="{D5CDD505-2E9C-101B-9397-08002B2CF9AE}" pid="83" name="Mendeley Recent Style Id 27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84" name="Mendeley Recent Style Id 27_3">
    <vt:lpwstr>l-citation.json"}</vt:lpwstr>
  </property>
  <property fmtid="{D5CDD505-2E9C-101B-9397-08002B2CF9AE}" pid="85" name="Mendeley Recent Style Name 27_1">
    <vt:lpwstr>(&lt;i&gt;Holy-Quran&lt;/i&gt;, n.d.)</vt:lpwstr>
  </property>
  <property fmtid="{D5CDD505-2E9C-101B-9397-08002B2CF9AE}" pid="86" name="Mendeley Recent Style Id 28_1">
    <vt:lpwstr>(&lt;i&gt;Holy-Quran&lt;/i&gt;, no date)</vt:lpwstr>
  </property>
  <property fmtid="{D5CDD505-2E9C-101B-9397-08002B2CF9AE}" pid="87" name="Mendeley Recent Style Name 28_1">
    <vt:lpwstr>(Holy-Quran, n.d.)</vt:lpwstr>
  </property>
  <property fmtid="{D5CDD505-2E9C-101B-9397-08002B2CF9AE}" pid="88" name="Mendeley Recent Style Id 29_1">
    <vt:lpwstr>ADDIN CSL_CITATION {"citationItems":[{"id":"ITEM-1","itemData":{"id":"ITEM-1","issued":{"date-parts":[["0"]]},"title":"Holy-Quran","type":"book"},"uris":["http://www.mendeley.com/documents/?uuid=f9fa377e-58aa-401f-80ab-8caf62735865"]}],"mendeley":{"format</vt:lpwstr>
  </property>
  <property fmtid="{D5CDD505-2E9C-101B-9397-08002B2CF9AE}" pid="89" name="Mendeley Recent Style Id 29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90" name="Mendeley Recent Style Id 29_3">
    <vt:lpwstr>l-citation.json"}</vt:lpwstr>
  </property>
  <property fmtid="{D5CDD505-2E9C-101B-9397-08002B2CF9AE}" pid="91" name="Mendeley Recent Style Name 29_1">
    <vt:lpwstr>(&lt;i&gt;Holy-Quran&lt;/i&gt;, n.d.)</vt:lpwstr>
  </property>
  <property fmtid="{D5CDD505-2E9C-101B-9397-08002B2CF9AE}" pid="92" name="Mendeley Recent Style Id 30_1">
    <vt:lpwstr>(&lt;i&gt;Holy-Quran&lt;/i&gt;, no date)</vt:lpwstr>
  </property>
  <property fmtid="{D5CDD505-2E9C-101B-9397-08002B2CF9AE}" pid="93" name="Mendeley Recent Style Name 30_1">
    <vt:lpwstr>(Holy-Quran, n.d.)</vt:lpwstr>
  </property>
  <property fmtid="{D5CDD505-2E9C-101B-9397-08002B2CF9AE}" pid="94" name="Mendeley Recent Style Id 31_1">
    <vt:lpwstr>ADDIN CSL_CITATION {"citationItems":[{"id":"ITEM-1","itemData":{"id":"ITEM-1","issued":{"date-parts":[["0"]]},"title":"Holy-Quran","type":"book"},"uris":["http://www.mendeley.com/documents/?uuid=f9fa377e-58aa-401f-80ab-8caf62735865"]}],"mendeley":{"format</vt:lpwstr>
  </property>
  <property fmtid="{D5CDD505-2E9C-101B-9397-08002B2CF9AE}" pid="95" name="Mendeley Recent Style Id 31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96" name="Mendeley Recent Style Id 31_3">
    <vt:lpwstr>l-citation.json"}</vt:lpwstr>
  </property>
  <property fmtid="{D5CDD505-2E9C-101B-9397-08002B2CF9AE}" pid="97" name="Mendeley Recent Style Name 31_1">
    <vt:lpwstr>(&lt;i&gt;Holy-Quran&lt;/i&gt;, n.d.)</vt:lpwstr>
  </property>
  <property fmtid="{D5CDD505-2E9C-101B-9397-08002B2CF9AE}" pid="98" name="Mendeley Recent Style Id 32_1">
    <vt:lpwstr>(&lt;i&gt;Holy-Quran&lt;/i&gt;, no date)</vt:lpwstr>
  </property>
  <property fmtid="{D5CDD505-2E9C-101B-9397-08002B2CF9AE}" pid="99" name="Mendeley Recent Style Name 32_1">
    <vt:lpwstr>(Holy-Quran, n.d.)</vt:lpwstr>
  </property>
  <property fmtid="{D5CDD505-2E9C-101B-9397-08002B2CF9AE}" pid="100" name="Mendeley Recent Style Id 33_1">
    <vt:lpwstr>ADDIN CSL_CITATION {"citationItems":[{"id":"ITEM-1","itemData":{"id":"ITEM-1","issued":{"date-parts":[["0"]]},"title":"Holy-Quran","type":"book"},"uris":["http://www.mendeley.com/documents/?uuid=f9fa377e-58aa-401f-80ab-8caf62735865"]}],"mendeley":{"format</vt:lpwstr>
  </property>
  <property fmtid="{D5CDD505-2E9C-101B-9397-08002B2CF9AE}" pid="101" name="Mendeley Recent Style Id 33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102" name="Mendeley Recent Style Id 33_3">
    <vt:lpwstr>l-citation.json"}</vt:lpwstr>
  </property>
  <property fmtid="{D5CDD505-2E9C-101B-9397-08002B2CF9AE}" pid="103" name="Mendeley Recent Style Name 33_1">
    <vt:lpwstr>(&lt;i&gt;Holy-Quran&lt;/i&gt;, n.d.)</vt:lpwstr>
  </property>
  <property fmtid="{D5CDD505-2E9C-101B-9397-08002B2CF9AE}" pid="104" name="Mendeley Recent Style Id 34_1">
    <vt:lpwstr>(&lt;i&gt;Holy-Quran&lt;/i&gt;, no date)</vt:lpwstr>
  </property>
  <property fmtid="{D5CDD505-2E9C-101B-9397-08002B2CF9AE}" pid="105" name="Mendeley Recent Style Name 34_1">
    <vt:lpwstr>(Holy-Quran, n.d.)</vt:lpwstr>
  </property>
  <property fmtid="{D5CDD505-2E9C-101B-9397-08002B2CF9AE}" pid="106" name="Mendeley Recent Style Id 35_1">
    <vt:lpwstr>ADDIN CSL_CITATION {"citationItems":[{"id":"ITEM-1","itemData":{"id":"ITEM-1","issued":{"date-parts":[["0"]]},"title":"Bible. Leviticus. Old Testament","type":"book"},"uris":["http://www.mendeley.com/documents/?uuid=86a84e2f-180f-4788-896c-86c5123abbe7"]}</vt:lpwstr>
  </property>
  <property fmtid="{D5CDD505-2E9C-101B-9397-08002B2CF9AE}" pid="107" name="Mendeley Recent Style Id 35_2">
    <vt:lpwstr>],"mendeley":{"formattedCitation":"(&lt;i&gt;Bible. Leviticus. Old Testament&lt;/i&gt;, n.d.)","plainTextFormattedCitation":"(Bible. Leviticus. Old Testament, n.d.)","previouslyFormattedCitation":"(&lt;i&gt;Bible. Leviticus. Old Testament&lt;/i&gt;, no date)"},"properties":{"not</vt:lpwstr>
  </property>
  <property fmtid="{D5CDD505-2E9C-101B-9397-08002B2CF9AE}" pid="108" name="Mendeley Recent Style Id 35_3">
    <vt:lpwstr>eIndex":0},"schema":"https://github.com/citation-style-language/schema/raw/master/csl-citation.json"}</vt:lpwstr>
  </property>
  <property fmtid="{D5CDD505-2E9C-101B-9397-08002B2CF9AE}" pid="109" name="Mendeley Recent Style Name 35_1">
    <vt:lpwstr>(&lt;i&gt;Bible. Leviticus. Old Testament&lt;/i&gt;, n.d.)</vt:lpwstr>
  </property>
  <property fmtid="{D5CDD505-2E9C-101B-9397-08002B2CF9AE}" pid="110" name="Mendeley Recent Style Id 36_1">
    <vt:lpwstr>(&lt;i&gt;Bible. Leviticus. Old Testament&lt;/i&gt;, no date)</vt:lpwstr>
  </property>
  <property fmtid="{D5CDD505-2E9C-101B-9397-08002B2CF9AE}" pid="111" name="Mendeley Recent Style Name 36_1">
    <vt:lpwstr>(Bible. Leviticus. Old Testament, n.d.)</vt:lpwstr>
  </property>
  <property fmtid="{D5CDD505-2E9C-101B-9397-08002B2CF9AE}" pid="112" name="Mendeley Recent Style Id 37_1">
    <vt:lpwstr>ADDIN CSL_CITATION {"citationItems":[{"id":"ITEM-1","itemData":{"author":[{"dropping-particle":"","family":"Visser","given":"Wayne","non-dropping-particle":"","parse-names":false,"suffix":""},{"dropping-particle":"","family":"Melntosh","given":"Alastair",</vt:lpwstr>
  </property>
  <property fmtid="{D5CDD505-2E9C-101B-9397-08002B2CF9AE}" pid="113" name="Mendeley Recent Style Id 37_2">
    <vt:lpwstr>"non-dropping-particle":"","parse-names":false,"suffix":""}],"container-title":"Accounting, Business and Financial Hist","id":"ITEM-1","issue":"2","issued":{"date-parts":[["1998"]]},"page":"175-190","title":"A short review of the historical critique of us</vt:lpwstr>
  </property>
  <property fmtid="{D5CDD505-2E9C-101B-9397-08002B2CF9AE}" pid="114" name="Mendeley Recent Style Id 37_3">
    <vt:lpwstr>ury","type":"article-journal","volume":"8"},"uris":["http://www.mendeley.com/documents/?uuid=82be2635-d368-4282-b2cf-ce39069283fc"]}],"mendeley":{"formattedCitation":"(Visser and Melntosh, 1998)","plainTextFormattedCitation":"(Visser and Melntosh, 1998)",</vt:lpwstr>
  </property>
  <property fmtid="{D5CDD505-2E9C-101B-9397-08002B2CF9AE}" pid="115" name="Mendeley Recent Style Id 37_4">
    <vt:lpwstr>"previouslyFormattedCitation":"(Visser and Melntosh, 1998)"},"properties":{"noteIndex":0},"schema":"https://github.com/citation-style-language/schema/raw/master/csl-citation.json"}</vt:lpwstr>
  </property>
  <property fmtid="{D5CDD505-2E9C-101B-9397-08002B2CF9AE}" pid="116" name="Mendeley Recent Style Name 37_1">
    <vt:lpwstr>(Visser and Melntosh, 1998)</vt:lpwstr>
  </property>
  <property fmtid="{D5CDD505-2E9C-101B-9397-08002B2CF9AE}" pid="117" name="Mendeley Recent Style Id 38_1">
    <vt:lpwstr>(Visser and Melntosh, 1998)</vt:lpwstr>
  </property>
  <property fmtid="{D5CDD505-2E9C-101B-9397-08002B2CF9AE}" pid="118" name="Mendeley Recent Style Name 38_1">
    <vt:lpwstr>(Visser and Melntosh, 1998)</vt:lpwstr>
  </property>
  <property fmtid="{D5CDD505-2E9C-101B-9397-08002B2CF9AE}" pid="119" name="Mendeley Recent Style Id 39_1">
    <vt:lpwstr>ADDIN CSL_CITATION {"citationItems":[{"id":"ITEM-1","itemData":{"author":[{"dropping-particle":"","family":"Ushama","given":"Thameem","non-dropping-particle":"","parse-names":false,"suffix":""},{"dropping-particle":"","family":"Osmani","given":"Noor Moham</vt:lpwstr>
  </property>
  <property fmtid="{D5CDD505-2E9C-101B-9397-08002B2CF9AE}" pid="120" name="Mendeley Recent Style Id 39_2">
    <vt:lpwstr>mad","non-dropping-particle":"","parse-names":false,"suffix":""}],"id":"ITEM-1","issue":"December","issued":{"date-parts":[["2006"]]},"page":"93-104","title":"Sayyid Mawdudi ' s Contribution towards Islamic Revivalism","type":"article-journal","volume":"3</vt:lpwstr>
  </property>
  <property fmtid="{D5CDD505-2E9C-101B-9397-08002B2CF9AE}" pid="121" name="Mendeley Recent Style Id 39_3">
    <vt:lpwstr>"},"uris":["http://www.mendeley.com/documents/?uuid=60cb8a5c-4fbb-4ff2-b36a-b5fb92ff8079"]}],"mendeley":{"formattedCitation":"(Ushama and Osmani, 2006)","plainTextFormattedCitation":"(Ushama and Osmani, 2006)","previouslyFormattedCitation":"(Ushama and Os</vt:lpwstr>
  </property>
  <property fmtid="{D5CDD505-2E9C-101B-9397-08002B2CF9AE}" pid="122" name="Mendeley Recent Style Id 39_4">
    <vt:lpwstr>mani, 2006)"},"properties":{"noteIndex":0},"schema":"https://github.com/citation-style-language/schema/raw/master/csl-citation.json"}</vt:lpwstr>
  </property>
  <property fmtid="{D5CDD505-2E9C-101B-9397-08002B2CF9AE}" pid="123" name="Mendeley Recent Style Name 39_1">
    <vt:lpwstr>(Ushama and Osmani, 2006)</vt:lpwstr>
  </property>
  <property fmtid="{D5CDD505-2E9C-101B-9397-08002B2CF9AE}" pid="124" name="Mendeley Recent Style Id 40_1">
    <vt:lpwstr>(Ushama and Osmani, 2006)</vt:lpwstr>
  </property>
  <property fmtid="{D5CDD505-2E9C-101B-9397-08002B2CF9AE}" pid="125" name="Mendeley Recent Style Name 40_1">
    <vt:lpwstr>(Ushama and Osmani, 2006)</vt:lpwstr>
  </property>
  <property fmtid="{D5CDD505-2E9C-101B-9397-08002B2CF9AE}" pid="126" name="Mendeley Recent Style Id 41_1">
    <vt:lpwstr>ADDIN CSL_CITATION {"citationItems":[{"id":"ITEM-1","itemData":{"author":[{"dropping-particle":"","family":"Usmani","given":"Muhammad Taqi","non-dropping-particle":"","parse-names":false,"suffix":""}],"id":"ITEM-1","issued":{"date-parts":[["2002"]]},"titl</vt:lpwstr>
  </property>
  <property fmtid="{D5CDD505-2E9C-101B-9397-08002B2CF9AE}" pid="127" name="Mendeley Recent Style Id 41_2">
    <vt:lpwstr>e":"An introduction to Islamic finance","type":"book","volume":"169"},"uris":["http://www.mendeley.com/documents/?uuid=5aad5778-3a2c-46ba-be81-9c9ba5e3049a"]}],"mendeley":{"formattedCitation":"(Usmani, 2002)","plainTextFormattedCitation":"(Usmani, 2002)",</vt:lpwstr>
  </property>
  <property fmtid="{D5CDD505-2E9C-101B-9397-08002B2CF9AE}" pid="128" name="Mendeley Recent Style Id 41_3">
    <vt:lpwstr>"previouslyFormattedCitation":"(Usmani, 2002)"},"properties":{"noteIndex":0},"schema":"https://github.com/citation-style-language/schema/raw/master/csl-citation.json"}</vt:lpwstr>
  </property>
  <property fmtid="{D5CDD505-2E9C-101B-9397-08002B2CF9AE}" pid="129" name="Mendeley Recent Style Name 41_1">
    <vt:lpwstr>(Usmani, 2002)</vt:lpwstr>
  </property>
  <property fmtid="{D5CDD505-2E9C-101B-9397-08002B2CF9AE}" pid="130" name="Mendeley Recent Style Id 42_1">
    <vt:lpwstr>(Usmani, 2002)</vt:lpwstr>
  </property>
  <property fmtid="{D5CDD505-2E9C-101B-9397-08002B2CF9AE}" pid="131" name="Mendeley Recent Style Name 42_1">
    <vt:lpwstr>(Usmani, 2002)</vt:lpwstr>
  </property>
  <property fmtid="{D5CDD505-2E9C-101B-9397-08002B2CF9AE}" pid="132" name="Mendeley Recent Style Id 43_1">
    <vt:lpwstr>ADDIN CSL_CITATION {"citationItems":[{"id":"ITEM-1","itemData":{"author":[{"dropping-particle":"","family":"Mirakhor","given":"Abbas","non-dropping-particle":"","parse-names":false,"suffix":""},{"dropping-particle":"","family":"Iqbal","given":"Zamir","non</vt:lpwstr>
  </property>
  <property fmtid="{D5CDD505-2E9C-101B-9397-08002B2CF9AE}" pid="133" name="Mendeley Recent Style Id 43_2">
    <vt:lpwstr>-dropping-particle":"","parse-names":false,"suffix":""}],"edition":"2","id":"ITEM-1","issued":{"date-parts":[["2011"]]},"number-of-pages":"410","publisher":"John Wiley &amp; Sons (Asia) Pte. Ltd.","publisher-place":"Singapore","title":"An Introduction to Isla</vt:lpwstr>
  </property>
  <property fmtid="{D5CDD505-2E9C-101B-9397-08002B2CF9AE}" pid="134" name="Mendeley Recent Style Id 43_3">
    <vt:lpwstr>mic Finance: theory and practice","type":"book"},"uris":["http://www.mendeley.com/documents/?uuid=37e85bcb-57ee-4923-b9dc-a9beb02cb31f"]}],"mendeley":{"formattedCitation":"(Mirakhor and Iqbal, 2011)","plainTextFormattedCitation":"(Mirakhor and Iqbal, 2011</vt:lpwstr>
  </property>
  <property fmtid="{D5CDD505-2E9C-101B-9397-08002B2CF9AE}" pid="135" name="Mendeley Recent Style Id 43_4">
    <vt:lpwstr>)","previouslyFormattedCitation":"(Mirakhor and Iqbal, 2011)"},"properties":{"noteIndex":0},"schema":"https://github.com/citation-style-language/schema/raw/master/csl-citation.json"}</vt:lpwstr>
  </property>
  <property fmtid="{D5CDD505-2E9C-101B-9397-08002B2CF9AE}" pid="136" name="Mendeley Recent Style Name 43_1">
    <vt:lpwstr>(Mirakhor and Iqbal, 2011)</vt:lpwstr>
  </property>
  <property fmtid="{D5CDD505-2E9C-101B-9397-08002B2CF9AE}" pid="137" name="Mendeley Recent Style Id 44_1">
    <vt:lpwstr>(Mirakhor and Iqbal, 2011)</vt:lpwstr>
  </property>
  <property fmtid="{D5CDD505-2E9C-101B-9397-08002B2CF9AE}" pid="138" name="Mendeley Recent Style Name 44_1">
    <vt:lpwstr>(Mirakhor and Iqbal, 2011)</vt:lpwstr>
  </property>
  <property fmtid="{D5CDD505-2E9C-101B-9397-08002B2CF9AE}" pid="139" name="Mendeley Recent Style Id 45_1">
    <vt:lpwstr>ADDIN CSL_CITATION {"citationItems":[{"id":"ITEM-1","itemData":{"ISBN":"9780821371411","author":[{"dropping-particle":"","family":"Greuning","given":"Hennie","non-dropping-particle":"van","parse-names":false,"suffix":""},{"dropping-particle":"","family":"</vt:lpwstr>
  </property>
  <property fmtid="{D5CDD505-2E9C-101B-9397-08002B2CF9AE}" pid="140" name="Mendeley Recent Style Id 45_2">
    <vt:lpwstr>Iqbal","given":"Zamir","non-dropping-particle":"","parse-names":false,"suffix":""}],"id":"ITEM-1","issued":{"date-parts":[["2008"]]},"number-of-pages":"336","publisher-place":"Washington","title":"Risk Analysis for Islamic Banks","type":"book"},"uris":["h</vt:lpwstr>
  </property>
  <property fmtid="{D5CDD505-2E9C-101B-9397-08002B2CF9AE}" pid="141" name="Mendeley Recent Style Id 45_3">
    <vt:lpwstr>ttp://www.mendeley.com/documents/?uuid=b96246e4-508b-4d91-b1eb-8e11d67a14a1"]}],"mendeley":{"formattedCitation":"(van Greuning and Iqbal, 2008)","plainTextFormattedCitation":"(van Greuning and Iqbal, 2008)","previouslyFormattedCitation":"(van Greuning and</vt:lpwstr>
  </property>
  <property fmtid="{D5CDD505-2E9C-101B-9397-08002B2CF9AE}" pid="142" name="Mendeley Recent Style Id 45_4">
    <vt:lpwstr> Iqbal, 2008)"},"properties":{"noteIndex":0},"schema":"https://github.com/citation-style-language/schema/raw/master/csl-citation.json"}</vt:lpwstr>
  </property>
  <property fmtid="{D5CDD505-2E9C-101B-9397-08002B2CF9AE}" pid="143" name="Mendeley Recent Style Name 45_1">
    <vt:lpwstr>(van Greuning and Iqbal, 2008)</vt:lpwstr>
  </property>
  <property fmtid="{D5CDD505-2E9C-101B-9397-08002B2CF9AE}" pid="144" name="Mendeley Recent Style Id 46_1">
    <vt:lpwstr>(van Greuning and Iqbal, 2008)</vt:lpwstr>
  </property>
  <property fmtid="{D5CDD505-2E9C-101B-9397-08002B2CF9AE}" pid="145" name="Mendeley Recent Style Name 46_1">
    <vt:lpwstr>(van Greuning and Iqbal, 2008)</vt:lpwstr>
  </property>
  <property fmtid="{D5CDD505-2E9C-101B-9397-08002B2CF9AE}" pid="146" name="Mendeley Recent Style Id 47_1">
    <vt:lpwstr>ADDIN CSL_CITATION {"citationItems":[{"id":"ITEM-1","itemData":{"author":[{"dropping-particle":"","family":"Hassan","given":"Mehboob ul","non-dropping-particle":"","parse-names":false,"suffix":""}],"container-title":"オイコノミカ 第42巻 第２号","id":"ITEM-1","issue"</vt:lpwstr>
  </property>
  <property fmtid="{D5CDD505-2E9C-101B-9397-08002B2CF9AE}" pid="147" name="Mendeley Recent Style Id 47_2">
    <vt:lpwstr>:"42","issued":{"date-parts":[["2005"]]},"page":"73-87","title":"An Explanation of Rationale behind the Prohibition of Riba in the Doctrines of three major Religions : with special reference to Islam","type":"article-journal","volume":"2"},"uris":["http:/</vt:lpwstr>
  </property>
  <property fmtid="{D5CDD505-2E9C-101B-9397-08002B2CF9AE}" pid="148" name="Mendeley Recent Style Id 47_3">
    <vt:lpwstr>/www.mendeley.com/documents/?uuid=bb6f6d79-f466-4d3b-bd22-e329b90191bf"]}],"mendeley":{"formattedCitation":"(Hassan, 2005)","plainTextFormattedCitation":"(Hassan, 2005)","previouslyFormattedCitation":"(Hassan, 2005)"},"properties":{"noteIndex":0},"schema"</vt:lpwstr>
  </property>
  <property fmtid="{D5CDD505-2E9C-101B-9397-08002B2CF9AE}" pid="149" name="Mendeley Recent Style Id 47_4">
    <vt:lpwstr>:"https://github.com/citation-style-language/schema/raw/master/csl-citation.json"}</vt:lpwstr>
  </property>
  <property fmtid="{D5CDD505-2E9C-101B-9397-08002B2CF9AE}" pid="150" name="Mendeley Recent Style Name 47_1">
    <vt:lpwstr>(Hassan, 2005)</vt:lpwstr>
  </property>
  <property fmtid="{D5CDD505-2E9C-101B-9397-08002B2CF9AE}" pid="151" name="Mendeley Recent Style Id 48_1">
    <vt:lpwstr>(Hassan, 2005)</vt:lpwstr>
  </property>
  <property fmtid="{D5CDD505-2E9C-101B-9397-08002B2CF9AE}" pid="152" name="Mendeley Recent Style Name 48_1">
    <vt:lpwstr>(Hassan, 2005)</vt:lpwstr>
  </property>
  <property fmtid="{D5CDD505-2E9C-101B-9397-08002B2CF9AE}" pid="153" name="Mendeley Recent Style Id 49_1">
    <vt:lpwstr>ADDIN CSL_CITATION {"citationItems":[{"id":"ITEM-1","itemData":{"author":[{"dropping-particle":"","family":"Irfan","given":"Qazi","non-dropping-particle":"","parse-names":false,"suffix":""}],"id":"ITEM-1","issued":{"date-parts":[["2006"]]},"page":"6","tit</vt:lpwstr>
  </property>
  <property fmtid="{D5CDD505-2E9C-101B-9397-08002B2CF9AE}" pid="154" name="Mendeley Recent Style Id 49_2">
    <vt:lpwstr>le":"Riba and Inflation","type":"article-journal"},"uris":["http://www.mendeley.com/documents/?uuid=e107ecba-def4-4102-bdb2-17eb9146bd3e"]}],"mendeley":{"formattedCitation":"(Irfan, 2006)","plainTextFormattedCitation":"(Irfan, 2006)","previouslyFormattedC</vt:lpwstr>
  </property>
  <property fmtid="{D5CDD505-2E9C-101B-9397-08002B2CF9AE}" pid="155" name="Mendeley Recent Style Id 49_3">
    <vt:lpwstr>itation":"(Irfan, 2006)"},"properties":{"noteIndex":0},"schema":"https://github.com/citation-style-language/schema/raw/master/csl-citation.json"}</vt:lpwstr>
  </property>
  <property fmtid="{D5CDD505-2E9C-101B-9397-08002B2CF9AE}" pid="156" name="Mendeley Recent Style Name 49_1">
    <vt:lpwstr>(Irfan, 2006)</vt:lpwstr>
  </property>
  <property fmtid="{D5CDD505-2E9C-101B-9397-08002B2CF9AE}" pid="157" name="Mendeley Recent Style Id 50_1">
    <vt:lpwstr>(Irfan, 2006)</vt:lpwstr>
  </property>
  <property fmtid="{D5CDD505-2E9C-101B-9397-08002B2CF9AE}" pid="158" name="Mendeley Recent Style Name 50_1">
    <vt:lpwstr>(Irfan, 2006)</vt:lpwstr>
  </property>
  <property fmtid="{D5CDD505-2E9C-101B-9397-08002B2CF9AE}" pid="159" name="Mendeley Recent Style Id 51_1">
    <vt:lpwstr>ADDIN CSL_CITATION {"citationItems":[{"id":"ITEM-1","itemData":{"ISBN":"9786017539092","author":[{"dropping-particle":"","family":"Baidaulet","given":"Yerlan","non-dropping-particle":"","parse-names":false,"suffix":""}],"id":"ITEM-1","issued":{"date-parts</vt:lpwstr>
  </property>
  <property fmtid="{D5CDD505-2E9C-101B-9397-08002B2CF9AE}" pid="160" name="Mendeley Recent Style Id 51_2">
    <vt:lpwstr>":[["2014"]]},"number-of-pages":"326","publisher-place":"Pavlodar","title":"Basics of Ethical finance","type":"book"},"uris":["http://www.mendeley.com/documents/?uuid=013f38b2-e65d-4634-af1f-88af65b3e07d"]}],"mendeley":{"formattedCitation":"(Baidaulet, 20</vt:lpwstr>
  </property>
  <property fmtid="{D5CDD505-2E9C-101B-9397-08002B2CF9AE}" pid="161" name="Mendeley Recent Style Id 51_3">
    <vt:lpwstr>14)","plainTextFormattedCitation":"(Baidaulet, 2014)","previouslyFormattedCitation":"(Baidaulet, 2014)"},"properties":{"noteIndex":0},"schema":"https://github.com/citation-style-language/schema/raw/master/csl-citation.json"}</vt:lpwstr>
  </property>
  <property fmtid="{D5CDD505-2E9C-101B-9397-08002B2CF9AE}" pid="162" name="Mendeley Recent Style Name 51_1">
    <vt:lpwstr>(Baidaulet, 2014)</vt:lpwstr>
  </property>
  <property fmtid="{D5CDD505-2E9C-101B-9397-08002B2CF9AE}" pid="163" name="Mendeley Recent Style Id 52_1">
    <vt:lpwstr>(Baidaulet, 2014)</vt:lpwstr>
  </property>
  <property fmtid="{D5CDD505-2E9C-101B-9397-08002B2CF9AE}" pid="164" name="Mendeley Recent Style Name 52_1">
    <vt:lpwstr>(Baidaulet, 2014)</vt:lpwstr>
  </property>
  <property fmtid="{D5CDD505-2E9C-101B-9397-08002B2CF9AE}" pid="165" name="Mendeley Recent Style Id 53_1">
    <vt:lpwstr>ADDIN CSL_CITATION {"citationItems":[{"id":"ITEM-1","itemData":{"author":[{"dropping-particle":"","family":"Nehad","given":"","non-dropping-particle":"","parse-names":false,"suffix":""},{"dropping-particle":"","family":"Khanfar","given":"","non-dropping-p</vt:lpwstr>
  </property>
  <property fmtid="{D5CDD505-2E9C-101B-9397-08002B2CF9AE}" pid="166" name="Mendeley Recent Style Id 53_2">
    <vt:lpwstr>article":"","parse-names":false,"suffix":""}],"container-title":"Journal of Economic Cooperation and Development","id":"ITEM-1","issue":"1","issued":{"date-parts":[["2016"]]},"page":"1-23","title":"A Critical Analysis of the Concept of Gharar in Islamic F</vt:lpwstr>
  </property>
  <property fmtid="{D5CDD505-2E9C-101B-9397-08002B2CF9AE}" pid="167" name="Mendeley Recent Style Id 53_3">
    <vt:lpwstr>inancial Contracts: Different Perspective","type":"article-journal","volume":"37"},"uris":["http://www.mendeley.com/documents/?uuid=be5fd34d-bf47-4142-9918-e55ae72b9d1a"]}],"mendeley":{"formattedCitation":"(Nehad and Khanfar, 2016)","plainTextFormattedCit</vt:lpwstr>
  </property>
  <property fmtid="{D5CDD505-2E9C-101B-9397-08002B2CF9AE}" pid="168" name="Mendeley Recent Style Id 53_4">
    <vt:lpwstr>ation":"(Nehad and Khanfar, 2016)","previouslyFormattedCitation":"(Nehad and Khanfar, 2016)"},"properties":{"noteIndex":0},"schema":"https://github.com/citation-style-language/schema/raw/master/csl-citation.json"}</vt:lpwstr>
  </property>
  <property fmtid="{D5CDD505-2E9C-101B-9397-08002B2CF9AE}" pid="169" name="Mendeley Recent Style Name 53_1">
    <vt:lpwstr>(Nehad and Khanfar, 2016)</vt:lpwstr>
  </property>
  <property fmtid="{D5CDD505-2E9C-101B-9397-08002B2CF9AE}" pid="170" name="Mendeley Recent Style Id 54_1">
    <vt:lpwstr>(Nehad and Khanfar, 2016)</vt:lpwstr>
  </property>
  <property fmtid="{D5CDD505-2E9C-101B-9397-08002B2CF9AE}" pid="171" name="Mendeley Recent Style Name 54_1">
    <vt:lpwstr>(Nehad and Khanfar, 2016)</vt:lpwstr>
  </property>
  <property fmtid="{D5CDD505-2E9C-101B-9397-08002B2CF9AE}" pid="172" name="Mendeley Recent Style Id 55_1">
    <vt:lpwstr>ADDIN CSL_CITATION {"citationItems":[{"id":"ITEM-1","itemData":{"DOI":"10.1093/acref/9780195125580.001.0001","editor":[{"dropping-particle":"","family":"Esposito","given":"John","non-dropping-particle":"","parse-names":false,"suffix":""}],"id":"ITEM-1","i</vt:lpwstr>
  </property>
  <property fmtid="{D5CDD505-2E9C-101B-9397-08002B2CF9AE}" pid="173" name="Mendeley Recent Style Id 55_2">
    <vt:lpwstr>ssued":{"date-parts":[["2003"]]},"publisher":"Oxford University press","title":"The Oxford Dictionary of Islam","type":"book"},"uris":["http://www.mendeley.com/documents/?uuid=6500db32-836a-47a5-942d-7742d52351a5"]}],"mendeley":{"formattedCitation":"(Espo</vt:lpwstr>
  </property>
  <property fmtid="{D5CDD505-2E9C-101B-9397-08002B2CF9AE}" pid="174" name="Mendeley Recent Style Id 55_3">
    <vt:lpwstr>sito, 2003)","plainTextFormattedCitation":"(Esposito, 2003)","previouslyFormattedCitation":"(Esposito, 2003)"},"properties":{"noteIndex":0},"schema":"https://github.com/citation-style-language/schema/raw/master/csl-citation.json"}</vt:lpwstr>
  </property>
  <property fmtid="{D5CDD505-2E9C-101B-9397-08002B2CF9AE}" pid="175" name="Mendeley Recent Style Name 55_1">
    <vt:lpwstr>(Esposito, 2003)</vt:lpwstr>
  </property>
  <property fmtid="{D5CDD505-2E9C-101B-9397-08002B2CF9AE}" pid="176" name="Mendeley Recent Style Id 56_1">
    <vt:lpwstr>(Esposito, 2003)</vt:lpwstr>
  </property>
  <property fmtid="{D5CDD505-2E9C-101B-9397-08002B2CF9AE}" pid="177" name="Mendeley Recent Style Name 56_1">
    <vt:lpwstr>(Esposito, 2003)</vt:lpwstr>
  </property>
  <property fmtid="{D5CDD505-2E9C-101B-9397-08002B2CF9AE}" pid="178" name="Mendeley Recent Style Id 57_1">
    <vt:lpwstr>ADDIN CSL_CITATION {"citationItems":[{"id":"ITEM-1","itemData":{"author":[{"dropping-particle":"","family":"Rushd","given":"Ibn","non-dropping-particle":"","parse-names":false,"suffix":""}],"id":"ITEM-1","issued":{"date-parts":[["1999"]]},"title":"The dis</vt:lpwstr>
  </property>
  <property fmtid="{D5CDD505-2E9C-101B-9397-08002B2CF9AE}" pid="179" name="Mendeley Recent Style Id 57_2">
    <vt:lpwstr>tinguished jurist's primer","type":"book"},"uris":["http://www.mendeley.com/documents/?uuid=579b88fb-34bf-4e34-b93d-188e5fce0a9c"]}],"mendeley":{"formattedCitation":"(Rushd, 1999)","plainTextFormattedCitation":"(Rushd, 1999)","previouslyFormattedCitation"</vt:lpwstr>
  </property>
  <property fmtid="{D5CDD505-2E9C-101B-9397-08002B2CF9AE}" pid="180" name="Mendeley Recent Style Id 57_3">
    <vt:lpwstr>:"(Rushd, 1999)"},"properties":{"noteIndex":0},"schema":"https://github.com/citation-style-language/schema/raw/master/csl-citation.json"}</vt:lpwstr>
  </property>
  <property fmtid="{D5CDD505-2E9C-101B-9397-08002B2CF9AE}" pid="181" name="Mendeley Recent Style Name 57_1">
    <vt:lpwstr>(Rushd, 1999)</vt:lpwstr>
  </property>
  <property fmtid="{D5CDD505-2E9C-101B-9397-08002B2CF9AE}" pid="182" name="Mendeley Recent Style Id 58_1">
    <vt:lpwstr>(Rushd, 1999)</vt:lpwstr>
  </property>
  <property fmtid="{D5CDD505-2E9C-101B-9397-08002B2CF9AE}" pid="183" name="Mendeley Recent Style Name 58_1">
    <vt:lpwstr>(Rushd, 1999)</vt:lpwstr>
  </property>
  <property fmtid="{D5CDD505-2E9C-101B-9397-08002B2CF9AE}" pid="184" name="Mendeley Recent Style Id 59_1">
    <vt:lpwstr>ADDIN CSL_CITATION {"citationItems":[{"id":"ITEM-1","itemData":{"ISBN":"9781845420833","author":[{"dropping-particle":"","family":"Kabir Hassan","given":"M","non-dropping-particle":"","parse-names":false,"suffix":""},{"dropping-particle":"","family":"Lewi</vt:lpwstr>
  </property>
  <property fmtid="{D5CDD505-2E9C-101B-9397-08002B2CF9AE}" pid="185" name="Mendeley Recent Style Id 59_2">
    <vt:lpwstr>s","given":"Mervyn K.","non-dropping-particle":"","parse-names":false,"suffix":""}],"id":"ITEM-1","issued":{"date-parts":[["2007"]]},"page":"460","title":"Handbook of Islamic Banking","type":"chapter"},"uris":["http://www.mendeley.com/documents/?uuid=cbd4</vt:lpwstr>
  </property>
  <property fmtid="{D5CDD505-2E9C-101B-9397-08002B2CF9AE}" pid="186" name="Mendeley Recent Style Id 59_3">
    <vt:lpwstr>bb7d-e134-4154-8b6d-6ac5efe5efd3"]}],"mendeley":{"formattedCitation":"(Kabir Hassan and Lewis, 2007)","plainTextFormattedCitation":"(Kabir Hassan and Lewis, 2007)","previouslyFormattedCitation":"(Kabir Hassan and Lewis, 2007)"},"properties":{"noteIndex":0</vt:lpwstr>
  </property>
  <property fmtid="{D5CDD505-2E9C-101B-9397-08002B2CF9AE}" pid="187" name="Mendeley Recent Style Id 59_4">
    <vt:lpwstr>},"schema":"https://github.com/citation-style-language/schema/raw/master/csl-citation.json"}</vt:lpwstr>
  </property>
  <property fmtid="{D5CDD505-2E9C-101B-9397-08002B2CF9AE}" pid="188" name="Mendeley Recent Style Name 59_1">
    <vt:lpwstr>(Kabir Hassan and Lewis, 2007)</vt:lpwstr>
  </property>
  <property fmtid="{D5CDD505-2E9C-101B-9397-08002B2CF9AE}" pid="189" name="Mendeley Recent Style Id 60_1">
    <vt:lpwstr>(Kabir Hassan and Lewis, 2007)</vt:lpwstr>
  </property>
  <property fmtid="{D5CDD505-2E9C-101B-9397-08002B2CF9AE}" pid="190" name="Mendeley Recent Style Name 60_1">
    <vt:lpwstr>(Kabir Hassan and Lewis, 2007)</vt:lpwstr>
  </property>
  <property fmtid="{D5CDD505-2E9C-101B-9397-08002B2CF9AE}" pid="191" name="Mendeley Recent Style Id 61_1">
    <vt:lpwstr>ADDIN CSL_CITATION {"citationItems":[{"id":"ITEM-1","itemData":{"ISBN":"9781843742135","author":[{"dropping-particle":"","family":"Abdulkader Thomas, Stella Cox","given":"Bryan Craty","non-dropping-particle":"","parse-names":false,"suffix":""}],"id":"ITEM</vt:lpwstr>
  </property>
  <property fmtid="{D5CDD505-2E9C-101B-9397-08002B2CF9AE}" pid="192" name="Mendeley Recent Style Id 61_2">
    <vt:lpwstr>-1","issued":{"date-parts":[["2005"]]},"number-of-pages":"226","publisher":"Euromany Books","publisher-place":"London","title":"Structuring Islamic Finance Transactions","type":"book"},"uris":["http://www.mendeley.com/documents/?uuid=13f90101-9b29-4a97-b5</vt:lpwstr>
  </property>
  <property fmtid="{D5CDD505-2E9C-101B-9397-08002B2CF9AE}" pid="193" name="Mendeley Recent Style Id 61_3">
    <vt:lpwstr>43-961aa9dbb407"]}],"mendeley":{"formattedCitation":"(Abdulkader Thomas, Stella Cox, 2005)","manualFormatting":"(Abdulkadir Thomas, Stella Cox, 2005)","plainTextFormattedCitation":"(Abdulkader Thomas, Stella Cox, 2005)","previouslyFormattedCitation":"(Abd</vt:lpwstr>
  </property>
  <property fmtid="{D5CDD505-2E9C-101B-9397-08002B2CF9AE}" pid="194" name="Mendeley Recent Style Id 61_4">
    <vt:lpwstr>ulkader Thomas, Stella Cox, 2005)"},"properties":{"noteIndex":0},"schema":"https://github.com/citation-style-language/schema/raw/master/csl-citation.json"}</vt:lpwstr>
  </property>
  <property fmtid="{D5CDD505-2E9C-101B-9397-08002B2CF9AE}" pid="195" name="Mendeley Recent Style Id 62_1">
    <vt:lpwstr>(Abdulkader Thomas, Stella Cox, 2005)</vt:lpwstr>
  </property>
  <property fmtid="{D5CDD505-2E9C-101B-9397-08002B2CF9AE}" pid="196" name="Mendeley Recent Style Name 62_1">
    <vt:lpwstr>(Abdulkader Thomas, Stella Cox, 2005)</vt:lpwstr>
  </property>
  <property fmtid="{D5CDD505-2E9C-101B-9397-08002B2CF9AE}" pid="197" name="Mendeley Recent Style Id 63_1">
    <vt:lpwstr>ADDIN CSL_CITATION {"citationItems":[{"id":"ITEM-1","itemData":{"ISBN":"9960627926","author":[{"dropping-particle":"","family":"Chapra","given":"Mohammad Umar","non-dropping-particle":"","parse-names":false,"suffix":""}],"id":"ITEM-1","issued":{"date-part</vt:lpwstr>
  </property>
  <property fmtid="{D5CDD505-2E9C-101B-9397-08002B2CF9AE}" pid="198" name="Mendeley Recent Style Id 63_2">
    <vt:lpwstr>s":[["2001"]]},"number-of-pages":"73","publisher-place":"Jeddah","title":"WHAT IS ISLAMIC ECONOMICS ?","type":"report"},"uris":["http://www.mendeley.com/documents/?uuid=0a0b2210-7459-49c4-80f0-81e1dd53b3e1"]}],"mendeley":{"formattedCitation":"(Chapra, 200</vt:lpwstr>
  </property>
  <property fmtid="{D5CDD505-2E9C-101B-9397-08002B2CF9AE}" pid="199" name="Mendeley Recent Style Id 63_3">
    <vt:lpwstr>1)","plainTextFormattedCitation":"(Chapra, 2001)","previouslyFormattedCitation":"(Chapra, 2001)"},"properties":{"noteIndex":0},"schema":"https://github.com/citation-style-language/schema/raw/master/csl-citation.json"}</vt:lpwstr>
  </property>
  <property fmtid="{D5CDD505-2E9C-101B-9397-08002B2CF9AE}" pid="200" name="Mendeley Recent Style Name 63_1">
    <vt:lpwstr>(Chapra, 2001)</vt:lpwstr>
  </property>
  <property fmtid="{D5CDD505-2E9C-101B-9397-08002B2CF9AE}" pid="201" name="Mendeley Recent Style Id 64_1">
    <vt:lpwstr>(Chapra, 2001)</vt:lpwstr>
  </property>
  <property fmtid="{D5CDD505-2E9C-101B-9397-08002B2CF9AE}" pid="202" name="Mendeley Recent Style Name 64_1">
    <vt:lpwstr>(Chapra, 2001)</vt:lpwstr>
  </property>
  <property fmtid="{D5CDD505-2E9C-101B-9397-08002B2CF9AE}" pid="203" name="Mendeley Recent Style Id 65_1">
    <vt:lpwstr>ADDIN CSL_CITATION {"citationItems":[{"id":"ITEM-1","itemData":{"ISBN":"9780821371411","author":[{"dropping-particle":"van","family":"Greuning","given":"Hennie","non-dropping-particle":"","parse-names":false,"suffix":""},{"dropping-particle":"","family":"</vt:lpwstr>
  </property>
  <property fmtid="{D5CDD505-2E9C-101B-9397-08002B2CF9AE}" pid="204" name="Mendeley Recent Style Id 65_2">
    <vt:lpwstr>Iqbal","given":"Zamir","non-dropping-particle":"","parse-names":false,"suffix":""}],"id":"ITEM-1","issued":{"date-parts":[["2008"]]},"number-of-pages":"336","publisher-place":"Washington","title":"Risk Analysis for Islamic Banks","type":"book"},"uris":["h</vt:lpwstr>
  </property>
  <property fmtid="{D5CDD505-2E9C-101B-9397-08002B2CF9AE}" pid="205" name="Mendeley Recent Style Id 65_3">
    <vt:lpwstr>ttp://www.mendeley.com/documents/?uuid=d0e57812-ca6b-482a-aba6-937eae14d8fa"]}],"mendeley":{"formattedCitation":"(Greuning and Iqbal, 2008)","plainTextFormattedCitation":"(Greuning and Iqbal, 2008)","previouslyFormattedCitation":"(Greuning and Iqbal, 2008</vt:lpwstr>
  </property>
  <property fmtid="{D5CDD505-2E9C-101B-9397-08002B2CF9AE}" pid="206" name="Mendeley Recent Style Id 65_4">
    <vt:lpwstr>)"},"properties":{"noteIndex":0},"schema":"https://github.com/citation-style-language/schema/raw/master/csl-citation.json"}</vt:lpwstr>
  </property>
  <property fmtid="{D5CDD505-2E9C-101B-9397-08002B2CF9AE}" pid="207" name="Mendeley Recent Style Name 65_1">
    <vt:lpwstr>(Greuning and Iqbal, 2008)</vt:lpwstr>
  </property>
  <property fmtid="{D5CDD505-2E9C-101B-9397-08002B2CF9AE}" pid="208" name="Mendeley Recent Style Id 66_1">
    <vt:lpwstr>(Greuning and Iqbal, 2008)</vt:lpwstr>
  </property>
  <property fmtid="{D5CDD505-2E9C-101B-9397-08002B2CF9AE}" pid="209" name="Mendeley Recent Style Name 66_1">
    <vt:lpwstr>(Greuning and Iqbal, 2008)</vt:lpwstr>
  </property>
  <property fmtid="{D5CDD505-2E9C-101B-9397-08002B2CF9AE}" pid="210" name="Mendeley Recent Style Id 67_1">
    <vt:lpwstr>ADDIN CSL_CITATION {"citationItems":[{"id":"ITEM-1","itemData":{"author":[{"dropping-particle":"","family":"Chartered Institute for Securities &amp; Investment","given":"","non-dropping-particle":"","parse-names":false,"suffix":""}],"edition":"8","editor":[{"</vt:lpwstr>
  </property>
  <property fmtid="{D5CDD505-2E9C-101B-9397-08002B2CF9AE}" pid="211" name="Mendeley Recent Style Id 67_2">
    <vt:lpwstr>dropping-particle":"","family":"Shikder","given":"Muhammad Nurullah","non-dropping-particle":"","parse-names":false,"suffix":""}],"id":"ITEM-1","issued":{"date-parts":[["2018"]]},"number-of-pages":"294","publisher-place":"London","title":"Islamic Finance </vt:lpwstr>
  </property>
  <property fmtid="{D5CDD505-2E9C-101B-9397-08002B2CF9AE}" pid="212" name="Mendeley Recent Style Id 67_3">
    <vt:lpwstr>Qualification ( IFQ )","type":"book"},"uris":["http://www.mendeley.com/documents/?uuid=49a2d784-2f26-46b9-99ff-208ad5d456ee"]}],"mendeley":{"formattedCitation":"(Chartered Institute for Securities &amp; Investment, 2018)","plainTextFormattedCitation":"(Charte</vt:lpwstr>
  </property>
  <property fmtid="{D5CDD505-2E9C-101B-9397-08002B2CF9AE}" pid="213" name="Mendeley Recent Style Id 67_4">
    <vt:lpwstr>red Institute for Securities &amp; Investment, 2018)","previouslyFormattedCitation":"(Chartered Institute for Securities &amp; Investment, 2018)"},"properties":{"noteIndex":0},"schema":"https://github.com/citation-style-language/schema/raw/master/csl-citation.jso</vt:lpwstr>
  </property>
  <property fmtid="{D5CDD505-2E9C-101B-9397-08002B2CF9AE}" pid="214" name="Mendeley Recent Style Id 67_5">
    <vt:lpwstr>n"}</vt:lpwstr>
  </property>
  <property fmtid="{D5CDD505-2E9C-101B-9397-08002B2CF9AE}" pid="215" name="Mendeley Recent Style Name 67_1">
    <vt:lpwstr>(Chartered Institute for Securities &amp; Investment, 2018)</vt:lpwstr>
  </property>
  <property fmtid="{D5CDD505-2E9C-101B-9397-08002B2CF9AE}" pid="216" name="Mendeley Recent Style Id 68_1">
    <vt:lpwstr>(Chartered Institute for Securities &amp; Investment, 2018)</vt:lpwstr>
  </property>
  <property fmtid="{D5CDD505-2E9C-101B-9397-08002B2CF9AE}" pid="217" name="Mendeley Recent Style Name 68_1">
    <vt:lpwstr>(Chartered Institute for Securities &amp; Investment, 2018)</vt:lpwstr>
  </property>
  <property fmtid="{D5CDD505-2E9C-101B-9397-08002B2CF9AE}" pid="218" name="Mendeley Recent Style Id 69_1">
    <vt:lpwstr>ADDIN CSL_CITATION {"citationItems":[{"id":"ITEM-1","itemData":{"ISBN":"9960627926","author":[{"dropping-particle":"","family":"Chapra","given":"Mohammad Umar","non-dropping-particle":"","parse-names":false,"suffix":""}],"id":"ITEM-1","issued":{"date-part</vt:lpwstr>
  </property>
  <property fmtid="{D5CDD505-2E9C-101B-9397-08002B2CF9AE}" pid="219" name="Mendeley Recent Style Id 69_2">
    <vt:lpwstr>s":[["2001"]]},"number-of-pages":"73","publisher-place":"Jeddah","title":"WHAT IS ISLAMIC ECONOMICS ?","type":"report"},"uris":["http://www.mendeley.com/documents/?uuid=0a0b2210-7459-49c4-80f0-81e1dd53b3e1"]}],"mendeley":{"formattedCitation":"(Chapra, 200</vt:lpwstr>
  </property>
  <property fmtid="{D5CDD505-2E9C-101B-9397-08002B2CF9AE}" pid="220" name="Mendeley Recent Style Id 69_3">
    <vt:lpwstr>1)","plainTextFormattedCitation":"(Chapra, 2001)","previouslyFormattedCitation":"(Chapra, 2001)"},"properties":{"noteIndex":0},"schema":"https://github.com/citation-style-language/schema/raw/master/csl-citation.json"}</vt:lpwstr>
  </property>
  <property fmtid="{D5CDD505-2E9C-101B-9397-08002B2CF9AE}" pid="221" name="Mendeley Recent Style Name 69_1">
    <vt:lpwstr>(Chapra, 2001)</vt:lpwstr>
  </property>
  <property fmtid="{D5CDD505-2E9C-101B-9397-08002B2CF9AE}" pid="222" name="Mendeley Recent Style Id 70_1">
    <vt:lpwstr>(Chapra, 2001)</vt:lpwstr>
  </property>
  <property fmtid="{D5CDD505-2E9C-101B-9397-08002B2CF9AE}" pid="223" name="Mendeley Recent Style Name 70_1">
    <vt:lpwstr>(Chapra, 2001)</vt:lpwstr>
  </property>
  <property fmtid="{D5CDD505-2E9C-101B-9397-08002B2CF9AE}" pid="224" name="Mendeley Recent Style Id 71_1">
    <vt:lpwstr>ADDIN CSL_CITATION {"citationItems":[{"id":"ITEM-1","itemData":{"ISBN":"9960321231","author":[{"dropping-particle":"","family":"Ahmed","given":"Habib","non-dropping-particle":"","parse-names":false,"suffix":""}],"id":"ITEM-1","issued":{"date-parts":[["200</vt:lpwstr>
  </property>
  <property fmtid="{D5CDD505-2E9C-101B-9397-08002B2CF9AE}" pid="225" name="Mendeley Recent Style Id 71_2">
    <vt:lpwstr>2"]]},"number-of-pages":"194","publisher":"ISLAMIC RESEARCH AND TRAINING INSTITUTE","publisher-place":"Jeddah","title":"THEORETICAL FOUNDATIONS OF ISLAMIC ECONOMICS","type":"book"},"uris":["http://www.mendeley.com/documents/?uuid=46749c9a-d3dc-49d0-acfd-3</vt:lpwstr>
  </property>
  <property fmtid="{D5CDD505-2E9C-101B-9397-08002B2CF9AE}" pid="226" name="Mendeley Recent Style Id 71_3">
    <vt:lpwstr>ecfa65c62fc"]}],"mendeley":{"formattedCitation":"(Ahmed, 2002)","plainTextFormattedCitation":"(Ahmed, 2002)","previouslyFormattedCitation":"(Ahmed, 2002)"},"properties":{"noteIndex":0},"schema":"https://github.com/citation-style-language/schema/raw/master</vt:lpwstr>
  </property>
  <property fmtid="{D5CDD505-2E9C-101B-9397-08002B2CF9AE}" pid="227" name="Mendeley Recent Style Id 71_4">
    <vt:lpwstr>/csl-citation.json"}</vt:lpwstr>
  </property>
  <property fmtid="{D5CDD505-2E9C-101B-9397-08002B2CF9AE}" pid="228" name="Mendeley Recent Style Name 71_1">
    <vt:lpwstr>(Ahmed, 2002)</vt:lpwstr>
  </property>
  <property fmtid="{D5CDD505-2E9C-101B-9397-08002B2CF9AE}" pid="229" name="Mendeley Recent Style Id 72_1">
    <vt:lpwstr>(Ahmed, 2002)</vt:lpwstr>
  </property>
  <property fmtid="{D5CDD505-2E9C-101B-9397-08002B2CF9AE}" pid="230" name="Mendeley Recent Style Name 72_1">
    <vt:lpwstr>(Ahmed, 2002)</vt:lpwstr>
  </property>
  <property fmtid="{D5CDD505-2E9C-101B-9397-08002B2CF9AE}" pid="231" name="Mendeley Recent Style Id 73_1">
    <vt:lpwstr>ADDIN CSL_CITATION {"citationItems":[{"id":"ITEM-1","itemData":{"ISBN":"9960321614","author":[{"dropping-particle":"","family":"Mirakhor","given":"Abbas","non-dropping-particle":"","parse-names":false,"suffix":""}],"id":"ITEM-1","issued":{"date-parts":[["</vt:lpwstr>
  </property>
  <property fmtid="{D5CDD505-2E9C-101B-9397-08002B2CF9AE}" pid="232" name="Mendeley Recent Style Id 73_2">
    <vt:lpwstr>2007"]]},"page":"56","publisher":"Islamic Development Bank","publisher-place":"Jeddah","title":"A note on Islamic economics","type":"chapter"},"uris":["http://www.mendeley.com/documents/?uuid=2cc057ca-e9f7-4bdd-a9e2-1b6af27ab0f4"]}],"mendeley":{"formatted</vt:lpwstr>
  </property>
  <property fmtid="{D5CDD505-2E9C-101B-9397-08002B2CF9AE}" pid="233" name="Mendeley Recent Style Id 73_3">
    <vt:lpwstr>Citation":"(Mirakhor, 2007)","plainTextFormattedCitation":"(Mirakhor, 2007)","previouslyFormattedCitation":"(Mirakhor, 2007)"},"properties":{"noteIndex":0},"schema":"https://github.com/citation-style-language/schema/raw/master/csl-citation.json"}</vt:lpwstr>
  </property>
  <property fmtid="{D5CDD505-2E9C-101B-9397-08002B2CF9AE}" pid="234" name="Mendeley Recent Style Name 73_1">
    <vt:lpwstr>(Mirakhor, 2007)</vt:lpwstr>
  </property>
  <property fmtid="{D5CDD505-2E9C-101B-9397-08002B2CF9AE}" pid="235" name="Mendeley Recent Style Id 74_1">
    <vt:lpwstr>(Mirakhor, 2007)</vt:lpwstr>
  </property>
  <property fmtid="{D5CDD505-2E9C-101B-9397-08002B2CF9AE}" pid="236" name="Mendeley Recent Style Name 74_1">
    <vt:lpwstr>(Mirakhor, 2007)</vt:lpwstr>
  </property>
  <property fmtid="{D5CDD505-2E9C-101B-9397-08002B2CF9AE}" pid="237" name="Mendeley Recent Style Id 75_1">
    <vt:lpwstr>ADDIN CSL_CITATION {"citationItems":[{"id":"ITEM-1","itemData":{"ISBN":"9960320219","author":[{"dropping-particle":"","family":"Khaf","given":"Monzer","non-dropping-particle":"","parse-names":false,"suffix":""}],"container-title":"Teaching Islamic Economi</vt:lpwstr>
  </property>
  <property fmtid="{D5CDD505-2E9C-101B-9397-08002B2CF9AE}" pid="238" name="Mendeley Recent Style Id 75_2">
    <vt:lpwstr>cs at University Lavel","editor":[{"dropping-particle":"","family":"Khaf","given":"Monzer","non-dropping-particle":"","parse-names":false,"suffix":""}],"id":"ITEM-1","issued":{"date-parts":[["1998"]]},"page":"370","publisher-place":"Dhaka","title":"LESSON</vt:lpwstr>
  </property>
  <property fmtid="{D5CDD505-2E9C-101B-9397-08002B2CF9AE}" pid="239" name="Mendeley Recent Style Id 75_3">
    <vt:lpwstr>S IN ISLAMIC ECONOMICS Volume 1","type":"paper-conference"},"uris":["http://www.mendeley.com/documents/?uuid=4a6f129e-e610-41dc-bde5-13b55349a0e6"]}],"mendeley":{"formattedCitation":"(Khaf, 1998)","plainTextFormattedCitation":"(Khaf, 1998)","previouslyFor</vt:lpwstr>
  </property>
  <property fmtid="{D5CDD505-2E9C-101B-9397-08002B2CF9AE}" pid="240" name="Mendeley Recent Style Id 75_4">
    <vt:lpwstr>mattedCitation":"(Khaf, 1998)"},"properties":{"noteIndex":0},"schema":"https://github.com/citation-style-language/schema/raw/master/csl-citation.json"}</vt:lpwstr>
  </property>
  <property fmtid="{D5CDD505-2E9C-101B-9397-08002B2CF9AE}" pid="241" name="Mendeley Recent Style Name 75_1">
    <vt:lpwstr>(Khaf, 1998)</vt:lpwstr>
  </property>
  <property fmtid="{D5CDD505-2E9C-101B-9397-08002B2CF9AE}" pid="242" name="Mendeley Recent Style Id 76_1">
    <vt:lpwstr>(Khaf, 1998)</vt:lpwstr>
  </property>
  <property fmtid="{D5CDD505-2E9C-101B-9397-08002B2CF9AE}" pid="243" name="Mendeley Recent Style Name 76_1">
    <vt:lpwstr>(Khaf, 1998)</vt:lpwstr>
  </property>
  <property fmtid="{D5CDD505-2E9C-101B-9397-08002B2CF9AE}" pid="244" name="Mendeley Recent Style Id 77_1">
    <vt:lpwstr>ADDIN CSL_CITATION {"citationItems":[{"id":"ITEM-1","itemData":{"ISBN":"9789896540821","author":[{"dropping-particle":"","family":"Friedman","given":"Milton","non-dropping-particle":"","parse-names":false,"suffix":""}],"id":"ITEM-1","issued":{"date-parts"</vt:lpwstr>
  </property>
  <property fmtid="{D5CDD505-2E9C-101B-9397-08002B2CF9AE}" pid="245" name="Mendeley Recent Style Id 77_2">
    <vt:lpwstr>:[["1969"]]},"number-of-pages":"305","publisher":"Macmillan and Co LTD","publisher-place":"Chicago","title":"The optimum quality of money and other essays","type":"book"},"uris":["http://www.mendeley.com/documents/?uuid=f0a76ee3-01af-4858-a554-1da15e7e907</vt:lpwstr>
  </property>
  <property fmtid="{D5CDD505-2E9C-101B-9397-08002B2CF9AE}" pid="246" name="Mendeley Recent Style Id 77_3">
    <vt:lpwstr>0"]}],"mendeley":{"formattedCitation":"(Friedman, 1969)","plainTextFormattedCitation":"(Friedman, 1969)","previouslyFormattedCitation":"(Friedman, 1969)"},"properties":{"noteIndex":0},"schema":"https://github.com/citation-style-language/schema/raw/master/</vt:lpwstr>
  </property>
  <property fmtid="{D5CDD505-2E9C-101B-9397-08002B2CF9AE}" pid="247" name="Mendeley Recent Style Id 77_4">
    <vt:lpwstr>csl-citation.json"}</vt:lpwstr>
  </property>
  <property fmtid="{D5CDD505-2E9C-101B-9397-08002B2CF9AE}" pid="248" name="Mendeley Recent Style Name 77_1">
    <vt:lpwstr>(Friedman, 1969)</vt:lpwstr>
  </property>
  <property fmtid="{D5CDD505-2E9C-101B-9397-08002B2CF9AE}" pid="249" name="Mendeley Recent Style Id 78_1">
    <vt:lpwstr>(Friedman, 1969)</vt:lpwstr>
  </property>
  <property fmtid="{D5CDD505-2E9C-101B-9397-08002B2CF9AE}" pid="250" name="Mendeley Recent Style Name 78_1">
    <vt:lpwstr>(Friedman, 1969)</vt:lpwstr>
  </property>
  <property fmtid="{D5CDD505-2E9C-101B-9397-08002B2CF9AE}" pid="251" name="Mendeley Recent Style Id 79_1">
    <vt:lpwstr>ADDIN CSL_CITATION {"citationItems":[{"id":"ITEM-1","itemData":{"DOI":"10.1111/1467-937X.00179","ISSN":"00346527","abstract":"We consider an environment in which individuals receive income shocks that are unobservable to others and can privately store res</vt:lpwstr>
  </property>
  <property fmtid="{D5CDD505-2E9C-101B-9397-08002B2CF9AE}" pid="252" name="Mendeley Recent Style Id 79_2">
    <vt:lpwstr>ources. We provide a simple characterization of the unique efficient allocation of consumption in cases in which the rate of return on storage is sufficiently high or, alternatively, in which the worst possible outcome is sufficiently dire. We show that, </vt:lpwstr>
  </property>
  <property fmtid="{D5CDD505-2E9C-101B-9397-08002B2CF9AE}" pid="253" name="Mendeley Recent Style Id 79_3">
    <vt:lpwstr>unlike in environments without unobservable storage, the symmetric efficient allocation of consumption is decentralizable through a competitive asset market in which individuals trade risk-free bonds among themselves.","author":[{"dropping-particle":"","f</vt:lpwstr>
  </property>
  <property fmtid="{D5CDD505-2E9C-101B-9397-08002B2CF9AE}" pid="254" name="Mendeley Recent Style Id 79_4">
    <vt:lpwstr>amily":"Cole","given":"Harold L.","non-dropping-particle":"","parse-names":false,"suffix":""},{"dropping-particle":"","family":"Kocherlakota","given":"Narayana R.","non-dropping-particle":"","parse-names":false,"suffix":""}],"container-title":"Review of E</vt:lpwstr>
  </property>
  <property fmtid="{D5CDD505-2E9C-101B-9397-08002B2CF9AE}" pid="255" name="Mendeley Recent Style Id 79_5">
    <vt:lpwstr>conomic Studies","id":"ITEM-1","issue":"3","issued":{"date-parts":[["2001"]]},"page":"523-542","title":"Efficient allocations with hidden income and hidden storage","type":"article-journal","volume":"68"},"uris":["http://www.mendeley.com/documents/?uuid=3</vt:lpwstr>
  </property>
  <property fmtid="{D5CDD505-2E9C-101B-9397-08002B2CF9AE}" pid="256" name="Mendeley Recent Style Id 79_6">
    <vt:lpwstr>eeb29d0-9e0e-4153-8b91-9cffbfbaac7a"]}],"mendeley":{"formattedCitation":"(Cole and Kocherlakota, 2001)","plainTextFormattedCitation":"(Cole and Kocherlakota, 2001)","previouslyFormattedCitation":"(Cole and Kocherlakota, 2001)"},"properties":{"noteIndex":0</vt:lpwstr>
  </property>
  <property fmtid="{D5CDD505-2E9C-101B-9397-08002B2CF9AE}" pid="257" name="Mendeley Recent Style Id 79_7">
    <vt:lpwstr>},"schema":"https://github.com/citation-style-language/schema/raw/master/csl-citation.json"}</vt:lpwstr>
  </property>
  <property fmtid="{D5CDD505-2E9C-101B-9397-08002B2CF9AE}" pid="258" name="Mendeley Recent Style Name 79_1">
    <vt:lpwstr>(Cole and Kocherlakota, 2001)</vt:lpwstr>
  </property>
  <property fmtid="{D5CDD505-2E9C-101B-9397-08002B2CF9AE}" pid="259" name="Mendeley Recent Style Id 80_1">
    <vt:lpwstr>(Cole and Kocherlakota, 2001)</vt:lpwstr>
  </property>
  <property fmtid="{D5CDD505-2E9C-101B-9397-08002B2CF9AE}" pid="260" name="Mendeley Recent Style Name 80_1">
    <vt:lpwstr>(Cole and Kocherlakota, 2001)</vt:lpwstr>
  </property>
  <property fmtid="{D5CDD505-2E9C-101B-9397-08002B2CF9AE}" pid="261" name="Mendeley Recent Style Id 81_1">
    <vt:lpwstr>ADDIN CSL_CITATION {"citationItems":[{"id":"ITEM-1","itemData":{"author":[{"dropping-particle":"","family":"Mirakhor","given":"Abbas","non-dropping-particle":"","parse-names":false,"suffix":""},{"dropping-particle":"","family":"Iqbal","given":"Zamir","non</vt:lpwstr>
  </property>
  <property fmtid="{D5CDD505-2E9C-101B-9397-08002B2CF9AE}" pid="262" name="Mendeley Recent Style Id 81_2">
    <vt:lpwstr>-dropping-particle":"","parse-names":false,"suffix":""}],"edition":"2","id":"ITEM-1","issued":{"date-parts":[["2011"]]},"number-of-pages":"410","publisher":"John Wiley &amp; Sons (Asia) Pte. Ltd.","publisher-place":"Singapore","title":"An Introduction to Isla</vt:lpwstr>
  </property>
  <property fmtid="{D5CDD505-2E9C-101B-9397-08002B2CF9AE}" pid="263" name="Mendeley Recent Style Id 81_3">
    <vt:lpwstr>mic Finance: theory and practice","type":"book"},"uris":["http://www.mendeley.com/documents/?uuid=37e85bcb-57ee-4923-b9dc-a9beb02cb31f"]}],"mendeley":{"formattedCitation":"(Mirakhor and Iqbal, 2011)","plainTextFormattedCitation":"(Mirakhor and Iqbal, 2011</vt:lpwstr>
  </property>
  <property fmtid="{D5CDD505-2E9C-101B-9397-08002B2CF9AE}" pid="264" name="Mendeley Recent Style Id 81_4">
    <vt:lpwstr>)","previouslyFormattedCitation":"(Mirakhor and Iqbal, 2011)"},"properties":{"noteIndex":0},"schema":"https://github.com/citation-style-language/schema/raw/master/csl-citation.json"}</vt:lpwstr>
  </property>
  <property fmtid="{D5CDD505-2E9C-101B-9397-08002B2CF9AE}" pid="265" name="Mendeley Recent Style Name 81_1">
    <vt:lpwstr>(Mirakhor and Iqbal, 2011)</vt:lpwstr>
  </property>
  <property fmtid="{D5CDD505-2E9C-101B-9397-08002B2CF9AE}" pid="266" name="Mendeley Recent Style Id 82_1">
    <vt:lpwstr>(Mirakhor and Iqbal, 2011)</vt:lpwstr>
  </property>
  <property fmtid="{D5CDD505-2E9C-101B-9397-08002B2CF9AE}" pid="267" name="Mendeley Recent Style Name 82_1">
    <vt:lpwstr>(Mirakhor and Iqbal, 2011)</vt:lpwstr>
  </property>
  <property fmtid="{D5CDD505-2E9C-101B-9397-08002B2CF9AE}" pid="268" name="Mendeley Recent Style Id 83_1">
    <vt:lpwstr>ADDIN CSL_CITATION {"citationItems":[{"id":"ITEM-1","itemData":{"author":[{"dropping-particle":"","family":"Khan","given":"Mohsin","non-dropping-particle":"","parse-names":false,"suffix":""}],"container-title":"Staff papers","id":"ITEM-1","issue":"1","iss</vt:lpwstr>
  </property>
  <property fmtid="{D5CDD505-2E9C-101B-9397-08002B2CF9AE}" pid="269" name="Mendeley Recent Style Id 83_2">
    <vt:lpwstr>ued":{"date-parts":[["1986"]]},"page":"27","title":"Islamic Interest-Free Banking: A Theoretical Analysis","type":"article-journal","volume":"33"},"uris":["http://www.mendeley.com/documents/?uuid=8c759f6c-7c1d-4010-962f-e6f3ef3d508a"]}],"mendeley":{"forma</vt:lpwstr>
  </property>
  <property fmtid="{D5CDD505-2E9C-101B-9397-08002B2CF9AE}" pid="270" name="Mendeley Recent Style Id 83_3">
    <vt:lpwstr>ttedCitation":"(Khan, 1986)","plainTextFormattedCitation":"(Khan, 1986)","previouslyFormattedCitation":"(Khan, 1986)"},"properties":{"noteIndex":0},"schema":"https://github.com/citation-style-language/schema/raw/master/csl-citation.json"}</vt:lpwstr>
  </property>
  <property fmtid="{D5CDD505-2E9C-101B-9397-08002B2CF9AE}" pid="271" name="Mendeley Recent Style Name 83_1">
    <vt:lpwstr>(Khan, 1986)</vt:lpwstr>
  </property>
  <property fmtid="{D5CDD505-2E9C-101B-9397-08002B2CF9AE}" pid="272" name="Mendeley Recent Style Id 84_1">
    <vt:lpwstr>(Khan, 1986)</vt:lpwstr>
  </property>
  <property fmtid="{D5CDD505-2E9C-101B-9397-08002B2CF9AE}" pid="273" name="Mendeley Recent Style Name 84_1">
    <vt:lpwstr>(Khan, 1986)</vt:lpwstr>
  </property>
  <property fmtid="{D5CDD505-2E9C-101B-9397-08002B2CF9AE}" pid="274" name="Mendeley Recent Style Id 85_1">
    <vt:lpwstr>ADDIN CSL_CITATION {"citationItems":[{"id":"ITEM-1","itemData":{"ISBN":"0964302500","author":[{"dropping-particle":"","family":"Kennedy","given":"Margrit","non-dropping-particle":"","parse-names":false,"suffix":""}],"id":"ITEM-1","issued":{"date-parts":[[</vt:lpwstr>
  </property>
  <property fmtid="{D5CDD505-2E9C-101B-9397-08002B2CF9AE}" pid="275" name="Mendeley Recent Style Id 85_2">
    <vt:lpwstr>"1995"]]},"number-of-pages":"1-57","publisher":"Seva International","title":"Interest and Inflation Free Money","type":"book"},"uris":["http://www.mendeley.com/documents/?uuid=53264312-77a5-4963-b62b-29298c8b55d6"]}],"mendeley":{"formattedCitation":"(Kenn</vt:lpwstr>
  </property>
  <property fmtid="{D5CDD505-2E9C-101B-9397-08002B2CF9AE}" pid="276" name="Mendeley Recent Style Id 85_3">
    <vt:lpwstr>edy, 1995)","plainTextFormattedCitation":"(Kennedy, 1995)","previouslyFormattedCitation":"(Kennedy, 1995)"},"properties":{"noteIndex":0},"schema":"https://github.com/citation-style-language/schema/raw/master/csl-citation.json"}</vt:lpwstr>
  </property>
  <property fmtid="{D5CDD505-2E9C-101B-9397-08002B2CF9AE}" pid="277" name="Mendeley Recent Style Name 85_1">
    <vt:lpwstr>(Kennedy, 1995)</vt:lpwstr>
  </property>
  <property fmtid="{D5CDD505-2E9C-101B-9397-08002B2CF9AE}" pid="278" name="Mendeley Recent Style Id 86_1">
    <vt:lpwstr>(Kennedy, 1995)</vt:lpwstr>
  </property>
  <property fmtid="{D5CDD505-2E9C-101B-9397-08002B2CF9AE}" pid="279" name="Mendeley Recent Style Name 86_1">
    <vt:lpwstr>(Kennedy, 1995)</vt:lpwstr>
  </property>
  <property fmtid="{D5CDD505-2E9C-101B-9397-08002B2CF9AE}" pid="280" name="Mendeley Recent Style Id 87_1">
    <vt:lpwstr>ADDIN CSL_CITATION {"citationItems":[{"id":"ITEM-1","itemData":{"author":[{"dropping-particle":"","family":"Ahmad","given":"Mahmud","non-dropping-particle":"","parse-names":false,"suffix":""}],"id":"ITEM-1","issued":{"date-parts":[["2002"]]},"number-of-pa</vt:lpwstr>
  </property>
  <property fmtid="{D5CDD505-2E9C-101B-9397-08002B2CF9AE}" pid="281" name="Mendeley Recent Style Id 87_2">
    <vt:lpwstr>ges":"572","publisher":"Oxford","title":"Man and Money: Towards an Alternative Basis of Credit","type":"book"},"uris":["http://www.mendeley.com/documents/?uuid=49964a4f-d8ff-4e12-8f1f-30ba47598536"]}],"mendeley":{"formattedCitation":"(Ahmad, 2002)","plain</vt:lpwstr>
  </property>
  <property fmtid="{D5CDD505-2E9C-101B-9397-08002B2CF9AE}" pid="282" name="Mendeley Recent Style Id 87_3">
    <vt:lpwstr>TextFormattedCitation":"(Ahmad, 2002)","previouslyFormattedCitation":"(Ahmad, 2002)"},"properties":{"noteIndex":0},"schema":"https://github.com/citation-style-language/schema/raw/master/csl-citation.json"}</vt:lpwstr>
  </property>
  <property fmtid="{D5CDD505-2E9C-101B-9397-08002B2CF9AE}" pid="283" name="Mendeley Recent Style Name 87_1">
    <vt:lpwstr>(Ahmad, 2002)</vt:lpwstr>
  </property>
  <property fmtid="{D5CDD505-2E9C-101B-9397-08002B2CF9AE}" pid="284" name="Mendeley Recent Style Id 88_1">
    <vt:lpwstr>(Ahmad, 2002)</vt:lpwstr>
  </property>
  <property fmtid="{D5CDD505-2E9C-101B-9397-08002B2CF9AE}" pid="285" name="Mendeley Recent Style Name 88_1">
    <vt:lpwstr>(Ahmad, 2002)</vt:lpwstr>
  </property>
  <property fmtid="{D5CDD505-2E9C-101B-9397-08002B2CF9AE}" pid="286" name="Mendeley Recent Style Id 89_1">
    <vt:lpwstr>ADDIN CSL_CITATION {"citationItems":[{"id":"ITEM-1","itemData":{"author":[{"dropping-particle":"","family":"Chartered Institute for Securities &amp; Investment","given":"","non-dropping-particle":"","parse-names":false,"suffix":""}],"edition":"8","editor":[{"</vt:lpwstr>
  </property>
  <property fmtid="{D5CDD505-2E9C-101B-9397-08002B2CF9AE}" pid="287" name="Mendeley Recent Style Id 89_2">
    <vt:lpwstr>dropping-particle":"","family":"Shikder","given":"Muhammad Nurullah","non-dropping-particle":"","parse-names":false,"suffix":""}],"id":"ITEM-1","issued":{"date-parts":[["2018"]]},"number-of-pages":"294","publisher-place":"London","title":"Islamic Finance </vt:lpwstr>
  </property>
  <property fmtid="{D5CDD505-2E9C-101B-9397-08002B2CF9AE}" pid="288" name="Mendeley Recent Style Id 89_3">
    <vt:lpwstr>Qualification ( IFQ )","type":"book"},"uris":["http://www.mendeley.com/documents/?uuid=49a2d784-2f26-46b9-99ff-208ad5d456ee"]}],"mendeley":{"formattedCitation":"(Chartered Institute for Securities &amp; Investment, 2018)","plainTextFormattedCitation":"(Charte</vt:lpwstr>
  </property>
  <property fmtid="{D5CDD505-2E9C-101B-9397-08002B2CF9AE}" pid="289" name="Mendeley Recent Style Id 89_4">
    <vt:lpwstr>red Institute for Securities &amp; Investment, 2018)","previouslyFormattedCitation":"(Chartered Institute for Securities &amp; Investment, 2018)"},"properties":{"noteIndex":0},"schema":"https://github.com/citation-style-language/schema/raw/master/csl-citation.jso</vt:lpwstr>
  </property>
  <property fmtid="{D5CDD505-2E9C-101B-9397-08002B2CF9AE}" pid="290" name="Mendeley Recent Style Id 89_5">
    <vt:lpwstr>n"}</vt:lpwstr>
  </property>
  <property fmtid="{D5CDD505-2E9C-101B-9397-08002B2CF9AE}" pid="291" name="Mendeley Recent Style Name 89_1">
    <vt:lpwstr>(Chartered Institute for Securities &amp; Investment, 2018)</vt:lpwstr>
  </property>
  <property fmtid="{D5CDD505-2E9C-101B-9397-08002B2CF9AE}" pid="292" name="Mendeley Recent Style Id 90_1">
    <vt:lpwstr>(Chartered Institute for Securities &amp; Investment, 2018)</vt:lpwstr>
  </property>
  <property fmtid="{D5CDD505-2E9C-101B-9397-08002B2CF9AE}" pid="293" name="Mendeley Recent Style Name 90_1">
    <vt:lpwstr>(Chartered Institute for Securities &amp; Investment, 2018)</vt:lpwstr>
  </property>
  <property fmtid="{D5CDD505-2E9C-101B-9397-08002B2CF9AE}" pid="294" name="Mendeley Recent Style Id 91_1">
    <vt:lpwstr>ADDIN CSL_CITATION {"citationItems":[{"id":"ITEM-1","itemData":{"ISBN":"9781849300179","author":[{"dropping-particle":"","family":"Ali","given":"Amjid","non-dropping-particle":"","parse-names":false,"suffix":""},{"dropping-particle":"","family":"Asutay","</vt:lpwstr>
  </property>
  <property fmtid="{D5CDD505-2E9C-101B-9397-08002B2CF9AE}" pid="295" name="Mendeley Recent Style Id 91_2">
    <vt:lpwstr>given":"Mehmet","non-dropping-particle":"","parse-names":false,"suffix":""},{"dropping-particle":"","family":"Bälz","given":"Kilian","non-dropping-particle":"","parse-names":false,"suffix":""},{"dropping-particle":"Ben","family":"Naceur","given":"Samy","n</vt:lpwstr>
  </property>
  <property fmtid="{D5CDD505-2E9C-101B-9397-08002B2CF9AE}" pid="296" name="Mendeley Recent Style Id 91_3">
    <vt:lpwstr>on-dropping-particle":"","parse-names":false,"suffix":""},{"dropping-particle":"","family":"Cosgrave","given":"Barry","non-dropping-particle":"","parse-names":false,"suffix":""},{"dropping-particle":"","family":"Crawford","given":"Susi","non-dropping-part</vt:lpwstr>
  </property>
  <property fmtid="{D5CDD505-2E9C-101B-9397-08002B2CF9AE}" pid="297" name="Mendeley Recent Style Id 91_4">
    <vt:lpwstr>icle":"","parse-names":false,"suffix":""},{"dropping-particle":"","family":"Is","given":"Omar Fisher","non-dropping-particle":"","parse-names":false,"suffix":""}],"id":"ITEM-1","issued":{"date-parts":[["2010"]]},"number-of-pages":"238","publisher-place":"</vt:lpwstr>
  </property>
  <property fmtid="{D5CDD505-2E9C-101B-9397-08002B2CF9AE}" pid="298" name="Mendeley Recent Style Id 91_5">
    <vt:lpwstr>London","title":"Islamic Finance: Instruments and Markets","type":"book"},"uris":["http://www.mendeley.com/documents/?uuid=fa38f272-8c81-4ed8-b2d8-f06929e3cca7"]}],"mendeley":{"formattedCitation":"(Ali &lt;i&gt;et al.&lt;/i&gt;, 2010)","plainTextFormattedCitation":"(</vt:lpwstr>
  </property>
  <property fmtid="{D5CDD505-2E9C-101B-9397-08002B2CF9AE}" pid="299" name="Mendeley Recent Style Id 91_6">
    <vt:lpwstr>Ali et al., 2010)","previouslyFormattedCitation":"(Ali &lt;i&gt;et al.&lt;/i&gt;, 2010)"},"properties":{"noteIndex":0},"schema":"https://github.com/citation-style-language/schema/raw/master/csl-citation.json"}</vt:lpwstr>
  </property>
  <property fmtid="{D5CDD505-2E9C-101B-9397-08002B2CF9AE}" pid="300" name="Mendeley Recent Style Name 91_1">
    <vt:lpwstr>(Ali &lt;i&gt;et al.&lt;/i&gt;, 2010)</vt:lpwstr>
  </property>
  <property fmtid="{D5CDD505-2E9C-101B-9397-08002B2CF9AE}" pid="301" name="Mendeley Recent Style Id 92_1">
    <vt:lpwstr>(Ali &lt;i&gt;et al.&lt;/i&gt;, 2010)</vt:lpwstr>
  </property>
  <property fmtid="{D5CDD505-2E9C-101B-9397-08002B2CF9AE}" pid="302" name="Mendeley Recent Style Name 92_1">
    <vt:lpwstr>(Ali et al., 2010)</vt:lpwstr>
  </property>
  <property fmtid="{D5CDD505-2E9C-101B-9397-08002B2CF9AE}" pid="303" name="Mendeley Recent Style Id 93_1">
    <vt:lpwstr>ADDIN CSL_CITATION {"citationItems":[{"id":"ITEM-1","itemData":{"author":[{"dropping-particle":"","family":"Pehtereva","given":"E.","non-dropping-particle":"","parse-names":false,"suffix":""}],"container-title":"ECONOMIC AND SOCIAL PROBLEMS OF RUSSIA","id</vt:lpwstr>
  </property>
  <property fmtid="{D5CDD505-2E9C-101B-9397-08002B2CF9AE}" pid="304" name="Mendeley Recent Style Id 93_2">
    <vt:lpwstr>":"ITEM-1","issued":{"date-parts":[["2015"]]},"page":"107-123","title":"Islamic finance and prospects of Islamic banking in Russia","type":"article-journal"},"uris":["http://www.mendeley.com/documents/?uuid=6c6a2b98-723f-41da-9fc8-87ce84384e68"]}],"mendel</vt:lpwstr>
  </property>
  <property fmtid="{D5CDD505-2E9C-101B-9397-08002B2CF9AE}" pid="305" name="Mendeley Recent Style Id 93_3">
    <vt:lpwstr>ey":{"formattedCitation":"(Pehtereva, 2015)","plainTextFormattedCitation":"(Pehtereva, 2015)","previouslyFormattedCitation":"(Pehtereva, 2015)"},"properties":{"noteIndex":0},"schema":"https://github.com/citation-style-language/schema/raw/master/csl-citati</vt:lpwstr>
  </property>
  <property fmtid="{D5CDD505-2E9C-101B-9397-08002B2CF9AE}" pid="306" name="Mendeley Recent Style Id 93_4">
    <vt:lpwstr>on.json"}</vt:lpwstr>
  </property>
  <property fmtid="{D5CDD505-2E9C-101B-9397-08002B2CF9AE}" pid="307" name="Mendeley Recent Style Name 93_1">
    <vt:lpwstr>(Pehtereva, 2015)</vt:lpwstr>
  </property>
  <property fmtid="{D5CDD505-2E9C-101B-9397-08002B2CF9AE}" pid="308" name="Mendeley Recent Style Id 94_1">
    <vt:lpwstr>(Pehtereva, 2015)</vt:lpwstr>
  </property>
  <property fmtid="{D5CDD505-2E9C-101B-9397-08002B2CF9AE}" pid="309" name="Mendeley Recent Style Name 94_1">
    <vt:lpwstr>(Pehtereva, 2015)</vt:lpwstr>
  </property>
  <property fmtid="{D5CDD505-2E9C-101B-9397-08002B2CF9AE}" pid="310" name="Mendeley Recent Style Id 95_1">
    <vt:lpwstr>ADDIN CSL_CITATION {"citationItems":[{"id":"ITEM-1","itemData":{"DOI":"10.19030/iber.v14i5.9375","ISSN":"1535-0754","abstract":"In recent years, a number of Islamic banks have been created to cater to the growing demand, driven by globalization and the va</vt:lpwstr>
  </property>
  <property fmtid="{D5CDD505-2E9C-101B-9397-08002B2CF9AE}" pid="311" name="Mendeley Recent Style Id 95_2">
    <vt:lpwstr>st wealth of some Muslim states in the Middle East and Southeast Asia, and Islamic finance has moved from a niche position to become a mainstream component of the global banking system. Islamic banking refers to a financial system which is consistent with</vt:lpwstr>
  </property>
  <property fmtid="{D5CDD505-2E9C-101B-9397-08002B2CF9AE}" pid="312" name="Mendeley Recent Style Id 95_3">
    <vt:lpwstr> principles of Islamic law (or sharia) and guided by Islamic ethics. A large amount of research has been undertaken into this subject. This paper presents islamic finances role in the new world order.","author":[{"dropping-particle":"","family":"Moisseron</vt:lpwstr>
  </property>
  <property fmtid="{D5CDD505-2E9C-101B-9397-08002B2CF9AE}" pid="313" name="Mendeley Recent Style Id 95_4">
    <vt:lpwstr>","given":"Jean-Yves","non-dropping-particle":"","parse-names":false,"suffix":""},{"dropping-particle":"","family":"Moschetto","given":"Bruno-Laurent","non-dropping-particle":"","parse-names":false,"suffix":""},{"dropping-particle":"","family":"Teulon","g</vt:lpwstr>
  </property>
  <property fmtid="{D5CDD505-2E9C-101B-9397-08002B2CF9AE}" pid="314" name="Mendeley Recent Style Id 95_5">
    <vt:lpwstr>iven":"Frederic","non-dropping-particle":"","parse-names":false,"suffix":""}],"container-title":"International Business &amp; Economics Research Journal (IBER)","id":"ITEM-1","issue":"5","issued":{"date-parts":[["2015"]]},"page":"745","title":"Islamic Finance</vt:lpwstr>
  </property>
  <property fmtid="{D5CDD505-2E9C-101B-9397-08002B2CF9AE}" pid="315" name="Mendeley Recent Style Id 95_6">
    <vt:lpwstr>: A Review Of The Literature","type":"article-journal","volume":"14"},"uris":["http://www.mendeley.com/documents/?uuid=cb242205-aefc-4d49-b930-2b21b4c05764"]}],"mendeley":{"formattedCitation":"(Moisseron &lt;i&gt;et al.&lt;/i&gt;, 2015)","plainTextFormattedCitation":</vt:lpwstr>
  </property>
  <property fmtid="{D5CDD505-2E9C-101B-9397-08002B2CF9AE}" pid="316" name="Mendeley Recent Style Id 95_7">
    <vt:lpwstr>"(Moisseron et al., 2015)","previouslyFormattedCitation":"(Moisseron, Moschetto and Teulon, 2015)"},"properties":{"noteIndex":0},"schema":"https://github.com/citation-style-language/schema/raw/master/csl-citation.json"}</vt:lpwstr>
  </property>
  <property fmtid="{D5CDD505-2E9C-101B-9397-08002B2CF9AE}" pid="317" name="Mendeley Recent Style Name 95_1">
    <vt:lpwstr>(Moisseron &lt;i&gt;et al.&lt;/i&gt;, 2015)</vt:lpwstr>
  </property>
  <property fmtid="{D5CDD505-2E9C-101B-9397-08002B2CF9AE}" pid="318" name="Mendeley Recent Style Id 96_1">
    <vt:lpwstr>(Moisseron, Moschetto and Teulon, 2015)</vt:lpwstr>
  </property>
  <property fmtid="{D5CDD505-2E9C-101B-9397-08002B2CF9AE}" pid="319" name="Mendeley Recent Style Name 96_1">
    <vt:lpwstr>(Moisseron et al., 2015)</vt:lpwstr>
  </property>
  <property fmtid="{D5CDD505-2E9C-101B-9397-08002B2CF9AE}" pid="320" name="Mendeley Recent Style Id 97_1">
    <vt:lpwstr>ADDIN CSL_CITATION {"citationItems":[{"id":"ITEM-1","itemData":{"author":[{"dropping-particle":"","family":"Zarqa","given":"Mustafa","non-dropping-particle":"","parse-names":false,"suffix":""}],"container-title":"JOINT OWNERSHIP","id":"ITEM-1","issued":{"</vt:lpwstr>
  </property>
  <property fmtid="{D5CDD505-2E9C-101B-9397-08002B2CF9AE}" pid="321" name="Mendeley Recent Style Id 97_2">
    <vt:lpwstr>date-parts":[["0"]]},"title":"AL-MAJALLA AL AHKAM AL ADALIYYAH ( The Ottoman Courts Manual ( Hanafi ))","type":"chapter"},"uris":["http://www.mendeley.com/documents/?uuid=680f83bb-a883-41a2-87b3-2c8f41a1592b"]}],"mendeley":{"formattedCitation":"(Zarqa, n.</vt:lpwstr>
  </property>
  <property fmtid="{D5CDD505-2E9C-101B-9397-08002B2CF9AE}" pid="322" name="Mendeley Recent Style Id 97_3">
    <vt:lpwstr>d.)","plainTextFormattedCitation":"(Zarqa, n.d.)","previouslyFormattedCitation":"(Zarqa, no date)"},"properties":{"noteIndex":0},"schema":"https://github.com/citation-style-language/schema/raw/master/csl-citation.json"}</vt:lpwstr>
  </property>
  <property fmtid="{D5CDD505-2E9C-101B-9397-08002B2CF9AE}" pid="323" name="Mendeley Recent Style Name 97_1">
    <vt:lpwstr>(Zarqa, n.d.)</vt:lpwstr>
  </property>
  <property fmtid="{D5CDD505-2E9C-101B-9397-08002B2CF9AE}" pid="324" name="Mendeley Recent Style Id 98_1">
    <vt:lpwstr>(Zarqa, no date)</vt:lpwstr>
  </property>
  <property fmtid="{D5CDD505-2E9C-101B-9397-08002B2CF9AE}" pid="325" name="Mendeley Recent Style Name 98_1">
    <vt:lpwstr>(Zarqa, n.d.)</vt:lpwstr>
  </property>
  <property fmtid="{D5CDD505-2E9C-101B-9397-08002B2CF9AE}" pid="326" name="Mendeley Recent Style Id 99_1">
    <vt:lpwstr>ADDIN CSL_CITATION {"citationItems":[{"id":"ITEM-1","itemData":{"id":"ITEM-1","issued":{"date-parts":[["0"]]},"title":"Holy-Quran","type":"book"},"uris":["http://www.mendeley.com/documents/?uuid=f9fa377e-58aa-401f-80ab-8caf62735865"]}],"mendeley":{"format</vt:lpwstr>
  </property>
  <property fmtid="{D5CDD505-2E9C-101B-9397-08002B2CF9AE}" pid="327" name="Mendeley Recent Style Id 99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328" name="Mendeley Recent Style Id 99_3">
    <vt:lpwstr>l-citation.json"}</vt:lpwstr>
  </property>
  <property fmtid="{D5CDD505-2E9C-101B-9397-08002B2CF9AE}" pid="329" name="Mendeley Recent Style Name 99_1">
    <vt:lpwstr>(&lt;i&gt;Holy-Quran&lt;/i&gt;, n.d.)</vt:lpwstr>
  </property>
  <property fmtid="{D5CDD505-2E9C-101B-9397-08002B2CF9AE}" pid="330" name="Mendeley Recent Style Id 100_1">
    <vt:lpwstr>(&lt;i&gt;Holy-Quran&lt;/i&gt;, no date)</vt:lpwstr>
  </property>
  <property fmtid="{D5CDD505-2E9C-101B-9397-08002B2CF9AE}" pid="331" name="Mendeley Recent Style Name 100_1">
    <vt:lpwstr>(Holy-Quran, n.d.)</vt:lpwstr>
  </property>
  <property fmtid="{D5CDD505-2E9C-101B-9397-08002B2CF9AE}" pid="332" name="Mendeley Recent Style Id 101_1">
    <vt:lpwstr>ADDIN CSL_CITATION {"citationItems":[{"id":"ITEM-1","itemData":{"author":[{"dropping-particle":"","family":"Chartered Institute for Securities &amp; Investment","given":"","non-dropping-particle":"","parse-names":false,"suffix":""}],"edition":"8","editor":[{"</vt:lpwstr>
  </property>
  <property fmtid="{D5CDD505-2E9C-101B-9397-08002B2CF9AE}" pid="333" name="Mendeley Recent Style Id 101_2">
    <vt:lpwstr>dropping-particle":"","family":"Shikder","given":"Muhammad Nurullah","non-dropping-particle":"","parse-names":false,"suffix":""}],"id":"ITEM-1","issued":{"date-parts":[["2018"]]},"number-of-pages":"294","publisher-place":"London","title":"Islamic Finance </vt:lpwstr>
  </property>
  <property fmtid="{D5CDD505-2E9C-101B-9397-08002B2CF9AE}" pid="334" name="Mendeley Recent Style Id 101_3">
    <vt:lpwstr>Qualification ( IFQ )","type":"book"},"uris":["http://www.mendeley.com/documents/?uuid=49a2d784-2f26-46b9-99ff-208ad5d456ee"]}],"mendeley":{"formattedCitation":"(Chartered Institute for Securities &amp; Investment, 2018)","plainTextFormattedCitation":"(Charte</vt:lpwstr>
  </property>
  <property fmtid="{D5CDD505-2E9C-101B-9397-08002B2CF9AE}" pid="335" name="Mendeley Recent Style Id 101_4">
    <vt:lpwstr>red Institute for Securities &amp; Investment, 2018)","previouslyFormattedCitation":"(Chartered Institute for Securities &amp; Investment, 2018)"},"properties":{"noteIndex":0},"schema":"https://github.com/citation-style-language/schema/raw/master/csl-citation.jso</vt:lpwstr>
  </property>
  <property fmtid="{D5CDD505-2E9C-101B-9397-08002B2CF9AE}" pid="336" name="Mendeley Recent Style Id 101_5">
    <vt:lpwstr>n"}</vt:lpwstr>
  </property>
  <property fmtid="{D5CDD505-2E9C-101B-9397-08002B2CF9AE}" pid="337" name="Mendeley Recent Style Name 101_1">
    <vt:lpwstr>(Chartered Institute for Securities &amp; Investment, 2018)</vt:lpwstr>
  </property>
  <property fmtid="{D5CDD505-2E9C-101B-9397-08002B2CF9AE}" pid="338" name="Mendeley Recent Style Id 102_1">
    <vt:lpwstr>(Chartered Institute for Securities &amp; Investment, 2018)</vt:lpwstr>
  </property>
  <property fmtid="{D5CDD505-2E9C-101B-9397-08002B2CF9AE}" pid="339" name="Mendeley Recent Style Name 102_1">
    <vt:lpwstr>(Chartered Institute for Securities &amp; Investment, 2018)</vt:lpwstr>
  </property>
  <property fmtid="{D5CDD505-2E9C-101B-9397-08002B2CF9AE}" pid="340" name="Mendeley Recent Style Id 103_1">
    <vt:lpwstr>ADDIN CSL_CITATION {"citationItems":[{"id":"ITEM-1","itemData":{"author":[{"dropping-particle":"","family":"Mirakhor","given":"Abbas","non-dropping-particle":"","parse-names":false,"suffix":""},{"dropping-particle":"","family":"Iqbal","given":"Zamir","non</vt:lpwstr>
  </property>
  <property fmtid="{D5CDD505-2E9C-101B-9397-08002B2CF9AE}" pid="341" name="Mendeley Recent Style Id 103_2">
    <vt:lpwstr>-dropping-particle":"","parse-names":false,"suffix":""}],"edition":"2","id":"ITEM-1","issued":{"date-parts":[["2011"]]},"number-of-pages":"410","publisher":"John Wiley &amp; Sons (Asia) Pte. Ltd.","publisher-place":"Singapore","title":"An Introduction to Isla</vt:lpwstr>
  </property>
  <property fmtid="{D5CDD505-2E9C-101B-9397-08002B2CF9AE}" pid="342" name="Mendeley Recent Style Id 103_3">
    <vt:lpwstr>mic Finance: theory and practice","type":"book"},"uris":["http://www.mendeley.com/documents/?uuid=37e85bcb-57ee-4923-b9dc-a9beb02cb31f"]}],"mendeley":{"formattedCitation":"(Mirakhor and Iqbal, 2011)","plainTextFormattedCitation":"(Mirakhor and Iqbal, 2011</vt:lpwstr>
  </property>
  <property fmtid="{D5CDD505-2E9C-101B-9397-08002B2CF9AE}" pid="343" name="Mendeley Recent Style Id 103_4">
    <vt:lpwstr>)","previouslyFormattedCitation":"(Mirakhor and Iqbal, 2011)"},"properties":{"noteIndex":0},"schema":"https://github.com/citation-style-language/schema/raw/master/csl-citation.json"}</vt:lpwstr>
  </property>
  <property fmtid="{D5CDD505-2E9C-101B-9397-08002B2CF9AE}" pid="344" name="Mendeley Recent Style Name 103_1">
    <vt:lpwstr>(Mirakhor and Iqbal, 2011)</vt:lpwstr>
  </property>
  <property fmtid="{D5CDD505-2E9C-101B-9397-08002B2CF9AE}" pid="345" name="Mendeley Recent Style Id 104_1">
    <vt:lpwstr>(Mirakhor and Iqbal, 2011)</vt:lpwstr>
  </property>
  <property fmtid="{D5CDD505-2E9C-101B-9397-08002B2CF9AE}" pid="346" name="Mendeley Recent Style Name 104_1">
    <vt:lpwstr>(Mirakhor and Iqbal, 2011)</vt:lpwstr>
  </property>
  <property fmtid="{D5CDD505-2E9C-101B-9397-08002B2CF9AE}" pid="347" name="Mendeley Recent Style Id 105_1">
    <vt:lpwstr>ADDIN CSL_CITATION {"citationItems":[{"id":"ITEM-1","itemData":{"ISBN":"9786017539092","author":[{"dropping-particle":"","family":"Baidaulet","given":"Yerlan","non-dropping-particle":"","parse-names":false,"suffix":""}],"id":"ITEM-1","issued":{"date-parts</vt:lpwstr>
  </property>
  <property fmtid="{D5CDD505-2E9C-101B-9397-08002B2CF9AE}" pid="348" name="Mendeley Recent Style Id 105_2">
    <vt:lpwstr>":[["2014"]]},"number-of-pages":"326","publisher-place":"Pavlodar","title":"Basics of Ethical finance","type":"book"},"uris":["http://www.mendeley.com/documents/?uuid=013f38b2-e65d-4634-af1f-88af65b3e07d"]}],"mendeley":{"formattedCitation":"(Baidaulet, 20</vt:lpwstr>
  </property>
  <property fmtid="{D5CDD505-2E9C-101B-9397-08002B2CF9AE}" pid="349" name="Mendeley Recent Style Id 105_3">
    <vt:lpwstr>14)","plainTextFormattedCitation":"(Baidaulet, 2014)","previouslyFormattedCitation":"(Baidaulet, 2014)"},"properties":{"noteIndex":0},"schema":"https://github.com/citation-style-language/schema/raw/master/csl-citation.json"}</vt:lpwstr>
  </property>
  <property fmtid="{D5CDD505-2E9C-101B-9397-08002B2CF9AE}" pid="350" name="Mendeley Recent Style Name 105_1">
    <vt:lpwstr>(Baidaulet, 2014)</vt:lpwstr>
  </property>
  <property fmtid="{D5CDD505-2E9C-101B-9397-08002B2CF9AE}" pid="351" name="Mendeley Recent Style Id 106_1">
    <vt:lpwstr>(Baidaulet, 2014)</vt:lpwstr>
  </property>
  <property fmtid="{D5CDD505-2E9C-101B-9397-08002B2CF9AE}" pid="352" name="Mendeley Recent Style Name 106_1">
    <vt:lpwstr>(Baidaulet, 2014)</vt:lpwstr>
  </property>
  <property fmtid="{D5CDD505-2E9C-101B-9397-08002B2CF9AE}" pid="353" name="Mendeley Recent Style Id 107_1">
    <vt:lpwstr>ADDIN CSL_CITATION {"citationItems":[{"id":"ITEM-1","itemData":{"abstract":"Islamic finance has started to grow in international finance across the globe, with some concentration in few countries. Nearly 20 percent annual growth of Islamic finance in rece</vt:lpwstr>
  </property>
  <property fmtid="{D5CDD505-2E9C-101B-9397-08002B2CF9AE}" pid="354" name="Mendeley Recent Style Id 107_2">
    <vt:lpwstr>nt years seems to point to its resilience and broad appeal, partly owing to principles that govern Islamic financial activities, including equity, participation, and ownership. In theory, Islamic finance is resilient to shocks because of its emphasis on r</vt:lpwstr>
  </property>
  <property fmtid="{D5CDD505-2E9C-101B-9397-08002B2CF9AE}" pid="355" name="Mendeley Recent Style Id 107_3">
    <vt:lpwstr>isk sharing, limits on excessive risk taking, and strong link to real activities. Empirical evidence on the stability of Islamic banks, however, is so far mixed. While these banks face similar risks as conventional banks do, they are also exposed to idios</vt:lpwstr>
  </property>
  <property fmtid="{D5CDD505-2E9C-101B-9397-08002B2CF9AE}" pid="356" name="Mendeley Recent Style Id 107_4">
    <vt:lpwstr>yncratic risks, necessitating a tailoring of current risk management practices. The macroeconomic policy implications of the rapid expansion of Islamic finance are far reaching and need careful considerations.","author":[{"dropping-particle":"","family":"</vt:lpwstr>
  </property>
  <property fmtid="{D5CDD505-2E9C-101B-9397-08002B2CF9AE}" pid="357" name="Mendeley Recent Style Id 107_5">
    <vt:lpwstr>Mumtaz Hussain","given":"","non-dropping-particle":"","parse-names":false,"suffix":""},{"dropping-particle":"","family":"Shahmoradi","given":"Asghar","non-dropping-particle":"","parse-names":false,"suffix":""},{"dropping-particle":"","family":"Turk","give</vt:lpwstr>
  </property>
  <property fmtid="{D5CDD505-2E9C-101B-9397-08002B2CF9AE}" pid="358" name="Mendeley Recent Style Id 107_6">
    <vt:lpwstr>n":"Rima","non-dropping-particle":"","parse-names":false,"suffix":""}],"container-title":"June","id":"ITEM-1","issued":{"date-parts":[["2015"]]},"number-of-pages":"35","title":"An Overview of Islamic Finance","type":"report"},"uris":["http://www.mendeley.</vt:lpwstr>
  </property>
  <property fmtid="{D5CDD505-2E9C-101B-9397-08002B2CF9AE}" pid="359" name="Mendeley Recent Style Id 107_7">
    <vt:lpwstr>com/documents/?uuid=67538042-605f-4c7c-a0b8-2897cab2f96a"]}],"mendeley":{"formattedCitation":"(Mumtaz Hussain &lt;i&gt;et al.&lt;/i&gt;, 2015)","plainTextFormattedCitation":"(Mumtaz Hussain et al., 2015)","previouslyFormattedCitation":"(Mumtaz Hussain, Shahmoradi and</vt:lpwstr>
  </property>
  <property fmtid="{D5CDD505-2E9C-101B-9397-08002B2CF9AE}" pid="360" name="Mendeley Recent Style Id 107_8">
    <vt:lpwstr> Turk, 2015)"},"properties":{"noteIndex":0},"schema":"https://github.com/citation-style-language/schema/raw/master/csl-citation.json"}</vt:lpwstr>
  </property>
  <property fmtid="{D5CDD505-2E9C-101B-9397-08002B2CF9AE}" pid="361" name="Mendeley Recent Style Name 107_1">
    <vt:lpwstr>(Mumtaz Hussain &lt;i&gt;et al.&lt;/i&gt;, 2015)</vt:lpwstr>
  </property>
  <property fmtid="{D5CDD505-2E9C-101B-9397-08002B2CF9AE}" pid="362" name="Mendeley Recent Style Id 108_1">
    <vt:lpwstr>(Mumtaz Hussain, Shahmoradi and Turk, 2015)</vt:lpwstr>
  </property>
  <property fmtid="{D5CDD505-2E9C-101B-9397-08002B2CF9AE}" pid="363" name="Mendeley Recent Style Name 108_1">
    <vt:lpwstr>(Mumtaz Hussain et al., 2015)</vt:lpwstr>
  </property>
  <property fmtid="{D5CDD505-2E9C-101B-9397-08002B2CF9AE}" pid="364" name="Mendeley Recent Style Id 109_1">
    <vt:lpwstr>ADDIN CSL_CITATION {"citationItems":[{"id":"ITEM-1","itemData":{"DOI":"10.18334/rp.19.1.38757","ISSN":"1994-6937","abstract":"В статье рассмотрены основы и тенденции развития системы исламских финансов, принципы деятельности исламских финансовых институто</vt:lpwstr>
  </property>
  <property fmtid="{D5CDD505-2E9C-101B-9397-08002B2CF9AE}" pid="365" name="Mendeley Recent Style Id 109_2">
    <vt:lpwstr>в, а также финансовые инструменты, которые применяются в рамках исламской финансовой системы. Проанализированы отличительные особенности исламских и традиционных банков. Особое внимание уделяется проблемам и перспективам развития системы исламских финансо</vt:lpwstr>
  </property>
  <property fmtid="{D5CDD505-2E9C-101B-9397-08002B2CF9AE}" pid="366" name="Mendeley Recent Style Id 109_3">
    <vt:lpwstr>в. Выявлены факторы, которые оказывают влияние на интеграцию исламских финансов в финансовую систему Российской Федерации.","author":[{"dropping-particle":"","family":"Yu.N.","given":"Gambeeva","non-dropping-particle":"","parse-names":false,"suffix":""},{</vt:lpwstr>
  </property>
  <property fmtid="{D5CDD505-2E9C-101B-9397-08002B2CF9AE}" pid="367" name="Mendeley Recent Style Id 109_4">
    <vt:lpwstr>"dropping-particle":"","family":"S.N.","given":"Medvedeva","non-dropping-particle":"","parse-names":false,"suffix":""}],"container-title":"Russian Journal of Entrepreneurship","id":"ITEM-1","issue":"1","issued":{"date-parts":[["2018"]]},"page":"335","titl</vt:lpwstr>
  </property>
  <property fmtid="{D5CDD505-2E9C-101B-9397-08002B2CF9AE}" pid="368" name="Mendeley Recent Style Id 109_5">
    <vt:lpwstr>e":"Islamic finance: features of formation and development","type":"article-journal","volume":"19"},"uris":["http://www.mendeley.com/documents/?uuid=52daa8b8-0baa-4b67-9137-126890977960"]}],"mendeley":{"formattedCitation":"(Yu.N. and S.N., 2018)","plainTe</vt:lpwstr>
  </property>
  <property fmtid="{D5CDD505-2E9C-101B-9397-08002B2CF9AE}" pid="369" name="Mendeley Recent Style Id 109_6">
    <vt:lpwstr>xtFormattedCitation":"(Yu.N. and S.N., 2018)","previouslyFormattedCitation":"(Yu.N. and S.N., 2018)"},"properties":{"noteIndex":0},"schema":"https://github.com/citation-style-language/schema/raw/master/csl-citation.json"}</vt:lpwstr>
  </property>
  <property fmtid="{D5CDD505-2E9C-101B-9397-08002B2CF9AE}" pid="370" name="Mendeley Recent Style Name 109_1">
    <vt:lpwstr>(Yu.N. and S.N., 2018)</vt:lpwstr>
  </property>
  <property fmtid="{D5CDD505-2E9C-101B-9397-08002B2CF9AE}" pid="371" name="Mendeley Recent Style Id 110_1">
    <vt:lpwstr>(Yu.N. and S.N., 2018)</vt:lpwstr>
  </property>
  <property fmtid="{D5CDD505-2E9C-101B-9397-08002B2CF9AE}" pid="372" name="Mendeley Recent Style Name 110_1">
    <vt:lpwstr>(Yu.N. and S.N., 2018)</vt:lpwstr>
  </property>
  <property fmtid="{D5CDD505-2E9C-101B-9397-08002B2CF9AE}" pid="373" name="Mendeley Recent Style Id 111_1">
    <vt:lpwstr>ADDIN CSL_CITATION {"citationItems":[{"id":"ITEM-1","itemData":{"author":[{"dropping-particle":"","family":"Chartered Institute for Securities &amp; Investment","given":"","non-dropping-particle":"","parse-names":false,"suffix":""}],"edition":"8","editor":[{"</vt:lpwstr>
  </property>
  <property fmtid="{D5CDD505-2E9C-101B-9397-08002B2CF9AE}" pid="374" name="Mendeley Recent Style Id 111_2">
    <vt:lpwstr>dropping-particle":"","family":"Shikder","given":"Muhammad Nurullah","non-dropping-particle":"","parse-names":false,"suffix":""}],"id":"ITEM-1","issued":{"date-parts":[["2018"]]},"number-of-pages":"294","publisher-place":"London","title":"Islamic Finance </vt:lpwstr>
  </property>
  <property fmtid="{D5CDD505-2E9C-101B-9397-08002B2CF9AE}" pid="375" name="Mendeley Recent Style Id 111_3">
    <vt:lpwstr>Qualification ( IFQ )","type":"book"},"uris":["http://www.mendeley.com/documents/?uuid=49a2d784-2f26-46b9-99ff-208ad5d456ee"]}],"mendeley":{"formattedCitation":"(Chartered Institute for Securities &amp; Investment, 2018)","plainTextFormattedCitation":"(Charte</vt:lpwstr>
  </property>
  <property fmtid="{D5CDD505-2E9C-101B-9397-08002B2CF9AE}" pid="376" name="Mendeley Recent Style Id 111_4">
    <vt:lpwstr>red Institute for Securities &amp; Investment, 2018)","previouslyFormattedCitation":"(Chartered Institute for Securities &amp; Investment, 2018)"},"properties":{"noteIndex":0},"schema":"https://github.com/citation-style-language/schema/raw/master/csl-citation.jso</vt:lpwstr>
  </property>
  <property fmtid="{D5CDD505-2E9C-101B-9397-08002B2CF9AE}" pid="377" name="Mendeley Recent Style Id 111_5">
    <vt:lpwstr>n"}</vt:lpwstr>
  </property>
  <property fmtid="{D5CDD505-2E9C-101B-9397-08002B2CF9AE}" pid="378" name="Mendeley Recent Style Name 111_1">
    <vt:lpwstr>(Chartered Institute for Securities &amp; Investment, 2018)</vt:lpwstr>
  </property>
  <property fmtid="{D5CDD505-2E9C-101B-9397-08002B2CF9AE}" pid="379" name="Mendeley Recent Style Id 112_1">
    <vt:lpwstr>(Chartered Institute for Securities &amp; Investment, 2018)</vt:lpwstr>
  </property>
  <property fmtid="{D5CDD505-2E9C-101B-9397-08002B2CF9AE}" pid="380" name="Mendeley Recent Style Name 112_1">
    <vt:lpwstr>(Chartered Institute for Securities &amp; Investment, 2018)</vt:lpwstr>
  </property>
  <property fmtid="{D5CDD505-2E9C-101B-9397-08002B2CF9AE}" pid="381" name="Mendeley Recent Style Id 113_1">
    <vt:lpwstr>ADDIN CSL_CITATION {"citationItems":[{"id":"ITEM-1","itemData":{"ISBN":"9786030196166","author":[{"dropping-particle":"","family":"AAOIFI","given":"","non-dropping-particle":"","parse-names":false,"suffix":""}],"id":"ITEM-1","issued":{"date-parts":[["2015</vt:lpwstr>
  </property>
  <property fmtid="{D5CDD505-2E9C-101B-9397-08002B2CF9AE}" pid="382" name="Mendeley Recent Style Id 113_2">
    <vt:lpwstr>"]]},"number-of-pages":"1262","publisher-place":"Manama","title":"Sariah Standarts","type":"book"},"uris":["http://www.mendeley.com/documents/?uuid=2a4e80ee-d88e-414c-bb26-eb2757266ce9"]}],"mendeley":{"formattedCitation":"(AAOIFI, 2015)","plainTextFormatt</vt:lpwstr>
  </property>
  <property fmtid="{D5CDD505-2E9C-101B-9397-08002B2CF9AE}" pid="383" name="Mendeley Recent Style Id 113_3">
    <vt:lpwstr>edCitation":"(AAOIFI, 2015)","previouslyFormattedCitation":"(AAOIFI, 2015)"},"properties":{"noteIndex":0},"schema":"https://github.com/citation-style-language/schema/raw/master/csl-citation.json"}</vt:lpwstr>
  </property>
  <property fmtid="{D5CDD505-2E9C-101B-9397-08002B2CF9AE}" pid="384" name="Mendeley Recent Style Name 113_1">
    <vt:lpwstr>(AAOIFI, 2015)</vt:lpwstr>
  </property>
  <property fmtid="{D5CDD505-2E9C-101B-9397-08002B2CF9AE}" pid="385" name="Mendeley Recent Style Id 114_1">
    <vt:lpwstr>(AAOIFI, 2015)</vt:lpwstr>
  </property>
  <property fmtid="{D5CDD505-2E9C-101B-9397-08002B2CF9AE}" pid="386" name="Mendeley Recent Style Name 114_1">
    <vt:lpwstr>(AAOIFI, 2015)</vt:lpwstr>
  </property>
  <property fmtid="{D5CDD505-2E9C-101B-9397-08002B2CF9AE}" pid="387" name="Mendeley Recent Style Id 115_1">
    <vt:lpwstr>ADDIN CSL_CITATION {"citationItems":[{"id":"ITEM-1","itemData":{"ISBN":"9781849300179","author":[{"dropping-particle":"","family":"Ali","given":"Amjid","non-dropping-particle":"","parse-names":false,"suffix":""},{"dropping-particle":"","family":"Asutay","</vt:lpwstr>
  </property>
  <property fmtid="{D5CDD505-2E9C-101B-9397-08002B2CF9AE}" pid="388" name="Mendeley Recent Style Id 115_2">
    <vt:lpwstr>given":"Mehmet","non-dropping-particle":"","parse-names":false,"suffix":""},{"dropping-particle":"","family":"Bälz","given":"Kilian","non-dropping-particle":"","parse-names":false,"suffix":""},{"dropping-particle":"Ben","family":"Naceur","given":"Samy","n</vt:lpwstr>
  </property>
  <property fmtid="{D5CDD505-2E9C-101B-9397-08002B2CF9AE}" pid="389" name="Mendeley Recent Style Id 115_3">
    <vt:lpwstr>on-dropping-particle":"","parse-names":false,"suffix":""},{"dropping-particle":"","family":"Cosgrave","given":"Barry","non-dropping-particle":"","parse-names":false,"suffix":""},{"dropping-particle":"","family":"Crawford","given":"Susi","non-dropping-part</vt:lpwstr>
  </property>
  <property fmtid="{D5CDD505-2E9C-101B-9397-08002B2CF9AE}" pid="390" name="Mendeley Recent Style Id 115_4">
    <vt:lpwstr>icle":"","parse-names":false,"suffix":""},{"dropping-particle":"","family":"Is","given":"Omar Fisher","non-dropping-particle":"","parse-names":false,"suffix":""}],"id":"ITEM-1","issued":{"date-parts":[["2010"]]},"number-of-pages":"238","publisher-place":"</vt:lpwstr>
  </property>
  <property fmtid="{D5CDD505-2E9C-101B-9397-08002B2CF9AE}" pid="391" name="Mendeley Recent Style Id 115_5">
    <vt:lpwstr>London","title":"Islamic Finance: Instruments and Markets","type":"book"},"uris":["http://www.mendeley.com/documents/?uuid=fa38f272-8c81-4ed8-b2d8-f06929e3cca7"]}],"mendeley":{"formattedCitation":"(Ali &lt;i&gt;et al.&lt;/i&gt;, 2010)","plainTextFormattedCitation":"(</vt:lpwstr>
  </property>
  <property fmtid="{D5CDD505-2E9C-101B-9397-08002B2CF9AE}" pid="392" name="Mendeley Recent Style Id 115_6">
    <vt:lpwstr>Ali et al., 2010)","previouslyFormattedCitation":"(Ali &lt;i&gt;et al.&lt;/i&gt;, 2010)"},"properties":{"noteIndex":0},"schema":"https://github.com/citation-style-language/schema/raw/master/csl-citation.json"}</vt:lpwstr>
  </property>
  <property fmtid="{D5CDD505-2E9C-101B-9397-08002B2CF9AE}" pid="393" name="Mendeley Recent Style Name 115_1">
    <vt:lpwstr>(Ali &lt;i&gt;et al.&lt;/i&gt;, 2010)</vt:lpwstr>
  </property>
  <property fmtid="{D5CDD505-2E9C-101B-9397-08002B2CF9AE}" pid="394" name="Mendeley Recent Style Id 116_1">
    <vt:lpwstr>(Ali &lt;i&gt;et al.&lt;/i&gt;, 2010)</vt:lpwstr>
  </property>
  <property fmtid="{D5CDD505-2E9C-101B-9397-08002B2CF9AE}" pid="395" name="Mendeley Recent Style Name 116_1">
    <vt:lpwstr>(Ali et al., 2010)</vt:lpwstr>
  </property>
  <property fmtid="{D5CDD505-2E9C-101B-9397-08002B2CF9AE}" pid="396" name="Mendeley Recent Style Id 117_1">
    <vt:lpwstr>ADDIN CSL_CITATION {"citationItems":[{"id":"ITEM-1","itemData":{"author":[{"dropping-particle":"","family":"EthicaInstitute","given":"","non-dropping-particle":"","parse-names":false,"suffix":""}],"id":"ITEM-1","issued":{"date-parts":[["2016"]]},"number-o</vt:lpwstr>
  </property>
  <property fmtid="{D5CDD505-2E9C-101B-9397-08002B2CF9AE}" pid="397" name="Mendeley Recent Style Id 117_2">
    <vt:lpwstr>f-pages":"1-800","publisher":"Ethica Institute of Islamic finance","publisher-place":"US Newark","title":"Handbook of Islamic Finance","type":"book"},"uris":["http://www.mendeley.com/documents/?uuid=4bb68cf4-0d86-496d-93f4-079f58fbcb24"]}],"mendeley":{"fo</vt:lpwstr>
  </property>
  <property fmtid="{D5CDD505-2E9C-101B-9397-08002B2CF9AE}" pid="398" name="Mendeley Recent Style Id 117_3">
    <vt:lpwstr>rmattedCitation":"(EthicaInstitute, 2016)","plainTextFormattedCitation":"(EthicaInstitute, 2016)","previouslyFormattedCitation":"(EthicaInstitute, 2016)"},"properties":{"noteIndex":0},"schema":"https://github.com/citation-style-language/schema/raw/master/</vt:lpwstr>
  </property>
  <property fmtid="{D5CDD505-2E9C-101B-9397-08002B2CF9AE}" pid="399" name="Mendeley Recent Style Id 117_4">
    <vt:lpwstr>csl-citation.json"}</vt:lpwstr>
  </property>
  <property fmtid="{D5CDD505-2E9C-101B-9397-08002B2CF9AE}" pid="400" name="Mendeley Recent Style Name 117_1">
    <vt:lpwstr>(EthicaInstitute, 2016)</vt:lpwstr>
  </property>
  <property fmtid="{D5CDD505-2E9C-101B-9397-08002B2CF9AE}" pid="401" name="Mendeley Recent Style Id 118_1">
    <vt:lpwstr>(EthicaInstitute, 2016)</vt:lpwstr>
  </property>
  <property fmtid="{D5CDD505-2E9C-101B-9397-08002B2CF9AE}" pid="402" name="Mendeley Recent Style Name 118_1">
    <vt:lpwstr>(EthicaInstitute, 2016)</vt:lpwstr>
  </property>
  <property fmtid="{D5CDD505-2E9C-101B-9397-08002B2CF9AE}" pid="403" name="Mendeley Recent Style Id 119_1">
    <vt:lpwstr>ADDIN CSL_CITATION {"citationItems":[{"id":"ITEM-1","itemData":{"author":[{"dropping-particle":"","family":"Mirzoev","given":"","non-dropping-particle":"","parse-names":false,"suffix":""}],"edition":"Sadra","editor":[{"dropping-particle":"","family":"V","</vt:lpwstr>
  </property>
  <property fmtid="{D5CDD505-2E9C-101B-9397-08002B2CF9AE}" pid="404" name="Mendeley Recent Style Id 119_2">
    <vt:lpwstr>given":"Avtonomov","non-dropping-particle":"","parse-names":false,"suffix":""}],"id":"ITEM-1","issued":{"date-parts":[["2017"]]},"number-of-pages":"174","publisher-place":"Moscow","title":"Values and principles of the Islamic economy","type":"book"},"uris</vt:lpwstr>
  </property>
  <property fmtid="{D5CDD505-2E9C-101B-9397-08002B2CF9AE}" pid="405" name="Mendeley Recent Style Id 119_3">
    <vt:lpwstr>":["http://www.mendeley.com/documents/?uuid=de7fbca4-a8fb-4df6-8de5-2fb1d850d68d"]}],"mendeley":{"formattedCitation":"(Mirzoev, 2017)","plainTextFormattedCitation":"(Mirzoev, 2017)","previouslyFormattedCitation":"(Mirzoev, 2017)"},"properties":{"noteIndex</vt:lpwstr>
  </property>
  <property fmtid="{D5CDD505-2E9C-101B-9397-08002B2CF9AE}" pid="406" name="Mendeley Recent Style Id 119_4">
    <vt:lpwstr>":0},"schema":"https://github.com/citation-style-language/schema/raw/master/csl-citation.json"}</vt:lpwstr>
  </property>
  <property fmtid="{D5CDD505-2E9C-101B-9397-08002B2CF9AE}" pid="407" name="Mendeley Recent Style Name 119_1">
    <vt:lpwstr>(Mirzoev, 2017)</vt:lpwstr>
  </property>
  <property fmtid="{D5CDD505-2E9C-101B-9397-08002B2CF9AE}" pid="408" name="Mendeley Recent Style Id 120_1">
    <vt:lpwstr>(Mirzoev, 2017)</vt:lpwstr>
  </property>
  <property fmtid="{D5CDD505-2E9C-101B-9397-08002B2CF9AE}" pid="409" name="Mendeley Recent Style Name 120_1">
    <vt:lpwstr>(Mirzoev, 2017)</vt:lpwstr>
  </property>
  <property fmtid="{D5CDD505-2E9C-101B-9397-08002B2CF9AE}" pid="410" name="Mendeley Recent Style Id 121_1">
    <vt:lpwstr>ADDIN CSL_CITATION {"citationItems":[{"id":"ITEM-1","itemData":{"author":[{"dropping-particle":"","family":"Tatyana Ignatova","given":"","non-dropping-particle":"","parse-names":false,"suffix":""},{"dropping-particle":"","family":"Dobayev","given":"Andrey</vt:lpwstr>
  </property>
  <property fmtid="{D5CDD505-2E9C-101B-9397-08002B2CF9AE}" pid="411" name="Mendeley Recent Style Id 121_2">
    <vt:lpwstr>","non-dropping-particle":"","parse-names":false,"suffix":""}],"container-title":"Muslim World","id":"ITEM-1","issue":"2","issued":{"date-parts":[["2017"]]},"page":"39-55","title":"THE \"HAWALA\" SYSTEM IN THE ISLAMIC ECONOMY","type":"article-journal"},"u</vt:lpwstr>
  </property>
  <property fmtid="{D5CDD505-2E9C-101B-9397-08002B2CF9AE}" pid="412" name="Mendeley Recent Style Id 121_3">
    <vt:lpwstr>ris":["http://www.mendeley.com/documents/?uuid=8f8148c3-f002-4741-9f99-98a89d67800b"]}],"mendeley":{"formattedCitation":"(Tatyana Ignatova and Dobayev, 2017)","plainTextFormattedCitation":"(Tatyana Ignatova and Dobayev, 2017)","previouslyFormattedCitation</vt:lpwstr>
  </property>
  <property fmtid="{D5CDD505-2E9C-101B-9397-08002B2CF9AE}" pid="413" name="Mendeley Recent Style Id 121_4">
    <vt:lpwstr>":"(Tatyana Ignatova and Dobayev, 2017)"},"properties":{"noteIndex":0},"schema":"https://github.com/citation-style-language/schema/raw/master/csl-citation.json"}</vt:lpwstr>
  </property>
  <property fmtid="{D5CDD505-2E9C-101B-9397-08002B2CF9AE}" pid="414" name="Mendeley Recent Style Name 121_1">
    <vt:lpwstr>(Tatyana Ignatova and Dobayev, 2017)</vt:lpwstr>
  </property>
  <property fmtid="{D5CDD505-2E9C-101B-9397-08002B2CF9AE}" pid="415" name="Mendeley Recent Style Id 122_1">
    <vt:lpwstr>(Tatyana Ignatova and Dobayev, 2017)</vt:lpwstr>
  </property>
  <property fmtid="{D5CDD505-2E9C-101B-9397-08002B2CF9AE}" pid="416" name="Mendeley Recent Style Name 122_1">
    <vt:lpwstr>(Tatyana Ignatova and Dobayev, 2017)</vt:lpwstr>
  </property>
  <property fmtid="{D5CDD505-2E9C-101B-9397-08002B2CF9AE}" pid="417" name="Mendeley Recent Style Id 123_1">
    <vt:lpwstr>ADDIN CSL_CITATION {"citationItems":[{"id":"ITEM-1","itemData":{"author":[{"dropping-particle":"","family":"Siddiqi","given":"M.N.","non-dropping-particle":"","parse-names":false,"suffix":""}],"container-title":"www.siddiqi.com","id":"ITEM-1","issue":"Oct</vt:lpwstr>
  </property>
  <property fmtid="{D5CDD505-2E9C-101B-9397-08002B2CF9AE}" pid="418" name="Mendeley Recent Style Id 123_2">
    <vt:lpwstr>ober 2001","issued":{"date-parts":[["2008"]]},"page":"1-5","title":"Lecture One: The Foundations of Islamic Finance.","type":"webpage"},"uris":["http://www.mendeley.com/documents/?uuid=28b7127e-3693-434c-922d-ba5c16f6927d"]}],"mendeley":{"formattedCitatio</vt:lpwstr>
  </property>
  <property fmtid="{D5CDD505-2E9C-101B-9397-08002B2CF9AE}" pid="419" name="Mendeley Recent Style Id 123_3">
    <vt:lpwstr>n":"(Siddiqi, 2008)","plainTextFormattedCitation":"(Siddiqi, 2008)","previouslyFormattedCitation":"(Siddiqi, 2008)"},"properties":{"noteIndex":0},"schema":"https://github.com/citation-style-language/schema/raw/master/csl-citation.json"}</vt:lpwstr>
  </property>
  <property fmtid="{D5CDD505-2E9C-101B-9397-08002B2CF9AE}" pid="420" name="Mendeley Recent Style Name 123_1">
    <vt:lpwstr>(Siddiqi, 2008)</vt:lpwstr>
  </property>
  <property fmtid="{D5CDD505-2E9C-101B-9397-08002B2CF9AE}" pid="421" name="Mendeley Recent Style Id 124_1">
    <vt:lpwstr>(Siddiqi, 2008)</vt:lpwstr>
  </property>
  <property fmtid="{D5CDD505-2E9C-101B-9397-08002B2CF9AE}" pid="422" name="Mendeley Recent Style Name 124_1">
    <vt:lpwstr>(Siddiqi, 2008)</vt:lpwstr>
  </property>
  <property fmtid="{D5CDD505-2E9C-101B-9397-08002B2CF9AE}" pid="423" name="Mendeley Recent Style Id 125_1">
    <vt:lpwstr>ADDIN CSL_CITATION {"citationItems":[{"id":"ITEM-1","itemData":{"id":"ITEM-1","issued":{"date-parts":[["0"]]},"title":"Holy-Quran","type":"book"},"uris":["http://www.mendeley.com/documents/?uuid=f9fa377e-58aa-401f-80ab-8caf62735865"]}],"mendeley":{"format</vt:lpwstr>
  </property>
  <property fmtid="{D5CDD505-2E9C-101B-9397-08002B2CF9AE}" pid="424" name="Mendeley Recent Style Id 125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425" name="Mendeley Recent Style Id 125_3">
    <vt:lpwstr>l-citation.json"}</vt:lpwstr>
  </property>
  <property fmtid="{D5CDD505-2E9C-101B-9397-08002B2CF9AE}" pid="426" name="Mendeley Recent Style Name 125_1">
    <vt:lpwstr>(&lt;i&gt;Holy-Quran&lt;/i&gt;, n.d.)</vt:lpwstr>
  </property>
  <property fmtid="{D5CDD505-2E9C-101B-9397-08002B2CF9AE}" pid="427" name="Mendeley Recent Style Id 126_1">
    <vt:lpwstr>(&lt;i&gt;Holy-Quran&lt;/i&gt;, no date)</vt:lpwstr>
  </property>
  <property fmtid="{D5CDD505-2E9C-101B-9397-08002B2CF9AE}" pid="428" name="Mendeley Recent Style Name 126_1">
    <vt:lpwstr>(Holy-Quran, n.d.)</vt:lpwstr>
  </property>
  <property fmtid="{D5CDD505-2E9C-101B-9397-08002B2CF9AE}" pid="429" name="Mendeley Recent Style Id 127_1">
    <vt:lpwstr>ADDIN CSL_CITATION {"citationItems":[{"id":"ITEM-1","itemData":{"id":"ITEM-1","issued":{"date-parts":[["0"]]},"title":"Holy-Quran","type":"book"},"uris":["http://www.mendeley.com/documents/?uuid=f9fa377e-58aa-401f-80ab-8caf62735865"]}],"mendeley":{"format</vt:lpwstr>
  </property>
  <property fmtid="{D5CDD505-2E9C-101B-9397-08002B2CF9AE}" pid="430" name="Mendeley Recent Style Id 127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431" name="Mendeley Recent Style Id 127_3">
    <vt:lpwstr>l-citation.json"}</vt:lpwstr>
  </property>
  <property fmtid="{D5CDD505-2E9C-101B-9397-08002B2CF9AE}" pid="432" name="Mendeley Recent Style Name 127_1">
    <vt:lpwstr>(&lt;i&gt;Holy-Quran&lt;/i&gt;, n.d.)</vt:lpwstr>
  </property>
  <property fmtid="{D5CDD505-2E9C-101B-9397-08002B2CF9AE}" pid="433" name="Mendeley Recent Style Id 128_1">
    <vt:lpwstr>(&lt;i&gt;Holy-Quran&lt;/i&gt;, no date)</vt:lpwstr>
  </property>
  <property fmtid="{D5CDD505-2E9C-101B-9397-08002B2CF9AE}" pid="434" name="Mendeley Recent Style Name 128_1">
    <vt:lpwstr>(Holy-Quran, n.d.)</vt:lpwstr>
  </property>
  <property fmtid="{D5CDD505-2E9C-101B-9397-08002B2CF9AE}" pid="435" name="Mendeley Recent Style Id 129_1">
    <vt:lpwstr>ADDIN CSL_CITATION {"citationItems":[{"id":"ITEM-1","itemData":{"id":"ITEM-1","issued":{"date-parts":[["0"]]},"title":"Holy-Quran","type":"book"},"uris":["http://www.mendeley.com/documents/?uuid=f9fa377e-58aa-401f-80ab-8caf62735865"]}],"mendeley":{"format</vt:lpwstr>
  </property>
  <property fmtid="{D5CDD505-2E9C-101B-9397-08002B2CF9AE}" pid="436" name="Mendeley Recent Style Id 129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437" name="Mendeley Recent Style Id 129_3">
    <vt:lpwstr>l-citation.json"}</vt:lpwstr>
  </property>
  <property fmtid="{D5CDD505-2E9C-101B-9397-08002B2CF9AE}" pid="438" name="Mendeley Recent Style Name 129_1">
    <vt:lpwstr>(&lt;i&gt;Holy-Quran&lt;/i&gt;, n.d.)</vt:lpwstr>
  </property>
  <property fmtid="{D5CDD505-2E9C-101B-9397-08002B2CF9AE}" pid="439" name="Mendeley Recent Style Id 130_1">
    <vt:lpwstr>(&lt;i&gt;Holy-Quran&lt;/i&gt;, no date)</vt:lpwstr>
  </property>
  <property fmtid="{D5CDD505-2E9C-101B-9397-08002B2CF9AE}" pid="440" name="Mendeley Recent Style Name 130_1">
    <vt:lpwstr>(Holy-Quran, n.d.)</vt:lpwstr>
  </property>
  <property fmtid="{D5CDD505-2E9C-101B-9397-08002B2CF9AE}" pid="441" name="Mendeley Recent Style Id 131_1">
    <vt:lpwstr>ADDIN CSL_CITATION {"citationItems":[{"id":"ITEM-1","itemData":{"id":"ITEM-1","issued":{"date-parts":[["0"]]},"title":"Holy-Quran","type":"book"},"uris":["http://www.mendeley.com/documents/?uuid=f9fa377e-58aa-401f-80ab-8caf62735865"]}],"mendeley":{"format</vt:lpwstr>
  </property>
  <property fmtid="{D5CDD505-2E9C-101B-9397-08002B2CF9AE}" pid="442" name="Mendeley Recent Style Id 131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443" name="Mendeley Recent Style Id 131_3">
    <vt:lpwstr>l-citation.json"}</vt:lpwstr>
  </property>
  <property fmtid="{D5CDD505-2E9C-101B-9397-08002B2CF9AE}" pid="444" name="Mendeley Recent Style Name 131_1">
    <vt:lpwstr>(&lt;i&gt;Holy-Quran&lt;/i&gt;, n.d.)</vt:lpwstr>
  </property>
  <property fmtid="{D5CDD505-2E9C-101B-9397-08002B2CF9AE}" pid="445" name="Mendeley Recent Style Id 132_1">
    <vt:lpwstr>(&lt;i&gt;Holy-Quran&lt;/i&gt;, no date)</vt:lpwstr>
  </property>
  <property fmtid="{D5CDD505-2E9C-101B-9397-08002B2CF9AE}" pid="446" name="Mendeley Recent Style Name 132_1">
    <vt:lpwstr>(Holy-Quran, n.d.)</vt:lpwstr>
  </property>
  <property fmtid="{D5CDD505-2E9C-101B-9397-08002B2CF9AE}" pid="447" name="Mendeley Recent Style Id 133_1">
    <vt:lpwstr>ADDIN CSL_CITATION {"citationItems":[{"id":"ITEM-1","itemData":{"ISBN":"9781849300179","author":[{"dropping-particle":"","family":"Ali","given":"Amjid","non-dropping-particle":"","parse-names":false,"suffix":""},{"dropping-particle":"","family":"Asutay","</vt:lpwstr>
  </property>
  <property fmtid="{D5CDD505-2E9C-101B-9397-08002B2CF9AE}" pid="448" name="Mendeley Recent Style Id 133_2">
    <vt:lpwstr>given":"Mehmet","non-dropping-particle":"","parse-names":false,"suffix":""},{"dropping-particle":"","family":"Bälz","given":"Kilian","non-dropping-particle":"","parse-names":false,"suffix":""},{"dropping-particle":"Ben","family":"Naceur","given":"Samy","n</vt:lpwstr>
  </property>
  <property fmtid="{D5CDD505-2E9C-101B-9397-08002B2CF9AE}" pid="449" name="Mendeley Recent Style Id 133_3">
    <vt:lpwstr>on-dropping-particle":"","parse-names":false,"suffix":""},{"dropping-particle":"","family":"Cosgrave","given":"Barry","non-dropping-particle":"","parse-names":false,"suffix":""},{"dropping-particle":"","family":"Crawford","given":"Susi","non-dropping-part</vt:lpwstr>
  </property>
  <property fmtid="{D5CDD505-2E9C-101B-9397-08002B2CF9AE}" pid="450" name="Mendeley Recent Style Id 133_4">
    <vt:lpwstr>icle":"","parse-names":false,"suffix":""},{"dropping-particle":"","family":"Is","given":"Omar Fisher","non-dropping-particle":"","parse-names":false,"suffix":""}],"id":"ITEM-1","issued":{"date-parts":[["2010"]]},"number-of-pages":"238","publisher-place":"</vt:lpwstr>
  </property>
  <property fmtid="{D5CDD505-2E9C-101B-9397-08002B2CF9AE}" pid="451" name="Mendeley Recent Style Id 133_5">
    <vt:lpwstr>London","title":"Islamic Finance: Instruments and Markets","type":"book"},"uris":["http://www.mendeley.com/documents/?uuid=fa38f272-8c81-4ed8-b2d8-f06929e3cca7"]}],"mendeley":{"formattedCitation":"(Ali &lt;i&gt;et al.&lt;/i&gt;, 2010)","plainTextFormattedCitation":"(</vt:lpwstr>
  </property>
  <property fmtid="{D5CDD505-2E9C-101B-9397-08002B2CF9AE}" pid="452" name="Mendeley Recent Style Id 133_6">
    <vt:lpwstr>Ali et al., 2010)","previouslyFormattedCitation":"(Ali &lt;i&gt;et al.&lt;/i&gt;, 2010)"},"properties":{"noteIndex":0},"schema":"https://github.com/citation-style-language/schema/raw/master/csl-citation.json"}</vt:lpwstr>
  </property>
  <property fmtid="{D5CDD505-2E9C-101B-9397-08002B2CF9AE}" pid="453" name="Mendeley Recent Style Name 133_1">
    <vt:lpwstr>(Ali &lt;i&gt;et al.&lt;/i&gt;, 2010)</vt:lpwstr>
  </property>
  <property fmtid="{D5CDD505-2E9C-101B-9397-08002B2CF9AE}" pid="454" name="Mendeley Recent Style Id 134_1">
    <vt:lpwstr>(Ali &lt;i&gt;et al.&lt;/i&gt;, 2010)</vt:lpwstr>
  </property>
  <property fmtid="{D5CDD505-2E9C-101B-9397-08002B2CF9AE}" pid="455" name="Mendeley Recent Style Name 134_1">
    <vt:lpwstr>(Ali et al., 2010)</vt:lpwstr>
  </property>
  <property fmtid="{D5CDD505-2E9C-101B-9397-08002B2CF9AE}" pid="456" name="Mendeley Recent Style Id 135_1">
    <vt:lpwstr>ADDIN CSL_CITATION {"citationItems":[{"id":"ITEM-1","itemData":{"URL":"http://www.iefpedia.com/english/wp-content/uploads/2009/11/Recent-History-of-Islamic-Banking-and-Finance.doc","author":[{"dropping-particle":"","family":"Siddiqi","given":"M.N.","non-d</vt:lpwstr>
  </property>
  <property fmtid="{D5CDD505-2E9C-101B-9397-08002B2CF9AE}" pid="457" name="Mendeley Recent Style Id 135_2">
    <vt:lpwstr>ropping-particle":"","parse-names":false,"suffix":""}],"container-title":"www.siddiqi.com","id":"ITEM-1","issue":"November","issued":{"date-parts":[["2001"]]},"title":"Lecture two: Recent History of Islamic Banking and Finance","type":"webpage"},"uris":["</vt:lpwstr>
  </property>
  <property fmtid="{D5CDD505-2E9C-101B-9397-08002B2CF9AE}" pid="458" name="Mendeley Recent Style Id 135_3">
    <vt:lpwstr>http://www.mendeley.com/documents/?uuid=d898a44b-32e0-4933-9e12-a20bd2fa861a"]}],"mendeley":{"formattedCitation":"(Siddiqi, 2001)","plainTextFormattedCitation":"(Siddiqi, 2001)","previouslyFormattedCitation":"(Siddiqi, 2001)"},"properties":{"noteIndex":0}</vt:lpwstr>
  </property>
  <property fmtid="{D5CDD505-2E9C-101B-9397-08002B2CF9AE}" pid="459" name="Mendeley Recent Style Id 135_4">
    <vt:lpwstr>,"schema":"https://github.com/citation-style-language/schema/raw/master/csl-citation.json"}</vt:lpwstr>
  </property>
  <property fmtid="{D5CDD505-2E9C-101B-9397-08002B2CF9AE}" pid="460" name="Mendeley Recent Style Name 135_1">
    <vt:lpwstr>(Siddiqi, 2001)</vt:lpwstr>
  </property>
  <property fmtid="{D5CDD505-2E9C-101B-9397-08002B2CF9AE}" pid="461" name="Mendeley Recent Style Id 136_1">
    <vt:lpwstr>(Siddiqi, 2001)</vt:lpwstr>
  </property>
  <property fmtid="{D5CDD505-2E9C-101B-9397-08002B2CF9AE}" pid="462" name="Mendeley Recent Style Name 136_1">
    <vt:lpwstr>(Siddiqi, 2001)</vt:lpwstr>
  </property>
  <property fmtid="{D5CDD505-2E9C-101B-9397-08002B2CF9AE}" pid="463" name="Mendeley Recent Style Id 137_1">
    <vt:lpwstr>ADDIN CSL_CITATION {"citationItems":[{"id":"ITEM-1","itemData":{"abstract":"Islamic moral economy emerged in the modern sense in the late 1960s and early 1970s as an attempt to develop an authentic understanding of the Islamic system of economics and deve</vt:lpwstr>
  </property>
  <property fmtid="{D5CDD505-2E9C-101B-9397-08002B2CF9AE}" pid="464" name="Mendeley Recent Style Id 137_2">
    <vt:lpwstr>lop policies accordingly. As part of this concept, Islamic banks and fi nancial institutions are considered as the institutional aspects of this moral economy, which can pool their resources together to fi nance real economy activity. However, the transfo</vt:lpwstr>
  </property>
  <property fmtid="{D5CDD505-2E9C-101B-9397-08002B2CF9AE}" pid="465" name="Mendeley Recent Style Id 137_3">
    <vt:lpwstr>rmation of Islamic banking into a commercial banking form since mid-1975 has resulted in unprecentedly successful fi nancial performance, which, however, has been at the expense of the ‘social and economic developmentalist’ aspirations of Islamic moral ec</vt:lpwstr>
  </property>
  <property fmtid="{D5CDD505-2E9C-101B-9397-08002B2CF9AE}" pid="466" name="Mendeley Recent Style Id 137_4">
    <vt:lpwstr>onomy. Therefore Islamic banks and fi nancial institutions are criticised for their social failure. This paper, therefore, aims to explore the social failure of Islamic banks and fi nancial institutions and locate the sources of this failure. In moderatin</vt:lpwstr>
  </property>
  <property fmtid="{D5CDD505-2E9C-101B-9397-08002B2CF9AE}" pid="467" name="Mendeley Recent Style Id 137_5">
    <vt:lpwstr>g the social failure of Islamic banks and fi nancial institutions, this paper suggests that a third institutional development in the form of non-banking fi nancial institutions, such as Islamic social banking, Islamic microfi nance, an awqaf system, ar-ra</vt:lpwstr>
  </property>
  <property fmtid="{D5CDD505-2E9C-101B-9397-08002B2CF9AE}" pid="468" name="Mendeley Recent Style Id 137_6">
    <vt:lpwstr>hn or Islamic pawnbroking, and zakah funds should be created with the objective of serving the social and developmental needs of Muslim societies.","author":[{"dropping-particle":"","family":"Asutay","given":"Mehmet","non-dropping-particle":"","parse-name</vt:lpwstr>
  </property>
  <property fmtid="{D5CDD505-2E9C-101B-9397-08002B2CF9AE}" pid="469" name="Mendeley Recent Style Id 137_7">
    <vt:lpwstr>s":false,"suffix":""}],"container-title":" Asian and African area studies","id":"ITEM-1","issue":"2","issued":{"date-parts":[["2012"]]},"page":"93-113","title":"Conceptualising and Locating the Social Failure of Islamic Finance: Aspirations of Islamic Mor</vt:lpwstr>
  </property>
  <property fmtid="{D5CDD505-2E9C-101B-9397-08002B2CF9AE}" pid="470" name="Mendeley Recent Style Id 137_8">
    <vt:lpwstr>al Economy vs the Realities of Islamic Finance","type":"article-journal","volume":"11"},"uris":["http://www.mendeley.com/documents/?uuid=fa607e60-09a4-4ffc-8985-d5dd23d044d4"]}],"mendeley":{"formattedCitation":"(Asutay, 2012)","plainTextFormattedCitation"</vt:lpwstr>
  </property>
  <property fmtid="{D5CDD505-2E9C-101B-9397-08002B2CF9AE}" pid="471" name="Mendeley Recent Style Id 137_9">
    <vt:lpwstr>:"(Asutay, 2012)","previouslyFormattedCitation":"(Asutay, 2012)"},"properties":{"noteIndex":0},"schema":"https://github.com/citation-style-language/schema/raw/master/csl-citation.json"}</vt:lpwstr>
  </property>
  <property fmtid="{D5CDD505-2E9C-101B-9397-08002B2CF9AE}" pid="472" name="Mendeley Recent Style Name 137_1">
    <vt:lpwstr>(Asutay, 2012)</vt:lpwstr>
  </property>
  <property fmtid="{D5CDD505-2E9C-101B-9397-08002B2CF9AE}" pid="473" name="Mendeley Recent Style Id 138_1">
    <vt:lpwstr>(Asutay, 2012)</vt:lpwstr>
  </property>
  <property fmtid="{D5CDD505-2E9C-101B-9397-08002B2CF9AE}" pid="474" name="Mendeley Recent Style Name 138_1">
    <vt:lpwstr>(Asutay, 2012)</vt:lpwstr>
  </property>
  <property fmtid="{D5CDD505-2E9C-101B-9397-08002B2CF9AE}" pid="475" name="Mendeley Recent Style Id 139_1">
    <vt:lpwstr>ADDIN CSL_CITATION {"citationItems":[{"id":"ITEM-1","itemData":{"id":"ITEM-1","issued":{"date-parts":[["0"]]},"title":"Holy-Quran","type":"book"},"uris":["http://www.mendeley.com/documents/?uuid=f9fa377e-58aa-401f-80ab-8caf62735865"]}],"mendeley":{"format</vt:lpwstr>
  </property>
  <property fmtid="{D5CDD505-2E9C-101B-9397-08002B2CF9AE}" pid="476" name="Mendeley Recent Style Id 139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477" name="Mendeley Recent Style Id 139_3">
    <vt:lpwstr>l-citation.json"}</vt:lpwstr>
  </property>
  <property fmtid="{D5CDD505-2E9C-101B-9397-08002B2CF9AE}" pid="478" name="Mendeley Recent Style Name 139_1">
    <vt:lpwstr>(&lt;i&gt;Holy-Quran&lt;/i&gt;, n.d.)</vt:lpwstr>
  </property>
  <property fmtid="{D5CDD505-2E9C-101B-9397-08002B2CF9AE}" pid="479" name="Mendeley Recent Style Id 140_1">
    <vt:lpwstr>(&lt;i&gt;Holy-Quran&lt;/i&gt;, no date)</vt:lpwstr>
  </property>
  <property fmtid="{D5CDD505-2E9C-101B-9397-08002B2CF9AE}" pid="480" name="Mendeley Recent Style Name 140_1">
    <vt:lpwstr>(Holy-Quran, n.d.)</vt:lpwstr>
  </property>
  <property fmtid="{D5CDD505-2E9C-101B-9397-08002B2CF9AE}" pid="481" name="Mendeley Recent Style Id 141_1">
    <vt:lpwstr>ADDIN CSL_CITATION {"citationItems":[{"id":"ITEM-1","itemData":{"ISBN":"BNM/RH/GL/012-2","abstract":"The Central Bank of Malaysia Act 2009 (the Act) has recognised the Shariah Advisory Council of Bank Negara Malaysia (SAC) as the highest authoritative bod</vt:lpwstr>
  </property>
  <property fmtid="{D5CDD505-2E9C-101B-9397-08002B2CF9AE}" pid="482" name="Mendeley Recent Style Id 141_2">
    <vt:lpwstr>y in ascertainment of matters relating to Shariah issues in Islamic finance. In this regard, Bank Negara Malaysia had published Shariah Resolutions in Islamic Finance (Second Edition) to serve as an important Shariah reference for Islamic finance industry</vt:lpwstr>
  </property>
  <property fmtid="{D5CDD505-2E9C-101B-9397-08002B2CF9AE}" pid="483" name="Mendeley Recent Style Id 141_3">
    <vt:lpwstr> practitioners, courts and arbitrators. This is in line with the requirement of the Act that requires all financial institutions, courts and arbitrators to refer to the SAC on any matters or proceedings relating to Islamic financial business","author":[{"</vt:lpwstr>
  </property>
  <property fmtid="{D5CDD505-2E9C-101B-9397-08002B2CF9AE}" pid="484" name="Mendeley Recent Style Id 141_4">
    <vt:lpwstr>dropping-particle":"","family":"Bank Negara Malaysia","given":"","non-dropping-particle":"","parse-names":false,"suffix":""}],"container-title":"Bank Negara Malaysia","id":"ITEM-1","issued":{"date-parts":[["2010"]]},"page":"215","publisher-place":"Malaysi</vt:lpwstr>
  </property>
  <property fmtid="{D5CDD505-2E9C-101B-9397-08002B2CF9AE}" pid="485" name="Mendeley Recent Style Id 141_5">
    <vt:lpwstr>a","title":"Shariah Resolution in Islamic Finance","type":"legislation"},"uris":["http://www.mendeley.com/documents/?uuid=cb2b829e-863e-4341-a344-483b9151c2cc"]}],"mendeley":{"formattedCitation":"(Bank Negara Malaysia, 2010)","plainTextFormattedCitation":</vt:lpwstr>
  </property>
  <property fmtid="{D5CDD505-2E9C-101B-9397-08002B2CF9AE}" pid="486" name="Mendeley Recent Style Id 141_6">
    <vt:lpwstr>"(Bank Negara Malaysia, 2010)","previouslyFormattedCitation":"(Bank Negara Malaysia, 2010)"},"properties":{"noteIndex":0},"schema":"https://github.com/citation-style-language/schema/raw/master/csl-citation.json"}</vt:lpwstr>
  </property>
  <property fmtid="{D5CDD505-2E9C-101B-9397-08002B2CF9AE}" pid="487" name="Mendeley Recent Style Name 141_1">
    <vt:lpwstr>(Bank Negara Malaysia, 2010)</vt:lpwstr>
  </property>
  <property fmtid="{D5CDD505-2E9C-101B-9397-08002B2CF9AE}" pid="488" name="Mendeley Recent Style Id 142_1">
    <vt:lpwstr>(Bank Negara Malaysia, 2010)</vt:lpwstr>
  </property>
  <property fmtid="{D5CDD505-2E9C-101B-9397-08002B2CF9AE}" pid="489" name="Mendeley Recent Style Name 142_1">
    <vt:lpwstr>(Bank Negara Malaysia, 2010)</vt:lpwstr>
  </property>
  <property fmtid="{D5CDD505-2E9C-101B-9397-08002B2CF9AE}" pid="490" name="Mendeley Recent Style Id 143_1">
    <vt:lpwstr>ADDIN CSL_CITATION {"citationItems":[{"id":"ITEM-1","itemData":{"DOI":"10.20473/ydk.v35i1.15620","ISSN":"0215-840X","abstract":"Islamic financial institutions had face problems and barriers such as the problem of delayed financing settlement (for any reas</vt:lpwstr>
  </property>
  <property fmtid="{D5CDD505-2E9C-101B-9397-08002B2CF9AE}" pid="491" name="Mendeley Recent Style Id 143_2">
    <vt:lpwstr>on), where it is not possible to impose any interest due to the delay or the cessation of settlement which practiced in conventional banks due to riba’ prohibited (haram) in Shariah principles. This situation is more detrimental when some customers who pu</vt:lpwstr>
  </property>
  <property fmtid="{D5CDD505-2E9C-101B-9397-08002B2CF9AE}" pid="492" name="Mendeley Recent Style Id 143_3">
    <vt:lpwstr>rposely delay payment of their debts or purposely refuse to pay due to the absence of rules concerning penalty for late payment in Islamic banks. As a result, the Islamic banks had fail to achieve their targeted profits when the problem of debt payment oc</vt:lpwstr>
  </property>
  <property fmtid="{D5CDD505-2E9C-101B-9397-08002B2CF9AE}" pid="493" name="Mendeley Recent Style Id 143_4">
    <vt:lpwstr>curs, the Islamic banks have to bear all the losses and finally face difficulties in achieving sustainability and lose out in their efforts to compete with the conventional banks which accept time-based interest for every default late payments of debts. T</vt:lpwstr>
  </property>
  <property fmtid="{D5CDD505-2E9C-101B-9397-08002B2CF9AE}" pid="494" name="Mendeley Recent Style Id 143_5">
    <vt:lpwstr>his study aims to discuss the permissibility of late payment charges by way of ta’widh and gharamah from the Shariah perspective and to find the applicable law in Malaysia. Besides, the implementation of ta’widh and gharamah can be described as in the res</vt:lpwstr>
  </property>
  <property fmtid="{D5CDD505-2E9C-101B-9397-08002B2CF9AE}" pid="495" name="Mendeley Recent Style Id 143_6">
    <vt:lpwstr>olutions of the Shariah Advisory Council of Bank Negara Malaysia (SAC). Further, it will elaborate on how related this late payment charges with the concepts of Shariah, Maqasid of Shariah and Maslahah according to judgement of the fundamentals of the Isl</vt:lpwstr>
  </property>
  <property fmtid="{D5CDD505-2E9C-101B-9397-08002B2CF9AE}" pid="496" name="Mendeley Recent Style Id 143_7">
    <vt:lpwstr>amic Jurispendence. Lastly, it will also discuss on how the imposition of ta’widh and gharamah is different from riba for deferred debts in Islamic financial institutions.","author":[{"dropping-particle":"","family":"Zulkipli","given":"Zuhaira Nadiah Bint</vt:lpwstr>
  </property>
  <property fmtid="{D5CDD505-2E9C-101B-9397-08002B2CF9AE}" pid="497" name="Mendeley Recent Style Id 143_8">
    <vt:lpwstr>i","non-dropping-particle":"","parse-names":false,"suffix":""}],"container-title":"Yuridika","id":"ITEM-1","issue":"1","issued":{"date-parts":[["2019"]]},"page":"187","title":"Late Payment Penalty: Ta’widh And Gharamah Imposed To Debtor From The Shariah P</vt:lpwstr>
  </property>
  <property fmtid="{D5CDD505-2E9C-101B-9397-08002B2CF9AE}" pid="498" name="Mendeley Recent Style Id 143_9">
    <vt:lpwstr>erspective","type":"article-journal","volume":"35"},"uris":["http://www.mendeley.com/documents/?uuid=03370229-b299-4b2b-a329-233167369455"]}],"mendeley":{"formattedCitation":"(Zulkipli, 2019)","plainTextFormattedCitation":"(Zulkipli, 2019)","previouslyFor</vt:lpwstr>
  </property>
  <property fmtid="{D5CDD505-2E9C-101B-9397-08002B2CF9AE}" pid="499" name="Mendeley Recent Style Id 143_10">
    <vt:lpwstr>mattedCitation":"(Zulkipli, 2019)"},"properties":{"noteIndex":0},"schema":"https://github.com/citation-style-language/schema/raw/master/csl-citation.json"}</vt:lpwstr>
  </property>
  <property fmtid="{D5CDD505-2E9C-101B-9397-08002B2CF9AE}" pid="500" name="Mendeley Recent Style Name 143_1">
    <vt:lpwstr>(Zulkipli, 2019)</vt:lpwstr>
  </property>
  <property fmtid="{D5CDD505-2E9C-101B-9397-08002B2CF9AE}" pid="501" name="Mendeley Recent Style Id 144_1">
    <vt:lpwstr>(Zulkipli, 2019)</vt:lpwstr>
  </property>
  <property fmtid="{D5CDD505-2E9C-101B-9397-08002B2CF9AE}" pid="502" name="Mendeley Recent Style Name 144_1">
    <vt:lpwstr>(Zulkipli, 2019)</vt:lpwstr>
  </property>
  <property fmtid="{D5CDD505-2E9C-101B-9397-08002B2CF9AE}" pid="503" name="Mendeley Recent Style Id 145_1">
    <vt:lpwstr>ADDIN CSL_CITATION {"citationItems":[{"id":"ITEM-1","itemData":{"author":[{"dropping-particle":"","family":"Azmi","given":"Sofiza","non-dropping-particle":"","parse-names":false,"suffix":""}],"container-title":"Textbook of family medicine","id":"ITEM-1","</vt:lpwstr>
  </property>
  <property fmtid="{D5CDD505-2E9C-101B-9397-08002B2CF9AE}" pid="504" name="Mendeley Recent Style Id 145_2">
    <vt:lpwstr>issued":{"date-parts":[["2019"]]},"number-of-pages":"1-2","publisher-place":"London","title":"Global Islamic Finance Report. Artificial intelligence and innovation in Islamic finance","type":"report"},"uris":["http://www.mendeley.com/documents/?uuid=c4816</vt:lpwstr>
  </property>
  <property fmtid="{D5CDD505-2E9C-101B-9397-08002B2CF9AE}" pid="505" name="Mendeley Recent Style Id 145_3">
    <vt:lpwstr>944-dc87-4c6e-9288-8243e5551149"]}],"mendeley":{"formattedCitation":"(Azmi, 2019)","plainTextFormattedCitation":"(Azmi, 2019)","previouslyFormattedCitation":"(Azmi, 2019)"},"properties":{"noteIndex":0},"schema":"https://github.com/citation-style-language/</vt:lpwstr>
  </property>
  <property fmtid="{D5CDD505-2E9C-101B-9397-08002B2CF9AE}" pid="506" name="Mendeley Recent Style Id 145_4">
    <vt:lpwstr>schema/raw/master/csl-citation.json"}</vt:lpwstr>
  </property>
  <property fmtid="{D5CDD505-2E9C-101B-9397-08002B2CF9AE}" pid="507" name="Mendeley Recent Style Name 145_1">
    <vt:lpwstr>(Azmi, 2019)</vt:lpwstr>
  </property>
  <property fmtid="{D5CDD505-2E9C-101B-9397-08002B2CF9AE}" pid="508" name="Mendeley Recent Style Id 146_1">
    <vt:lpwstr>(Azmi, 2019)</vt:lpwstr>
  </property>
  <property fmtid="{D5CDD505-2E9C-101B-9397-08002B2CF9AE}" pid="509" name="Mendeley Recent Style Name 146_1">
    <vt:lpwstr>(Azmi, 2019)</vt:lpwstr>
  </property>
  <property fmtid="{D5CDD505-2E9C-101B-9397-08002B2CF9AE}" pid="510" name="Mendeley Recent Style Id 147_1">
    <vt:lpwstr>ADDIN CSL_CITATION {"citationItems":[{"id":"ITEM-1","itemData":{"author":[{"dropping-particle":"","family":"Standard &amp;Poor's Global","given":"","non-dropping-particle":"","parse-names":false,"suffix":""}],"id":"ITEM-1","issue":"January","issued":{"date-pa</vt:lpwstr>
  </property>
  <property fmtid="{D5CDD505-2E9C-101B-9397-08002B2CF9AE}" pid="511" name="Mendeley Recent Style Id 147_2">
    <vt:lpwstr>rts":[["2020"]]},"title":"Islamic Finance Outlook 2020","type":"article-journal"},"uris":["http://www.mendeley.com/documents/?uuid=f3bc6e0b-ae53-4b42-92e2-25c08d3a74d2"]}],"mendeley":{"formattedCitation":"(Standard &amp;Poor’s Global, 2020)","plainTextFormatt</vt:lpwstr>
  </property>
  <property fmtid="{D5CDD505-2E9C-101B-9397-08002B2CF9AE}" pid="512" name="Mendeley Recent Style Id 147_3">
    <vt:lpwstr>edCitation":"(Standard &amp;Poor’s Global, 2020)","previouslyFormattedCitation":"(Standard &amp;Poor’s Global, 2020)"},"properties":{"noteIndex":0},"schema":"https://github.com/citation-style-language/schema/raw/master/csl-citation.json"}</vt:lpwstr>
  </property>
  <property fmtid="{D5CDD505-2E9C-101B-9397-08002B2CF9AE}" pid="513" name="Mendeley Recent Style Name 147_1">
    <vt:lpwstr>(Standard &amp;Poor’s Global, 2020)</vt:lpwstr>
  </property>
  <property fmtid="{D5CDD505-2E9C-101B-9397-08002B2CF9AE}" pid="514" name="Mendeley Recent Style Id 148_1">
    <vt:lpwstr>(Standard &amp;Poor’s Global, 2020)</vt:lpwstr>
  </property>
  <property fmtid="{D5CDD505-2E9C-101B-9397-08002B2CF9AE}" pid="515" name="Mendeley Recent Style Name 148_1">
    <vt:lpwstr>(Standard &amp;Poor’s Global, 2020)</vt:lpwstr>
  </property>
  <property fmtid="{D5CDD505-2E9C-101B-9397-08002B2CF9AE}" pid="516" name="Mendeley Recent Style Id 149_1">
    <vt:lpwstr>ADDIN CSL_CITATION {"citationItems":[{"id":"ITEM-1","itemData":{"author":[{"dropping-particle":"","family":"GSIA","given":"","non-dropping-particle":"","parse-names":false,"suffix":""}],"id":"ITEM-1","issued":{"date-parts":[["2012"]]},"title":"2012 Global</vt:lpwstr>
  </property>
  <property fmtid="{D5CDD505-2E9C-101B-9397-08002B2CF9AE}" pid="517" name="Mendeley Recent Style Id 149_2">
    <vt:lpwstr> Sustainable Investment Review","type":"article-journal"},"uris":["http://www.mendeley.com/documents/?uuid=fba47d15-06b2-45bf-b4a8-6ada1f6a3c94"]}],"mendeley":{"formattedCitation":"(GSIA, 2012)","plainTextFormattedCitation":"(GSIA, 2012)","previouslyForma</vt:lpwstr>
  </property>
  <property fmtid="{D5CDD505-2E9C-101B-9397-08002B2CF9AE}" pid="518" name="Mendeley Recent Style Id 149_3">
    <vt:lpwstr>ttedCitation":"(GSIA, 2012)"},"properties":{"noteIndex":0},"schema":"https://github.com/citation-style-language/schema/raw/master/csl-citation.json"}</vt:lpwstr>
  </property>
  <property fmtid="{D5CDD505-2E9C-101B-9397-08002B2CF9AE}" pid="519" name="Mendeley Recent Style Name 149_1">
    <vt:lpwstr>(GSIA, 2012)</vt:lpwstr>
  </property>
  <property fmtid="{D5CDD505-2E9C-101B-9397-08002B2CF9AE}" pid="520" name="Mendeley Recent Style Id 150_1">
    <vt:lpwstr>(GSIA, 2012)</vt:lpwstr>
  </property>
  <property fmtid="{D5CDD505-2E9C-101B-9397-08002B2CF9AE}" pid="521" name="Mendeley Recent Style Name 150_1">
    <vt:lpwstr>(GSIA, 2012)</vt:lpwstr>
  </property>
  <property fmtid="{D5CDD505-2E9C-101B-9397-08002B2CF9AE}" pid="522" name="Mendeley Recent Style Id 151_1">
    <vt:lpwstr>ADDIN CSL_CITATION {"citationItems":[{"id":"ITEM-1","itemData":{"abstract":"Global Sustainable Investment Alliance GSIA","author":[{"dropping-particle":"","family":"GSIA","given":"","non-dropping-particle":"","parse-names":false,"suffix":""}],"id":"ITEM-1</vt:lpwstr>
  </property>
  <property fmtid="{D5CDD505-2E9C-101B-9397-08002B2CF9AE}" pid="523" name="Mendeley Recent Style Id 151_2">
    <vt:lpwstr>","issued":{"date-parts":[["2019"]]},"page":"1-29","title":"Global sustainable investment review 2018","type":"article-journal"},"uris":["http://www.mendeley.com/documents/?uuid=49223a8b-f792-44c8-9a94-3d6c406ffd7d"]}],"mendeley":{"formattedCitation":"(GS</vt:lpwstr>
  </property>
  <property fmtid="{D5CDD505-2E9C-101B-9397-08002B2CF9AE}" pid="524" name="Mendeley Recent Style Id 151_3">
    <vt:lpwstr>IA, 2019)","plainTextFormattedCitation":"(GSIA, 2019)","previouslyFormattedCitation":"(GSIA, 2019)"},"properties":{"noteIndex":0},"schema":"https://github.com/citation-style-language/schema/raw/master/csl-citation.json"}</vt:lpwstr>
  </property>
  <property fmtid="{D5CDD505-2E9C-101B-9397-08002B2CF9AE}" pid="525" name="Mendeley Recent Style Name 151_1">
    <vt:lpwstr>(GSIA, 2019)</vt:lpwstr>
  </property>
  <property fmtid="{D5CDD505-2E9C-101B-9397-08002B2CF9AE}" pid="526" name="Mendeley Recent Style Id 152_1">
    <vt:lpwstr>(GSIA, 2019)</vt:lpwstr>
  </property>
  <property fmtid="{D5CDD505-2E9C-101B-9397-08002B2CF9AE}" pid="527" name="Mendeley Recent Style Name 152_1">
    <vt:lpwstr>(GSIA, 2019)</vt:lpwstr>
  </property>
  <property fmtid="{D5CDD505-2E9C-101B-9397-08002B2CF9AE}" pid="528" name="Mendeley Recent Style Id 153_1">
    <vt:lpwstr>ADDIN CSL_CITATION {"citationItems":[{"id":"ITEM-1","itemData":{"abstract":"The Sustainable Development Goals agreed by the United Nations in September 2015 comprise 17 goals and 169 targets aimed at integrating matters related to sustainable development </vt:lpwstr>
  </property>
  <property fmtid="{D5CDD505-2E9C-101B-9397-08002B2CF9AE}" pid="529" name="Mendeley Recent Style Id 153_2">
    <vt:lpwstr>into the overall economic , environmental and social frameworks of countries. Whereas the SDGs have a global dimension, their action implementation depends on the level of priority different countries give to them, and on how sustainability issues compete</vt:lpwstr>
  </property>
  <property fmtid="{D5CDD505-2E9C-101B-9397-08002B2CF9AE}" pid="530" name="Mendeley Recent Style Id 153_3">
    <vt:lpwstr> with a country's main problems. The aim of this paper was to identify the main Sustainable Development Goals approached by experts from different geographic regions, according to their experience and research area, and to discuss the relation between the</vt:lpwstr>
  </property>
  <property fmtid="{D5CDD505-2E9C-101B-9397-08002B2CF9AE}" pid="531" name="Mendeley Recent Style Id 153_4">
    <vt:lpwstr>se goals and the main local issues and challenges of each region. The methodology starts with snowball sampling to collect information from experts from all geographic regions, through contact networks of universities in different countries. With the info</vt:lpwstr>
  </property>
  <property fmtid="{D5CDD505-2E9C-101B-9397-08002B2CF9AE}" pid="532" name="Mendeley Recent Style Id 153_5">
    <vt:lpwstr>rmation about the goals researched by the participating experts, an analysis of the relation between the study focus and the geographical regions of origin was conducted. A total of 266 specialists from North America, Latin America/Caribbean, Africa, Asia</vt:lpwstr>
  </property>
  <property fmtid="{D5CDD505-2E9C-101B-9397-08002B2CF9AE}" pid="533" name="Mendeley Recent Style Id 153_6">
    <vt:lpwstr>, Europe and Oceania participated in the survey. Based on the sample used, it can be said that there is a relation between the local problems or challenges observed in some regions and the main areas of interest of the surveyed experts, with a general emp</vt:lpwstr>
  </property>
  <property fmtid="{D5CDD505-2E9C-101B-9397-08002B2CF9AE}" pid="534" name="Mendeley Recent Style Id 153_7">
    <vt:lpwstr>hasis on the study of goals 4,11 and 13. Based on the data gathered, the paper presents a set of examples of positive and negative situations in the various regions, and considers the","author":[{"dropping-particle":"","family":"Lange Salvia","given":"Ama</vt:lpwstr>
  </property>
  <property fmtid="{D5CDD505-2E9C-101B-9397-08002B2CF9AE}" pid="535" name="Mendeley Recent Style Id 153_8">
    <vt:lpwstr>nda","non-dropping-particle":"","parse-names":false,"suffix":""},{"dropping-particle":"","family":"Leal Filho","given":"Walter","non-dropping-particle":"","parse-names":false,"suffix":""},{"dropping-particle":"","family":"Londero Brandli","given":"Luciana</vt:lpwstr>
  </property>
  <property fmtid="{D5CDD505-2E9C-101B-9397-08002B2CF9AE}" pid="536" name="Mendeley Recent Style Id 153_9">
    <vt:lpwstr>","non-dropping-particle":"","parse-names":false,"suffix":""},{"dropping-particle":"","family":"Griebeler","given":"Juliane Sapper","non-dropping-particle":"","parse-names":false,"suffix":""}],"id":"ITEM-1","issued":{"date-parts":[["2018"]]},"title":"Asse</vt:lpwstr>
  </property>
  <property fmtid="{D5CDD505-2E9C-101B-9397-08002B2CF9AE}" pid="537" name="Mendeley Recent Style Id 153_10">
    <vt:lpwstr>ssing research trends related to Sustainable Development Goals: local and global issues","type":"report"},"uris":["http://www.mendeley.com/documents/?uuid=1767282b-6d7f-32ea-90d6-6ae26feedc7f"]}],"mendeley":{"formattedCitation":"(Lange Salvia &lt;i&gt;et al.&lt;/i</vt:lpwstr>
  </property>
  <property fmtid="{D5CDD505-2E9C-101B-9397-08002B2CF9AE}" pid="538" name="Mendeley Recent Style Id 153_11">
    <vt:lpwstr>&gt;, 2018)","plainTextFormattedCitation":"(Lange Salvia et al., 2018)","previouslyFormattedCitation":"(Lange Salvia &lt;i&gt;et al.&lt;/i&gt;, 2018)"},"properties":{"noteIndex":0},"schema":"https://github.com/citation-style-language/schema/raw/master/csl-citation.json"</vt:lpwstr>
  </property>
  <property fmtid="{D5CDD505-2E9C-101B-9397-08002B2CF9AE}" pid="539" name="Mendeley Recent Style Id 153_12">
    <vt:lpwstr>}</vt:lpwstr>
  </property>
  <property fmtid="{D5CDD505-2E9C-101B-9397-08002B2CF9AE}" pid="540" name="Mendeley Recent Style Name 153_1">
    <vt:lpwstr>(Lange Salvia &lt;i&gt;et al.&lt;/i&gt;, 2018)</vt:lpwstr>
  </property>
  <property fmtid="{D5CDD505-2E9C-101B-9397-08002B2CF9AE}" pid="541" name="Mendeley Recent Style Id 154_1">
    <vt:lpwstr>(Lange Salvia &lt;i&gt;et al.&lt;/i&gt;, 2018)</vt:lpwstr>
  </property>
  <property fmtid="{D5CDD505-2E9C-101B-9397-08002B2CF9AE}" pid="542" name="Mendeley Recent Style Name 154_1">
    <vt:lpwstr>(Lange Salvia et al., 2018)</vt:lpwstr>
  </property>
  <property fmtid="{D5CDD505-2E9C-101B-9397-08002B2CF9AE}" pid="543" name="Mendeley Recent Style Id 155_1">
    <vt:lpwstr>ADDIN CSL_CITATION {"citationItems":[{"id":"ITEM-1","itemData":{"author":[{"dropping-particle":"Al","family":"Qardawi","given":"Yusuf","non-dropping-particle":"","parse-names":false,"suffix":""}],"id":"ITEM-1","issued":{"date-parts":[["1999"]]},"number-of</vt:lpwstr>
  </property>
  <property fmtid="{D5CDD505-2E9C-101B-9397-08002B2CF9AE}" pid="544" name="Mendeley Recent Style Id 155_2">
    <vt:lpwstr>-pages":"345","publisher":"Scientific Publishing Centre King Abdulaziz University","publisher-place":"Jeddah","title":"Fiqh al zakah: A COMPARATIVE STUDY OF ZAKAH, REGULATIONS AND PHILOSOPHY IN THE LIGHT OF QUR'AN AND SUNNAH. Valume 2","type":"book"},"uri</vt:lpwstr>
  </property>
  <property fmtid="{D5CDD505-2E9C-101B-9397-08002B2CF9AE}" pid="545" name="Mendeley Recent Style Id 155_3">
    <vt:lpwstr>s":["http://www.mendeley.com/documents/?uuid=b284dfbf-68b7-4b90-9f5f-f8e383bbb736"]}],"mendeley":{"formattedCitation":"(Qardawi, 1999)","plainTextFormattedCitation":"(Qardawi, 1999)","previouslyFormattedCitation":"(Qardawi, 1999)"},"properties":{"noteInde</vt:lpwstr>
  </property>
  <property fmtid="{D5CDD505-2E9C-101B-9397-08002B2CF9AE}" pid="546" name="Mendeley Recent Style Id 155_4">
    <vt:lpwstr>x":0},"schema":"https://github.com/citation-style-language/schema/raw/master/csl-citation.json"}</vt:lpwstr>
  </property>
  <property fmtid="{D5CDD505-2E9C-101B-9397-08002B2CF9AE}" pid="547" name="Mendeley Recent Style Name 155_1">
    <vt:lpwstr>(Qardawi, 1999)</vt:lpwstr>
  </property>
  <property fmtid="{D5CDD505-2E9C-101B-9397-08002B2CF9AE}" pid="548" name="Mendeley Recent Style Id 156_1">
    <vt:lpwstr>(Qardawi, 1999)</vt:lpwstr>
  </property>
  <property fmtid="{D5CDD505-2E9C-101B-9397-08002B2CF9AE}" pid="549" name="Mendeley Recent Style Name 156_1">
    <vt:lpwstr>(Qardawi, 1999)</vt:lpwstr>
  </property>
  <property fmtid="{D5CDD505-2E9C-101B-9397-08002B2CF9AE}" pid="550" name="Mendeley Recent Style Id 157_1">
    <vt:lpwstr>ADDIN CSL_CITATION {"citationItems":[{"id":"ITEM-1","itemData":{"DOI":"10.13140/RG.2.2.26825.44645","author":[{"dropping-particle":"","family":"Obaidullah","given":"Mohammed","non-dropping-particle":"","parse-names":false,"suffix":""},{"dropping-particle"</vt:lpwstr>
  </property>
  <property fmtid="{D5CDD505-2E9C-101B-9397-08002B2CF9AE}" pid="551" name="Mendeley Recent Style Id 157_2">
    <vt:lpwstr>:"","family":"Shirazi","given":"Nasim Shah","non-dropping-particle":"","parse-names":false,"suffix":""}],"id":"ITEM-1","issue":"June","issued":{"date-parts":[["2018"]]},"title":"IRTI Islamic Social Finance Report 2017","type":"report"},"uris":["http://www</vt:lpwstr>
  </property>
  <property fmtid="{D5CDD505-2E9C-101B-9397-08002B2CF9AE}" pid="552" name="Mendeley Recent Style Id 157_3">
    <vt:lpwstr>.mendeley.com/documents/?uuid=2a172905-4071-4867-8b6e-dd68c5d1c668"]}],"mendeley":{"formattedCitation":"(Obaidullah and Shirazi, 2018)","plainTextFormattedCitation":"(Obaidullah and Shirazi, 2018)","previouslyFormattedCitation":"(Obaidullah and Shirazi, 2</vt:lpwstr>
  </property>
  <property fmtid="{D5CDD505-2E9C-101B-9397-08002B2CF9AE}" pid="553" name="Mendeley Recent Style Id 157_4">
    <vt:lpwstr>018)"},"properties":{"noteIndex":0},"schema":"https://github.com/citation-style-language/schema/raw/master/csl-citation.json"}</vt:lpwstr>
  </property>
  <property fmtid="{D5CDD505-2E9C-101B-9397-08002B2CF9AE}" pid="554" name="Mendeley Recent Style Name 157_1">
    <vt:lpwstr>(Obaidullah and Shirazi, 2018)</vt:lpwstr>
  </property>
  <property fmtid="{D5CDD505-2E9C-101B-9397-08002B2CF9AE}" pid="555" name="Mendeley Recent Style Id 158_1">
    <vt:lpwstr>(Obaidullah and Shirazi, 2018)</vt:lpwstr>
  </property>
  <property fmtid="{D5CDD505-2E9C-101B-9397-08002B2CF9AE}" pid="556" name="Mendeley Recent Style Name 158_1">
    <vt:lpwstr>(Obaidullah and Shirazi, 2018)</vt:lpwstr>
  </property>
  <property fmtid="{D5CDD505-2E9C-101B-9397-08002B2CF9AE}" pid="557" name="Mendeley Recent Style Id 159_1">
    <vt:lpwstr>ADDIN CSL_CITATION {"citationItems":[{"id":"ITEM-1","itemData":{"DOI":"10.13140/RG.2.2.26825.44645","author":[{"dropping-particle":"","family":"Obaidullah","given":"Mohammed","non-dropping-particle":"","parse-names":false,"suffix":""},{"dropping-particle"</vt:lpwstr>
  </property>
  <property fmtid="{D5CDD505-2E9C-101B-9397-08002B2CF9AE}" pid="558" name="Mendeley Recent Style Id 159_2">
    <vt:lpwstr>:"","family":"Shirazi","given":"Nasim Shah","non-dropping-particle":"","parse-names":false,"suffix":""}],"id":"ITEM-1","issue":"June","issued":{"date-parts":[["2018"]]},"title":"IRTI Islamic Social Finance Report 2017","type":"report"},"uris":["http://www</vt:lpwstr>
  </property>
  <property fmtid="{D5CDD505-2E9C-101B-9397-08002B2CF9AE}" pid="559" name="Mendeley Recent Style Id 159_3">
    <vt:lpwstr>.mendeley.com/documents/?uuid=2a172905-4071-4867-8b6e-dd68c5d1c668"]}],"mendeley":{"formattedCitation":"(Obaidullah and Shirazi, 2018)","plainTextFormattedCitation":"(Obaidullah and Shirazi, 2018)","previouslyFormattedCitation":"(Obaidullah and Shirazi, 2</vt:lpwstr>
  </property>
  <property fmtid="{D5CDD505-2E9C-101B-9397-08002B2CF9AE}" pid="560" name="Mendeley Recent Style Id 159_4">
    <vt:lpwstr>018)"},"properties":{"noteIndex":0},"schema":"https://github.com/citation-style-language/schema/raw/master/csl-citation.json"}</vt:lpwstr>
  </property>
  <property fmtid="{D5CDD505-2E9C-101B-9397-08002B2CF9AE}" pid="561" name="Mendeley Recent Style Name 159_1">
    <vt:lpwstr>(Obaidullah and Shirazi, 2018)</vt:lpwstr>
  </property>
  <property fmtid="{D5CDD505-2E9C-101B-9397-08002B2CF9AE}" pid="562" name="Mendeley Recent Style Id 160_1">
    <vt:lpwstr>(Obaidullah and Shirazi, 2018)</vt:lpwstr>
  </property>
  <property fmtid="{D5CDD505-2E9C-101B-9397-08002B2CF9AE}" pid="563" name="Mendeley Recent Style Name 160_1">
    <vt:lpwstr>(Obaidullah and Shirazi, 2018)</vt:lpwstr>
  </property>
  <property fmtid="{D5CDD505-2E9C-101B-9397-08002B2CF9AE}" pid="564" name="Mendeley Recent Style Id 161_1">
    <vt:lpwstr>ADDIN CSL_CITATION {"citationItems":[{"id":"ITEM-1","itemData":{"author":[{"dropping-particle":"","family":"GIFR","given":"","non-dropping-particle":"","parse-names":false,"suffix":""}],"id":"ITEM-1","issued":{"date-parts":[["2018"]]},"title":"Global Isla</vt:lpwstr>
  </property>
  <property fmtid="{D5CDD505-2E9C-101B-9397-08002B2CF9AE}" pid="565" name="Mendeley Recent Style Id 161_2">
    <vt:lpwstr>mic Finance Report 2018: Key Highlights","type":"article-journal"},"uris":["http://www.mendeley.com/documents/?uuid=a2c8d58f-5dd3-49fe-9b9c-f4a0ac075142"]}],"mendeley":{"formattedCitation":"(GIFR, 2018)","plainTextFormattedCitation":"(GIFR, 2018)","previo</vt:lpwstr>
  </property>
  <property fmtid="{D5CDD505-2E9C-101B-9397-08002B2CF9AE}" pid="566" name="Mendeley Recent Style Id 161_3">
    <vt:lpwstr>uslyFormattedCitation":"(GIFR, 2018)"},"properties":{"noteIndex":0},"schema":"https://github.com/citation-style-language/schema/raw/master/csl-citation.json"}</vt:lpwstr>
  </property>
  <property fmtid="{D5CDD505-2E9C-101B-9397-08002B2CF9AE}" pid="567" name="Mendeley Recent Style Name 161_1">
    <vt:lpwstr>(GIFR, 2018)</vt:lpwstr>
  </property>
  <property fmtid="{D5CDD505-2E9C-101B-9397-08002B2CF9AE}" pid="568" name="Mendeley Recent Style Id 162_1">
    <vt:lpwstr>(GIFR, 2018)</vt:lpwstr>
  </property>
  <property fmtid="{D5CDD505-2E9C-101B-9397-08002B2CF9AE}" pid="569" name="Mendeley Recent Style Name 162_1">
    <vt:lpwstr>(GIFR, 2018)</vt:lpwstr>
  </property>
  <property fmtid="{D5CDD505-2E9C-101B-9397-08002B2CF9AE}" pid="570" name="Mendeley Recent Style Id 163_1">
    <vt:lpwstr>ADDIN CSL_CITATION {"citationItems":[{"id":"ITEM-1","itemData":{"author":[{"dropping-particle":"","family":"Islamic Research and Training Institute","given":"","non-dropping-particle":"","parse-names":false,"suffix":""}],"id":"ITEM-1","issued":{"date-part</vt:lpwstr>
  </property>
  <property fmtid="{D5CDD505-2E9C-101B-9397-08002B2CF9AE}" pid="571" name="Mendeley Recent Style Id 163_2">
    <vt:lpwstr>s":[["2014"]]},"number-of-pages":"23","title":"Waqf and Zakat:solidarity-based financing for sustainable development","type":"report"},"uris":["http://www.mendeley.com/documents/?uuid=7ba8c015-857e-4905-8fd5-9303aadf8eef"]}],"mendeley":{"formattedCitation</vt:lpwstr>
  </property>
  <property fmtid="{D5CDD505-2E9C-101B-9397-08002B2CF9AE}" pid="572" name="Mendeley Recent Style Id 163_3">
    <vt:lpwstr>":"(Islamic Research and Training Institute, 2014)","plainTextFormattedCitation":"(Islamic Research and Training Institute, 2014)","previouslyFormattedCitation":"(Islamic Research and Training Institute, 2014)"},"properties":{"noteIndex":0},"schema":"http</vt:lpwstr>
  </property>
  <property fmtid="{D5CDD505-2E9C-101B-9397-08002B2CF9AE}" pid="573" name="Mendeley Recent Style Id 163_4">
    <vt:lpwstr>s://github.com/citation-style-language/schema/raw/master/csl-citation.json"}</vt:lpwstr>
  </property>
  <property fmtid="{D5CDD505-2E9C-101B-9397-08002B2CF9AE}" pid="574" name="Mendeley Recent Style Name 163_1">
    <vt:lpwstr>(Islamic Research and Training Institute, 2014)</vt:lpwstr>
  </property>
  <property fmtid="{D5CDD505-2E9C-101B-9397-08002B2CF9AE}" pid="575" name="Mendeley Recent Style Id 164_1">
    <vt:lpwstr>(Islamic Research and Training Institute, 2014)</vt:lpwstr>
  </property>
  <property fmtid="{D5CDD505-2E9C-101B-9397-08002B2CF9AE}" pid="576" name="Mendeley Recent Style Name 164_1">
    <vt:lpwstr>(Islamic Research and Training Institute, 2014)</vt:lpwstr>
  </property>
  <property fmtid="{D5CDD505-2E9C-101B-9397-08002B2CF9AE}" pid="577" name="Mendeley Recent Style Id 165_1">
    <vt:lpwstr>ADDIN CSL_CITATION {"citationItems":[{"id":"ITEM-1","itemData":{"author":[{"dropping-particle":"","family":"OCHA","given":"","non-dropping-particle":"","parse-names":false,"suffix":""}],"id":"ITEM-1","issued":{"date-parts":[["2019"]]},"page":"80","title":</vt:lpwstr>
  </property>
  <property fmtid="{D5CDD505-2E9C-101B-9397-08002B2CF9AE}" pid="578" name="Mendeley Recent Style Id 165_2">
    <vt:lpwstr>"Global Humanitarian overview 2020","type":"article-journal"},"uris":["http://www.mendeley.com/documents/?uuid=7709af98-516c-4962-bba4-155872303f78"]}],"mendeley":{"formattedCitation":"(OCHA, 2019)","plainTextFormattedCitation":"(OCHA, 2019)","previouslyF</vt:lpwstr>
  </property>
  <property fmtid="{D5CDD505-2E9C-101B-9397-08002B2CF9AE}" pid="579" name="Mendeley Recent Style Id 165_3">
    <vt:lpwstr>ormattedCitation":"(OCHA, 2019)"},"properties":{"noteIndex":0},"schema":"https://github.com/citation-style-language/schema/raw/master/csl-citation.json"}</vt:lpwstr>
  </property>
  <property fmtid="{D5CDD505-2E9C-101B-9397-08002B2CF9AE}" pid="580" name="Mendeley Recent Style Name 165_1">
    <vt:lpwstr>(OCHA, 2019)</vt:lpwstr>
  </property>
  <property fmtid="{D5CDD505-2E9C-101B-9397-08002B2CF9AE}" pid="581" name="Mendeley Recent Style Id 166_1">
    <vt:lpwstr>(OCHA, 2019)</vt:lpwstr>
  </property>
  <property fmtid="{D5CDD505-2E9C-101B-9397-08002B2CF9AE}" pid="582" name="Mendeley Recent Style Name 166_1">
    <vt:lpwstr>(OCHA, 2019)</vt:lpwstr>
  </property>
  <property fmtid="{D5CDD505-2E9C-101B-9397-08002B2CF9AE}" pid="583" name="Mendeley Recent Style Id 167_1">
    <vt:lpwstr>ADDIN CSL_CITATION {"citationItems":[{"id":"ITEM-1","itemData":{"DOI":"10.1016/j.worlddev.2019.104749","ISSN":"18735991","abstract":"The Sustainable Development Goals (SDGs) call upon all countries to achieve 17 broad development goals by 2030. The SDGs a</vt:lpwstr>
  </property>
  <property fmtid="{D5CDD505-2E9C-101B-9397-08002B2CF9AE}" pid="584" name="Mendeley Recent Style Id 167_2">
    <vt:lpwstr>re a central component of many national development plans and foreign aid strategies. While the SDGs have become a central aspect of development planning, how achievable are they under present conditions? This paper explores a dynamic “middle-of-the-road”</vt:lpwstr>
  </property>
  <property fmtid="{D5CDD505-2E9C-101B-9397-08002B2CF9AE}" pid="585" name="Mendeley Recent Style Id 167_3">
    <vt:lpwstr> baseline global development scenario (Shared Socio-economic Pathway 2) using an integrated assessment model (International Futures) to evaluate progress toward target values on nine indicators related to six human development SDGs. We find that, between </vt:lpwstr>
  </property>
  <property fmtid="{D5CDD505-2E9C-101B-9397-08002B2CF9AE}" pid="586" name="Mendeley Recent Style Id 167_4">
    <vt:lpwstr>2015 and 30, the world will make only limited progress towards achieving those SDGs with our current set of policy priorities. Our study finds that across the variables explored here (nine indicators for 186 countries = 1674 country-indicators), 43 percen</vt:lpwstr>
  </property>
  <property fmtid="{D5CDD505-2E9C-101B-9397-08002B2CF9AE}" pid="587" name="Mendeley Recent Style Id 167_5">
    <vt:lpwstr>t had already reached target values by 2015. By 2030, target values are projected to be achieved for 53 percent of country-variables. This paper highlights special difficulty in achieving targets on some SDG indicators (access to safe sanitation, upper se</vt:lpwstr>
  </property>
  <property fmtid="{D5CDD505-2E9C-101B-9397-08002B2CF9AE}" pid="588" name="Mendeley Recent Style Id 167_6">
    <vt:lpwstr>condary school completion, and underweight children) representing persistent development issues that will not be solved without a significant shift in domestic and international aid policies and prioritization. In addition, we highlight 28 particularly vu</vt:lpwstr>
  </property>
  <property fmtid="{D5CDD505-2E9C-101B-9397-08002B2CF9AE}" pid="589" name="Mendeley Recent Style Id 167_7">
    <vt:lpwstr>lnerable countries that are not projected to achieve any of the nine human development related target values in a middle-of-the-road scenario. These most vulnerable countries (MVCs) must be the focus of international assistance.","author":[{"dropping-part</vt:lpwstr>
  </property>
  <property fmtid="{D5CDD505-2E9C-101B-9397-08002B2CF9AE}" pid="590" name="Mendeley Recent Style Id 167_8">
    <vt:lpwstr>icle":"","family":"Moyer","given":"Jonathan D.","non-dropping-particle":"","parse-names":false,"suffix":""},{"dropping-particle":"","family":"Hedden","given":"Steve","non-dropping-particle":"","parse-names":false,"suffix":""}],"container-title":"World Dev</vt:lpwstr>
  </property>
  <property fmtid="{D5CDD505-2E9C-101B-9397-08002B2CF9AE}" pid="591" name="Mendeley Recent Style Id 167_9">
    <vt:lpwstr>elopment","id":"ITEM-1","issued":{"date-parts":[["2020"]]},"title":"Are we on the right path to achieve the sustainable development goals?","type":"article-journal","volume":"127"},"uris":["http://www.mendeley.com/documents/?uuid=a1822d27-ae66-48ba-a96b-0</vt:lpwstr>
  </property>
  <property fmtid="{D5CDD505-2E9C-101B-9397-08002B2CF9AE}" pid="592" name="Mendeley Recent Style Id 167_10">
    <vt:lpwstr>1124c1a0619"]}],"mendeley":{"formattedCitation":"(Moyer and Hedden, 2020)","plainTextFormattedCitation":"(Moyer and Hedden, 2020)","previouslyFormattedCitation":"(Moyer and Hedden, 2020)"},"properties":{"noteIndex":0},"schema":"https://github.com/citation</vt:lpwstr>
  </property>
  <property fmtid="{D5CDD505-2E9C-101B-9397-08002B2CF9AE}" pid="593" name="Mendeley Recent Style Id 167_11">
    <vt:lpwstr>-style-language/schema/raw/master/csl-citation.json"}</vt:lpwstr>
  </property>
  <property fmtid="{D5CDD505-2E9C-101B-9397-08002B2CF9AE}" pid="594" name="Mendeley Recent Style Name 167_1">
    <vt:lpwstr>(Moyer and Hedden, 2020)</vt:lpwstr>
  </property>
  <property fmtid="{D5CDD505-2E9C-101B-9397-08002B2CF9AE}" pid="595" name="Mendeley Recent Style Id 168_1">
    <vt:lpwstr>(Moyer and Hedden, 2020)</vt:lpwstr>
  </property>
  <property fmtid="{D5CDD505-2E9C-101B-9397-08002B2CF9AE}" pid="596" name="Mendeley Recent Style Name 168_1">
    <vt:lpwstr>(Moyer and Hedden, 2020)</vt:lpwstr>
  </property>
  <property fmtid="{D5CDD505-2E9C-101B-9397-08002B2CF9AE}" pid="597" name="Mendeley Recent Style Id 169_1">
    <vt:lpwstr>ADDIN CSL_CITATION {"citationItems":[{"id":"ITEM-1","itemData":{"DOI":"10.1016/j.sbspro.2016.05.029","ISSN":"18770428","abstract":"Zakat is a vital instrument for poverty reduction, and employment opportunity in the society. Studies about the intention to</vt:lpwstr>
  </property>
  <property fmtid="{D5CDD505-2E9C-101B-9397-08002B2CF9AE}" pid="598" name="Mendeley Recent Style Id 169_2">
    <vt:lpwstr> pay zakat in other places such as Kano remain scared. The objective of this paper is to discuss the moderating effect of attitude toward zakat payment on the relationship between moral reasoning and intention to pay among Muslim businessmen in Kano Niger</vt:lpwstr>
  </property>
  <property fmtid="{D5CDD505-2E9C-101B-9397-08002B2CF9AE}" pid="599" name="Mendeley Recent Style Id 169_3">
    <vt:lpwstr>ia. Empirically the study concludes that attitude and moral reasoning positively and significantly influence intention to pay Zakat among businessmen in Kano Nigeria. Theoretically new variable was tested in zakat environment.","author":[{"dropping-partic</vt:lpwstr>
  </property>
  <property fmtid="{D5CDD505-2E9C-101B-9397-08002B2CF9AE}" pid="600" name="Mendeley Recent Style Id 169_4">
    <vt:lpwstr>le":"","family":"Muhammad","given":"Sani Adamu","non-dropping-particle":"","parse-names":false,"suffix":""},{"dropping-particle":"","family":"Saad","given":"Ram Al-Jaffri","non-dropping-particle":"","parse-names":false,"suffix":""}],"container-title":"Pro</vt:lpwstr>
  </property>
  <property fmtid="{D5CDD505-2E9C-101B-9397-08002B2CF9AE}" pid="601" name="Mendeley Recent Style Id 169_5">
    <vt:lpwstr>cedia - Social and Behavioral Sciences","id":"ITEM-1","issued":{"date-parts":[["2016"]]},"page":"520-527","title":"Moderating Effect of Attitude toward Zakat Payment on the Relationship between Moral Reasoning and Intention to Pay Zakat","type":"article-j</vt:lpwstr>
  </property>
  <property fmtid="{D5CDD505-2E9C-101B-9397-08002B2CF9AE}" pid="602" name="Mendeley Recent Style Id 169_6">
    <vt:lpwstr>ournal","volume":"219"},"uris":["http://www.mendeley.com/documents/?uuid=74251dfd-47e1-47b9-a477-ae57887f8885"]}],"mendeley":{"formattedCitation":"(Muhammad and Saad, 2016)","plainTextFormattedCitation":"(Muhammad and Saad, 2016)","previouslyFormattedCita</vt:lpwstr>
  </property>
  <property fmtid="{D5CDD505-2E9C-101B-9397-08002B2CF9AE}" pid="603" name="Mendeley Recent Style Id 169_7">
    <vt:lpwstr>tion":"(Muhammad and Saad, 2016)"},"properties":{"noteIndex":0},"schema":"https://github.com/citation-style-language/schema/raw/master/csl-citation.json"}</vt:lpwstr>
  </property>
  <property fmtid="{D5CDD505-2E9C-101B-9397-08002B2CF9AE}" pid="604" name="Mendeley Recent Style Name 169_1">
    <vt:lpwstr>(Muhammad and Saad, 2016)</vt:lpwstr>
  </property>
  <property fmtid="{D5CDD505-2E9C-101B-9397-08002B2CF9AE}" pid="605" name="Mendeley Recent Style Id 170_1">
    <vt:lpwstr>(Muhammad and Saad, 2016)</vt:lpwstr>
  </property>
  <property fmtid="{D5CDD505-2E9C-101B-9397-08002B2CF9AE}" pid="606" name="Mendeley Recent Style Name 170_1">
    <vt:lpwstr>(Muhammad and Saad, 2016)</vt:lpwstr>
  </property>
  <property fmtid="{D5CDD505-2E9C-101B-9397-08002B2CF9AE}" pid="607" name="Mendeley Recent Style Id 171_1">
    <vt:lpwstr>ADDIN CSL_CITATION {"citationItems":[{"id":"ITEM-1","itemData":{"DOI":"10.4337/9781784710736.00018","author":[{"dropping-particle":"","family":"Hassan","given":"M.","non-dropping-particle":"","parse-names":false,"suffix":""},{"dropping-particle":"","famil</vt:lpwstr>
  </property>
  <property fmtid="{D5CDD505-2E9C-101B-9397-08002B2CF9AE}" pid="608" name="Mendeley Recent Style Id 171_2">
    <vt:lpwstr>y":"Shirazi","given":"Nasim Shah","non-dropping-particle":"","parse-names":false,"suffix":""}],"container-title":"Handbook of Empirical Research on Islam and Economic Life","id":"ITEM-1","issued":{"date-parts":[["2017"]]},"page":"253-272","title":"Social </vt:lpwstr>
  </property>
  <property fmtid="{D5CDD505-2E9C-101B-9397-08002B2CF9AE}" pid="609" name="Mendeley Recent Style Id 171_3">
    <vt:lpwstr>tax and transfers for poverty alleviation: a case for low- and middle- income countries","type":"chapter"},"uris":["http://www.mendeley.com/documents/?uuid=7136d396-7579-4e37-8d18-580e9b5cf8bf"]}],"mendeley":{"formattedCitation":"(Hassan and Shirazi, 2017</vt:lpwstr>
  </property>
  <property fmtid="{D5CDD505-2E9C-101B-9397-08002B2CF9AE}" pid="610" name="Mendeley Recent Style Id 171_4">
    <vt:lpwstr>)","plainTextFormattedCitation":"(Hassan and Shirazi, 2017)","previouslyFormattedCitation":"(Hassan and Shirazi, 2017)"},"properties":{"noteIndex":0},"schema":"https://github.com/citation-style-language/schema/raw/master/csl-citation.json"}</vt:lpwstr>
  </property>
  <property fmtid="{D5CDD505-2E9C-101B-9397-08002B2CF9AE}" pid="611" name="Mendeley Recent Style Name 171_1">
    <vt:lpwstr>(Hassan and Shirazi, 2017)</vt:lpwstr>
  </property>
  <property fmtid="{D5CDD505-2E9C-101B-9397-08002B2CF9AE}" pid="612" name="Mendeley Recent Style Id 172_1">
    <vt:lpwstr>(Hassan and Shirazi, 2017)</vt:lpwstr>
  </property>
  <property fmtid="{D5CDD505-2E9C-101B-9397-08002B2CF9AE}" pid="613" name="Mendeley Recent Style Name 172_1">
    <vt:lpwstr>(Hassan and Shirazi, 2017)</vt:lpwstr>
  </property>
  <property fmtid="{D5CDD505-2E9C-101B-9397-08002B2CF9AE}" pid="614" name="Mendeley Recent Style Id 173_1">
    <vt:lpwstr>ADDIN CSL_CITATION {"citationItems":[{"id":"ITEM-1","itemData":{"author":[{"dropping-particle":"","family":"Chartered Institute for Securities &amp; Investment","given":"","non-dropping-particle":"","parse-names":false,"suffix":""}],"edition":"8","editor":[{"</vt:lpwstr>
  </property>
  <property fmtid="{D5CDD505-2E9C-101B-9397-08002B2CF9AE}" pid="615" name="Mendeley Recent Style Id 173_2">
    <vt:lpwstr>dropping-particle":"","family":"Shikder","given":"Muhammad Nurullah","non-dropping-particle":"","parse-names":false,"suffix":""}],"id":"ITEM-1","issued":{"date-parts":[["2018"]]},"number-of-pages":"294","publisher-place":"London","title":"Islamic Finance </vt:lpwstr>
  </property>
  <property fmtid="{D5CDD505-2E9C-101B-9397-08002B2CF9AE}" pid="616" name="Mendeley Recent Style Id 173_3">
    <vt:lpwstr>Qualification ( IFQ )","type":"book"},"uris":["http://www.mendeley.com/documents/?uuid=49a2d784-2f26-46b9-99ff-208ad5d456ee"]}],"mendeley":{"formattedCitation":"(Chartered Institute for Securities &amp; Investment, 2018)","plainTextFormattedCitation":"(Charte</vt:lpwstr>
  </property>
  <property fmtid="{D5CDD505-2E9C-101B-9397-08002B2CF9AE}" pid="617" name="Mendeley Recent Style Id 173_4">
    <vt:lpwstr>red Institute for Securities &amp; Investment, 2018)","previouslyFormattedCitation":"(Chartered Institute for Securities &amp; Investment, 2018)"},"properties":{"noteIndex":0},"schema":"https://github.com/citation-style-language/schema/raw/master/csl-citation.jso</vt:lpwstr>
  </property>
  <property fmtid="{D5CDD505-2E9C-101B-9397-08002B2CF9AE}" pid="618" name="Mendeley Recent Style Id 173_5">
    <vt:lpwstr>n"}</vt:lpwstr>
  </property>
  <property fmtid="{D5CDD505-2E9C-101B-9397-08002B2CF9AE}" pid="619" name="Mendeley Recent Style Name 173_1">
    <vt:lpwstr>(Chartered Institute for Securities &amp; Investment, 2018)</vt:lpwstr>
  </property>
  <property fmtid="{D5CDD505-2E9C-101B-9397-08002B2CF9AE}" pid="620" name="Mendeley Recent Style Id 174_1">
    <vt:lpwstr>(Chartered Institute for Securities &amp; Investment, 2018)</vt:lpwstr>
  </property>
  <property fmtid="{D5CDD505-2E9C-101B-9397-08002B2CF9AE}" pid="621" name="Mendeley Recent Style Name 174_1">
    <vt:lpwstr>(Chartered Institute for Securities &amp; Investment, 2018)</vt:lpwstr>
  </property>
  <property fmtid="{D5CDD505-2E9C-101B-9397-08002B2CF9AE}" pid="622" name="Mendeley Recent Style Id 175_1">
    <vt:lpwstr>ADDIN CSL_CITATION {"citationItems":[{"id":"ITEM-1","itemData":{"DOI":"10.1108/IJIF-10-2018-0118","ISSN":"22894365","abstract":"Purpose: Bringing more impact seems to be a real issue for social initiatives and organizations requiring the adoption of new a</vt:lpwstr>
  </property>
  <property fmtid="{D5CDD505-2E9C-101B-9397-08002B2CF9AE}" pid="623" name="Mendeley Recent Style Id 175_2">
    <vt:lpwstr>pproaches. The paper aims to define an integrated approach for building, maintaining and upgrading Islamic social finance and sustainable ecosystems. Design/methodology/approach: The paper presents a conceptual framework based on case studies and literatu</vt:lpwstr>
  </property>
  <property fmtid="{D5CDD505-2E9C-101B-9397-08002B2CF9AE}" pid="624" name="Mendeley Recent Style Id 175_3">
    <vt:lpwstr>re review describing the methodology and the necessary steps to build sustainable ecosystems. Findings: The paper shows the impact of building social finance ecosystems on tackling social issues. It emphasizes the idea that solving social issues is everyb</vt:lpwstr>
  </property>
  <property fmtid="{D5CDD505-2E9C-101B-9397-08002B2CF9AE}" pid="625" name="Mendeley Recent Style Id 175_4">
    <vt:lpwstr>ody’s business – from governments to businesses – and that those initiatives require sufficient Sharīʿah-compliant funding to achieve sustainability goals. Research limitations/implications: The paper does not focus on the Islamic world experiences in bui</vt:lpwstr>
  </property>
  <property fmtid="{D5CDD505-2E9C-101B-9397-08002B2CF9AE}" pid="626" name="Mendeley Recent Style Id 175_5">
    <vt:lpwstr>lding ecosystems serving social causes. Practical implications: The paper gives an overview on how collaboration between the different social oriented organisations can enhance the social impact of the different initiatives. The aim is to ensure adequate </vt:lpwstr>
  </property>
  <property fmtid="{D5CDD505-2E9C-101B-9397-08002B2CF9AE}" pid="627" name="Mendeley Recent Style Id 175_6">
    <vt:lpwstr>financing to all the ecosystem components during the whole lifecycle. Social implications: The suggested approach of building sustainable ecosystems can serve as a way to assess the existing social initiatives and practices to find relevant combinations t</vt:lpwstr>
  </property>
  <property fmtid="{D5CDD505-2E9C-101B-9397-08002B2CF9AE}" pid="628" name="Mendeley Recent Style Id 175_7">
    <vt:lpwstr>argeting more impact. Originality/value: In the social sphere, the idea of building ecosystems has been explored in different ways but never in a way that gathers all the components including finance providers, coordinators and the different types of init</vt:lpwstr>
  </property>
  <property fmtid="{D5CDD505-2E9C-101B-9397-08002B2CF9AE}" pid="629" name="Mendeley Recent Style Id 175_8">
    <vt:lpwstr>iatives. The paper adapts the ecosystem concept to the Islamic finance specificities.","author":[{"dropping-particle":"","family":"Tahiri Jouti","given":"Ahmed","non-dropping-particle":"","parse-names":false,"suffix":""}],"container-title":"ISRA Internati</vt:lpwstr>
  </property>
  <property fmtid="{D5CDD505-2E9C-101B-9397-08002B2CF9AE}" pid="630" name="Mendeley Recent Style Id 175_9">
    <vt:lpwstr>onal Journal of Islamic Finance","id":"ITEM-1","issue":"2","issued":{"date-parts":[["2019"]]},"page":"246-266","title":"An integrated approach for building sustainable Islamic social finance ecosystems","type":"article-journal","volume":"11"},"uris":["htt</vt:lpwstr>
  </property>
  <property fmtid="{D5CDD505-2E9C-101B-9397-08002B2CF9AE}" pid="631" name="Mendeley Recent Style Id 175_10">
    <vt:lpwstr>p://www.mendeley.com/documents/?uuid=468f2ac4-1376-4f58-82ca-1b5889782f52"]}],"mendeley":{"formattedCitation":"(Tahiri Jouti, 2019)","plainTextFormattedCitation":"(Tahiri Jouti, 2019)","previouslyFormattedCitation":"(Tahiri Jouti, 2019)"},"properties":{"n</vt:lpwstr>
  </property>
  <property fmtid="{D5CDD505-2E9C-101B-9397-08002B2CF9AE}" pid="632" name="Mendeley Recent Style Id 175_11">
    <vt:lpwstr>oteIndex":0},"schema":"https://github.com/citation-style-language/schema/raw/master/csl-citation.json"}</vt:lpwstr>
  </property>
  <property fmtid="{D5CDD505-2E9C-101B-9397-08002B2CF9AE}" pid="633" name="Mendeley Recent Style Name 175_1">
    <vt:lpwstr>(Tahiri Jouti, 2019)</vt:lpwstr>
  </property>
  <property fmtid="{D5CDD505-2E9C-101B-9397-08002B2CF9AE}" pid="634" name="Mendeley Recent Style Id 176_1">
    <vt:lpwstr>(Tahiri Jouti, 2019)</vt:lpwstr>
  </property>
  <property fmtid="{D5CDD505-2E9C-101B-9397-08002B2CF9AE}" pid="635" name="Mendeley Recent Style Name 176_1">
    <vt:lpwstr>(Tahiri Jouti, 2019)</vt:lpwstr>
  </property>
  <property fmtid="{D5CDD505-2E9C-101B-9397-08002B2CF9AE}" pid="636" name="Mendeley Recent Style Id 177_1">
    <vt:lpwstr>ADDIN CSL_CITATION {"citationItems":[{"id":"ITEM-1","itemData":{"DOI":"10.2139/ssrn.3297397","URL":"https://www.un.org/en/sections/issues-depth/poverty/","author":[{"dropping-particle":"","family":"Lord","given":"Philippe","non-dropping-particle":"","pars</vt:lpwstr>
  </property>
  <property fmtid="{D5CDD505-2E9C-101B-9397-08002B2CF9AE}" pid="637" name="Mendeley Recent Style Id 177_2">
    <vt:lpwstr>e-names":false,"suffix":""}],"container-title":"SSRN Electronic Journal","id":"ITEM-1","issued":{"date-parts":[["2018"]]},"title":"Ending Poverty","type":"webpage"},"uris":["http://www.mendeley.com/documents/?uuid=36b75fde-41f6-4dbf-b683-25fbf9ef15b3"]}],</vt:lpwstr>
  </property>
  <property fmtid="{D5CDD505-2E9C-101B-9397-08002B2CF9AE}" pid="638" name="Mendeley Recent Style Id 177_3">
    <vt:lpwstr>"mendeley":{"formattedCitation":"(Lord, 2018)","plainTextFormattedCitation":"(Lord, 2018)","previouslyFormattedCitation":"(Lord, 2018)"},"properties":{"noteIndex":0},"schema":"https://github.com/citation-style-language/schema/raw/master/csl-citation.json"</vt:lpwstr>
  </property>
  <property fmtid="{D5CDD505-2E9C-101B-9397-08002B2CF9AE}" pid="639" name="Mendeley Recent Style Id 177_4">
    <vt:lpwstr>}</vt:lpwstr>
  </property>
  <property fmtid="{D5CDD505-2E9C-101B-9397-08002B2CF9AE}" pid="640" name="Mendeley Recent Style Name 177_1">
    <vt:lpwstr>(Lord, 2018)</vt:lpwstr>
  </property>
  <property fmtid="{D5CDD505-2E9C-101B-9397-08002B2CF9AE}" pid="641" name="Mendeley Recent Style Id 178_1">
    <vt:lpwstr>(Lord, 2018)</vt:lpwstr>
  </property>
  <property fmtid="{D5CDD505-2E9C-101B-9397-08002B2CF9AE}" pid="642" name="Mendeley Recent Style Name 178_1">
    <vt:lpwstr>(Lord, 2018)</vt:lpwstr>
  </property>
  <property fmtid="{D5CDD505-2E9C-101B-9397-08002B2CF9AE}" pid="643" name="Mendeley Recent Style Id 179_1">
    <vt:lpwstr>ADDIN CSL_CITATION {"citationItems":[{"id":"ITEM-1","itemData":{"DOI":"10.4337/9781784710736.00018","author":[{"dropping-particle":"","family":"Hassan","given":"M.","non-dropping-particle":"","parse-names":false,"suffix":""},{"dropping-particle":"","famil</vt:lpwstr>
  </property>
  <property fmtid="{D5CDD505-2E9C-101B-9397-08002B2CF9AE}" pid="644" name="Mendeley Recent Style Id 179_2">
    <vt:lpwstr>y":"Shirazi","given":"Nasim Shah","non-dropping-particle":"","parse-names":false,"suffix":""}],"container-title":"Handbook of Empirical Research on Islam and Economic Life","id":"ITEM-1","issued":{"date-parts":[["2017"]]},"page":"253-272","title":"Social </vt:lpwstr>
  </property>
  <property fmtid="{D5CDD505-2E9C-101B-9397-08002B2CF9AE}" pid="645" name="Mendeley Recent Style Id 179_3">
    <vt:lpwstr>tax and transfers for poverty alleviation: a case for low- and middle- income countries","type":"chapter"},"uris":["http://www.mendeley.com/documents/?uuid=7136d396-7579-4e37-8d18-580e9b5cf8bf"]}],"mendeley":{"formattedCitation":"(Hassan and Shirazi, 2017</vt:lpwstr>
  </property>
  <property fmtid="{D5CDD505-2E9C-101B-9397-08002B2CF9AE}" pid="646" name="Mendeley Recent Style Id 179_4">
    <vt:lpwstr>)","plainTextFormattedCitation":"(Hassan and Shirazi, 2017)","previouslyFormattedCitation":"(Hassan and Shirazi, 2017)"},"properties":{"noteIndex":0},"schema":"https://github.com/citation-style-language/schema/raw/master/csl-citation.json"}</vt:lpwstr>
  </property>
  <property fmtid="{D5CDD505-2E9C-101B-9397-08002B2CF9AE}" pid="647" name="Mendeley Recent Style Name 179_1">
    <vt:lpwstr>(Hassan and Shirazi, 2017)</vt:lpwstr>
  </property>
  <property fmtid="{D5CDD505-2E9C-101B-9397-08002B2CF9AE}" pid="648" name="Mendeley Recent Style Id 180_1">
    <vt:lpwstr>(Hassan and Shirazi, 2017)</vt:lpwstr>
  </property>
  <property fmtid="{D5CDD505-2E9C-101B-9397-08002B2CF9AE}" pid="649" name="Mendeley Recent Style Name 180_1">
    <vt:lpwstr>(Hassan and Shirazi, 2017)</vt:lpwstr>
  </property>
  <property fmtid="{D5CDD505-2E9C-101B-9397-08002B2CF9AE}" pid="650" name="Mendeley Recent Style Id 181_1">
    <vt:lpwstr>ADDIN CSL_CITATION {"citationItems":[{"id":"ITEM-1","itemData":{"author":[{"dropping-particle":"Al","family":"Qardawi","given":"Yusuf","non-dropping-particle":"","parse-names":false,"suffix":""}],"id":"ITEM-1","issued":{"date-parts":[["1999"]]},"number-of</vt:lpwstr>
  </property>
  <property fmtid="{D5CDD505-2E9C-101B-9397-08002B2CF9AE}" pid="651" name="Mendeley Recent Style Id 181_2">
    <vt:lpwstr>-pages":"345","publisher":"Scientific Publishing Centre King Abdulaziz University","publisher-place":"Jeddah","title":"Fiqh al zakah: A COMPARATIVE STUDY OF ZAKAH, REGULATIONS AND PHILOSOPHY IN THE LIGHT OF QUR'AN AND SUNNAH. Valume 2","type":"book"},"uri</vt:lpwstr>
  </property>
  <property fmtid="{D5CDD505-2E9C-101B-9397-08002B2CF9AE}" pid="652" name="Mendeley Recent Style Id 181_3">
    <vt:lpwstr>s":["http://www.mendeley.com/documents/?uuid=b284dfbf-68b7-4b90-9f5f-f8e383bbb736"]}],"mendeley":{"formattedCitation":"(Qardawi, 1999)","plainTextFormattedCitation":"(Qardawi, 1999)","previouslyFormattedCitation":"(Qardawi, 1999)"},"properties":{"noteInde</vt:lpwstr>
  </property>
  <property fmtid="{D5CDD505-2E9C-101B-9397-08002B2CF9AE}" pid="653" name="Mendeley Recent Style Id 181_4">
    <vt:lpwstr>x":0},"schema":"https://github.com/citation-style-language/schema/raw/master/csl-citation.json"}</vt:lpwstr>
  </property>
  <property fmtid="{D5CDD505-2E9C-101B-9397-08002B2CF9AE}" pid="654" name="Mendeley Recent Style Name 181_1">
    <vt:lpwstr>(Qardawi, 1999)</vt:lpwstr>
  </property>
  <property fmtid="{D5CDD505-2E9C-101B-9397-08002B2CF9AE}" pid="655" name="Mendeley Recent Style Id 182_1">
    <vt:lpwstr>(Qardawi, 1999)</vt:lpwstr>
  </property>
  <property fmtid="{D5CDD505-2E9C-101B-9397-08002B2CF9AE}" pid="656" name="Mendeley Recent Style Name 182_1">
    <vt:lpwstr>(Qardawi, 1999)</vt:lpwstr>
  </property>
  <property fmtid="{D5CDD505-2E9C-101B-9397-08002B2CF9AE}" pid="657" name="Mendeley Recent Style Id 183_1">
    <vt:lpwstr>ADDIN CSL_CITATION {"citationItems":[{"id":"ITEM-1","itemData":{"id":"ITEM-1","issued":{"date-parts":[["0"]]},"title":"Holy-Quran","type":"book"},"uris":["http://www.mendeley.com/documents/?uuid=f9fa377e-58aa-401f-80ab-8caf62735865"]}],"mendeley":{"format</vt:lpwstr>
  </property>
  <property fmtid="{D5CDD505-2E9C-101B-9397-08002B2CF9AE}" pid="658" name="Mendeley Recent Style Id 183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659" name="Mendeley Recent Style Id 183_3">
    <vt:lpwstr>l-citation.json"}</vt:lpwstr>
  </property>
  <property fmtid="{D5CDD505-2E9C-101B-9397-08002B2CF9AE}" pid="660" name="Mendeley Recent Style Name 183_1">
    <vt:lpwstr>(&lt;i&gt;Holy-Quran&lt;/i&gt;, n.d.)</vt:lpwstr>
  </property>
  <property fmtid="{D5CDD505-2E9C-101B-9397-08002B2CF9AE}" pid="661" name="Mendeley Recent Style Id 184_1">
    <vt:lpwstr>(&lt;i&gt;Holy-Quran&lt;/i&gt;, no date)</vt:lpwstr>
  </property>
  <property fmtid="{D5CDD505-2E9C-101B-9397-08002B2CF9AE}" pid="662" name="Mendeley Recent Style Name 184_1">
    <vt:lpwstr>(Holy-Quran, n.d.)</vt:lpwstr>
  </property>
  <property fmtid="{D5CDD505-2E9C-101B-9397-08002B2CF9AE}" pid="663" name="Mendeley Recent Style Id 185_1">
    <vt:lpwstr>ADDIN CSL_CITATION {"citationItems":[{"id":"ITEM-1","itemData":{"DOI":"10.9790/0837-210608115120","abstract":"Zakah is the economic pillar of Islam. It is the cornerstone of the Islamic economy. It is enjoined by Allah on the wealthy to forfeit a specific</vt:lpwstr>
  </property>
  <property fmtid="{D5CDD505-2E9C-101B-9397-08002B2CF9AE}" pid="664" name="Mendeley Recent Style Id 185_2">
    <vt:lpwstr> amount of their wealth that has reached nisab, for the benefit of the poor. Zakah administration in Islam is carried out by authorities established by the state, or voluntary Muslim organizations, as the case may be. This paper which is a literature revi</vt:lpwstr>
  </property>
  <property fmtid="{D5CDD505-2E9C-101B-9397-08002B2CF9AE}" pid="665" name="Mendeley Recent Style Id 185_3">
    <vt:lpwstr>ew paper focuses on the administration of zakah and its importance in the society. The responsibility of zakah administration as belonging to the state was established, as well as the benefits of its administration by authorities. This paper highlighted t</vt:lpwstr>
  </property>
  <property fmtid="{D5CDD505-2E9C-101B-9397-08002B2CF9AE}" pid="666" name="Mendeley Recent Style Id 185_4">
    <vt:lpwstr>he role of non-governmental organizations in the management of zakah. It discussed the need for Muslims living under non-Islamic jurisdiction to take up the challenge of establishing institutions that will be responsible for zakah administration so that M</vt:lpwstr>
  </property>
  <property fmtid="{D5CDD505-2E9C-101B-9397-08002B2CF9AE}" pid="667" name="Mendeley Recent Style Id 185_5">
    <vt:lpwstr>uslims in that jurisdiction can enjoy the benefit of zakah as commanded by Allah.","author":[{"dropping-particle":"","family":"Ummulkhayr","given":"Adamu","non-dropping-particle":"","parse-names":false,"suffix":""},{"dropping-particle":"","family":"Owoyem</vt:lpwstr>
  </property>
  <property fmtid="{D5CDD505-2E9C-101B-9397-08002B2CF9AE}" pid="668" name="Mendeley Recent Style Id 185_6">
    <vt:lpwstr>i","given":"Musa Yusuf","non-dropping-particle":"","parse-names":false,"suffix":""},{"dropping-particle":"","family":"Cusairi","given":"RafidahbintiMohammad","non-dropping-particle":"","parse-names":false,"suffix":""}],"container-title":"IOSR Journal Of H</vt:lpwstr>
  </property>
  <property fmtid="{D5CDD505-2E9C-101B-9397-08002B2CF9AE}" pid="669" name="Mendeley Recent Style Id 185_7">
    <vt:lpwstr>umanities And Social Science (IOSR-JHSS","id":"ITEM-1","issue":"6","issued":{"date-parts":[["2016"]]},"page":"115-120","title":"Zakah Administration and its Importance: A Review","type":"article-journal","volume":"21"},"uris":["http://www.mendeley.com/doc</vt:lpwstr>
  </property>
  <property fmtid="{D5CDD505-2E9C-101B-9397-08002B2CF9AE}" pid="670" name="Mendeley Recent Style Id 185_8">
    <vt:lpwstr>uments/?uuid=bf0f5870-b77a-474b-88fd-19ad36a2d089"]}],"mendeley":{"formattedCitation":"(Ummulkhayr &lt;i&gt;et al.&lt;/i&gt;, 2016)","plainTextFormattedCitation":"(Ummulkhayr et al., 2016)","previouslyFormattedCitation":"(Ummulkhayr, Owoyemi and Cusairi, 2016)"},"pro</vt:lpwstr>
  </property>
  <property fmtid="{D5CDD505-2E9C-101B-9397-08002B2CF9AE}" pid="671" name="Mendeley Recent Style Id 185_9">
    <vt:lpwstr>perties":{"noteIndex":0},"schema":"https://github.com/citation-style-language/schema/raw/master/csl-citation.json"}</vt:lpwstr>
  </property>
  <property fmtid="{D5CDD505-2E9C-101B-9397-08002B2CF9AE}" pid="672" name="Mendeley Recent Style Name 185_1">
    <vt:lpwstr>(Ummulkhayr &lt;i&gt;et al.&lt;/i&gt;, 2016)</vt:lpwstr>
  </property>
  <property fmtid="{D5CDD505-2E9C-101B-9397-08002B2CF9AE}" pid="673" name="Mendeley Recent Style Id 186_1">
    <vt:lpwstr>(Ummulkhayr, Owoyemi and Cusairi, 2016)</vt:lpwstr>
  </property>
  <property fmtid="{D5CDD505-2E9C-101B-9397-08002B2CF9AE}" pid="674" name="Mendeley Recent Style Name 186_1">
    <vt:lpwstr>(Ummulkhayr et al., 2016)</vt:lpwstr>
  </property>
  <property fmtid="{D5CDD505-2E9C-101B-9397-08002B2CF9AE}" pid="675" name="Mendeley Recent Style Id 187_1">
    <vt:lpwstr>ADDIN CSL_CITATION {"citationItems":[{"id":"ITEM-1","itemData":{"author":[{"dropping-particle":"","family":"Tatyana Ignatova","given":"","non-dropping-particle":"","parse-names":false,"suffix":""},{"dropping-particle":"","family":"Dobayev","given":"Andrey</vt:lpwstr>
  </property>
  <property fmtid="{D5CDD505-2E9C-101B-9397-08002B2CF9AE}" pid="676" name="Mendeley Recent Style Id 187_2">
    <vt:lpwstr>","non-dropping-particle":"","parse-names":false,"suffix":""}],"container-title":"Muslim World","id":"ITEM-1","issue":"2","issued":{"date-parts":[["2017"]]},"page":"39-55","title":"THE \"HAWALA\" SYSTEM IN THE ISLAMIC ECONOMY","type":"article-journal"},"u</vt:lpwstr>
  </property>
  <property fmtid="{D5CDD505-2E9C-101B-9397-08002B2CF9AE}" pid="677" name="Mendeley Recent Style Id 187_3">
    <vt:lpwstr>ris":["http://www.mendeley.com/documents/?uuid=8f8148c3-f002-4741-9f99-98a89d67800b"]}],"mendeley":{"formattedCitation":"(Tatyana Ignatova and Dobayev, 2017)","plainTextFormattedCitation":"(Tatyana Ignatova and Dobayev, 2017)","previouslyFormattedCitation</vt:lpwstr>
  </property>
  <property fmtid="{D5CDD505-2E9C-101B-9397-08002B2CF9AE}" pid="678" name="Mendeley Recent Style Id 187_4">
    <vt:lpwstr>":"(Tatyana Ignatova and Dobayev, 2017)"},"properties":{"noteIndex":0},"schema":"https://github.com/citation-style-language/schema/raw/master/csl-citation.json"}</vt:lpwstr>
  </property>
  <property fmtid="{D5CDD505-2E9C-101B-9397-08002B2CF9AE}" pid="679" name="Mendeley Recent Style Name 187_1">
    <vt:lpwstr>(Tatyana Ignatova and Dobayev, 2017)</vt:lpwstr>
  </property>
  <property fmtid="{D5CDD505-2E9C-101B-9397-08002B2CF9AE}" pid="680" name="Mendeley Recent Style Id 188_1">
    <vt:lpwstr>(Tatyana Ignatova and Dobayev, 2017)</vt:lpwstr>
  </property>
  <property fmtid="{D5CDD505-2E9C-101B-9397-08002B2CF9AE}" pid="681" name="Mendeley Recent Style Name 188_1">
    <vt:lpwstr>(Tatyana Ignatova and Dobayev, 2017)</vt:lpwstr>
  </property>
  <property fmtid="{D5CDD505-2E9C-101B-9397-08002B2CF9AE}" pid="682" name="Mendeley Recent Style Id 189_1">
    <vt:lpwstr>ADDIN CSL_CITATION {"citationItems":[{"id":"ITEM-1","itemData":{"id":"ITEM-1","issued":{"date-parts":[["0"]]},"title":"Holy-Quran","type":"book"},"uris":["http://www.mendeley.com/documents/?uuid=f9fa377e-58aa-401f-80ab-8caf62735865"]}],"mendeley":{"format</vt:lpwstr>
  </property>
  <property fmtid="{D5CDD505-2E9C-101B-9397-08002B2CF9AE}" pid="683" name="Mendeley Recent Style Id 189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684" name="Mendeley Recent Style Id 189_3">
    <vt:lpwstr>l-citation.json"}</vt:lpwstr>
  </property>
  <property fmtid="{D5CDD505-2E9C-101B-9397-08002B2CF9AE}" pid="685" name="Mendeley Recent Style Name 189_1">
    <vt:lpwstr>(&lt;i&gt;Holy-Quran&lt;/i&gt;, n.d.)</vt:lpwstr>
  </property>
  <property fmtid="{D5CDD505-2E9C-101B-9397-08002B2CF9AE}" pid="686" name="Mendeley Recent Style Id 190_1">
    <vt:lpwstr>(&lt;i&gt;Holy-Quran&lt;/i&gt;, no date)</vt:lpwstr>
  </property>
  <property fmtid="{D5CDD505-2E9C-101B-9397-08002B2CF9AE}" pid="687" name="Mendeley Recent Style Name 190_1">
    <vt:lpwstr>(Holy-Quran, n.d.)</vt:lpwstr>
  </property>
  <property fmtid="{D5CDD505-2E9C-101B-9397-08002B2CF9AE}" pid="688" name="Mendeley Recent Style Id 191_1">
    <vt:lpwstr>ADDIN CSL_CITATION {"citationItems":[{"id":"ITEM-1","itemData":{"author":[{"dropping-particle":"","family":"Kahf","given":"Monzer","non-dropping-particle":"","parse-names":false,"suffix":""}],"container-title":"IIUM Journal of Economics and Management","i</vt:lpwstr>
  </property>
  <property fmtid="{D5CDD505-2E9C-101B-9397-08002B2CF9AE}" pid="689" name="Mendeley Recent Style Id 191_2">
    <vt:lpwstr>d":"ITEM-1","issue":"1","issued":{"date-parts":[["1989"]]},"page":"1-22","title":"Zakah Estimation in some Muslim Countries","type":"article-journal","volume":"2"},"uris":["http://www.mendeley.com/documents/?uuid=2b22dc03-9b1a-4a9c-a8e0-dc0744b63832"]}],"</vt:lpwstr>
  </property>
  <property fmtid="{D5CDD505-2E9C-101B-9397-08002B2CF9AE}" pid="690" name="Mendeley Recent Style Id 191_3">
    <vt:lpwstr>mendeley":{"formattedCitation":"(Kahf, 1989)","plainTextFormattedCitation":"(Kahf, 1989)","previouslyFormattedCitation":"(Kahf, 1989)"},"properties":{"noteIndex":0},"schema":"https://github.com/citation-style-language/schema/raw/master/csl-citation.json"}</vt:lpwstr>
  </property>
  <property fmtid="{D5CDD505-2E9C-101B-9397-08002B2CF9AE}" pid="691" name="Mendeley Recent Style Name 191_1">
    <vt:lpwstr>(Kahf, 1989)</vt:lpwstr>
  </property>
  <property fmtid="{D5CDD505-2E9C-101B-9397-08002B2CF9AE}" pid="692" name="Mendeley Recent Style Id 192_1">
    <vt:lpwstr>(Kahf, 1989)</vt:lpwstr>
  </property>
  <property fmtid="{D5CDD505-2E9C-101B-9397-08002B2CF9AE}" pid="693" name="Mendeley Recent Style Name 192_1">
    <vt:lpwstr>(Kahf, 1989)</vt:lpwstr>
  </property>
  <property fmtid="{D5CDD505-2E9C-101B-9397-08002B2CF9AE}" pid="694" name="Mendeley Recent Style Id 193_1">
    <vt:lpwstr>ADDIN CSL_CITATION {"citationItems":[{"id":"ITEM-1","itemData":{"author":[{"dropping-particle":"Al","family":"Qardawi","given":"Yusuf","non-dropping-particle":"","parse-names":false,"suffix":""}],"id":"ITEM-1","issued":{"date-parts":[["1999"]]},"number-of</vt:lpwstr>
  </property>
  <property fmtid="{D5CDD505-2E9C-101B-9397-08002B2CF9AE}" pid="695" name="Mendeley Recent Style Id 193_2">
    <vt:lpwstr>-pages":"345","publisher":"Scientific Publishing Centre King Abdulaziz University","publisher-place":"Jeddah","title":"Fiqh al zakah: A COMPARATIVE STUDY OF ZAKAH, REGULATIONS AND PHILOSOPHY IN THE LIGHT OF QUR'AN AND SUNNAH. Valume 2","type":"book"},"uri</vt:lpwstr>
  </property>
  <property fmtid="{D5CDD505-2E9C-101B-9397-08002B2CF9AE}" pid="696" name="Mendeley Recent Style Id 193_3">
    <vt:lpwstr>s":["http://www.mendeley.com/documents/?uuid=b284dfbf-68b7-4b90-9f5f-f8e383bbb736"]}],"mendeley":{"formattedCitation":"(Qardawi, 1999)","plainTextFormattedCitation":"(Qardawi, 1999)","previouslyFormattedCitation":"(Qardawi, 1999)"},"properties":{"noteInde</vt:lpwstr>
  </property>
  <property fmtid="{D5CDD505-2E9C-101B-9397-08002B2CF9AE}" pid="697" name="Mendeley Recent Style Id 193_4">
    <vt:lpwstr>x":0},"schema":"https://github.com/citation-style-language/schema/raw/master/csl-citation.json"}</vt:lpwstr>
  </property>
  <property fmtid="{D5CDD505-2E9C-101B-9397-08002B2CF9AE}" pid="698" name="Mendeley Recent Style Name 193_1">
    <vt:lpwstr>(Qardawi, 1999)</vt:lpwstr>
  </property>
  <property fmtid="{D5CDD505-2E9C-101B-9397-08002B2CF9AE}" pid="699" name="Mendeley Recent Style Id 194_1">
    <vt:lpwstr>(Qardawi, 1999)</vt:lpwstr>
  </property>
  <property fmtid="{D5CDD505-2E9C-101B-9397-08002B2CF9AE}" pid="700" name="Mendeley Recent Style Name 194_1">
    <vt:lpwstr>(Qardawi, 1999)</vt:lpwstr>
  </property>
  <property fmtid="{D5CDD505-2E9C-101B-9397-08002B2CF9AE}" pid="701" name="Mendeley Recent Style Id 195_1">
    <vt:lpwstr>ADDIN CSL_CITATION {"citationItems":[{"id":"ITEM-1","itemData":{"URL":"https://www.islamic-relief.org/zakat/nisab/","author":[{"dropping-particle":"","family":"Islamic Relief","given":"","non-dropping-particle":"","parse-names":false,"suffix":""}],"id":"I</vt:lpwstr>
  </property>
  <property fmtid="{D5CDD505-2E9C-101B-9397-08002B2CF9AE}" pid="702" name="Mendeley Recent Style Id 195_2">
    <vt:lpwstr>TEM-1","issue":"April","issued":{"date-parts":[["2019"]]},"title":"Nisab","type":"webpage"},"uris":["http://www.mendeley.com/documents/?uuid=7c821227-dfc6-4be2-8ef7-435e0b444749"]}],"mendeley":{"formattedCitation":"(Islamic Relief, 2019)","plainTextFormat</vt:lpwstr>
  </property>
  <property fmtid="{D5CDD505-2E9C-101B-9397-08002B2CF9AE}" pid="703" name="Mendeley Recent Style Id 195_3">
    <vt:lpwstr>tedCitation":"(Islamic Relief, 2019)","previouslyFormattedCitation":"(Islamic Relief, 2019)"},"properties":{"noteIndex":0},"schema":"https://github.com/citation-style-language/schema/raw/master/csl-citation.json"}</vt:lpwstr>
  </property>
  <property fmtid="{D5CDD505-2E9C-101B-9397-08002B2CF9AE}" pid="704" name="Mendeley Recent Style Name 195_1">
    <vt:lpwstr>(Islamic Relief, 2019)</vt:lpwstr>
  </property>
  <property fmtid="{D5CDD505-2E9C-101B-9397-08002B2CF9AE}" pid="705" name="Mendeley Recent Style Id 196_1">
    <vt:lpwstr>(Islamic Relief, 2019)</vt:lpwstr>
  </property>
  <property fmtid="{D5CDD505-2E9C-101B-9397-08002B2CF9AE}" pid="706" name="Mendeley Recent Style Name 196_1">
    <vt:lpwstr>(Islamic Relief, 2019)</vt:lpwstr>
  </property>
  <property fmtid="{D5CDD505-2E9C-101B-9397-08002B2CF9AE}" pid="707" name="Mendeley Recent Style Id 197_1">
    <vt:lpwstr>ADDIN CSL_CITATION {"citationItems":[{"id":"ITEM-1","itemData":{"author":[{"dropping-particle":"","family":"Kahf","given":"Monzer","non-dropping-particle":"","parse-names":false,"suffix":""}],"container-title":"IIUM Journal of Economics and Management","i</vt:lpwstr>
  </property>
  <property fmtid="{D5CDD505-2E9C-101B-9397-08002B2CF9AE}" pid="708" name="Mendeley Recent Style Id 197_2">
    <vt:lpwstr>d":"ITEM-1","issue":"1","issued":{"date-parts":[["1989"]]},"page":"1-22","title":"Zakah Estimation in some Muslim Countries","type":"article-journal","volume":"2"},"uris":["http://www.mendeley.com/documents/?uuid=2b22dc03-9b1a-4a9c-a8e0-dc0744b63832"]}],"</vt:lpwstr>
  </property>
  <property fmtid="{D5CDD505-2E9C-101B-9397-08002B2CF9AE}" pid="709" name="Mendeley Recent Style Id 197_3">
    <vt:lpwstr>mendeley":{"formattedCitation":"(Kahf, 1989)","plainTextFormattedCitation":"(Kahf, 1989)","previouslyFormattedCitation":"(Kahf, 1989)"},"properties":{"noteIndex":0},"schema":"https://github.com/citation-style-language/schema/raw/master/csl-citation.json"}</vt:lpwstr>
  </property>
  <property fmtid="{D5CDD505-2E9C-101B-9397-08002B2CF9AE}" pid="710" name="Mendeley Recent Style Name 197_1">
    <vt:lpwstr>(Kahf, 1989)</vt:lpwstr>
  </property>
  <property fmtid="{D5CDD505-2E9C-101B-9397-08002B2CF9AE}" pid="711" name="Mendeley Recent Style Id 198_1">
    <vt:lpwstr>(Kahf, 1989)</vt:lpwstr>
  </property>
  <property fmtid="{D5CDD505-2E9C-101B-9397-08002B2CF9AE}" pid="712" name="Mendeley Recent Style Name 198_1">
    <vt:lpwstr>(Kahf, 1989)</vt:lpwstr>
  </property>
  <property fmtid="{D5CDD505-2E9C-101B-9397-08002B2CF9AE}" pid="713" name="Mendeley Recent Style Id 199_1">
    <vt:lpwstr>ADDIN CSL_CITATION {"citationItems":[{"id":"ITEM-1","itemData":{"author":[{"dropping-particle":"","family":"Chartered Institute for Securities &amp; Investment","given":"","non-dropping-particle":"","parse-names":false,"suffix":""}],"edition":"8","editor":[{"</vt:lpwstr>
  </property>
  <property fmtid="{D5CDD505-2E9C-101B-9397-08002B2CF9AE}" pid="714" name="Mendeley Recent Style Id 199_2">
    <vt:lpwstr>dropping-particle":"","family":"Shikder","given":"Muhammad Nurullah","non-dropping-particle":"","parse-names":false,"suffix":""}],"id":"ITEM-1","issued":{"date-parts":[["2018"]]},"number-of-pages":"294","publisher-place":"London","title":"Islamic Finance </vt:lpwstr>
  </property>
  <property fmtid="{D5CDD505-2E9C-101B-9397-08002B2CF9AE}" pid="715" name="Mendeley Recent Style Id 199_3">
    <vt:lpwstr>Qualification ( IFQ )","type":"book"},"uris":["http://www.mendeley.com/documents/?uuid=49a2d784-2f26-46b9-99ff-208ad5d456ee"]}],"mendeley":{"formattedCitation":"(Chartered Institute for Securities &amp; Investment, 2018)","plainTextFormattedCitation":"(Charte</vt:lpwstr>
  </property>
  <property fmtid="{D5CDD505-2E9C-101B-9397-08002B2CF9AE}" pid="716" name="Mendeley Recent Style Id 199_4">
    <vt:lpwstr>red Institute for Securities &amp; Investment, 2018)","previouslyFormattedCitation":"(Chartered Institute for Securities &amp; Investment, 2018)"},"properties":{"noteIndex":0},"schema":"https://github.com/citation-style-language/schema/raw/master/csl-citation.jso</vt:lpwstr>
  </property>
  <property fmtid="{D5CDD505-2E9C-101B-9397-08002B2CF9AE}" pid="717" name="Mendeley Recent Style Id 199_5">
    <vt:lpwstr>n"}</vt:lpwstr>
  </property>
  <property fmtid="{D5CDD505-2E9C-101B-9397-08002B2CF9AE}" pid="718" name="Mendeley Recent Style Name 199_1">
    <vt:lpwstr>(Chartered Institute for Securities &amp; Investment, 2018)</vt:lpwstr>
  </property>
  <property fmtid="{D5CDD505-2E9C-101B-9397-08002B2CF9AE}" pid="719" name="Mendeley Recent Style Id 200_1">
    <vt:lpwstr>(Chartered Institute for Securities &amp; Investment, 2018)</vt:lpwstr>
  </property>
  <property fmtid="{D5CDD505-2E9C-101B-9397-08002B2CF9AE}" pid="720" name="Mendeley Recent Style Name 200_1">
    <vt:lpwstr>(Chartered Institute for Securities &amp; Investment, 2018)</vt:lpwstr>
  </property>
  <property fmtid="{D5CDD505-2E9C-101B-9397-08002B2CF9AE}" pid="721" name="Mendeley Recent Style Id 201_1">
    <vt:lpwstr>ADDIN CSL_CITATION {"citationItems":[{"id":"ITEM-1","itemData":{"author":[{"dropping-particle":"","family":"Kahf","given":"Monzer","non-dropping-particle":"","parse-names":false,"suffix":""}],"id":"ITEM-1","issued":{"date-parts":[["2013"]]},"number-of-pag</vt:lpwstr>
  </property>
  <property fmtid="{D5CDD505-2E9C-101B-9397-08002B2CF9AE}" pid="722" name="Mendeley Recent Style Id 201_2">
    <vt:lpwstr>es":"18","title":"Zakah","type":"report"},"uris":["http://www.mendeley.com/documents/?uuid=d2f2aebb-239f-43a6-a889-beeb84aa9d22"]}],"mendeley":{"formattedCitation":"(Kahf, 2013)","plainTextFormattedCitation":"(Kahf, 2013)","previouslyFormattedCitation":"(</vt:lpwstr>
  </property>
  <property fmtid="{D5CDD505-2E9C-101B-9397-08002B2CF9AE}" pid="723" name="Mendeley Recent Style Id 201_3">
    <vt:lpwstr>Kahf, 2013)"},"properties":{"noteIndex":0},"schema":"https://github.com/citation-style-language/schema/raw/master/csl-citation.json"}</vt:lpwstr>
  </property>
  <property fmtid="{D5CDD505-2E9C-101B-9397-08002B2CF9AE}" pid="724" name="Mendeley Recent Style Name 201_1">
    <vt:lpwstr>(Kahf, 2013)</vt:lpwstr>
  </property>
  <property fmtid="{D5CDD505-2E9C-101B-9397-08002B2CF9AE}" pid="725" name="Mendeley Recent Style Id 202_1">
    <vt:lpwstr>(Kahf, 2013)</vt:lpwstr>
  </property>
  <property fmtid="{D5CDD505-2E9C-101B-9397-08002B2CF9AE}" pid="726" name="Mendeley Recent Style Name 202_1">
    <vt:lpwstr>(Kahf, 2013)</vt:lpwstr>
  </property>
  <property fmtid="{D5CDD505-2E9C-101B-9397-08002B2CF9AE}" pid="727" name="Mendeley Recent Style Id 203_1">
    <vt:lpwstr>ADDIN CSL_CITATION {"citationItems":[{"id":"ITEM-1","itemData":{"URL":"https://www.cia.gov/library/publications/the-world-factbook/geos/id.html","id":"ITEM-1","issued":{"date-parts":[["2018"]]},"title":"www.cia.qov","type":"webpage"},"uris":["http://www.m</vt:lpwstr>
  </property>
  <property fmtid="{D5CDD505-2E9C-101B-9397-08002B2CF9AE}" pid="728" name="Mendeley Recent Style Id 203_2">
    <vt:lpwstr>endeley.com/documents/?uuid=2b7a7c8c-73c8-4e9c-b5db-f54cae5254fc"]}],"mendeley":{"formattedCitation":"(“www.cia.qov”, 2018)","manualFormatting":"(www.cia.qov. 2018)","plainTextFormattedCitation":"(“www.cia.qov”, 2018)","previouslyFormattedCitation":"(&lt;i&gt;w</vt:lpwstr>
  </property>
  <property fmtid="{D5CDD505-2E9C-101B-9397-08002B2CF9AE}" pid="729" name="Mendeley Recent Style Id 203_3">
    <vt:lpwstr>ww.cia.qov&lt;/i&gt;, 2018)"},"properties":{"noteIndex":0},"schema":"https://github.com/citation-style-language/schema/raw/master/csl-citation.json"}</vt:lpwstr>
  </property>
  <property fmtid="{D5CDD505-2E9C-101B-9397-08002B2CF9AE}" pid="730" name="Mendeley Recent Style Id 204_1">
    <vt:lpwstr>(&lt;i&gt;www.cia.qov&lt;/i&gt;, 2018)</vt:lpwstr>
  </property>
  <property fmtid="{D5CDD505-2E9C-101B-9397-08002B2CF9AE}" pid="731" name="Mendeley Recent Style Name 204_1">
    <vt:lpwstr>(“www.cia.qov”, 2018)</vt:lpwstr>
  </property>
  <property fmtid="{D5CDD505-2E9C-101B-9397-08002B2CF9AE}" pid="732" name="Mendeley Recent Style Id 205_1">
    <vt:lpwstr>ADDIN CSL_CITATION {"citationItems":[{"id":"ITEM-1","itemData":{"author":[{"dropping-particle":"","family":"Mohammed Obaidullah","given":"","non-dropping-particle":"","parse-names":false,"suffix":""},{"dropping-particle":"","family":"Shirazi","given":"Nas</vt:lpwstr>
  </property>
  <property fmtid="{D5CDD505-2E9C-101B-9397-08002B2CF9AE}" pid="733" name="Mendeley Recent Style Id 205_2">
    <vt:lpwstr>in","non-dropping-particle":"","parse-names":false,"suffix":""},{"dropping-particle":"","family":"Izhar","given":"Hylmun","non-dropping-particle":"","parse-names":false,"suffix":""}],"id":"ITEM-1","issued":{"date-parts":[["2014"]]},"number-of-pages":"64",</vt:lpwstr>
  </property>
  <property fmtid="{D5CDD505-2E9C-101B-9397-08002B2CF9AE}" pid="734" name="Mendeley Recent Style Id 205_3">
    <vt:lpwstr>"title":"Islamic Social Finance Report 2014","type":"report"},"uris":["http://www.mendeley.com/documents/?uuid=3412c744-98ed-4f0e-9077-be63648371bc"]}],"mendeley":{"formattedCitation":"(Mohammed Obaidullah &lt;i&gt;et al.&lt;/i&gt;, 2014)","plainTextFormattedCitation</vt:lpwstr>
  </property>
  <property fmtid="{D5CDD505-2E9C-101B-9397-08002B2CF9AE}" pid="735" name="Mendeley Recent Style Id 205_4">
    <vt:lpwstr>":"(Mohammed Obaidullah et al., 2014)","previouslyFormattedCitation":"(Mohammed Obaidullah, Shirazi and Izhar, 2014)"},"properties":{"noteIndex":0},"schema":"https://github.com/citation-style-language/schema/raw/master/csl-citation.json"}</vt:lpwstr>
  </property>
  <property fmtid="{D5CDD505-2E9C-101B-9397-08002B2CF9AE}" pid="736" name="Mendeley Recent Style Name 205_1">
    <vt:lpwstr>(Mohammed Obaidullah &lt;i&gt;et al.&lt;/i&gt;, 2014)</vt:lpwstr>
  </property>
  <property fmtid="{D5CDD505-2E9C-101B-9397-08002B2CF9AE}" pid="737" name="Mendeley Recent Style Id 206_1">
    <vt:lpwstr>(Mohammed Obaidullah, Shirazi and Izhar, 2014)</vt:lpwstr>
  </property>
  <property fmtid="{D5CDD505-2E9C-101B-9397-08002B2CF9AE}" pid="738" name="Mendeley Recent Style Name 206_1">
    <vt:lpwstr>(Mohammed Obaidullah et al., 2014)</vt:lpwstr>
  </property>
  <property fmtid="{D5CDD505-2E9C-101B-9397-08002B2CF9AE}" pid="739" name="Mendeley Recent Style Id 207_1">
    <vt:lpwstr>ADDIN CSL_CITATION {"citationItems":[{"id":"ITEM-1","itemData":{"URL":"http://www.pbs.gov.pk/sites/default/files//tables/POPULATION BY RELIGION.pdf","id":"ITEM-1","issued":{"date-parts":[["2017"]]},"title":"www.pbs.gov.pk","type":"webpage"},"uris":["http:</vt:lpwstr>
  </property>
  <property fmtid="{D5CDD505-2E9C-101B-9397-08002B2CF9AE}" pid="740" name="Mendeley Recent Style Id 207_2">
    <vt:lpwstr>//www.mendeley.com/documents/?uuid=0b117158-6c4b-48fb-a998-bd340e2082f7"]}],"mendeley":{"formattedCitation":"(“www.pbs.gov.pk”, 2017)","manualFormatting":"(www.pbs.gov.pk. 2017)","plainTextFormattedCitation":"(“www.pbs.gov.pk”, 2017)","previouslyFormatted</vt:lpwstr>
  </property>
  <property fmtid="{D5CDD505-2E9C-101B-9397-08002B2CF9AE}" pid="741" name="Mendeley Recent Style Id 207_3">
    <vt:lpwstr>Citation":"(&lt;i&gt;www.pbs.gov.pk&lt;/i&gt;, 2017)"},"properties":{"noteIndex":0},"schema":"https://github.com/citation-style-language/schema/raw/master/csl-citation.json"}</vt:lpwstr>
  </property>
  <property fmtid="{D5CDD505-2E9C-101B-9397-08002B2CF9AE}" pid="742" name="Mendeley Recent Style Id 208_1">
    <vt:lpwstr>(&lt;i&gt;www.pbs.gov.pk&lt;/i&gt;, 2017)</vt:lpwstr>
  </property>
  <property fmtid="{D5CDD505-2E9C-101B-9397-08002B2CF9AE}" pid="743" name="Mendeley Recent Style Name 208_1">
    <vt:lpwstr>(“www.pbs.gov.pk”, 2017)</vt:lpwstr>
  </property>
  <property fmtid="{D5CDD505-2E9C-101B-9397-08002B2CF9AE}" pid="744" name="Mendeley Recent Style Id 209_1">
    <vt:lpwstr>ADDIN CSL_CITATION {"citationItems":[{"id":"ITEM-1","itemData":{"author":[{"dropping-particle":"","family":"Mohammed Obaidullah","given":"","non-dropping-particle":"","parse-names":false,"suffix":""},{"dropping-particle":"","family":"Shirazi","given":"Nas</vt:lpwstr>
  </property>
  <property fmtid="{D5CDD505-2E9C-101B-9397-08002B2CF9AE}" pid="745" name="Mendeley Recent Style Id 209_2">
    <vt:lpwstr>in","non-dropping-particle":"","parse-names":false,"suffix":""},{"dropping-particle":"","family":"Izhar","given":"Hylmun","non-dropping-particle":"","parse-names":false,"suffix":""}],"id":"ITEM-1","issued":{"date-parts":[["2014"]]},"number-of-pages":"64",</vt:lpwstr>
  </property>
  <property fmtid="{D5CDD505-2E9C-101B-9397-08002B2CF9AE}" pid="746" name="Mendeley Recent Style Id 209_3">
    <vt:lpwstr>"title":"Islamic Social Finance Report 2014","type":"report"},"uris":["http://www.mendeley.com/documents/?uuid=3412c744-98ed-4f0e-9077-be63648371bc"]}],"mendeley":{"formattedCitation":"(Mohammed Obaidullah &lt;i&gt;et al.&lt;/i&gt;, 2014)","plainTextFormattedCitation</vt:lpwstr>
  </property>
  <property fmtid="{D5CDD505-2E9C-101B-9397-08002B2CF9AE}" pid="747" name="Mendeley Recent Style Id 209_4">
    <vt:lpwstr>":"(Mohammed Obaidullah et al., 2014)","previouslyFormattedCitation":"(Mohammed Obaidullah, Shirazi and Izhar, 2014)"},"properties":{"noteIndex":0},"schema":"https://github.com/citation-style-language/schema/raw/master/csl-citation.json"}</vt:lpwstr>
  </property>
  <property fmtid="{D5CDD505-2E9C-101B-9397-08002B2CF9AE}" pid="748" name="Mendeley Recent Style Name 209_1">
    <vt:lpwstr>(Mohammed Obaidullah &lt;i&gt;et al.&lt;/i&gt;, 2014)</vt:lpwstr>
  </property>
  <property fmtid="{D5CDD505-2E9C-101B-9397-08002B2CF9AE}" pid="749" name="Mendeley Recent Style Id 210_1">
    <vt:lpwstr>(Mohammed Obaidullah, Shirazi and Izhar, 2014)</vt:lpwstr>
  </property>
  <property fmtid="{D5CDD505-2E9C-101B-9397-08002B2CF9AE}" pid="750" name="Mendeley Recent Style Name 210_1">
    <vt:lpwstr>(Mohammed Obaidullah et al., 2014)</vt:lpwstr>
  </property>
  <property fmtid="{D5CDD505-2E9C-101B-9397-08002B2CF9AE}" pid="751" name="Mendeley Recent Style Id 211_1">
    <vt:lpwstr>ADDIN CSL_CITATION {"citationItems":[{"id":"ITEM-1","itemData":{"author":[{"dropping-particle":"","family":"Mohammed Obaidullah","given":"","non-dropping-particle":"","parse-names":false,"suffix":""},{"dropping-particle":"","family":"Shirazi","given":"Nas</vt:lpwstr>
  </property>
  <property fmtid="{D5CDD505-2E9C-101B-9397-08002B2CF9AE}" pid="752" name="Mendeley Recent Style Id 211_2">
    <vt:lpwstr>in","non-dropping-particle":"","parse-names":false,"suffix":""},{"dropping-particle":"","family":"Izhar","given":"Hylmun","non-dropping-particle":"","parse-names":false,"suffix":""}],"id":"ITEM-1","issued":{"date-parts":[["2014"]]},"number-of-pages":"64",</vt:lpwstr>
  </property>
  <property fmtid="{D5CDD505-2E9C-101B-9397-08002B2CF9AE}" pid="753" name="Mendeley Recent Style Id 211_3">
    <vt:lpwstr>"title":"Islamic Social Finance Report 2014","type":"report"},"uris":["http://www.mendeley.com/documents/?uuid=3412c744-98ed-4f0e-9077-be63648371bc"]}],"mendeley":{"formattedCitation":"(Mohammed Obaidullah &lt;i&gt;et al.&lt;/i&gt;, 2014)","plainTextFormattedCitation</vt:lpwstr>
  </property>
  <property fmtid="{D5CDD505-2E9C-101B-9397-08002B2CF9AE}" pid="754" name="Mendeley Recent Style Id 211_4">
    <vt:lpwstr>":"(Mohammed Obaidullah et al., 2014)","previouslyFormattedCitation":"(Mohammed Obaidullah, Shirazi and Izhar, 2014)"},"properties":{"noteIndex":0},"schema":"https://github.com/citation-style-language/schema/raw/master/csl-citation.json"}</vt:lpwstr>
  </property>
  <property fmtid="{D5CDD505-2E9C-101B-9397-08002B2CF9AE}" pid="755" name="Mendeley Recent Style Name 211_1">
    <vt:lpwstr>(Mohammed Obaidullah &lt;i&gt;et al.&lt;/i&gt;, 2014)</vt:lpwstr>
  </property>
  <property fmtid="{D5CDD505-2E9C-101B-9397-08002B2CF9AE}" pid="756" name="Mendeley Recent Style Id 212_1">
    <vt:lpwstr>(Mohammed Obaidullah, Shirazi and Izhar, 2014)</vt:lpwstr>
  </property>
  <property fmtid="{D5CDD505-2E9C-101B-9397-08002B2CF9AE}" pid="757" name="Mendeley Recent Style Name 212_1">
    <vt:lpwstr>(Mohammed Obaidullah et al., 2014)</vt:lpwstr>
  </property>
  <property fmtid="{D5CDD505-2E9C-101B-9397-08002B2CF9AE}" pid="758" name="Mendeley Recent Style Id 213_1">
    <vt:lpwstr>ADDIN CSL_CITATION {"citationItems":[{"id":"ITEM-1","itemData":{"author":[{"dropping-particle":"","family":"Mohammed Obaidullah","given":"","non-dropping-particle":"","parse-names":false,"suffix":""},{"dropping-particle":"","family":"Shirazi","given":"Nas</vt:lpwstr>
  </property>
  <property fmtid="{D5CDD505-2E9C-101B-9397-08002B2CF9AE}" pid="759" name="Mendeley Recent Style Id 213_2">
    <vt:lpwstr>in","non-dropping-particle":"","parse-names":false,"suffix":""},{"dropping-particle":"","family":"Izhar","given":"Hylmun","non-dropping-particle":"","parse-names":false,"suffix":""}],"id":"ITEM-1","issued":{"date-parts":[["2014"]]},"number-of-pages":"64",</vt:lpwstr>
  </property>
  <property fmtid="{D5CDD505-2E9C-101B-9397-08002B2CF9AE}" pid="760" name="Mendeley Recent Style Id 213_3">
    <vt:lpwstr>"title":"Islamic Social Finance Report 2014","type":"report"},"uris":["http://www.mendeley.com/documents/?uuid=3412c744-98ed-4f0e-9077-be63648371bc"]}],"mendeley":{"formattedCitation":"(Mohammed Obaidullah &lt;i&gt;et al.&lt;/i&gt;, 2014)","plainTextFormattedCitation</vt:lpwstr>
  </property>
  <property fmtid="{D5CDD505-2E9C-101B-9397-08002B2CF9AE}" pid="761" name="Mendeley Recent Style Id 213_4">
    <vt:lpwstr>":"(Mohammed Obaidullah et al., 2014)","previouslyFormattedCitation":"(Mohammed Obaidullah, Shirazi and Izhar, 2014)"},"properties":{"noteIndex":0},"schema":"https://github.com/citation-style-language/schema/raw/master/csl-citation.json"}</vt:lpwstr>
  </property>
  <property fmtid="{D5CDD505-2E9C-101B-9397-08002B2CF9AE}" pid="762" name="Mendeley Recent Style Name 213_1">
    <vt:lpwstr>(Mohammed Obaidullah &lt;i&gt;et al.&lt;/i&gt;, 2014)</vt:lpwstr>
  </property>
  <property fmtid="{D5CDD505-2E9C-101B-9397-08002B2CF9AE}" pid="763" name="Mendeley Recent Style Id 214_1">
    <vt:lpwstr>(Mohammed Obaidullah, Shirazi and Izhar, 2014)</vt:lpwstr>
  </property>
  <property fmtid="{D5CDD505-2E9C-101B-9397-08002B2CF9AE}" pid="764" name="Mendeley Recent Style Name 214_1">
    <vt:lpwstr>(Mohammed Obaidullah et al., 2014)</vt:lpwstr>
  </property>
  <property fmtid="{D5CDD505-2E9C-101B-9397-08002B2CF9AE}" pid="765" name="Mendeley Recent Style Id 215_1">
    <vt:lpwstr>ADDIN CSL_CITATION {"citationItems":[{"id":"ITEM-1","itemData":{"DOI":"10.30541/v48i4iipp.739-754","ISSN":"00309729","abstract":"This paper is the extended and updated version of Shirazi (2006), which covers 38 OIC-member countries. The paper estimates th</vt:lpwstr>
  </property>
  <property fmtid="{D5CDD505-2E9C-101B-9397-08002B2CF9AE}" pid="766" name="Mendeley Recent Style Id 215_2">
    <vt:lpwstr>e resource required and potential zakat collection for poverty elimination. The paper employed the poverty gap index based on US $1.25 a day and US $2.0 a day estimated by the World Bank (2009). Zakat potential has been estimated by employing Kahf (1989) </vt:lpwstr>
  </property>
  <property fmtid="{D5CDD505-2E9C-101B-9397-08002B2CF9AE}" pid="767" name="Mendeley Recent Style Id 215_3">
    <vt:lpwstr>method of estimation with some modifications. The paper finds that half of the sample countries not only meet their resource shortfall by potential zakat collection but also generate surplus funds which are sufficient for the resource deficit countries. T</vt:lpwstr>
  </property>
  <property fmtid="{D5CDD505-2E9C-101B-9397-08002B2CF9AE}" pid="768" name="Mendeley Recent Style Id 215_4">
    <vt:lpwstr>he paper suggests pooling of zakat funds from the zakat surplus countries and providing for the resource deficit countries to eliminate the poverty.","author":[{"dropping-particle":"","family":"Shirazi","given":"Nasim Shah","non-dropping-particle":"","par</vt:lpwstr>
  </property>
  <property fmtid="{D5CDD505-2E9C-101B-9397-08002B2CF9AE}" pid="769" name="Mendeley Recent Style Id 215_5">
    <vt:lpwstr>se-names":false,"suffix":""},{"dropping-particle":"","family":"Amin","given":"Md Fouad","non-dropping-particle":"Bin","parse-names":false,"suffix":""}],"container-title":"Pakistan Development Review","id":"ITEM-1","issue":"4","issued":{"date-parts":[["200</vt:lpwstr>
  </property>
  <property fmtid="{D5CDD505-2E9C-101B-9397-08002B2CF9AE}" pid="770" name="Mendeley Recent Style Id 215_6">
    <vt:lpwstr>9"]]},"page":"739-753","title":"Poverty elimination through potential zakat collection in the OIC-member countries: Revisited","type":"article-journal","volume":"48"},"uris":["http://www.mendeley.com/documents/?uuid=2ad38256-f6cf-4b3a-872e-0d9b79691f48"]}</vt:lpwstr>
  </property>
  <property fmtid="{D5CDD505-2E9C-101B-9397-08002B2CF9AE}" pid="771" name="Mendeley Recent Style Id 215_7">
    <vt:lpwstr>],"mendeley":{"formattedCitation":"(Shirazi and Bin Amin, 2009)","plainTextFormattedCitation":"(Shirazi and Bin Amin, 2009)","previouslyFormattedCitation":"(Shirazi and Bin Amin, 2009)"},"properties":{"noteIndex":0},"schema":"https://github.com/citation-s</vt:lpwstr>
  </property>
  <property fmtid="{D5CDD505-2E9C-101B-9397-08002B2CF9AE}" pid="772" name="Mendeley Recent Style Id 215_8">
    <vt:lpwstr>tyle-language/schema/raw/master/csl-citation.json"}</vt:lpwstr>
  </property>
  <property fmtid="{D5CDD505-2E9C-101B-9397-08002B2CF9AE}" pid="773" name="Mendeley Recent Style Name 215_1">
    <vt:lpwstr>(Shirazi and Bin Amin, 2009)</vt:lpwstr>
  </property>
  <property fmtid="{D5CDD505-2E9C-101B-9397-08002B2CF9AE}" pid="774" name="Mendeley Recent Style Id 216_1">
    <vt:lpwstr>(Shirazi and Bin Amin, 2009)</vt:lpwstr>
  </property>
  <property fmtid="{D5CDD505-2E9C-101B-9397-08002B2CF9AE}" pid="775" name="Mendeley Recent Style Name 216_1">
    <vt:lpwstr>(Shirazi and Bin Amin, 2009)</vt:lpwstr>
  </property>
  <property fmtid="{D5CDD505-2E9C-101B-9397-08002B2CF9AE}" pid="776" name="Mendeley Recent Style Id 217_1">
    <vt:lpwstr>ADDIN CSL_CITATION {"citationItems":[{"id":"ITEM-1","itemData":{"author":[{"dropping-particle":"","family":"Kahf","given":"Monzer","non-dropping-particle":"","parse-names":false,"suffix":""}],"container-title":"IIUM Journal of Economics and Management","i</vt:lpwstr>
  </property>
  <property fmtid="{D5CDD505-2E9C-101B-9397-08002B2CF9AE}" pid="777" name="Mendeley Recent Style Id 217_2">
    <vt:lpwstr>d":"ITEM-1","issue":"1","issued":{"date-parts":[["1989"]]},"page":"1-22","title":"Zakah Estimation in some Muslim Countries","type":"article-journal","volume":"2"},"uris":["http://www.mendeley.com/documents/?uuid=2b22dc03-9b1a-4a9c-a8e0-dc0744b63832"]}],"</vt:lpwstr>
  </property>
  <property fmtid="{D5CDD505-2E9C-101B-9397-08002B2CF9AE}" pid="778" name="Mendeley Recent Style Id 217_3">
    <vt:lpwstr>mendeley":{"formattedCitation":"(Kahf, 1989)","plainTextFormattedCitation":"(Kahf, 1989)","previouslyFormattedCitation":"(Kahf, 1989)"},"properties":{"noteIndex":0},"schema":"https://github.com/citation-style-language/schema/raw/master/csl-citation.json"}</vt:lpwstr>
  </property>
  <property fmtid="{D5CDD505-2E9C-101B-9397-08002B2CF9AE}" pid="779" name="Mendeley Recent Style Name 217_1">
    <vt:lpwstr>(Kahf, 1989)</vt:lpwstr>
  </property>
  <property fmtid="{D5CDD505-2E9C-101B-9397-08002B2CF9AE}" pid="780" name="Mendeley Recent Style Id 218_1">
    <vt:lpwstr>(Kahf, 1989)</vt:lpwstr>
  </property>
  <property fmtid="{D5CDD505-2E9C-101B-9397-08002B2CF9AE}" pid="781" name="Mendeley Recent Style Name 218_1">
    <vt:lpwstr>(Kahf, 1989)</vt:lpwstr>
  </property>
  <property fmtid="{D5CDD505-2E9C-101B-9397-08002B2CF9AE}" pid="782" name="Mendeley Recent Style Id 219_1">
    <vt:lpwstr>ADDIN CSL_CITATION {"citationItems":[{"id":"ITEM-1","itemData":{"author":[{"dropping-particle":"","family":"Kahf","given":"Monzer","non-dropping-particle":"","parse-names":false,"suffix":""}],"container-title":"IIUM Journal of Economics and Management","i</vt:lpwstr>
  </property>
  <property fmtid="{D5CDD505-2E9C-101B-9397-08002B2CF9AE}" pid="783" name="Mendeley Recent Style Id 219_2">
    <vt:lpwstr>d":"ITEM-1","issue":"1","issued":{"date-parts":[["1989"]]},"page":"1-22","title":"Zakah Estimation in some Muslim Countries","type":"article-journal","volume":"2"},"uris":["http://www.mendeley.com/documents/?uuid=2b22dc03-9b1a-4a9c-a8e0-dc0744b63832"]}],"</vt:lpwstr>
  </property>
  <property fmtid="{D5CDD505-2E9C-101B-9397-08002B2CF9AE}" pid="784" name="Mendeley Recent Style Id 219_3">
    <vt:lpwstr>mendeley":{"formattedCitation":"(Kahf, 1989)","plainTextFormattedCitation":"(Kahf, 1989)","previouslyFormattedCitation":"(Kahf, 1989)"},"properties":{"noteIndex":0},"schema":"https://github.com/citation-style-language/schema/raw/master/csl-citation.json"}</vt:lpwstr>
  </property>
  <property fmtid="{D5CDD505-2E9C-101B-9397-08002B2CF9AE}" pid="785" name="Mendeley Recent Style Name 219_1">
    <vt:lpwstr>(Kahf, 1989)</vt:lpwstr>
  </property>
  <property fmtid="{D5CDD505-2E9C-101B-9397-08002B2CF9AE}" pid="786" name="Mendeley Recent Style Id 220_1">
    <vt:lpwstr>(Kahf, 1989)</vt:lpwstr>
  </property>
  <property fmtid="{D5CDD505-2E9C-101B-9397-08002B2CF9AE}" pid="787" name="Mendeley Recent Style Name 220_1">
    <vt:lpwstr>(Kahf, 1989)</vt:lpwstr>
  </property>
  <property fmtid="{D5CDD505-2E9C-101B-9397-08002B2CF9AE}" pid="788" name="Mendeley Recent Style Id 221_1">
    <vt:lpwstr>ADDIN CSL_CITATION {"citationItems":[{"id":"ITEM-1","itemData":{"author":[{"dropping-particle":"","family":"Mohammed Obaidullah","given":"","non-dropping-particle":"","parse-names":false,"suffix":""},{"dropping-particle":"","family":"Shirazi","given":"Nas</vt:lpwstr>
  </property>
  <property fmtid="{D5CDD505-2E9C-101B-9397-08002B2CF9AE}" pid="789" name="Mendeley Recent Style Id 221_2">
    <vt:lpwstr>in","non-dropping-particle":"","parse-names":false,"suffix":""},{"dropping-particle":"","family":"Izhar","given":"Hylmun","non-dropping-particle":"","parse-names":false,"suffix":""}],"id":"ITEM-1","issued":{"date-parts":[["2014"]]},"number-of-pages":"64",</vt:lpwstr>
  </property>
  <property fmtid="{D5CDD505-2E9C-101B-9397-08002B2CF9AE}" pid="790" name="Mendeley Recent Style Id 221_3">
    <vt:lpwstr>"title":"Islamic Social Finance Report 2014","type":"report"},"uris":["http://www.mendeley.com/documents/?uuid=3412c744-98ed-4f0e-9077-be63648371bc"]}],"mendeley":{"formattedCitation":"(Mohammed Obaidullah &lt;i&gt;et al.&lt;/i&gt;, 2014)","plainTextFormattedCitation</vt:lpwstr>
  </property>
  <property fmtid="{D5CDD505-2E9C-101B-9397-08002B2CF9AE}" pid="791" name="Mendeley Recent Style Id 221_4">
    <vt:lpwstr>":"(Mohammed Obaidullah et al., 2014)","previouslyFormattedCitation":"(Mohammed Obaidullah, Shirazi and Izhar, 2014)"},"properties":{"noteIndex":0},"schema":"https://github.com/citation-style-language/schema/raw/master/csl-citation.json"}</vt:lpwstr>
  </property>
  <property fmtid="{D5CDD505-2E9C-101B-9397-08002B2CF9AE}" pid="792" name="Mendeley Recent Style Name 221_1">
    <vt:lpwstr>(Mohammed Obaidullah &lt;i&gt;et al.&lt;/i&gt;, 2014)</vt:lpwstr>
  </property>
  <property fmtid="{D5CDD505-2E9C-101B-9397-08002B2CF9AE}" pid="793" name="Mendeley Recent Style Id 222_1">
    <vt:lpwstr>(Mohammed Obaidullah, Shirazi and Izhar, 2014)</vt:lpwstr>
  </property>
  <property fmtid="{D5CDD505-2E9C-101B-9397-08002B2CF9AE}" pid="794" name="Mendeley Recent Style Name 222_1">
    <vt:lpwstr>(Mohammed Obaidullah et al., 2014)</vt:lpwstr>
  </property>
  <property fmtid="{D5CDD505-2E9C-101B-9397-08002B2CF9AE}" pid="795" name="Mendeley Recent Style Id 223_1">
    <vt:lpwstr>ADDIN CSL_CITATION {"citationItems":[{"id":"ITEM-1","itemData":{"DOI":"10.4337/9781784710736.00018","author":[{"dropping-particle":"","family":"Hassan","given":"M.","non-dropping-particle":"","parse-names":false,"suffix":""},{"dropping-particle":"","famil</vt:lpwstr>
  </property>
  <property fmtid="{D5CDD505-2E9C-101B-9397-08002B2CF9AE}" pid="796" name="Mendeley Recent Style Id 223_2">
    <vt:lpwstr>y":"Shirazi","given":"Nasim Shah","non-dropping-particle":"","parse-names":false,"suffix":""}],"container-title":"Handbook of Empirical Research on Islam and Economic Life","id":"ITEM-1","issued":{"date-parts":[["2017"]]},"page":"253-272","title":"Social </vt:lpwstr>
  </property>
  <property fmtid="{D5CDD505-2E9C-101B-9397-08002B2CF9AE}" pid="797" name="Mendeley Recent Style Id 223_3">
    <vt:lpwstr>tax and transfers for poverty alleviation: a case for low- and middle- income countries","type":"chapter"},"uris":["http://www.mendeley.com/documents/?uuid=7136d396-7579-4e37-8d18-580e9b5cf8bf"]}],"mendeley":{"formattedCitation":"(Hassan and Shirazi, 2017</vt:lpwstr>
  </property>
  <property fmtid="{D5CDD505-2E9C-101B-9397-08002B2CF9AE}" pid="798" name="Mendeley Recent Style Id 223_4">
    <vt:lpwstr>)","plainTextFormattedCitation":"(Hassan and Shirazi, 2017)","previouslyFormattedCitation":"(Hassan and Shirazi, 2017)"},"properties":{"noteIndex":0},"schema":"https://github.com/citation-style-language/schema/raw/master/csl-citation.json"}</vt:lpwstr>
  </property>
  <property fmtid="{D5CDD505-2E9C-101B-9397-08002B2CF9AE}" pid="799" name="Mendeley Recent Style Name 223_1">
    <vt:lpwstr>(Hassan and Shirazi, 2017)</vt:lpwstr>
  </property>
  <property fmtid="{D5CDD505-2E9C-101B-9397-08002B2CF9AE}" pid="800" name="Mendeley Recent Style Id 224_1">
    <vt:lpwstr>(Hassan and Shirazi, 2017)</vt:lpwstr>
  </property>
  <property fmtid="{D5CDD505-2E9C-101B-9397-08002B2CF9AE}" pid="801" name="Mendeley Recent Style Name 224_1">
    <vt:lpwstr>(Hassan and Shirazi, 2017)</vt:lpwstr>
  </property>
  <property fmtid="{D5CDD505-2E9C-101B-9397-08002B2CF9AE}" pid="802" name="Mendeley Recent Style Id 225_1">
    <vt:lpwstr>ADDIN CSL_CITATION {"citationItems":[{"id":"ITEM-1","itemData":{"DOI":"10.13140/RG.2.2.26825.44645","author":[{"dropping-particle":"","family":"Obaidullah","given":"Mohammed","non-dropping-particle":"","parse-names":false,"suffix":""},{"dropping-particle"</vt:lpwstr>
  </property>
  <property fmtid="{D5CDD505-2E9C-101B-9397-08002B2CF9AE}" pid="803" name="Mendeley Recent Style Id 225_2">
    <vt:lpwstr>:"","family":"Shirazi","given":"Nasim Shah","non-dropping-particle":"","parse-names":false,"suffix":""}],"id":"ITEM-1","issue":"June","issued":{"date-parts":[["2018"]]},"title":"IRTI Islamic Social Finance Report 2017","type":"report"},"uris":["http://www</vt:lpwstr>
  </property>
  <property fmtid="{D5CDD505-2E9C-101B-9397-08002B2CF9AE}" pid="804" name="Mendeley Recent Style Id 225_3">
    <vt:lpwstr>.mendeley.com/documents/?uuid=2a172905-4071-4867-8b6e-dd68c5d1c668"]}],"mendeley":{"formattedCitation":"(Obaidullah and Shirazi, 2018)","plainTextFormattedCitation":"(Obaidullah and Shirazi, 2018)","previouslyFormattedCitation":"(Obaidullah and Shirazi, 2</vt:lpwstr>
  </property>
  <property fmtid="{D5CDD505-2E9C-101B-9397-08002B2CF9AE}" pid="805" name="Mendeley Recent Style Id 225_4">
    <vt:lpwstr>018)"},"properties":{"noteIndex":0},"schema":"https://github.com/citation-style-language/schema/raw/master/csl-citation.json"}</vt:lpwstr>
  </property>
  <property fmtid="{D5CDD505-2E9C-101B-9397-08002B2CF9AE}" pid="806" name="Mendeley Recent Style Name 225_1">
    <vt:lpwstr>(Obaidullah and Shirazi, 2018)</vt:lpwstr>
  </property>
  <property fmtid="{D5CDD505-2E9C-101B-9397-08002B2CF9AE}" pid="807" name="Mendeley Recent Style Id 226_1">
    <vt:lpwstr>(Obaidullah and Shirazi, 2018)</vt:lpwstr>
  </property>
  <property fmtid="{D5CDD505-2E9C-101B-9397-08002B2CF9AE}" pid="808" name="Mendeley Recent Style Name 226_1">
    <vt:lpwstr>(Obaidullah and Shirazi, 2018)</vt:lpwstr>
  </property>
  <property fmtid="{D5CDD505-2E9C-101B-9397-08002B2CF9AE}" pid="809" name="Mendeley Recent Style Id 227_1">
    <vt:lpwstr>ADDIN CSL_CITATION {"citationItems":[{"id":"ITEM-1","itemData":{"DOI":"10.4337/9781784710736.00018","author":[{"dropping-particle":"","family":"Hassan","given":"M.","non-dropping-particle":"","parse-names":false,"suffix":""},{"dropping-particle":"","famil</vt:lpwstr>
  </property>
  <property fmtid="{D5CDD505-2E9C-101B-9397-08002B2CF9AE}" pid="810" name="Mendeley Recent Style Id 227_2">
    <vt:lpwstr>y":"Shirazi","given":"Nasim Shah","non-dropping-particle":"","parse-names":false,"suffix":""}],"container-title":"Handbook of Empirical Research on Islam and Economic Life","id":"ITEM-1","issued":{"date-parts":[["2017"]]},"page":"253-272","title":"Social </vt:lpwstr>
  </property>
  <property fmtid="{D5CDD505-2E9C-101B-9397-08002B2CF9AE}" pid="811" name="Mendeley Recent Style Id 227_3">
    <vt:lpwstr>tax and transfers for poverty alleviation: a case for low- and middle- income countries","type":"chapter"},"uris":["http://www.mendeley.com/documents/?uuid=7136d396-7579-4e37-8d18-580e9b5cf8bf"]}],"mendeley":{"formattedCitation":"(Hassan and Shirazi, 2017</vt:lpwstr>
  </property>
  <property fmtid="{D5CDD505-2E9C-101B-9397-08002B2CF9AE}" pid="812" name="Mendeley Recent Style Id 227_4">
    <vt:lpwstr>)","plainTextFormattedCitation":"(Hassan and Shirazi, 2017)","previouslyFormattedCitation":"(Hassan and Shirazi, 2017)"},"properties":{"noteIndex":0},"schema":"https://github.com/citation-style-language/schema/raw/master/csl-citation.json"}</vt:lpwstr>
  </property>
  <property fmtid="{D5CDD505-2E9C-101B-9397-08002B2CF9AE}" pid="813" name="Mendeley Recent Style Name 227_1">
    <vt:lpwstr>(Hassan and Shirazi, 2017)</vt:lpwstr>
  </property>
  <property fmtid="{D5CDD505-2E9C-101B-9397-08002B2CF9AE}" pid="814" name="Mendeley Recent Style Id 228_1">
    <vt:lpwstr>(Hassan and Shirazi, 2017)</vt:lpwstr>
  </property>
  <property fmtid="{D5CDD505-2E9C-101B-9397-08002B2CF9AE}" pid="815" name="Mendeley Recent Style Name 228_1">
    <vt:lpwstr>(Hassan and Shirazi, 2017)</vt:lpwstr>
  </property>
  <property fmtid="{D5CDD505-2E9C-101B-9397-08002B2CF9AE}" pid="816" name="Mendeley Recent Style Id 229_1">
    <vt:lpwstr>ADDIN CSL_CITATION {"citationItems":[{"id":"ITEM-1","itemData":{"author":[{"dropping-particle":"","family":"Obaidullah","given":"Mohammed","non-dropping-particle":"","parse-names":false,"suffix":""},{"dropping-particle":"","family":"Shirazi","given":"Nasi</vt:lpwstr>
  </property>
  <property fmtid="{D5CDD505-2E9C-101B-9397-08002B2CF9AE}" pid="817" name="Mendeley Recent Style Id 229_2">
    <vt:lpwstr>m Shah","non-dropping-particle":"","parse-names":false,"suffix":""}],"id":"ITEM-1","issued":{"date-parts":[["2015"]]},"number-of-pages":"1-164","title":"Islamic SocialFinance report (2015)","type":"report"},"uris":["http://www.mendeley.com/documents/?uuid</vt:lpwstr>
  </property>
  <property fmtid="{D5CDD505-2E9C-101B-9397-08002B2CF9AE}" pid="818" name="Mendeley Recent Style Id 229_3">
    <vt:lpwstr>=47f75e4d-d299-4968-9b21-23269103fdc4"]}],"mendeley":{"formattedCitation":"(Obaidullah and Shirazi, 2015a)","plainTextFormattedCitation":"(Obaidullah and Shirazi, 2015a)","previouslyFormattedCitation":"(Obaidullah and Shirazi, 2015b)"},"properties":{"note</vt:lpwstr>
  </property>
  <property fmtid="{D5CDD505-2E9C-101B-9397-08002B2CF9AE}" pid="819" name="Mendeley Recent Style Id 229_4">
    <vt:lpwstr>Index":0},"schema":"https://github.com/citation-style-language/schema/raw/master/csl-citation.json"}</vt:lpwstr>
  </property>
  <property fmtid="{D5CDD505-2E9C-101B-9397-08002B2CF9AE}" pid="820" name="Mendeley Recent Style Name 229_1">
    <vt:lpwstr>(Obaidullah and Shirazi, 2015a)</vt:lpwstr>
  </property>
  <property fmtid="{D5CDD505-2E9C-101B-9397-08002B2CF9AE}" pid="821" name="Mendeley Recent Style Id 230_1">
    <vt:lpwstr>(Obaidullah and Shirazi, 2015b)</vt:lpwstr>
  </property>
  <property fmtid="{D5CDD505-2E9C-101B-9397-08002B2CF9AE}" pid="822" name="Mendeley Recent Style Name 230_1">
    <vt:lpwstr>(Obaidullah and Shirazi, 2015a)</vt:lpwstr>
  </property>
  <property fmtid="{D5CDD505-2E9C-101B-9397-08002B2CF9AE}" pid="823" name="Mendeley Recent Style Id 231_1">
    <vt:lpwstr>ADDIN CSL_CITATION {"citationItems":[{"id":"ITEM-1","itemData":{"ISBN":"9780874216561","ISSN":"0717-6163","PMID":"15003161","author":[{"dropping-particle":"","family":"Obaidullah","given":"Mohammed","non-dropping-particle":"","parse-names":false,"suffix":</vt:lpwstr>
  </property>
  <property fmtid="{D5CDD505-2E9C-101B-9397-08002B2CF9AE}" pid="824" name="Mendeley Recent Style Id 231_2">
    <vt:lpwstr>""},{"dropping-particle":"","family":"Shirazi","given":"Nasim Shah","non-dropping-particle":"","parse-names":false,"suffix":""}],"container-title":"Islamic Research and Training Institute (IRTI)","id":"ITEM-1","issue":"January","issued":{"date-parts":[["2</vt:lpwstr>
  </property>
  <property fmtid="{D5CDD505-2E9C-101B-9397-08002B2CF9AE}" pid="825" name="Mendeley Recent Style Id 231_3">
    <vt:lpwstr>015"]]},"title":"Islamic Social Finance report 2014","type":"article-journal"},"uris":["http://www.mendeley.com/documents/?uuid=068d0446-b02d-4913-a722-861435576394"]}],"mendeley":{"formattedCitation":"(Obaidullah and Shirazi, 2015b)","plainTextFormattedC</vt:lpwstr>
  </property>
  <property fmtid="{D5CDD505-2E9C-101B-9397-08002B2CF9AE}" pid="826" name="Mendeley Recent Style Id 231_4">
    <vt:lpwstr>itation":"(Obaidullah and Shirazi, 2015b)","previouslyFormattedCitation":"(Obaidullah and Shirazi, 2015a)"},"properties":{"noteIndex":0},"schema":"https://github.com/citation-style-language/schema/raw/master/csl-citation.json"}</vt:lpwstr>
  </property>
  <property fmtid="{D5CDD505-2E9C-101B-9397-08002B2CF9AE}" pid="827" name="Mendeley Recent Style Name 231_1">
    <vt:lpwstr>(Obaidullah and Shirazi, 2015b)</vt:lpwstr>
  </property>
  <property fmtid="{D5CDD505-2E9C-101B-9397-08002B2CF9AE}" pid="828" name="Mendeley Recent Style Id 232_1">
    <vt:lpwstr>(Obaidullah and Shirazi, 2015a)</vt:lpwstr>
  </property>
  <property fmtid="{D5CDD505-2E9C-101B-9397-08002B2CF9AE}" pid="829" name="Mendeley Recent Style Name 232_1">
    <vt:lpwstr>(Obaidullah and Shirazi, 2015b)</vt:lpwstr>
  </property>
  <property fmtid="{D5CDD505-2E9C-101B-9397-08002B2CF9AE}" pid="830" name="Mendeley Recent Style Id 233_1">
    <vt:lpwstr>ADDIN CSL_CITATION {"citationItems":[{"id":"ITEM-1","itemData":{"DOI":"10.30541/v48i4iipp.739-754","ISSN":"00309729","abstract":"This paper is the extended and updated version of Shirazi (2006), which covers 38 OIC-member countries. The paper estimates th</vt:lpwstr>
  </property>
  <property fmtid="{D5CDD505-2E9C-101B-9397-08002B2CF9AE}" pid="831" name="Mendeley Recent Style Id 233_2">
    <vt:lpwstr>e resource required and potential zakat collection for poverty elimination. The paper employed the poverty gap index based on US $1.25 a day and US $2.0 a day estimated by the World Bank (2009). Zakat potential has been estimated by employing Kahf (1989) </vt:lpwstr>
  </property>
  <property fmtid="{D5CDD505-2E9C-101B-9397-08002B2CF9AE}" pid="832" name="Mendeley Recent Style Id 233_3">
    <vt:lpwstr>method of estimation with some modifications. The paper finds that half of the sample countries not only meet their resource shortfall by potential zakat collection but also generate surplus funds which are sufficient for the resource deficit countries. T</vt:lpwstr>
  </property>
  <property fmtid="{D5CDD505-2E9C-101B-9397-08002B2CF9AE}" pid="833" name="Mendeley Recent Style Id 233_4">
    <vt:lpwstr>he paper suggests pooling of zakat funds from the zakat surplus countries and providing for the resource deficit countries to eliminate the poverty.","author":[{"dropping-particle":"","family":"Shirazi","given":"Nasim Shah","non-dropping-particle":"","par</vt:lpwstr>
  </property>
  <property fmtid="{D5CDD505-2E9C-101B-9397-08002B2CF9AE}" pid="834" name="Mendeley Recent Style Id 233_5">
    <vt:lpwstr>se-names":false,"suffix":""},{"dropping-particle":"","family":"Amin","given":"Md Fouad","non-dropping-particle":"Bin","parse-names":false,"suffix":""}],"container-title":"Pakistan Development Review","id":"ITEM-1","issue":"4","issued":{"date-parts":[["200</vt:lpwstr>
  </property>
  <property fmtid="{D5CDD505-2E9C-101B-9397-08002B2CF9AE}" pid="835" name="Mendeley Recent Style Id 233_6">
    <vt:lpwstr>9"]]},"page":"739-753","title":"Poverty elimination through potential zakat collection in the OIC-member countries: Revisited","type":"article-journal","volume":"48"},"uris":["http://www.mendeley.com/documents/?uuid=2ad38256-f6cf-4b3a-872e-0d9b79691f48"]}</vt:lpwstr>
  </property>
  <property fmtid="{D5CDD505-2E9C-101B-9397-08002B2CF9AE}" pid="836" name="Mendeley Recent Style Id 233_7">
    <vt:lpwstr>],"mendeley":{"formattedCitation":"(Shirazi and Bin Amin, 2009)","plainTextFormattedCitation":"(Shirazi and Bin Amin, 2009)","previouslyFormattedCitation":"(Shirazi and Bin Amin, 2009)"},"properties":{"noteIndex":0},"schema":"https://github.com/citation-s</vt:lpwstr>
  </property>
  <property fmtid="{D5CDD505-2E9C-101B-9397-08002B2CF9AE}" pid="837" name="Mendeley Recent Style Id 233_8">
    <vt:lpwstr>tyle-language/schema/raw/master/csl-citation.json"}</vt:lpwstr>
  </property>
  <property fmtid="{D5CDD505-2E9C-101B-9397-08002B2CF9AE}" pid="838" name="Mendeley Recent Style Name 233_1">
    <vt:lpwstr>(Shirazi and Bin Amin, 2009)</vt:lpwstr>
  </property>
  <property fmtid="{D5CDD505-2E9C-101B-9397-08002B2CF9AE}" pid="839" name="Mendeley Recent Style Id 234_1">
    <vt:lpwstr>(Shirazi and Bin Amin, 2009)</vt:lpwstr>
  </property>
  <property fmtid="{D5CDD505-2E9C-101B-9397-08002B2CF9AE}" pid="840" name="Mendeley Recent Style Name 234_1">
    <vt:lpwstr>(Shirazi and Bin Amin, 2009)</vt:lpwstr>
  </property>
  <property fmtid="{D5CDD505-2E9C-101B-9397-08002B2CF9AE}" pid="841" name="Mendeley Recent Style Id 235_1">
    <vt:lpwstr>ADDIN CSL_CITATION {"citationItems":[{"id":"ITEM-1","itemData":{"ISSN":"1823-8505","abstract":"Centuries passed and the controversy over the object of waqf is still on going. For those who thought that the controversy was over have actually followed the v</vt:lpwstr>
  </property>
  <property fmtid="{D5CDD505-2E9C-101B-9397-08002B2CF9AE}" pid="842" name="Mendeley Recent Style Id 235_2">
    <vt:lpwstr>iews of majority concerning the irrevocability, perpetuity and inalienability of the object of waqf. By adhering to this thought, waqf properties have faced various problems relating to their effective management and development thereof. This paper attemp</vt:lpwstr>
  </property>
  <property fmtid="{D5CDD505-2E9C-101B-9397-08002B2CF9AE}" pid="843" name="Mendeley Recent Style Id 235_3">
    <vt:lpwstr>ts to rethink the concept of waqf perpetuity and inalienability, and proposes to replace the perpetuity of the physical being of the object with that of dedication by assigning a value to the dedication which is then safeguarded and invested. This paper a</vt:lpwstr>
  </property>
  <property fmtid="{D5CDD505-2E9C-101B-9397-08002B2CF9AE}" pid="844" name="Mendeley Recent Style Id 235_4">
    <vt:lpwstr>cknowledges the validity of all valuable waqfs including cash, usufruct, and labour which are capable of perpetuity according to the principle of value based concept of waqf properties.","author":[{"dropping-particle":"","family":"Mohammad","given":"Moham</vt:lpwstr>
  </property>
  <property fmtid="{D5CDD505-2E9C-101B-9397-08002B2CF9AE}" pid="845" name="Mendeley Recent Style Id 235_5">
    <vt:lpwstr>mad Tahir Sabit","non-dropping-particle":"","parse-names":false,"suffix":""},{"dropping-particle":"","family":"Mar Iman","given":"Abdul Hamid","non-dropping-particle":"","parse-names":false,"suffix":""}],"container-title":"Malaysian Journal of Real Estate</vt:lpwstr>
  </property>
  <property fmtid="{D5CDD505-2E9C-101B-9397-08002B2CF9AE}" pid="846" name="Mendeley Recent Style Id 235_6">
    <vt:lpwstr>","id":"ITEM-1","issue":"1","issued":{"date-parts":[["2006"]]},"page":"27-38","title":"Obstacles of the Current Concept of Waqf to the Development of Waqf Properties and the Recommended Alternative","type":"article-journal","volume":"1"},"uris":["http://w</vt:lpwstr>
  </property>
  <property fmtid="{D5CDD505-2E9C-101B-9397-08002B2CF9AE}" pid="847" name="Mendeley Recent Style Id 235_7">
    <vt:lpwstr>ww.mendeley.com/documents/?uuid=d7f1f990-0607-479b-adc3-9695deb6cc5d"]}],"mendeley":{"formattedCitation":"(Mohammad and Mar Iman, 2006)","plainTextFormattedCitation":"(Mohammad and Mar Iman, 2006)","previouslyFormattedCitation":"(Mohammad and Mar Iman, 20</vt:lpwstr>
  </property>
  <property fmtid="{D5CDD505-2E9C-101B-9397-08002B2CF9AE}" pid="848" name="Mendeley Recent Style Id 235_8">
    <vt:lpwstr>06)"},"properties":{"noteIndex":0},"schema":"https://github.com/citation-style-language/schema/raw/master/csl-citation.json"}</vt:lpwstr>
  </property>
  <property fmtid="{D5CDD505-2E9C-101B-9397-08002B2CF9AE}" pid="849" name="Mendeley Recent Style Name 235_1">
    <vt:lpwstr>(Mohammad and Mar Iman, 2006)</vt:lpwstr>
  </property>
  <property fmtid="{D5CDD505-2E9C-101B-9397-08002B2CF9AE}" pid="850" name="Mendeley Recent Style Id 236_1">
    <vt:lpwstr>(Mohammad and Mar Iman, 2006)</vt:lpwstr>
  </property>
  <property fmtid="{D5CDD505-2E9C-101B-9397-08002B2CF9AE}" pid="851" name="Mendeley Recent Style Name 236_1">
    <vt:lpwstr>(Mohammad and Mar Iman, 2006)</vt:lpwstr>
  </property>
  <property fmtid="{D5CDD505-2E9C-101B-9397-08002B2CF9AE}" pid="852" name="Mendeley Recent Style Id 237_1">
    <vt:lpwstr>ADDIN CSL_CITATION {"citationItems":[{"id":"ITEM-1","itemData":{"author":[{"dropping-particle":"","family":"Tatyana Ignatova","given":"","non-dropping-particle":"","parse-names":false,"suffix":""},{"dropping-particle":"","family":"Dobayev","given":"Andrey</vt:lpwstr>
  </property>
  <property fmtid="{D5CDD505-2E9C-101B-9397-08002B2CF9AE}" pid="853" name="Mendeley Recent Style Id 237_2">
    <vt:lpwstr>","non-dropping-particle":"","parse-names":false,"suffix":""}],"container-title":"Muslim World","id":"ITEM-1","issue":"2","issued":{"date-parts":[["2017"]]},"page":"39-55","title":"THE \"HAWALA\" SYSTEM IN THE ISLAMIC ECONOMY","type":"article-journal"},"u</vt:lpwstr>
  </property>
  <property fmtid="{D5CDD505-2E9C-101B-9397-08002B2CF9AE}" pid="854" name="Mendeley Recent Style Id 237_3">
    <vt:lpwstr>ris":["http://www.mendeley.com/documents/?uuid=8f8148c3-f002-4741-9f99-98a89d67800b"]}],"mendeley":{"formattedCitation":"(Tatyana Ignatova and Dobayev, 2017)","plainTextFormattedCitation":"(Tatyana Ignatova and Dobayev, 2017)","previouslyFormattedCitation</vt:lpwstr>
  </property>
  <property fmtid="{D5CDD505-2E9C-101B-9397-08002B2CF9AE}" pid="855" name="Mendeley Recent Style Id 237_4">
    <vt:lpwstr>":"(Tatyana Ignatova and Dobayev, 2017)"},"properties":{"noteIndex":0},"schema":"https://github.com/citation-style-language/schema/raw/master/csl-citation.json"}</vt:lpwstr>
  </property>
  <property fmtid="{D5CDD505-2E9C-101B-9397-08002B2CF9AE}" pid="856" name="Mendeley Recent Style Name 237_1">
    <vt:lpwstr>(Tatyana Ignatova and Dobayev, 2017)</vt:lpwstr>
  </property>
  <property fmtid="{D5CDD505-2E9C-101B-9397-08002B2CF9AE}" pid="857" name="Mendeley Recent Style Id 238_1">
    <vt:lpwstr>(Tatyana Ignatova and Dobayev, 2017)</vt:lpwstr>
  </property>
  <property fmtid="{D5CDD505-2E9C-101B-9397-08002B2CF9AE}" pid="858" name="Mendeley Recent Style Name 238_1">
    <vt:lpwstr>(Tatyana Ignatova and Dobayev, 2017)</vt:lpwstr>
  </property>
  <property fmtid="{D5CDD505-2E9C-101B-9397-08002B2CF9AE}" pid="859" name="Mendeley Recent Style Id 239_1">
    <vt:lpwstr>ADDIN CSL_CITATION {"citationItems":[{"id":"ITEM-1","itemData":{"abstract":"The Global Islamic Finance Report (GIFR) is the first report to have documented the size and growth of the global Islamic financial services industry since its inaugural edition i</vt:lpwstr>
  </property>
  <property fmtid="{D5CDD505-2E9C-101B-9397-08002B2CF9AE}" pid="860" name="Mendeley Recent Style Id 239_2">
    <vt:lpwstr>n 2009. The GIFR 2010 was the first publication to report that the Islamic financial assets had exceeded US$1 trillion by the end of 2009. Following the tradition, this introductory chapter reports that the global Islamic financial services industry stood</vt:lpwstr>
  </property>
  <property fmtid="{D5CDD505-2E9C-101B-9397-08002B2CF9AE}" pid="861" name="Mendeley Recent Style Id 239_3">
    <vt:lpwstr> at US$2.293 trillion at the end of December 2016 (see Figure 1), an additional stock of US$150.01 billion over the last reporting year when the industry stood at US$2.143 trillion (at the end of 2015).","author":[{"dropping-particle":"","family":"Global </vt:lpwstr>
  </property>
  <property fmtid="{D5CDD505-2E9C-101B-9397-08002B2CF9AE}" pid="862" name="Mendeley Recent Style Id 239_4">
    <vt:lpwstr>Islamic Finance","given":"","non-dropping-particle":"","parse-names":false,"suffix":""}],"id":"ITEM-1","issued":{"date-parts":[["2017"]]},"page":"36-46","title":"Overview of the global islamic finance industry","type":"article-journal"},"uris":["http://ww</vt:lpwstr>
  </property>
  <property fmtid="{D5CDD505-2E9C-101B-9397-08002B2CF9AE}" pid="863" name="Mendeley Recent Style Id 239_5">
    <vt:lpwstr>w.mendeley.com/documents/?uuid=80c081f3-f8dc-4da1-b4b2-45e34a5f8ada"]}],"mendeley":{"formattedCitation":"(Global Islamic Finance, 2017)","plainTextFormattedCitation":"(Global Islamic Finance, 2017)","previouslyFormattedCitation":"(Global Islamic Finance, </vt:lpwstr>
  </property>
  <property fmtid="{D5CDD505-2E9C-101B-9397-08002B2CF9AE}" pid="864" name="Mendeley Recent Style Id 239_6">
    <vt:lpwstr>2017)"},"properties":{"noteIndex":0},"schema":"https://github.com/citation-style-language/schema/raw/master/csl-citation.json"}</vt:lpwstr>
  </property>
  <property fmtid="{D5CDD505-2E9C-101B-9397-08002B2CF9AE}" pid="865" name="Mendeley Recent Style Name 239_1">
    <vt:lpwstr>(Global Islamic Finance, 2017)</vt:lpwstr>
  </property>
  <property fmtid="{D5CDD505-2E9C-101B-9397-08002B2CF9AE}" pid="866" name="Mendeley Recent Style Id 240_1">
    <vt:lpwstr>(Global Islamic Finance, 2017)</vt:lpwstr>
  </property>
  <property fmtid="{D5CDD505-2E9C-101B-9397-08002B2CF9AE}" pid="867" name="Mendeley Recent Style Name 240_1">
    <vt:lpwstr>(Global Islamic Finance, 2017)</vt:lpwstr>
  </property>
  <property fmtid="{D5CDD505-2E9C-101B-9397-08002B2CF9AE}" pid="868" name="Mendeley Recent Style Id 241_1">
    <vt:lpwstr>ADDIN CSL_CITATION {"citationItems":[{"id":"ITEM-1","itemData":{"author":[{"dropping-particle":"","family":"Raissouni","given":"Ahmed","non-dropping-particle":"","parse-names":false,"suffix":""}],"id":"ITEM-1","issued":{"date-parts":[["2001"]]},"number-of</vt:lpwstr>
  </property>
  <property fmtid="{D5CDD505-2E9C-101B-9397-08002B2CF9AE}" pid="869" name="Mendeley Recent Style Id 241_2">
    <vt:lpwstr>-pages":"69","title":"Islamic '\"Waqf Endowment\": Scope and Implication","type":"book"},"uris":["http://www.mendeley.com/documents/?uuid=6671e41f-2a26-4e9b-bd2f-6c04643253e0"]}],"mendeley":{"formattedCitation":"(Raissouni, 2001)","plainTextFormattedCitat</vt:lpwstr>
  </property>
  <property fmtid="{D5CDD505-2E9C-101B-9397-08002B2CF9AE}" pid="870" name="Mendeley Recent Style Id 241_3">
    <vt:lpwstr>ion":"(Raissouni, 2001)","previouslyFormattedCitation":"(Raissouni, 2001)"},"properties":{"noteIndex":0},"schema":"https://github.com/citation-style-language/schema/raw/master/csl-citation.json"}</vt:lpwstr>
  </property>
  <property fmtid="{D5CDD505-2E9C-101B-9397-08002B2CF9AE}" pid="871" name="Mendeley Recent Style Name 241_1">
    <vt:lpwstr>(Raissouni, 2001)</vt:lpwstr>
  </property>
  <property fmtid="{D5CDD505-2E9C-101B-9397-08002B2CF9AE}" pid="872" name="Mendeley Recent Style Id 242_1">
    <vt:lpwstr>(Raissouni, 2001)</vt:lpwstr>
  </property>
  <property fmtid="{D5CDD505-2E9C-101B-9397-08002B2CF9AE}" pid="873" name="Mendeley Recent Style Name 242_1">
    <vt:lpwstr>(Raissouni, 2001)</vt:lpwstr>
  </property>
  <property fmtid="{D5CDD505-2E9C-101B-9397-08002B2CF9AE}" pid="874" name="Mendeley Recent Style Id 243_1">
    <vt:lpwstr>ADDIN CSL_CITATION {"citationItems":[{"id":"ITEM-1","itemData":{"abstract":"Tel: 019-6130437, Fax No: 609-6669531 Abstract Al-Waqf generally related to the religion and economic system of Islamic society which play a big role since the early of Islamic ci</vt:lpwstr>
  </property>
  <property fmtid="{D5CDD505-2E9C-101B-9397-08002B2CF9AE}" pid="875" name="Mendeley Recent Style Id 243_2">
    <vt:lpwstr>vilization history. This Islamic institution was well spread and was accepted as one of a sort to build the human society especially to provide the basic need and functioning as the system supporter as well as free infrastructure. Al-Waqf or endowment pla</vt:lpwstr>
  </property>
  <property fmtid="{D5CDD505-2E9C-101B-9397-08002B2CF9AE}" pid="876" name="Mendeley Recent Style Id 243_3">
    <vt:lpwstr>ys an important role in bringing out the equality and human development for the nation. This institution was well known by the people since the early of Islamic civilization history. The Prophet Muhammad s.a.w. said about the waqf which narrated by Imam a</vt:lpwstr>
  </property>
  <property fmtid="{D5CDD505-2E9C-101B-9397-08002B2CF9AE}" pid="877" name="Mendeley Recent Style Id 243_4">
    <vt:lpwstr>l-Bukhari through the saying of Caliph Omar r.a. said: Oh Prophet! I got wealth that I never got it before and I want to be closer to Allah through it. After that the Prophet answered: You tried to keep the origin wealth and making charity (by giving it t</vt:lpwstr>
  </property>
  <property fmtid="{D5CDD505-2E9C-101B-9397-08002B2CF9AE}" pid="878" name="Mendeley Recent Style Id 243_5">
    <vt:lpwstr>o the needy people). Then the Caliph Omar r.a. donate his land which he get from the battle of Khaibar, seems the land can't be sell, even to bought as well as to inherit it.","author":[{"dropping-particle":"","family":"Yalawae","given":"Asming","non-drop</vt:lpwstr>
  </property>
  <property fmtid="{D5CDD505-2E9C-101B-9397-08002B2CF9AE}" pid="879" name="Mendeley Recent Style Id 243_6">
    <vt:lpwstr>ping-particle":"","parse-names":false,"suffix":""},{"dropping-particle":"","family":"Tahir","given":"Izah Mohd","non-dropping-particle":"","parse-names":false,"suffix":""}],"container-title":"Paper presented at the 5th annual conference of the HDCA, Delhi</vt:lpwstr>
  </property>
  <property fmtid="{D5CDD505-2E9C-101B-9397-08002B2CF9AE}" pid="880" name="Mendeley Recent Style Id 243_7">
    <vt:lpwstr>, India","id":"ITEM-1","issued":{"date-parts":[["2008"]]},"page":"1-16","title":"The Role of Islamic Institution in Achieving Equality and Human Development: Waqf or Endowment","type":"article-journal"},"uris":["http://www.mendeley.com/documents/?uuid=bc3</vt:lpwstr>
  </property>
  <property fmtid="{D5CDD505-2E9C-101B-9397-08002B2CF9AE}" pid="881" name="Mendeley Recent Style Id 243_8">
    <vt:lpwstr>f61df-a719-4777-b4cf-2afc726b3403"]}],"mendeley":{"formattedCitation":"(Yalawae and Tahir, 2008)","plainTextFormattedCitation":"(Yalawae and Tahir, 2008)","previouslyFormattedCitation":"(Yalawae and Tahir, 2008)"},"properties":{"noteIndex":0},"schema":"ht</vt:lpwstr>
  </property>
  <property fmtid="{D5CDD505-2E9C-101B-9397-08002B2CF9AE}" pid="882" name="Mendeley Recent Style Id 243_9">
    <vt:lpwstr>tps://github.com/citation-style-language/schema/raw/master/csl-citation.json"}</vt:lpwstr>
  </property>
  <property fmtid="{D5CDD505-2E9C-101B-9397-08002B2CF9AE}" pid="883" name="Mendeley Recent Style Name 243_1">
    <vt:lpwstr>(Yalawae and Tahir, 2008)</vt:lpwstr>
  </property>
  <property fmtid="{D5CDD505-2E9C-101B-9397-08002B2CF9AE}" pid="884" name="Mendeley Recent Style Id 244_1">
    <vt:lpwstr>(Yalawae and Tahir, 2008)</vt:lpwstr>
  </property>
  <property fmtid="{D5CDD505-2E9C-101B-9397-08002B2CF9AE}" pid="885" name="Mendeley Recent Style Name 244_1">
    <vt:lpwstr>(Yalawae and Tahir, 2008)</vt:lpwstr>
  </property>
  <property fmtid="{D5CDD505-2E9C-101B-9397-08002B2CF9AE}" pid="886" name="Mendeley Recent Style Id 245_1">
    <vt:lpwstr>ADDIN CSL_CITATION {"citationItems":[{"id":"ITEM-1","itemData":{"author":[{"dropping-particle":"","family":"GIFR","given":"","non-dropping-particle":"","parse-names":false,"suffix":""}],"id":"ITEM-1","issued":{"date-parts":[["2018"]]},"title":"Global Isla</vt:lpwstr>
  </property>
  <property fmtid="{D5CDD505-2E9C-101B-9397-08002B2CF9AE}" pid="887" name="Mendeley Recent Style Id 245_2">
    <vt:lpwstr>mic Finance Report 2018: Key Highlights","type":"article-journal"},"uris":["http://www.mendeley.com/documents/?uuid=a2c8d58f-5dd3-49fe-9b9c-f4a0ac075142"]}],"mendeley":{"formattedCitation":"(GIFR, 2018)","plainTextFormattedCitation":"(GIFR, 2018)","previo</vt:lpwstr>
  </property>
  <property fmtid="{D5CDD505-2E9C-101B-9397-08002B2CF9AE}" pid="888" name="Mendeley Recent Style Id 245_3">
    <vt:lpwstr>uslyFormattedCitation":"(GIFR, 2018)"},"properties":{"noteIndex":0},"schema":"https://github.com/citation-style-language/schema/raw/master/csl-citation.json"}</vt:lpwstr>
  </property>
  <property fmtid="{D5CDD505-2E9C-101B-9397-08002B2CF9AE}" pid="889" name="Mendeley Recent Style Name 245_1">
    <vt:lpwstr>(GIFR, 2018)</vt:lpwstr>
  </property>
  <property fmtid="{D5CDD505-2E9C-101B-9397-08002B2CF9AE}" pid="890" name="Mendeley Recent Style Id 246_1">
    <vt:lpwstr>(GIFR, 2018)</vt:lpwstr>
  </property>
  <property fmtid="{D5CDD505-2E9C-101B-9397-08002B2CF9AE}" pid="891" name="Mendeley Recent Style Name 246_1">
    <vt:lpwstr>(GIFR, 2018)</vt:lpwstr>
  </property>
  <property fmtid="{D5CDD505-2E9C-101B-9397-08002B2CF9AE}" pid="892" name="Mendeley Recent Style Id 247_1">
    <vt:lpwstr>ADDIN CSL_CITATION {"citationItems":[{"id":"ITEM-1","itemData":{"DOI":"10.1108/IJIF-07-2017-0012","ISSN":"22894365","abstract":"Purpose: Waqf (Islamic endowment) in the form of cash is important to address the problem of developing idle waqf lands. Althou</vt:lpwstr>
  </property>
  <property fmtid="{D5CDD505-2E9C-101B-9397-08002B2CF9AE}" pid="893" name="Mendeley Recent Style Id 247_2">
    <vt:lpwstr>gh there are various existing models of cash waqf, there is still a need for innovative cash waqf models. This paper aims to offer an alternative mode of financing for developing idle waqf lands using the concepts of cooperatives and waqf. Design/methodol</vt:lpwstr>
  </property>
  <property fmtid="{D5CDD505-2E9C-101B-9397-08002B2CF9AE}" pid="894" name="Mendeley Recent Style Id 247_3">
    <vt:lpwstr>ogy/approach: The present study first evaluates relevant literature on financing issues faced by waqf institutions in developing idle waqf lands as well as existing models of cash waqf. Based on the prevailing gap in cash waqf models, the study proposes a</vt:lpwstr>
  </property>
  <property fmtid="{D5CDD505-2E9C-101B-9397-08002B2CF9AE}" pid="895" name="Mendeley Recent Style Id 247_4">
    <vt:lpwstr> hybrid model of cooperative-waqf to finance idle waqf lands in Malaysia. Findings: The proposed model is unique owing to the new dimension of membership being embedded into the waqf project. It considers donors as members of the waqf project, which is fu</vt:lpwstr>
  </property>
  <property fmtid="{D5CDD505-2E9C-101B-9397-08002B2CF9AE}" pid="896" name="Mendeley Recent Style Id 247_5">
    <vt:lpwstr>nded through the cash waqf collected, and thus, donors are given the privilege to receive benefits from the commercialised projects that are developed on the waqf lands. The existing models of cash waqf use traditional methods in which donors merely contr</vt:lpwstr>
  </property>
  <property fmtid="{D5CDD505-2E9C-101B-9397-08002B2CF9AE}" pid="897" name="Mendeley Recent Style Id 247_6">
    <vt:lpwstr>ibute cash waqf without any awareness of how the contributions are utilised. Usually, this problem occurs due to the lack of reciprocal communication between cash waqf donors and waqf institutions. Research limitations/implications: The present study exam</vt:lpwstr>
  </property>
  <property fmtid="{D5CDD505-2E9C-101B-9397-08002B2CF9AE}" pid="898" name="Mendeley Recent Style Id 247_7">
    <vt:lpwstr>ines the case of waqf land development in the context of Malaysia only. Secondly, the paper does not contain any empirical analysis, and the development of the paper is based on existing literature that discusses various models of cash waqf practised in M</vt:lpwstr>
  </property>
  <property fmtid="{D5CDD505-2E9C-101B-9397-08002B2CF9AE}" pid="899" name="Mendeley Recent Style Id 247_8">
    <vt:lpwstr>uslim-majority and -minority countries. Future research can conduct surveys of donors and other stakeholders on the practicality of the model. Practical implications: It is expected that the proposed cooperative-waqf model will be able to create a synchro</vt:lpwstr>
  </property>
  <property fmtid="{D5CDD505-2E9C-101B-9397-08002B2CF9AE}" pid="900" name="Mendeley Recent Style Id 247_9">
    <vt:lpwstr>nised relationship between cash waqf donors and waqf institutions and hence boost participation in developing waqf lands. Originality/value: The present study adds to the existing literature in the area of waqf and cash waqf models, especially the applica</vt:lpwstr>
  </property>
  <property fmtid="{D5CDD505-2E9C-101B-9397-08002B2CF9AE}" pid="901" name="Mendeley Recent Style Id 247_10">
    <vt:lpwstr>tion of this instrument in the context of Malaysia. It also offers a new hybrid model to the State Islamic Religious Councils (SIRCs) – Malaysia’s sole trustee of waqf assets management – such that the implementation of the proposed model could boost the </vt:lpwstr>
  </property>
  <property fmtid="{D5CDD505-2E9C-101B-9397-08002B2CF9AE}" pid="902" name="Mendeley Recent Style Id 247_11">
    <vt:lpwstr>collection of cash waqf in developing commercial projects on idle waqf lands.","author":[{"dropping-particle":"","family":"Allah Pitchay","given":"Anwar","non-dropping-particle":"","parse-names":false,"suffix":""},{"dropping-particle":"","family":"Mohd Th</vt:lpwstr>
  </property>
  <property fmtid="{D5CDD505-2E9C-101B-9397-08002B2CF9AE}" pid="903" name="Mendeley Recent Style Id 247_12">
    <vt:lpwstr>as Thaker","given":"Mohamed Asmy","non-dropping-particle":"","parse-names":false,"suffix":""},{"dropping-particle":"","family":"Mydin","given":"Al Amin","non-dropping-particle":"","parse-names":false,"suffix":""},{"dropping-particle":"","family":"Azhar","</vt:lpwstr>
  </property>
  <property fmtid="{D5CDD505-2E9C-101B-9397-08002B2CF9AE}" pid="904" name="Mendeley Recent Style Id 247_13">
    <vt:lpwstr>given":"Zubir","non-dropping-particle":"","parse-names":false,"suffix":""},{"dropping-particle":"","family":"Abdul Latiff","given":"Abdul Rais","non-dropping-particle":"","parse-names":false,"suffix":""}],"container-title":"ISRA International Journal of I</vt:lpwstr>
  </property>
  <property fmtid="{D5CDD505-2E9C-101B-9397-08002B2CF9AE}" pid="905" name="Mendeley Recent Style Id 247_14">
    <vt:lpwstr>slamic Finance","id":"ITEM-1","issue":"2","issued":{"date-parts":[["2018"]]},"page":"225-236","title":"Cooperative-waqf model: a proposal to develop idle waqf lands in Malaysia","type":"article-journal","volume":"10"},"uris":["http://www.mendeley.com/docu</vt:lpwstr>
  </property>
  <property fmtid="{D5CDD505-2E9C-101B-9397-08002B2CF9AE}" pid="906" name="Mendeley Recent Style Id 247_15">
    <vt:lpwstr>ments/?uuid=b8379a3c-2b94-4f41-a05d-88722905c115"]}],"mendeley":{"formattedCitation":"(Allah Pitchay &lt;i&gt;et al.&lt;/i&gt;, 2018)","plainTextFormattedCitation":"(Allah Pitchay et al., 2018)","previouslyFormattedCitation":"(Allah Pitchay &lt;i&gt;et al.&lt;/i&gt;, 2018)"},"pr</vt:lpwstr>
  </property>
  <property fmtid="{D5CDD505-2E9C-101B-9397-08002B2CF9AE}" pid="907" name="Mendeley Recent Style Id 247_16">
    <vt:lpwstr>operties":{"noteIndex":0},"schema":"https://github.com/citation-style-language/schema/raw/master/csl-citation.json"}</vt:lpwstr>
  </property>
  <property fmtid="{D5CDD505-2E9C-101B-9397-08002B2CF9AE}" pid="908" name="Mendeley Recent Style Name 247_1">
    <vt:lpwstr>(Allah Pitchay &lt;i&gt;et al.&lt;/i&gt;, 2018)</vt:lpwstr>
  </property>
  <property fmtid="{D5CDD505-2E9C-101B-9397-08002B2CF9AE}" pid="909" name="Mendeley Recent Style Id 248_1">
    <vt:lpwstr>(Allah Pitchay &lt;i&gt;et al.&lt;/i&gt;, 2018)</vt:lpwstr>
  </property>
  <property fmtid="{D5CDD505-2E9C-101B-9397-08002B2CF9AE}" pid="910" name="Mendeley Recent Style Name 248_1">
    <vt:lpwstr>(Allah Pitchay et al., 2018)</vt:lpwstr>
  </property>
  <property fmtid="{D5CDD505-2E9C-101B-9397-08002B2CF9AE}" pid="911" name="Mendeley Recent Style Id 249_1">
    <vt:lpwstr>ADDIN CSL_CITATION {"citationItems":[{"id":"ITEM-1","itemData":{"DOI":"10.1108/IJIF-07-2017-0012","ISSN":"22894365","abstract":"Purpose: Waqf (Islamic endowment) in the form of cash is important to address the problem of developing idle waqf lands. Althou</vt:lpwstr>
  </property>
  <property fmtid="{D5CDD505-2E9C-101B-9397-08002B2CF9AE}" pid="912" name="Mendeley Recent Style Id 249_2">
    <vt:lpwstr>gh there are various existing models of cash waqf, there is still a need for innovative cash waqf models. This paper aims to offer an alternative mode of financing for developing idle waqf lands using the concepts of cooperatives and waqf. Design/methodol</vt:lpwstr>
  </property>
  <property fmtid="{D5CDD505-2E9C-101B-9397-08002B2CF9AE}" pid="913" name="Mendeley Recent Style Id 249_3">
    <vt:lpwstr>ogy/approach: The present study first evaluates relevant literature on financing issues faced by waqf institutions in developing idle waqf lands as well as existing models of cash waqf. Based on the prevailing gap in cash waqf models, the study proposes a</vt:lpwstr>
  </property>
  <property fmtid="{D5CDD505-2E9C-101B-9397-08002B2CF9AE}" pid="914" name="Mendeley Recent Style Id 249_4">
    <vt:lpwstr> hybrid model of cooperative-waqf to finance idle waqf lands in Malaysia. Findings: The proposed model is unique owing to the new dimension of membership being embedded into the waqf project. It considers donors as members of the waqf project, which is fu</vt:lpwstr>
  </property>
  <property fmtid="{D5CDD505-2E9C-101B-9397-08002B2CF9AE}" pid="915" name="Mendeley Recent Style Id 249_5">
    <vt:lpwstr>nded through the cash waqf collected, and thus, donors are given the privilege to receive benefits from the commercialised projects that are developed on the waqf lands. The existing models of cash waqf use traditional methods in which donors merely contr</vt:lpwstr>
  </property>
  <property fmtid="{D5CDD505-2E9C-101B-9397-08002B2CF9AE}" pid="916" name="Mendeley Recent Style Id 249_6">
    <vt:lpwstr>ibute cash waqf without any awareness of how the contributions are utilised. Usually, this problem occurs due to the lack of reciprocal communication between cash waqf donors and waqf institutions. Research limitations/implications: The present study exam</vt:lpwstr>
  </property>
  <property fmtid="{D5CDD505-2E9C-101B-9397-08002B2CF9AE}" pid="917" name="Mendeley Recent Style Id 249_7">
    <vt:lpwstr>ines the case of waqf land development in the context of Malaysia only. Secondly, the paper does not contain any empirical analysis, and the development of the paper is based on existing literature that discusses various models of cash waqf practised in M</vt:lpwstr>
  </property>
  <property fmtid="{D5CDD505-2E9C-101B-9397-08002B2CF9AE}" pid="918" name="Mendeley Recent Style Id 249_8">
    <vt:lpwstr>uslim-majority and -minority countries. Future research can conduct surveys of donors and other stakeholders on the practicality of the model. Practical implications: It is expected that the proposed cooperative-waqf model will be able to create a synchro</vt:lpwstr>
  </property>
  <property fmtid="{D5CDD505-2E9C-101B-9397-08002B2CF9AE}" pid="919" name="Mendeley Recent Style Id 249_9">
    <vt:lpwstr>nised relationship between cash waqf donors and waqf institutions and hence boost participation in developing waqf lands. Originality/value: The present study adds to the existing literature in the area of waqf and cash waqf models, especially the applica</vt:lpwstr>
  </property>
  <property fmtid="{D5CDD505-2E9C-101B-9397-08002B2CF9AE}" pid="920" name="Mendeley Recent Style Id 249_10">
    <vt:lpwstr>tion of this instrument in the context of Malaysia. It also offers a new hybrid model to the State Islamic Religious Councils (SIRCs) – Malaysia’s sole trustee of waqf assets management – such that the implementation of the proposed model could boost the </vt:lpwstr>
  </property>
  <property fmtid="{D5CDD505-2E9C-101B-9397-08002B2CF9AE}" pid="921" name="Mendeley Recent Style Id 249_11">
    <vt:lpwstr>collection of cash waqf in developing commercial projects on idle waqf lands.","author":[{"dropping-particle":"","family":"Allah Pitchay","given":"Anwar","non-dropping-particle":"","parse-names":false,"suffix":""},{"dropping-particle":"","family":"Mohd Th</vt:lpwstr>
  </property>
  <property fmtid="{D5CDD505-2E9C-101B-9397-08002B2CF9AE}" pid="922" name="Mendeley Recent Style Id 249_12">
    <vt:lpwstr>as Thaker","given":"Mohamed Asmy","non-dropping-particle":"","parse-names":false,"suffix":""},{"dropping-particle":"","family":"Mydin","given":"Al Amin","non-dropping-particle":"","parse-names":false,"suffix":""},{"dropping-particle":"","family":"Azhar","</vt:lpwstr>
  </property>
  <property fmtid="{D5CDD505-2E9C-101B-9397-08002B2CF9AE}" pid="923" name="Mendeley Recent Style Id 249_13">
    <vt:lpwstr>given":"Zubir","non-dropping-particle":"","parse-names":false,"suffix":""},{"dropping-particle":"","family":"Abdul Latiff","given":"Abdul Rais","non-dropping-particle":"","parse-names":false,"suffix":""}],"container-title":"ISRA International Journal of I</vt:lpwstr>
  </property>
  <property fmtid="{D5CDD505-2E9C-101B-9397-08002B2CF9AE}" pid="924" name="Mendeley Recent Style Id 249_14">
    <vt:lpwstr>slamic Finance","id":"ITEM-1","issue":"2","issued":{"date-parts":[["2018"]]},"page":"225-236","title":"Cooperative-waqf model: a proposal to develop idle waqf lands in Malaysia","type":"article-journal","volume":"10"},"uris":["http://www.mendeley.com/docu</vt:lpwstr>
  </property>
  <property fmtid="{D5CDD505-2E9C-101B-9397-08002B2CF9AE}" pid="925" name="Mendeley Recent Style Id 249_15">
    <vt:lpwstr>ments/?uuid=b8379a3c-2b94-4f41-a05d-88722905c115"]}],"mendeley":{"formattedCitation":"(Allah Pitchay &lt;i&gt;et al.&lt;/i&gt;, 2018)","plainTextFormattedCitation":"(Allah Pitchay et al., 2018)","previouslyFormattedCitation":"(Allah Pitchay &lt;i&gt;et al.&lt;/i&gt;, 2018)"},"pr</vt:lpwstr>
  </property>
  <property fmtid="{D5CDD505-2E9C-101B-9397-08002B2CF9AE}" pid="926" name="Mendeley Recent Style Id 249_16">
    <vt:lpwstr>operties":{"noteIndex":0},"schema":"https://github.com/citation-style-language/schema/raw/master/csl-citation.json"}</vt:lpwstr>
  </property>
  <property fmtid="{D5CDD505-2E9C-101B-9397-08002B2CF9AE}" pid="927" name="Mendeley Recent Style Name 249_1">
    <vt:lpwstr>(Allah Pitchay &lt;i&gt;et al.&lt;/i&gt;, 2018)</vt:lpwstr>
  </property>
  <property fmtid="{D5CDD505-2E9C-101B-9397-08002B2CF9AE}" pid="928" name="Mendeley Recent Style Id 250_1">
    <vt:lpwstr>(Allah Pitchay &lt;i&gt;et al.&lt;/i&gt;, 2018)</vt:lpwstr>
  </property>
  <property fmtid="{D5CDD505-2E9C-101B-9397-08002B2CF9AE}" pid="929" name="Mendeley Recent Style Name 250_1">
    <vt:lpwstr>(Allah Pitchay et al., 2018)</vt:lpwstr>
  </property>
  <property fmtid="{D5CDD505-2E9C-101B-9397-08002B2CF9AE}" pid="930" name="Mendeley Recent Style Id 251_1">
    <vt:lpwstr>ADDIN CSL_CITATION {"citationItems":[{"id":"ITEM-1","itemData":{"DOI":"10.1257/0895330042162421","ISSN":"08953309","author":[{"dropping-particle":"","family":"Kuran","given":"Timur","non-dropping-particle":"","parse-names":false,"suffix":""}],"container-t</vt:lpwstr>
  </property>
  <property fmtid="{D5CDD505-2E9C-101B-9397-08002B2CF9AE}" pid="931" name="Mendeley Recent Style Id 251_2">
    <vt:lpwstr>itle":"Journal of Economic Perspectives","id":"ITEM-1","issue":"3","issued":{"date-parts":[["2004"]]},"page":"71-90","title":"Why the Middle East is economically underdeveloped: Historical mechanisms of institutional stagnation","type":"article-journal","</vt:lpwstr>
  </property>
  <property fmtid="{D5CDD505-2E9C-101B-9397-08002B2CF9AE}" pid="932" name="Mendeley Recent Style Id 251_3">
    <vt:lpwstr>volume":"18"},"uris":["http://www.mendeley.com/documents/?uuid=1df986f4-3230-4eed-9f93-7d11e3f98fdb"]}],"mendeley":{"formattedCitation":"(Kuran, 2004)","plainTextFormattedCitation":"(Kuran, 2004)","previouslyFormattedCitation":"(Kuran, 2004)"},"properties</vt:lpwstr>
  </property>
  <property fmtid="{D5CDD505-2E9C-101B-9397-08002B2CF9AE}" pid="933" name="Mendeley Recent Style Id 251_4">
    <vt:lpwstr>":{"noteIndex":0},"schema":"https://github.com/citation-style-language/schema/raw/master/csl-citation.json"}</vt:lpwstr>
  </property>
  <property fmtid="{D5CDD505-2E9C-101B-9397-08002B2CF9AE}" pid="934" name="Mendeley Recent Style Name 251_1">
    <vt:lpwstr>(Kuran, 2004)</vt:lpwstr>
  </property>
  <property fmtid="{D5CDD505-2E9C-101B-9397-08002B2CF9AE}" pid="935" name="Mendeley Recent Style Id 252_1">
    <vt:lpwstr>(Kuran, 2004)</vt:lpwstr>
  </property>
  <property fmtid="{D5CDD505-2E9C-101B-9397-08002B2CF9AE}" pid="936" name="Mendeley Recent Style Name 252_1">
    <vt:lpwstr>(Kuran, 2004)</vt:lpwstr>
  </property>
  <property fmtid="{D5CDD505-2E9C-101B-9397-08002B2CF9AE}" pid="937" name="Mendeley Recent Style Id 253_1">
    <vt:lpwstr>ADDIN CSL_CITATION {"citationItems":[{"id":"ITEM-1","itemData":{"author":[{"dropping-particle":"","family":"Kuran","given":"Timur","non-dropping-particle":"","parse-names":false,"suffix":""}],"container-title":"The journal of Law and Society Association",</vt:lpwstr>
  </property>
  <property fmtid="{D5CDD505-2E9C-101B-9397-08002B2CF9AE}" pid="938" name="Mendeley Recent Style Id 253_2">
    <vt:lpwstr>"id":"ITEM-1","issue":"4","issued":{"date-parts":[["2001"]]},"page":"841-898","title":"The Provision of Public Goods under Islamic Law : Origins , Impact , and Limitations of the Waqf System","type":"article-journal","volume":"35"},"uris":["http://www.men</vt:lpwstr>
  </property>
  <property fmtid="{D5CDD505-2E9C-101B-9397-08002B2CF9AE}" pid="939" name="Mendeley Recent Style Id 253_3">
    <vt:lpwstr>deley.com/documents/?uuid=b01e68bc-6580-45b5-a5f2-26dedfb84d09"]}],"mendeley":{"formattedCitation":"(Kuran, 2001)","plainTextFormattedCitation":"(Kuran, 2001)","previouslyFormattedCitation":"(Kuran, 2001)"},"properties":{"noteIndex":0},"schema":"https://g</vt:lpwstr>
  </property>
  <property fmtid="{D5CDD505-2E9C-101B-9397-08002B2CF9AE}" pid="940" name="Mendeley Recent Style Id 253_4">
    <vt:lpwstr>ithub.com/citation-style-language/schema/raw/master/csl-citation.json"}</vt:lpwstr>
  </property>
  <property fmtid="{D5CDD505-2E9C-101B-9397-08002B2CF9AE}" pid="941" name="Mendeley Recent Style Name 253_1">
    <vt:lpwstr>(Kuran, 2001)</vt:lpwstr>
  </property>
  <property fmtid="{D5CDD505-2E9C-101B-9397-08002B2CF9AE}" pid="942" name="Mendeley Recent Style Id 254_1">
    <vt:lpwstr>(Kuran, 2001)</vt:lpwstr>
  </property>
  <property fmtid="{D5CDD505-2E9C-101B-9397-08002B2CF9AE}" pid="943" name="Mendeley Recent Style Name 254_1">
    <vt:lpwstr>(Kuran, 2001)</vt:lpwstr>
  </property>
  <property fmtid="{D5CDD505-2E9C-101B-9397-08002B2CF9AE}" pid="944" name="Mendeley Recent Style Id 255_1">
    <vt:lpwstr>ADDIN CSL_CITATION {"citationItems":[{"id":"ITEM-1","itemData":{"author":[{"dropping-particle":"","family":"Kuran","given":"Timur","non-dropping-particle":"","parse-names":false,"suffix":""}],"container-title":"The journal of Law and Society Association",</vt:lpwstr>
  </property>
  <property fmtid="{D5CDD505-2E9C-101B-9397-08002B2CF9AE}" pid="945" name="Mendeley Recent Style Id 255_2">
    <vt:lpwstr>"id":"ITEM-1","issue":"4","issued":{"date-parts":[["2001"]]},"page":"841-898","title":"The Provision of Public Goods under Islamic Law : Origins , Impact , and Limitations of the Waqf System","type":"article-journal","volume":"35"},"uris":["http://www.men</vt:lpwstr>
  </property>
  <property fmtid="{D5CDD505-2E9C-101B-9397-08002B2CF9AE}" pid="946" name="Mendeley Recent Style Id 255_3">
    <vt:lpwstr>deley.com/documents/?uuid=b01e68bc-6580-45b5-a5f2-26dedfb84d09"]}],"mendeley":{"formattedCitation":"(Kuran, 2001)","plainTextFormattedCitation":"(Kuran, 2001)","previouslyFormattedCitation":"(Kuran, 2001)"},"properties":{"noteIndex":0},"schema":"https://g</vt:lpwstr>
  </property>
  <property fmtid="{D5CDD505-2E9C-101B-9397-08002B2CF9AE}" pid="947" name="Mendeley Recent Style Id 255_4">
    <vt:lpwstr>ithub.com/citation-style-language/schema/raw/master/csl-citation.json"}</vt:lpwstr>
  </property>
  <property fmtid="{D5CDD505-2E9C-101B-9397-08002B2CF9AE}" pid="948" name="Mendeley Recent Style Name 255_1">
    <vt:lpwstr>(Kuran, 2001)</vt:lpwstr>
  </property>
  <property fmtid="{D5CDD505-2E9C-101B-9397-08002B2CF9AE}" pid="949" name="Mendeley Recent Style Id 256_1">
    <vt:lpwstr>(Kuran, 2001)</vt:lpwstr>
  </property>
  <property fmtid="{D5CDD505-2E9C-101B-9397-08002B2CF9AE}" pid="950" name="Mendeley Recent Style Name 256_1">
    <vt:lpwstr>(Kuran, 2001)</vt:lpwstr>
  </property>
  <property fmtid="{D5CDD505-2E9C-101B-9397-08002B2CF9AE}" pid="951" name="Mendeley Recent Style Id 257_1">
    <vt:lpwstr>ADDIN CSL_CITATION {"citationItems":[{"id":"ITEM-1","itemData":{"DOI":"10.1257/0895330042162421","ISSN":"08953309","author":[{"dropping-particle":"","family":"Kuran","given":"Timur","non-dropping-particle":"","parse-names":false,"suffix":""}],"container-t</vt:lpwstr>
  </property>
  <property fmtid="{D5CDD505-2E9C-101B-9397-08002B2CF9AE}" pid="952" name="Mendeley Recent Style Id 257_2">
    <vt:lpwstr>itle":"Journal of Economic Perspectives","id":"ITEM-1","issue":"3","issued":{"date-parts":[["2004"]]},"page":"71-90","title":"Why the Middle East is economically underdeveloped: Historical mechanisms of institutional stagnation","type":"article-journal","</vt:lpwstr>
  </property>
  <property fmtid="{D5CDD505-2E9C-101B-9397-08002B2CF9AE}" pid="953" name="Mendeley Recent Style Id 257_3">
    <vt:lpwstr>volume":"18"},"uris":["http://www.mendeley.com/documents/?uuid=1df986f4-3230-4eed-9f93-7d11e3f98fdb"]}],"mendeley":{"formattedCitation":"(Kuran, 2004)","plainTextFormattedCitation":"(Kuran, 2004)","previouslyFormattedCitation":"(Kuran, 2004)"},"properties</vt:lpwstr>
  </property>
  <property fmtid="{D5CDD505-2E9C-101B-9397-08002B2CF9AE}" pid="954" name="Mendeley Recent Style Id 257_4">
    <vt:lpwstr>":{"noteIndex":0},"schema":"https://github.com/citation-style-language/schema/raw/master/csl-citation.json"}</vt:lpwstr>
  </property>
  <property fmtid="{D5CDD505-2E9C-101B-9397-08002B2CF9AE}" pid="955" name="Mendeley Recent Style Name 257_1">
    <vt:lpwstr>(Kuran, 2004)</vt:lpwstr>
  </property>
  <property fmtid="{D5CDD505-2E9C-101B-9397-08002B2CF9AE}" pid="956" name="Mendeley Recent Style Id 258_1">
    <vt:lpwstr>(Kuran, 2004)</vt:lpwstr>
  </property>
  <property fmtid="{D5CDD505-2E9C-101B-9397-08002B2CF9AE}" pid="957" name="Mendeley Recent Style Name 258_1">
    <vt:lpwstr>(Kuran, 2004)</vt:lpwstr>
  </property>
  <property fmtid="{D5CDD505-2E9C-101B-9397-08002B2CF9AE}" pid="958" name="Mendeley Recent Style Id 259_1">
    <vt:lpwstr>ADDIN CSL_CITATION {"citationItems":[{"id":"ITEM-1","itemData":{"author":[{"dropping-particle":"","family":"Kuran","given":"Timur","non-dropping-particle":"","parse-names":false,"suffix":""}],"container-title":"The American Journal of Comparative Law","id</vt:lpwstr>
  </property>
  <property fmtid="{D5CDD505-2E9C-101B-9397-08002B2CF9AE}" pid="959" name="Mendeley Recent Style Id 259_2">
    <vt:lpwstr>":"ITEM-1","issue":"4","issued":{"date-parts":[["2005"]]},"page":"785-834","title":"The Absence of the Corporation in Islamic Law: Origins and Persistence","type":"article-journal","volume":"53"},"uris":["http://www.mendeley.com/documents/?uuid=ae329a35-c</vt:lpwstr>
  </property>
  <property fmtid="{D5CDD505-2E9C-101B-9397-08002B2CF9AE}" pid="960" name="Mendeley Recent Style Id 259_3">
    <vt:lpwstr>9a3-4b45-8746-357c67cba2cc"]}],"mendeley":{"formattedCitation":"(Kuran, 2005)","plainTextFormattedCitation":"(Kuran, 2005)","previouslyFormattedCitation":"(Kuran, 2005)"},"properties":{"noteIndex":0},"schema":"https://github.com/citation-style-language/sc</vt:lpwstr>
  </property>
  <property fmtid="{D5CDD505-2E9C-101B-9397-08002B2CF9AE}" pid="961" name="Mendeley Recent Style Id 259_4">
    <vt:lpwstr>hema/raw/master/csl-citation.json"}</vt:lpwstr>
  </property>
  <property fmtid="{D5CDD505-2E9C-101B-9397-08002B2CF9AE}" pid="962" name="Mendeley Recent Style Name 259_1">
    <vt:lpwstr>(Kuran, 2005)</vt:lpwstr>
  </property>
  <property fmtid="{D5CDD505-2E9C-101B-9397-08002B2CF9AE}" pid="963" name="Mendeley Recent Style Id 260_1">
    <vt:lpwstr>(Kuran, 2005)</vt:lpwstr>
  </property>
  <property fmtid="{D5CDD505-2E9C-101B-9397-08002B2CF9AE}" pid="964" name="Mendeley Recent Style Name 260_1">
    <vt:lpwstr>(Kuran, 2005)</vt:lpwstr>
  </property>
  <property fmtid="{D5CDD505-2E9C-101B-9397-08002B2CF9AE}" pid="965" name="Mendeley Recent Style Id 261_1">
    <vt:lpwstr>ADDIN CSL_CITATION {"citationItems":[{"id":"ITEM-1","itemData":{"DOI":"10.1108/IJIF-07-2017-0007","ISSN":"22894365","abstract":"Purpose: This paper aims to provide an economic rationale for Islamic finance. Design/methodology/approach: Its methodology is </vt:lpwstr>
  </property>
  <property fmtid="{D5CDD505-2E9C-101B-9397-08002B2CF9AE}" pid="966" name="Mendeley Recent Style Id 261_2">
    <vt:lpwstr>simple. It starts with listing the contributions to economic analysis relevant to the required rationale in the theories of banking, finance, price, money and macroeconomics, to identify the main rationale for Islamic finance. A concise description of the</vt:lpwstr>
  </property>
  <property fmtid="{D5CDD505-2E9C-101B-9397-08002B2CF9AE}" pid="967" name="Mendeley Recent Style Id 261_3">
    <vt:lpwstr> author’s model for an Islamic economic system, within which Islamic finance can be operational, is provided. Findings: The paper finds distinct advantages of Islamic finance, when properly applied within the author’s model. Islamic finance can therefore </vt:lpwstr>
  </property>
  <property fmtid="{D5CDD505-2E9C-101B-9397-08002B2CF9AE}" pid="968" name="Mendeley Recent Style Id 261_4">
    <vt:lpwstr>be a candidate as a reform agenda for conventional finance. It opens the door for significant monetary reform in currently prevalent economic systems. Research limitations/implications: The first limitation of the paper is that the distinct benefits of Is</vt:lpwstr>
  </property>
  <property fmtid="{D5CDD505-2E9C-101B-9397-08002B2CF9AE}" pid="969" name="Mendeley Recent Style Id 261_5">
    <vt:lpwstr>lamic finance are all of macroeconomic types which are external to Islamic banking and finance institutions. They are therefore not expected to motivate such institutions to apply Islamic finance to the letter, without regulators interference to ensure st</vt:lpwstr>
  </property>
  <property fmtid="{D5CDD505-2E9C-101B-9397-08002B2CF9AE}" pid="970" name="Mendeley Recent Style Id 261_6">
    <vt:lpwstr>rict application. The second limitation is the necessity to set up enabling institutional and regulatory arrangements for Islamic finance. Originality/value: The results are unique as they challenge the received doctrine and provide non-religious rational</vt:lpwstr>
  </property>
  <property fmtid="{D5CDD505-2E9C-101B-9397-08002B2CF9AE}" pid="971" name="Mendeley Recent Style Id 261_7">
    <vt:lpwstr>e for Islamic finance.","author":[{"dropping-particle":"","family":"Al-Jarhi","given":"Mabid Ali","non-dropping-particle":"","parse-names":false,"suffix":""}],"container-title":"ISRA International Journal of Islamic Finance","id":"ITEM-1","issue":"2","iss</vt:lpwstr>
  </property>
  <property fmtid="{D5CDD505-2E9C-101B-9397-08002B2CF9AE}" pid="972" name="Mendeley Recent Style Id 261_8">
    <vt:lpwstr>ued":{"date-parts":[["2017"]]},"page":"117-132","title":"An economic theory of Islamic finance","type":"article-journal","volume":"9"},"uris":["http://www.mendeley.com/documents/?uuid=c586965f-c862-46dd-b33f-ab769647951b"]}],"mendeley":{"formattedCitation</vt:lpwstr>
  </property>
  <property fmtid="{D5CDD505-2E9C-101B-9397-08002B2CF9AE}" pid="973" name="Mendeley Recent Style Id 261_9">
    <vt:lpwstr>":"(Al-Jarhi, 2017)","plainTextFormattedCitation":"(Al-Jarhi, 2017)","previouslyFormattedCitation":"(Al-Jarhi, 2017)"},"properties":{"noteIndex":0},"schema":"https://github.com/citation-style-language/schema/raw/master/csl-citation.json"}</vt:lpwstr>
  </property>
  <property fmtid="{D5CDD505-2E9C-101B-9397-08002B2CF9AE}" pid="974" name="Mendeley Recent Style Name 261_1">
    <vt:lpwstr>(Al-Jarhi, 2017)</vt:lpwstr>
  </property>
  <property fmtid="{D5CDD505-2E9C-101B-9397-08002B2CF9AE}" pid="975" name="Mendeley Recent Style Id 262_1">
    <vt:lpwstr>(Al-Jarhi, 2017)</vt:lpwstr>
  </property>
  <property fmtid="{D5CDD505-2E9C-101B-9397-08002B2CF9AE}" pid="976" name="Mendeley Recent Style Name 262_1">
    <vt:lpwstr>(Al-Jarhi, 2017)</vt:lpwstr>
  </property>
  <property fmtid="{D5CDD505-2E9C-101B-9397-08002B2CF9AE}" pid="977" name="Mendeley Recent Style Id 263_1">
    <vt:lpwstr>ADDIN CSL_CITATION {"citationItems":[{"id":"ITEM-1","itemData":{"ISBN":"9781416531784","ISSN":"0022-3433","abstract":"1st Free Press trade pbk. ed. Originally published: 1992. PART I: AN OLD QUESTION ASKED ANEW. Our Pessimism -- The Weakness of Strong Sta</vt:lpwstr>
  </property>
  <property fmtid="{D5CDD505-2E9C-101B-9397-08002B2CF9AE}" pid="978" name="Mendeley Recent Style Id 263_2">
    <vt:lpwstr>tes I -- The Weakness of Strong States II, or, Eating Pineapples on the Moon -- The Worldwide Liberal Revolution. PART II: THE OLD AGE OF MANKIND. An Idea for a Universal History -- The Mechanism of Desire -- No Barbarians at the Gates -- Accumulation wit</vt:lpwstr>
  </property>
  <property fmtid="{D5CDD505-2E9C-101B-9397-08002B2CF9AE}" pid="979" name="Mendeley Recent Style Id 263_3">
    <vt:lpwstr>hout end -- The Victory of the VCR -- In the Land of Education -- The Former Question Answered -- No Democracy without Democrats -- PART III: THE STRUGGLE FOR RECOGNITION. In the Beginning, a Battle to the Death for Pure Prestige -- The First Man -- A Vac</vt:lpwstr>
  </property>
  <property fmtid="{D5CDD505-2E9C-101B-9397-08002B2CF9AE}" pid="980" name="Mendeley Recent Style Id 263_4">
    <vt:lpwstr>ation in Bulgaria -- The Beast with Red Cheeks -- The Rise and Fall of Thymos -- Lordship and Bondage -- The Universal and Homogeneous State -- PART IV: LEAPING OVER RHODES. The Coldest of All Cold Monsters -- The Thymotic Origins of Work -- Empires of Re</vt:lpwstr>
  </property>
  <property fmtid="{D5CDD505-2E9C-101B-9397-08002B2CF9AE}" pid="981" name="Mendeley Recent Style Id 263_5">
    <vt:lpwstr>sentment, Empires of Deference -- The Unreality of Realism -- The Power of the Powerless -- National Interests -- Toward a Pacific Union -- PART V: THE LAST MAN. In the Realm of Freedom -- Men without Chests -- Free and Unequal -- Perfect Rights and Defec</vt:lpwstr>
  </property>
  <property fmtid="{D5CDD505-2E9C-101B-9397-08002B2CF9AE}" pid="982" name="Mendeley Recent Style Id 263_6">
    <vt:lpwstr>tive Duties -- Immense Wars of the Spirit.","author":[{"dropping-particle":"","family":"Fukuyama","given":"Francis","non-dropping-particle":"","parse-names":false,"suffix":""}],"id":"ITEM-1","issue":"1992","issued":{"date-parts":[["2005"]]},"page":"432","</vt:lpwstr>
  </property>
  <property fmtid="{D5CDD505-2E9C-101B-9397-08002B2CF9AE}" pid="983" name="Mendeley Recent Style Id 263_7">
    <vt:lpwstr>title":"The End of History and the Last Man (1992),","type":"article-journal"},"uris":["http://www.mendeley.com/documents/?uuid=f001afd2-6dc0-4fa9-aacc-5bcc8c3681b2"]}],"mendeley":{"formattedCitation":"(Fukuyama, 2005)","plainTextFormattedCitation":"(Fuku</vt:lpwstr>
  </property>
  <property fmtid="{D5CDD505-2E9C-101B-9397-08002B2CF9AE}" pid="984" name="Mendeley Recent Style Id 263_8">
    <vt:lpwstr>yama, 2005)","previouslyFormattedCitation":"(Fukuyama, 2005)"},"properties":{"noteIndex":0},"schema":"https://github.com/citation-style-language/schema/raw/master/csl-citation.json"}</vt:lpwstr>
  </property>
  <property fmtid="{D5CDD505-2E9C-101B-9397-08002B2CF9AE}" pid="985" name="Mendeley Recent Style Name 263_1">
    <vt:lpwstr>(Fukuyama, 2005)</vt:lpwstr>
  </property>
  <property fmtid="{D5CDD505-2E9C-101B-9397-08002B2CF9AE}" pid="986" name="Mendeley Recent Style Id 264_1">
    <vt:lpwstr>(Fukuyama, 2005)</vt:lpwstr>
  </property>
  <property fmtid="{D5CDD505-2E9C-101B-9397-08002B2CF9AE}" pid="987" name="Mendeley Recent Style Name 264_1">
    <vt:lpwstr>(Fukuyama, 2005)</vt:lpwstr>
  </property>
  <property fmtid="{D5CDD505-2E9C-101B-9397-08002B2CF9AE}" pid="988" name="Mendeley Recent Style Id 265_1">
    <vt:lpwstr>ADDIN CSL_CITATION {"citationItems":[{"id":"ITEM-1","itemData":{"ISBN":"9780073511290","author":[{"dropping-particle":"","family":"Samuelson","given":"Paul A.","non-dropping-particle":"","parse-names":false,"suffix":""},{"dropping-particle":"","family":"N</vt:lpwstr>
  </property>
  <property fmtid="{D5CDD505-2E9C-101B-9397-08002B2CF9AE}" pid="989" name="Mendeley Recent Style Id 265_2">
    <vt:lpwstr>ordhaus","given":"William D.","non-dropping-particle":"","parse-names":false,"suffix":""}],"edition":"19","editor":[{"dropping-particle":"","family":"Fisher","given":"Karen L.","non-dropping-particle":"","parse-names":false,"suffix":""}],"id":"ITEM-1","is</vt:lpwstr>
  </property>
  <property fmtid="{D5CDD505-2E9C-101B-9397-08002B2CF9AE}" pid="990" name="Mendeley Recent Style Id 265_3">
    <vt:lpwstr>sued":{"date-parts":[["2010"]]},"number-of-pages":"745","publisher":"Duglas Reiner","title":"Economics","type":"book"},"uris":["http://www.mendeley.com/documents/?uuid=24ef6ae5-9d2f-4689-9c95-e6fc514cd42f"]}],"mendeley":{"formattedCitation":"(Samuelson an</vt:lpwstr>
  </property>
  <property fmtid="{D5CDD505-2E9C-101B-9397-08002B2CF9AE}" pid="991" name="Mendeley Recent Style Id 265_4">
    <vt:lpwstr>d Nordhaus, 2010)","plainTextFormattedCitation":"(Samuelson and Nordhaus, 2010)","previouslyFormattedCitation":"(Samuelson and Nordhaus, 2010)"},"properties":{"noteIndex":0},"schema":"https://github.com/citation-style-language/schema/raw/master/csl-citati</vt:lpwstr>
  </property>
  <property fmtid="{D5CDD505-2E9C-101B-9397-08002B2CF9AE}" pid="992" name="Mendeley Recent Style Id 265_5">
    <vt:lpwstr>on.json"}</vt:lpwstr>
  </property>
  <property fmtid="{D5CDD505-2E9C-101B-9397-08002B2CF9AE}" pid="993" name="Mendeley Recent Style Name 265_1">
    <vt:lpwstr>(Samuelson and Nordhaus, 2010)</vt:lpwstr>
  </property>
  <property fmtid="{D5CDD505-2E9C-101B-9397-08002B2CF9AE}" pid="994" name="Mendeley Recent Style Id 266_1">
    <vt:lpwstr>(Samuelson and Nordhaus, 2010)</vt:lpwstr>
  </property>
  <property fmtid="{D5CDD505-2E9C-101B-9397-08002B2CF9AE}" pid="995" name="Mendeley Recent Style Name 266_1">
    <vt:lpwstr>(Samuelson and Nordhaus, 2010)</vt:lpwstr>
  </property>
  <property fmtid="{D5CDD505-2E9C-101B-9397-08002B2CF9AE}" pid="996" name="Mendeley Recent Style Id 267_1">
    <vt:lpwstr>ADDIN CSL_CITATION {"citationItems":[{"id":"ITEM-1","itemData":{"DOI":"10.2139/ssrn.3449899","ISBN":"9786058243361","author":[{"dropping-particle":"","family":"Terziev","given":"Venelin","non-dropping-particle":"","parse-names":false,"suffix":""}],"contai</vt:lpwstr>
  </property>
  <property fmtid="{D5CDD505-2E9C-101B-9397-08002B2CF9AE}" pid="997" name="Mendeley Recent Style Id 267_2">
    <vt:lpwstr>ner-title":"SOCIOINT 2019- 6th International Conference on Education, Social Sciences and Humanities 24-26","id":"ITEM-1","issue":"June","issued":{"date-parts":[["2019"]]},"publisher-place":"Istanbul","title":"Social Efficiency as a Measure of Social Acti</vt:lpwstr>
  </property>
  <property fmtid="{D5CDD505-2E9C-101B-9397-08002B2CF9AE}" pid="998" name="Mendeley Recent Style Id 267_3">
    <vt:lpwstr>vities","type":"paper-conference"},"uris":["http://www.mendeley.com/documents/?uuid=b9524b2d-2bf9-4422-924f-d25a21306dab"]}],"mendeley":{"formattedCitation":"(Terziev, 2019)","plainTextFormattedCitation":"(Terziev, 2019)","previouslyFormattedCitation":"(T</vt:lpwstr>
  </property>
  <property fmtid="{D5CDD505-2E9C-101B-9397-08002B2CF9AE}" pid="999" name="Mendeley Recent Style Id 267_4">
    <vt:lpwstr>erziev, 2019)"},"properties":{"noteIndex":0},"schema":"https://github.com/citation-style-language/schema/raw/master/csl-citation.json"}</vt:lpwstr>
  </property>
  <property fmtid="{D5CDD505-2E9C-101B-9397-08002B2CF9AE}" pid="1000" name="Mendeley Recent Style Name 267_1">
    <vt:lpwstr>(Terziev, 2019)</vt:lpwstr>
  </property>
  <property fmtid="{D5CDD505-2E9C-101B-9397-08002B2CF9AE}" pid="1001" name="Mendeley Recent Style Id 268_1">
    <vt:lpwstr>(Terziev, 2019)</vt:lpwstr>
  </property>
  <property fmtid="{D5CDD505-2E9C-101B-9397-08002B2CF9AE}" pid="1002" name="Mendeley Recent Style Name 268_1">
    <vt:lpwstr>(Terziev, 2019)</vt:lpwstr>
  </property>
  <property fmtid="{D5CDD505-2E9C-101B-9397-08002B2CF9AE}" pid="1003" name="Mendeley Recent Style Id 269_1">
    <vt:lpwstr>ADDIN CSL_CITATION {"citationItems":[{"id":"ITEM-1","itemData":{"author":[{"dropping-particle":"","family":"Bohm","given":"Peter","non-dropping-particle":"","parse-names":false,"suffix":""}],"container-title":"Social Efficiency","edition":"2","id":"ITEM-1</vt:lpwstr>
  </property>
  <property fmtid="{D5CDD505-2E9C-101B-9397-08002B2CF9AE}" pid="1004" name="Mendeley Recent Style Id 269_2">
    <vt:lpwstr>","issued":{"date-parts":[["1987"]]},"page":"155-183","publisher-place":"London","title":"Necessary Conditions for Pareto Optimality","type":"chapter"},"uris":["http://www.mendeley.com/documents/?uuid=b29bc23c-e402-4312-8bff-1238dfbca3d7"]}],"mendeley":{"</vt:lpwstr>
  </property>
  <property fmtid="{D5CDD505-2E9C-101B-9397-08002B2CF9AE}" pid="1005" name="Mendeley Recent Style Id 269_3">
    <vt:lpwstr>formattedCitation":"(Bohm, 1987)","plainTextFormattedCitation":"(Bohm, 1987)","previouslyFormattedCitation":"(Bohm, 1987)"},"properties":{"noteIndex":0},"schema":"https://github.com/citation-style-language/schema/raw/master/csl-citation.json"}</vt:lpwstr>
  </property>
  <property fmtid="{D5CDD505-2E9C-101B-9397-08002B2CF9AE}" pid="1006" name="Mendeley Recent Style Name 269_1">
    <vt:lpwstr>(Bohm, 1987)</vt:lpwstr>
  </property>
  <property fmtid="{D5CDD505-2E9C-101B-9397-08002B2CF9AE}" pid="1007" name="Mendeley Recent Style Id 270_1">
    <vt:lpwstr>(Bohm, 1987)</vt:lpwstr>
  </property>
  <property fmtid="{D5CDD505-2E9C-101B-9397-08002B2CF9AE}" pid="1008" name="Mendeley Recent Style Name 270_1">
    <vt:lpwstr>(Bohm, 1987)</vt:lpwstr>
  </property>
  <property fmtid="{D5CDD505-2E9C-101B-9397-08002B2CF9AE}" pid="1009" name="Mendeley Recent Style Id 271_1">
    <vt:lpwstr>ADDIN CSL_CITATION {"citationItems":[{"id":"ITEM-1","itemData":{"author":[{"dropping-particle":"","family":"Afinogenova","given":"I. N.","non-dropping-particle":"","parse-names":false,"suffix":""}],"container-title":"The territory of science","id":"ITEM-1</vt:lpwstr>
  </property>
  <property fmtid="{D5CDD505-2E9C-101B-9397-08002B2CF9AE}" pid="1010" name="Mendeley Recent Style Id 271_2">
    <vt:lpwstr>","issue":"1","issued":{"date-parts":[["2013"]]},"page":"54-60","title":"Economic efficiency and social justice","type":"article-journal"},"uris":["http://www.mendeley.com/documents/?uuid=07a46d55-15de-4660-9581-3f8437738dab"]}],"mendeley":{"formattedCita</vt:lpwstr>
  </property>
  <property fmtid="{D5CDD505-2E9C-101B-9397-08002B2CF9AE}" pid="1011" name="Mendeley Recent Style Id 271_3">
    <vt:lpwstr>tion":"(Afinogenova, 2013)","plainTextFormattedCitation":"(Afinogenova, 2013)","previouslyFormattedCitation":"(Afinogenova, 2013)"},"properties":{"noteIndex":0},"schema":"https://github.com/citation-style-language/schema/raw/master/csl-citation.json"}</vt:lpwstr>
  </property>
  <property fmtid="{D5CDD505-2E9C-101B-9397-08002B2CF9AE}" pid="1012" name="Mendeley Recent Style Name 271_1">
    <vt:lpwstr>(Afinogenova, 2013)</vt:lpwstr>
  </property>
  <property fmtid="{D5CDD505-2E9C-101B-9397-08002B2CF9AE}" pid="1013" name="Mendeley Recent Style Id 272_1">
    <vt:lpwstr>(Afinogenova, 2013)</vt:lpwstr>
  </property>
  <property fmtid="{D5CDD505-2E9C-101B-9397-08002B2CF9AE}" pid="1014" name="Mendeley Recent Style Name 272_1">
    <vt:lpwstr>(Afinogenova, 2013)</vt:lpwstr>
  </property>
  <property fmtid="{D5CDD505-2E9C-101B-9397-08002B2CF9AE}" pid="1015" name="Mendeley Recent Style Id 273_1">
    <vt:lpwstr>ADDIN CSL_CITATION {"citationItems":[{"id":"ITEM-1","itemData":{"DOI":"10.2139/ssrn.3449899","ISBN":"9786058243361","author":[{"dropping-particle":"","family":"Terziev","given":"Venelin","non-dropping-particle":"","parse-names":false,"suffix":""}],"contai</vt:lpwstr>
  </property>
  <property fmtid="{D5CDD505-2E9C-101B-9397-08002B2CF9AE}" pid="1016" name="Mendeley Recent Style Id 273_2">
    <vt:lpwstr>ner-title":"SOCIOINT 2019- 6th International Conference on Education, Social Sciences and Humanities 24-26","id":"ITEM-1","issue":"June","issued":{"date-parts":[["2019"]]},"publisher-place":"Istanbul","title":"Social Efficiency as a Measure of Social Acti</vt:lpwstr>
  </property>
  <property fmtid="{D5CDD505-2E9C-101B-9397-08002B2CF9AE}" pid="1017" name="Mendeley Recent Style Id 273_3">
    <vt:lpwstr>vities","type":"paper-conference"},"uris":["http://www.mendeley.com/documents/?uuid=b9524b2d-2bf9-4422-924f-d25a21306dab"]}],"mendeley":{"formattedCitation":"(Terziev, 2019)","plainTextFormattedCitation":"(Terziev, 2019)","previouslyFormattedCitation":"(T</vt:lpwstr>
  </property>
  <property fmtid="{D5CDD505-2E9C-101B-9397-08002B2CF9AE}" pid="1018" name="Mendeley Recent Style Id 273_4">
    <vt:lpwstr>erziev, 2019)"},"properties":{"noteIndex":0},"schema":"https://github.com/citation-style-language/schema/raw/master/csl-citation.json"}</vt:lpwstr>
  </property>
  <property fmtid="{D5CDD505-2E9C-101B-9397-08002B2CF9AE}" pid="1019" name="Mendeley Recent Style Name 273_1">
    <vt:lpwstr>(Terziev, 2019)</vt:lpwstr>
  </property>
  <property fmtid="{D5CDD505-2E9C-101B-9397-08002B2CF9AE}" pid="1020" name="Mendeley Recent Style Id 274_1">
    <vt:lpwstr>(Terziev, 2019)</vt:lpwstr>
  </property>
  <property fmtid="{D5CDD505-2E9C-101B-9397-08002B2CF9AE}" pid="1021" name="Mendeley Recent Style Name 274_1">
    <vt:lpwstr>(Terziev, 2019)</vt:lpwstr>
  </property>
  <property fmtid="{D5CDD505-2E9C-101B-9397-08002B2CF9AE}" pid="1022" name="Mendeley Recent Style Id 275_1">
    <vt:lpwstr>ADDIN CSL_CITATION {"citationItems":[{"id":"ITEM-1","itemData":{"author":[{"dropping-particle":"","family":"Bohm","given":"Peter","non-dropping-particle":"","parse-names":false,"suffix":""}],"container-title":"Social Efficiency","edition":"2","id":"ITEM-1</vt:lpwstr>
  </property>
  <property fmtid="{D5CDD505-2E9C-101B-9397-08002B2CF9AE}" pid="1023" name="Mendeley Recent Style Id 275_2">
    <vt:lpwstr>","issued":{"date-parts":[["1987"]]},"page":"155-183","publisher-place":"London","title":"Necessary Conditions for Pareto Optimality","type":"chapter"},"uris":["http://www.mendeley.com/documents/?uuid=b29bc23c-e402-4312-8bff-1238dfbca3d7"]}],"mendeley":{"</vt:lpwstr>
  </property>
  <property fmtid="{D5CDD505-2E9C-101B-9397-08002B2CF9AE}" pid="1024" name="Mendeley Recent Style Id 275_3">
    <vt:lpwstr>formattedCitation":"(Bohm, 1987)","plainTextFormattedCitation":"(Bohm, 1987)","previouslyFormattedCitation":"(Bohm, 1987)"},"properties":{"noteIndex":0},"schema":"https://github.com/citation-style-language/schema/raw/master/csl-citation.json"}</vt:lpwstr>
  </property>
  <property fmtid="{D5CDD505-2E9C-101B-9397-08002B2CF9AE}" pid="1025" name="Mendeley Recent Style Name 275_1">
    <vt:lpwstr>(Bohm, 1987)</vt:lpwstr>
  </property>
  <property fmtid="{D5CDD505-2E9C-101B-9397-08002B2CF9AE}" pid="1026" name="Mendeley Recent Style Id 276_1">
    <vt:lpwstr>(Bohm, 1987)</vt:lpwstr>
  </property>
  <property fmtid="{D5CDD505-2E9C-101B-9397-08002B2CF9AE}" pid="1027" name="Mendeley Recent Style Name 276_1">
    <vt:lpwstr>(Bohm, 1987)</vt:lpwstr>
  </property>
  <property fmtid="{D5CDD505-2E9C-101B-9397-08002B2CF9AE}" pid="1028" name="Mendeley Recent Style Id 277_1">
    <vt:lpwstr>ADDIN CSL_CITATION {"citationItems":[{"id":"ITEM-1","itemData":{"author":[{"dropping-particle":"","family":"Afinogenova","given":"I. N.","non-dropping-particle":"","parse-names":false,"suffix":""}],"container-title":"The territory of science","id":"ITEM-1</vt:lpwstr>
  </property>
  <property fmtid="{D5CDD505-2E9C-101B-9397-08002B2CF9AE}" pid="1029" name="Mendeley Recent Style Id 277_2">
    <vt:lpwstr>","issue":"1","issued":{"date-parts":[["2013"]]},"page":"54-60","title":"Economic efficiency and social justice","type":"article-journal"},"uris":["http://www.mendeley.com/documents/?uuid=07a46d55-15de-4660-9581-3f8437738dab"]}],"mendeley":{"formattedCita</vt:lpwstr>
  </property>
  <property fmtid="{D5CDD505-2E9C-101B-9397-08002B2CF9AE}" pid="1030" name="Mendeley Recent Style Id 277_3">
    <vt:lpwstr>tion":"(Afinogenova, 2013)","plainTextFormattedCitation":"(Afinogenova, 2013)","previouslyFormattedCitation":"(Afinogenova, 2013)"},"properties":{"noteIndex":0},"schema":"https://github.com/citation-style-language/schema/raw/master/csl-citation.json"}</vt:lpwstr>
  </property>
  <property fmtid="{D5CDD505-2E9C-101B-9397-08002B2CF9AE}" pid="1031" name="Mendeley Recent Style Name 277_1">
    <vt:lpwstr>(Afinogenova, 2013)</vt:lpwstr>
  </property>
  <property fmtid="{D5CDD505-2E9C-101B-9397-08002B2CF9AE}" pid="1032" name="Mendeley Recent Style Id 278_1">
    <vt:lpwstr>(Afinogenova, 2013)</vt:lpwstr>
  </property>
  <property fmtid="{D5CDD505-2E9C-101B-9397-08002B2CF9AE}" pid="1033" name="Mendeley Recent Style Name 278_1">
    <vt:lpwstr>(Afinogenova, 2013)</vt:lpwstr>
  </property>
  <property fmtid="{D5CDD505-2E9C-101B-9397-08002B2CF9AE}" pid="1034" name="Mendeley Recent Style Id 279_1">
    <vt:lpwstr>ADDIN CSL_CITATION {"citationItems":[{"id":"ITEM-1","itemData":{"id":"ITEM-1","issued":{"date-parts":[["0"]]},"title":"Holy-Quran","type":"book"},"uris":["http://www.mendeley.com/documents/?uuid=f9fa377e-58aa-401f-80ab-8caf62735865"]}],"mendeley":{"format</vt:lpwstr>
  </property>
  <property fmtid="{D5CDD505-2E9C-101B-9397-08002B2CF9AE}" pid="1035" name="Mendeley Recent Style Id 279_2">
    <vt:lpwstr>tedCitation":"(&lt;i&gt;Holy-Quran&lt;/i&gt;, n.d.)","plainTextFormattedCitation":"(Holy-Quran, n.d.)","previouslyFormattedCitation":"(&lt;i&gt;Holy-Quran&lt;/i&gt;, no date)"},"properties":{"noteIndex":0},"schema":"https://github.com/citation-style-language/schema/raw/master/cs</vt:lpwstr>
  </property>
  <property fmtid="{D5CDD505-2E9C-101B-9397-08002B2CF9AE}" pid="1036" name="Mendeley Recent Style Id 279_3">
    <vt:lpwstr>l-citation.json"}</vt:lpwstr>
  </property>
  <property fmtid="{D5CDD505-2E9C-101B-9397-08002B2CF9AE}" pid="1037" name="Mendeley Recent Style Name 279_1">
    <vt:lpwstr>(&lt;i&gt;Holy-Quran&lt;/i&gt;, n.d.)</vt:lpwstr>
  </property>
  <property fmtid="{D5CDD505-2E9C-101B-9397-08002B2CF9AE}" pid="1038" name="Mendeley Recent Style Id 280_1">
    <vt:lpwstr>(&lt;i&gt;Holy-Quran&lt;/i&gt;, no date)</vt:lpwstr>
  </property>
  <property fmtid="{D5CDD505-2E9C-101B-9397-08002B2CF9AE}" pid="1039" name="Mendeley Recent Style Name 280_1">
    <vt:lpwstr>(Holy-Quran, n.d.)</vt:lpwstr>
  </property>
  <property fmtid="{D5CDD505-2E9C-101B-9397-08002B2CF9AE}" pid="1040" name="Mendeley Recent Style Id 281_1">
    <vt:lpwstr>ADDIN CSL_CITATION {"citationItems":[{"id":"ITEM-1","itemData":{"URL":"https://stat.gov.kz/official/dynamic","author":[{"dropping-particle":"","family":"Statistics Committee","given":"","non-dropping-particle":"","parse-names":false,"suffix":""}],"id":"IT</vt:lpwstr>
  </property>
  <property fmtid="{D5CDD505-2E9C-101B-9397-08002B2CF9AE}" pid="1041" name="Mendeley Recent Style Id 281_2">
    <vt:lpwstr>EM-1","issued":{"date-parts":[["2019"]]},"title":"The main socio-economic indicators of the Republic of Kazakhstan","type":"webpage"},"uris":["http://www.mendeley.com/documents/?uuid=6222d9be-20b4-4abc-8ce1-13c22a30da31"]}],"mendeley":{"formattedCitation"</vt:lpwstr>
  </property>
  <property fmtid="{D5CDD505-2E9C-101B-9397-08002B2CF9AE}" pid="1042" name="Mendeley Recent Style Id 281_3">
    <vt:lpwstr>:"(Statistics Committee, 2019)","plainTextFormattedCitation":"(Statistics Committee, 2019)","previouslyFormattedCitation":"(Statistics Committee, 2019)"},"properties":{"noteIndex":0},"schema":"https://github.com/citation-style-language/schema/raw/master/c</vt:lpwstr>
  </property>
  <property fmtid="{D5CDD505-2E9C-101B-9397-08002B2CF9AE}" pid="1043" name="Mendeley Recent Style Id 281_4">
    <vt:lpwstr>sl-citation.json"}</vt:lpwstr>
  </property>
  <property fmtid="{D5CDD505-2E9C-101B-9397-08002B2CF9AE}" pid="1044" name="Mendeley Recent Style Name 281_1">
    <vt:lpwstr>(Statistics Committee, 2019)</vt:lpwstr>
  </property>
  <property fmtid="{D5CDD505-2E9C-101B-9397-08002B2CF9AE}" pid="1045" name="Mendeley Recent Style Id 282_1">
    <vt:lpwstr>(Statistics Committee, 2019)</vt:lpwstr>
  </property>
  <property fmtid="{D5CDD505-2E9C-101B-9397-08002B2CF9AE}" pid="1046" name="Mendeley Recent Style Name 282_1">
    <vt:lpwstr>(Statistics Committee, 2019)</vt:lpwstr>
  </property>
  <property fmtid="{D5CDD505-2E9C-101B-9397-08002B2CF9AE}" pid="1047" name="Mendeley Recent Style Id 283_1">
    <vt:lpwstr>ADDIN CSL_CITATION {"citationItems":[{"id":"ITEM-1","itemData":{"URL":"https://www.worldbank.org/en/country/kazakhstan/overview","author":[{"dropping-particle":"","family":"World Bank","given":"","non-dropping-particle":"","parse-names":false,"suffix":""}</vt:lpwstr>
  </property>
  <property fmtid="{D5CDD505-2E9C-101B-9397-08002B2CF9AE}" pid="1048" name="Mendeley Recent Style Id 283_2">
    <vt:lpwstr>],"id":"ITEM-1","issued":{"date-parts":[["2019"]]},"page":"1-11","title":"The World Bank Overview","type":"webpage"},"uris":["http://www.mendeley.com/documents/?uuid=27674b55-3270-48d4-be43-64f093ff7886"]}],"mendeley":{"formattedCitation":"(World Bank, 20</vt:lpwstr>
  </property>
  <property fmtid="{D5CDD505-2E9C-101B-9397-08002B2CF9AE}" pid="1049" name="Mendeley Recent Style Id 283_3">
    <vt:lpwstr>19)","plainTextFormattedCitation":"(World Bank, 2019)","previouslyFormattedCitation":"(World Bank, 2019)"},"properties":{"noteIndex":0},"schema":"https://github.com/citation-style-language/schema/raw/master/csl-citation.json"}</vt:lpwstr>
  </property>
  <property fmtid="{D5CDD505-2E9C-101B-9397-08002B2CF9AE}" pid="1050" name="Mendeley Recent Style Name 283_1">
    <vt:lpwstr>(World Bank, 2019)</vt:lpwstr>
  </property>
  <property fmtid="{D5CDD505-2E9C-101B-9397-08002B2CF9AE}" pid="1051" name="Mendeley Recent Style Id 284_1">
    <vt:lpwstr>(World Bank, 2019)</vt:lpwstr>
  </property>
  <property fmtid="{D5CDD505-2E9C-101B-9397-08002B2CF9AE}" pid="1052" name="Mendeley Recent Style Name 284_1">
    <vt:lpwstr>(World Bank, 2019)</vt:lpwstr>
  </property>
  <property fmtid="{D5CDD505-2E9C-101B-9397-08002B2CF9AE}" pid="1053" name="Mendeley Recent Style Id 285_1">
    <vt:lpwstr>ADDIN CSL_CITATION {"citationItems":[{"id":"ITEM-1","itemData":{"author":[{"dropping-particle":"","family":"Azmi","given":"Sofiza","non-dropping-particle":"","parse-names":false,"suffix":""}],"container-title":"Textbook of family medicine","id":"ITEM-1","</vt:lpwstr>
  </property>
  <property fmtid="{D5CDD505-2E9C-101B-9397-08002B2CF9AE}" pid="1054" name="Mendeley Recent Style Id 285_2">
    <vt:lpwstr>issued":{"date-parts":[["2019"]]},"number-of-pages":"1-2","publisher-place":"London","title":"Global Islamic Finance Report. Artificial intelligence and innovation in Islamic finance","type":"report"},"uris":["http://www.mendeley.com/documents/?uuid=ba4b2</vt:lpwstr>
  </property>
  <property fmtid="{D5CDD505-2E9C-101B-9397-08002B2CF9AE}" pid="1055" name="Mendeley Recent Style Id 285_3">
    <vt:lpwstr>2e1-c5eb-4c73-b429-673bac41aaa0"]}],"mendeley":{"formattedCitation":"(Azmi, 2019)","plainTextFormattedCitation":"(Azmi, 2019)","previouslyFormattedCitation":"(Azmi, 2019)"},"properties":{"noteIndex":0},"schema":"https://github.com/citation-style-language/</vt:lpwstr>
  </property>
  <property fmtid="{D5CDD505-2E9C-101B-9397-08002B2CF9AE}" pid="1056" name="Mendeley Recent Style Id 285_4">
    <vt:lpwstr>schema/raw/master/csl-citation.json"}</vt:lpwstr>
  </property>
  <property fmtid="{D5CDD505-2E9C-101B-9397-08002B2CF9AE}" pid="1057" name="Mendeley Recent Style Name 285_1">
    <vt:lpwstr>(Azmi, 2019)</vt:lpwstr>
  </property>
  <property fmtid="{D5CDD505-2E9C-101B-9397-08002B2CF9AE}" pid="1058" name="Mendeley Recent Style Id 286_1">
    <vt:lpwstr>(Azmi, 2019)</vt:lpwstr>
  </property>
  <property fmtid="{D5CDD505-2E9C-101B-9397-08002B2CF9AE}" pid="1059" name="Mendeley Recent Style Name 286_1">
    <vt:lpwstr>(Azmi, 2019)</vt:lpwstr>
  </property>
  <property fmtid="{D5CDD505-2E9C-101B-9397-08002B2CF9AE}" pid="1060" name="Mendeley Recent Style Id 287_1">
    <vt:lpwstr>ADDIN CSL_CITATION {"citationItems":[{"id":"ITEM-1","itemData":{"URL":"http://www.mfa.kz/ru/content-view/kontseptsiya-vneshnoj-politiki-rk-na-2014-2020-gg","abstract":"The Foreign Policy Concept of the Republic of Kazakhstan (hereinafter-the Concept) has </vt:lpwstr>
  </property>
  <property fmtid="{D5CDD505-2E9C-101B-9397-08002B2CF9AE}" pid="1061" name="Mendeley Recent Style Id 287_2">
    <vt:lpwstr>been developed based on the directions, set forth in the Strategy Kazakhstan-2050 Address to the people of Kazakhstan by President of the Republic of Kazakhstan (hereinafter-Strategy 2050). This strategy represents a system of fundamental views on the pri</vt:lpwstr>
  </property>
  <property fmtid="{D5CDD505-2E9C-101B-9397-08002B2CF9AE}" pid="1062" name="Mendeley Recent Style Id 287_3">
    <vt:lpwstr>nciples, approaches, aims, priorities and tasks of foreign policy for the Republic of Kazakhstan. 1. Vision for the development of the foreign policy of the Republic of Kazakhstan Kazakhstan has entered the third decade of its independence as an establish</vt:lpwstr>
  </property>
  <property fmtid="{D5CDD505-2E9C-101B-9397-08002B2CF9AE}" pid="1063" name="Mendeley Recent Style Id 287_4">
    <vt:lpwstr>ed and stable state with a dynamically developing economy and clearly set foreign policy priorities. The increased participation of Kazakhstan in world affairs can be seen by the rising role and strengthening international reputation of the state, its inc</vt:lpwstr>
  </property>
  <property fmtid="{D5CDD505-2E9C-101B-9397-08002B2CF9AE}" pid="1064" name="Mendeley Recent Style Id 287_5">
    <vt:lpwstr>reased regional weight and importance for the world financial institutions and global economy. Facing the current realities, the foreign policy of the Republic of Kazakhstan requires modernization and promotion of the national interests on the basis of pr</vt:lpwstr>
  </property>
  <property fmtid="{D5CDD505-2E9C-101B-9397-08002B2CF9AE}" pid="1065" name="Mendeley Recent Style Id 287_6">
    <vt:lpwstr>inciples of pragmatism. This process is influenced by a range of internal and external factors. Among the important internal factors are cardinal changes in the political and socioeconomic development of Kazakhstan, completion of our transformational stag</vt:lpwstr>
  </property>
  <property fmtid="{D5CDD505-2E9C-101B-9397-08002B2CF9AE}" pid="1066" name="Mendeley Recent Style Id 287_7">
    <vt:lpwstr>e and turning towards a new strategy of long-term sustainable development until 2050. External factors include the need to overcome the world financial-economic crisis, intensified conflicts and current problems of humanity, emergence of qualitatively new</vt:lpwstr>
  </property>
  <property fmtid="{D5CDD505-2E9C-101B-9397-08002B2CF9AE}" pid="1067" name="Mendeley Recent Style Id 287_8">
    <vt:lpwstr> geopolitical and geo-economic situation on regional and global scale. Goals of Kazakhstan's foreign policy With due account of Kazakhstan's national interests, our main foreign policy efforts will be focused on achieving the following goals: 1) Measures </vt:lpwstr>
  </property>
  <property fmtid="{D5CDD505-2E9C-101B-9397-08002B2CF9AE}" pid="1068" name="Mendeley Recent Style Id 287_9">
    <vt:lpwstr>that will ensure national security, defense capacity, sovereignty and territorial unity of the country; 2) strengthening peace through regional and global security; 3) sustainable international position and positive global image of Kazakhstan;","author":[</vt:lpwstr>
  </property>
  <property fmtid="{D5CDD505-2E9C-101B-9397-08002B2CF9AE}" pid="1069" name="Mendeley Recent Style Id 287_10">
    <vt:lpwstr>{"dropping-particle":"","family":"Ministry of Foreign Affairs","given":"","non-dropping-particle":"","parse-names":false,"suffix":""}],"id":"ITEM-1","issued":{"date-parts":[["2014"]]},"title":"Foreign Policy Concept for 2014-2020 Republic of Kazakhstan","</vt:lpwstr>
  </property>
  <property fmtid="{D5CDD505-2E9C-101B-9397-08002B2CF9AE}" pid="1070" name="Mendeley Recent Style Id 287_11">
    <vt:lpwstr>type":"webpage"},"uris":["http://www.mendeley.com/documents/?uuid=c8689210-b3c5-4605-b1b9-13f047aab6c0"]}],"mendeley":{"formattedCitation":"(Ministry of Foreign Affairs, 2014)","plainTextFormattedCitation":"(Ministry of Foreign Affairs, 2014)","previously</vt:lpwstr>
  </property>
  <property fmtid="{D5CDD505-2E9C-101B-9397-08002B2CF9AE}" pid="1071" name="Mendeley Recent Style Id 287_12">
    <vt:lpwstr>FormattedCitation":"(Ministry of Foreign Affairs, 2014)"},"properties":{"noteIndex":0},"schema":"https://github.com/citation-style-language/schema/raw/master/csl-citation.json"}</vt:lpwstr>
  </property>
  <property fmtid="{D5CDD505-2E9C-101B-9397-08002B2CF9AE}" pid="1072" name="Mendeley Recent Style Name 287_1">
    <vt:lpwstr>(Ministry of Foreign Affairs, 2014)</vt:lpwstr>
  </property>
  <property fmtid="{D5CDD505-2E9C-101B-9397-08002B2CF9AE}" pid="1073" name="Mendeley Recent Style Id 288_1">
    <vt:lpwstr>(Ministry of Foreign Affairs, 2014)</vt:lpwstr>
  </property>
  <property fmtid="{D5CDD505-2E9C-101B-9397-08002B2CF9AE}" pid="1074" name="Mendeley Recent Style Name 288_1">
    <vt:lpwstr>(Ministry of Foreign Affairs, 2014)</vt:lpwstr>
  </property>
  <property fmtid="{D5CDD505-2E9C-101B-9397-08002B2CF9AE}" pid="1075" name="Mendeley Recent Style Id 289_1">
    <vt:lpwstr>ADDIN CSL_CITATION {"citationItems":[{"id":"ITEM-1","itemData":{"ISBN":"9780999855119","abstract":"A wide-ranging application of innovations is the most effective means of addressing the socio-economic tasks of the agro-industrial complex so as to provide</vt:lpwstr>
  </property>
  <property fmtid="{D5CDD505-2E9C-101B-9397-08002B2CF9AE}" pid="1076" name="Mendeley Recent Style Id 289_2">
    <vt:lpwstr> the population with food, improving the living standards of the rural population, increasing the efficiency of agro-industrial production, and preserving the environment. An analysis of innovative processes occurring in the agro-industrial complex of Kaz</vt:lpwstr>
  </property>
  <property fmtid="{D5CDD505-2E9C-101B-9397-08002B2CF9AE}" pid="1077" name="Mendeley Recent Style Id 289_3">
    <vt:lpwstr>akhstan is presented herein, and the main directions for the further development of agricultural production are given.","author":[{"dropping-particle":"","family":"L, Kuanova, L, Bimendieva, A, Mustafina, A, Kukiev, K","given":"Bizhanova","non-dropping-pa</vt:lpwstr>
  </property>
  <property fmtid="{D5CDD505-2E9C-101B-9397-08002B2CF9AE}" pid="1078" name="Mendeley Recent Style Id 289_4">
    <vt:lpwstr>rticle":"","parse-names":false,"suffix":""}],"container-title":"Innovative development of the agro-industrial complrx of the Republic of Kazakhstan","id":"ITEM-1","issue":"November","issued":{"date-parts":[["2018"]]},"page":"15-16","title":"Proceedings of</vt:lpwstr>
  </property>
  <property fmtid="{D5CDD505-2E9C-101B-9397-08002B2CF9AE}" pid="1079" name="Mendeley Recent Style Id 289_5">
    <vt:lpwstr> the 32nd International Business Information Management Association Conference, IBIMA 2018 - Vision 2020: Sustainable Economic Development and Application of Innovation Management from Regional expansion to Global Growth","type":"paper-conference"},"uris"</vt:lpwstr>
  </property>
  <property fmtid="{D5CDD505-2E9C-101B-9397-08002B2CF9AE}" pid="1080" name="Mendeley Recent Style Id 289_6">
    <vt:lpwstr>:["http://www.mendeley.com/documents/?uuid=252bd7fa-3265-4b56-9fc9-1952a5aa5b70"]}],"mendeley":{"formattedCitation":"(L, Kuanova, L, Bimendieva, A, Mustafina, A, Kukiev, K, 2018)","plainTextFormattedCitation":"(L, Kuanova, L, Bimendieva, A, Mustafina, A, </vt:lpwstr>
  </property>
  <property fmtid="{D5CDD505-2E9C-101B-9397-08002B2CF9AE}" pid="1081" name="Mendeley Recent Style Id 289_7">
    <vt:lpwstr>Kukiev, K, 2018)","previouslyFormattedCitation":"(L, Kuanova, L, Bimendieva, A, Mustafina, A, Kukiev, K, 2018)"},"properties":{"noteIndex":0},"schema":"https://github.com/citation-style-language/schema/raw/master/csl-citation.json"}</vt:lpwstr>
  </property>
  <property fmtid="{D5CDD505-2E9C-101B-9397-08002B2CF9AE}" pid="1082" name="Mendeley Recent Style Name 289_1">
    <vt:lpwstr>(L, Kuanova, L, Bimendieva, A, Mustafina, A, Kukiev, K, 2018)</vt:lpwstr>
  </property>
  <property fmtid="{D5CDD505-2E9C-101B-9397-08002B2CF9AE}" pid="1083" name="Mendeley Recent Style Id 290_1">
    <vt:lpwstr>(L, Kuanova, L, Bimendieva, A, Mustafina, A, Kukiev, K, 2018)</vt:lpwstr>
  </property>
  <property fmtid="{D5CDD505-2E9C-101B-9397-08002B2CF9AE}" pid="1084" name="Mendeley Recent Style Name 290_1">
    <vt:lpwstr>(L, Kuanova, L, Bimendieva, A, Mustafina, A, Kukiev, K, 2018)</vt:lpwstr>
  </property>
  <property fmtid="{D5CDD505-2E9C-101B-9397-08002B2CF9AE}" pid="1085" name="Mendeley Recent Style Id 291_1">
    <vt:lpwstr>ADDIN CSL_CITATION {"citationItems":[{"id":"ITEM-1","itemData":{"URL":"https://countryeconomy.com/ratings/kazakhstan","author":[{"dropping-particle":"","family":"www.countryeconomy.com","given":"","non-dropping-particle":"","parse-names":false,"suffix":""</vt:lpwstr>
  </property>
  <property fmtid="{D5CDD505-2E9C-101B-9397-08002B2CF9AE}" pid="1086" name="Mendeley Recent Style Id 291_2">
    <vt:lpwstr>}],"id":"ITEM-1","issued":{"date-parts":[["2019"]]},"title":"Raiting: Kazakhstan Credit raiting","type":"webpage"},"uris":["http://www.mendeley.com/documents/?uuid=e4ab3565-e67a-41fe-8b7a-29c10848ba05"]}],"mendeley":{"formattedCitation":"(www.countryecono</vt:lpwstr>
  </property>
  <property fmtid="{D5CDD505-2E9C-101B-9397-08002B2CF9AE}" pid="1087" name="Mendeley Recent Style Id 291_3">
    <vt:lpwstr>my.com, 2019)","plainTextFormattedCitation":"(www.countryeconomy.com, 2019)","previouslyFormattedCitation":"(www.countryeconomy.com, 2019)"},"properties":{"noteIndex":0},"schema":"https://github.com/citation-style-language/schema/raw/master/csl-citation.j</vt:lpwstr>
  </property>
  <property fmtid="{D5CDD505-2E9C-101B-9397-08002B2CF9AE}" pid="1088" name="Mendeley Recent Style Id 291_4">
    <vt:lpwstr>son"}</vt:lpwstr>
  </property>
  <property fmtid="{D5CDD505-2E9C-101B-9397-08002B2CF9AE}" pid="1089" name="Mendeley Recent Style Name 291_1">
    <vt:lpwstr>(www.countryeconomy.com, 2019)</vt:lpwstr>
  </property>
  <property fmtid="{D5CDD505-2E9C-101B-9397-08002B2CF9AE}" pid="1090" name="Mendeley Recent Style Id 292_1">
    <vt:lpwstr>(www.countryeconomy.com, 2019)</vt:lpwstr>
  </property>
  <property fmtid="{D5CDD505-2E9C-101B-9397-08002B2CF9AE}" pid="1091" name="Mendeley Recent Style Name 292_1">
    <vt:lpwstr>(www.countryeconomy.com, 2019)</vt:lpwstr>
  </property>
  <property fmtid="{D5CDD505-2E9C-101B-9397-08002B2CF9AE}" pid="1092" name="Mendeley Recent Style Id 293_1">
    <vt:lpwstr>ADDIN CSL_CITATION {"citationItems":[{"id":"ITEM-1","itemData":{"URL":"https://tradingeconomics.com/kazakhstan/indicators","author":[{"dropping-particle":"","family":"www.tradingeconomics.com","given":"","non-dropping-particle":"","parse-names":false,"suf</vt:lpwstr>
  </property>
  <property fmtid="{D5CDD505-2E9C-101B-9397-08002B2CF9AE}" pid="1093" name="Mendeley Recent Style Id 293_2">
    <vt:lpwstr>fix":""}],"id":"ITEM-1","issued":{"date-parts":[["2019"]]},"title":"Kazakhstan - Economic Indicators","type":"webpage","volume":"19"},"uris":["http://www.mendeley.com/documents/?uuid=24354555-1c10-4594-8f06-4feebfb5df85"]}],"mendeley":{"formattedCitation"</vt:lpwstr>
  </property>
  <property fmtid="{D5CDD505-2E9C-101B-9397-08002B2CF9AE}" pid="1094" name="Mendeley Recent Style Id 293_3">
    <vt:lpwstr>:"(www.tradingeconomics.com, 2019)","plainTextFormattedCitation":"(www.tradingeconomics.com, 2019)","previouslyFormattedCitation":"(www.tradingeconomics.com, 2019)"},"properties":{"noteIndex":0},"schema":"https://github.com/citation-style-language/schema/</vt:lpwstr>
  </property>
  <property fmtid="{D5CDD505-2E9C-101B-9397-08002B2CF9AE}" pid="1095" name="Mendeley Recent Style Id 293_4">
    <vt:lpwstr>raw/master/csl-citation.json"}</vt:lpwstr>
  </property>
  <property fmtid="{D5CDD505-2E9C-101B-9397-08002B2CF9AE}" pid="1096" name="Mendeley Recent Style Name 293_1">
    <vt:lpwstr>(www.tradingeconomics.com, 2019)</vt:lpwstr>
  </property>
  <property fmtid="{D5CDD505-2E9C-101B-9397-08002B2CF9AE}" pid="1097" name="Mendeley Recent Style Id 294_1">
    <vt:lpwstr>(www.tradingeconomics.com, 2019)</vt:lpwstr>
  </property>
  <property fmtid="{D5CDD505-2E9C-101B-9397-08002B2CF9AE}" pid="1098" name="Mendeley Recent Style Name 294_1">
    <vt:lpwstr>(www.tradingeconomics.com, 2019)</vt:lpwstr>
  </property>
  <property fmtid="{D5CDD505-2E9C-101B-9397-08002B2CF9AE}" pid="1099" name="Mendeley Recent Style Id 295_1">
    <vt:lpwstr>ADDIN CSL_CITATION {"citationItems":[{"id":"ITEM-1","itemData":{"URL":"https://nationalbank.kz/?docid=3009&amp;switch=english","author":[{"dropping-particle":"","family":"National Bank of Kazakhstan","given":"","non-dropping-particle":"","parse-names":false,"</vt:lpwstr>
  </property>
  <property fmtid="{D5CDD505-2E9C-101B-9397-08002B2CF9AE}" pid="1100" name="Mendeley Recent Style Id 295_2">
    <vt:lpwstr>suffix":""}],"id":"ITEM-1","issued":{"date-parts":[["2019"]]},"title":"Second Tier banks of Kazakhstan","type":"webpage"},"uris":["http://www.mendeley.com/documents/?uuid=22e40873-2762-4a3f-ab4c-294c62055b5a"]}],"mendeley":{"formattedCitation":"(National </vt:lpwstr>
  </property>
  <property fmtid="{D5CDD505-2E9C-101B-9397-08002B2CF9AE}" pid="1101" name="Mendeley Recent Style Id 295_3">
    <vt:lpwstr>Bank of Kazakhstan, 2019)","plainTextFormattedCitation":"(National Bank of Kazakhstan, 2019)","previouslyFormattedCitation":"(National Bank of Kazakhstan, 2019)"},"properties":{"noteIndex":0},"schema":"https://github.com/citation-style-language/schema/raw</vt:lpwstr>
  </property>
  <property fmtid="{D5CDD505-2E9C-101B-9397-08002B2CF9AE}" pid="1102" name="Mendeley Recent Style Id 295_4">
    <vt:lpwstr>/master/csl-citation.json"}</vt:lpwstr>
  </property>
  <property fmtid="{D5CDD505-2E9C-101B-9397-08002B2CF9AE}" pid="1103" name="Mendeley Recent Style Name 295_1">
    <vt:lpwstr>(National Bank of Kazakhstan, 2019)</vt:lpwstr>
  </property>
  <property fmtid="{D5CDD505-2E9C-101B-9397-08002B2CF9AE}" pid="1104" name="Mendeley Recent Style Id 296_1">
    <vt:lpwstr>(National Bank of Kazakhstan, 2019)</vt:lpwstr>
  </property>
  <property fmtid="{D5CDD505-2E9C-101B-9397-08002B2CF9AE}" pid="1105" name="Mendeley Recent Style Name 296_1">
    <vt:lpwstr>(National Bank of Kazakhstan, 2019)</vt:lpwstr>
  </property>
  <property fmtid="{D5CDD505-2E9C-101B-9397-08002B2CF9AE}" pid="1106" name="Mendeley Recent Style Id 297_1">
    <vt:lpwstr>ADDIN CSL_CITATION {"citationItems":[{"id":"ITEM-1","itemData":{"author":[{"dropping-particle":"","family":"National Bank of Kazakhstan","given":"","non-dropping-particle":"","parse-names":false,"suffix":""}],"container-title":"Kazakhstan Islamic Finance"</vt:lpwstr>
  </property>
  <property fmtid="{D5CDD505-2E9C-101B-9397-08002B2CF9AE}" pid="1107" name="Mendeley Recent Style Id 297_2">
    <vt:lpwstr>,"id":"ITEM-1","issued":{"date-parts":[["2016"]]},"number-of-pages":"1-140","publisher-place":"Alamty","title":"A new frontier for Islamic finance","type":"report"},"uris":["http://www.mendeley.com/documents/?uuid=4d4eb56b-e57c-4af2-bd35-5ee2811721db"]}],</vt:lpwstr>
  </property>
  <property fmtid="{D5CDD505-2E9C-101B-9397-08002B2CF9AE}" pid="1108" name="Mendeley Recent Style Id 297_3">
    <vt:lpwstr>"mendeley":{"formattedCitation":"(National Bank of Kazakhstan, 2016)","plainTextFormattedCitation":"(National Bank of Kazakhstan, 2016)","previouslyFormattedCitation":"(National Bank of Kazakhstan, 2016)"},"properties":{"noteIndex":0},"schema":"https://gi</vt:lpwstr>
  </property>
  <property fmtid="{D5CDD505-2E9C-101B-9397-08002B2CF9AE}" pid="1109" name="Mendeley Recent Style Id 297_4">
    <vt:lpwstr>thub.com/citation-style-language/schema/raw/master/csl-citation.json"}</vt:lpwstr>
  </property>
  <property fmtid="{D5CDD505-2E9C-101B-9397-08002B2CF9AE}" pid="1110" name="Mendeley Recent Style Name 297_1">
    <vt:lpwstr>(National Bank of Kazakhstan, 2016)</vt:lpwstr>
  </property>
  <property fmtid="{D5CDD505-2E9C-101B-9397-08002B2CF9AE}" pid="1111" name="Mendeley Recent Style Id 298_1">
    <vt:lpwstr>(National Bank of Kazakhstan, 2016)</vt:lpwstr>
  </property>
  <property fmtid="{D5CDD505-2E9C-101B-9397-08002B2CF9AE}" pid="1112" name="Mendeley Recent Style Name 298_1">
    <vt:lpwstr>(National Bank of Kazakhstan, 2016)</vt:lpwstr>
  </property>
  <property fmtid="{D5CDD505-2E9C-101B-9397-08002B2CF9AE}" pid="1113" name="Mendeley Recent Style Id 299_1">
    <vt:lpwstr>ADDIN CSL_CITATION {"citationItems":[{"id":"ITEM-1","itemData":{"author":[{"dropping-particle":"","family":"National Bank of Kazakhstan","given":"","non-dropping-particle":"","parse-names":false,"suffix":""}],"container-title":"Kazakhstan Islamic Finance"</vt:lpwstr>
  </property>
  <property fmtid="{D5CDD505-2E9C-101B-9397-08002B2CF9AE}" pid="1114" name="Mendeley Recent Style Id 299_2">
    <vt:lpwstr>,"id":"ITEM-1","issued":{"date-parts":[["2016"]]},"number-of-pages":"1-140","publisher-place":"Alamty","title":"A new frontier for Islamic finance","type":"report"},"uris":["http://www.mendeley.com/documents/?uuid=4d4eb56b-e57c-4af2-bd35-5ee2811721db"]}],</vt:lpwstr>
  </property>
  <property fmtid="{D5CDD505-2E9C-101B-9397-08002B2CF9AE}" pid="1115" name="Mendeley Recent Style Id 299_3">
    <vt:lpwstr>"mendeley":{"formattedCitation":"(National Bank of Kazakhstan, 2016)","plainTextFormattedCitation":"(National Bank of Kazakhstan, 2016)","previouslyFormattedCitation":"(National Bank of Kazakhstan, 2016)"},"properties":{"noteIndex":0},"schema":"https://gi</vt:lpwstr>
  </property>
  <property fmtid="{D5CDD505-2E9C-101B-9397-08002B2CF9AE}" pid="1116" name="Mendeley Recent Style Id 299_4">
    <vt:lpwstr>thub.com/citation-style-language/schema/raw/master/csl-citation.json"}</vt:lpwstr>
  </property>
  <property fmtid="{D5CDD505-2E9C-101B-9397-08002B2CF9AE}" pid="1117" name="Mendeley Recent Style Name 299_1">
    <vt:lpwstr>(National Bank of Kazakhstan, 2016)</vt:lpwstr>
  </property>
  <property fmtid="{D5CDD505-2E9C-101B-9397-08002B2CF9AE}" pid="1118" name="Mendeley Recent Style Id 300_1">
    <vt:lpwstr>(National Bank of Kazakhstan, 2016)</vt:lpwstr>
  </property>
  <property fmtid="{D5CDD505-2E9C-101B-9397-08002B2CF9AE}" pid="1119" name="Mendeley Recent Style Name 300_1">
    <vt:lpwstr>(National Bank of Kazakhstan, 2016)</vt:lpwstr>
  </property>
  <property fmtid="{D5CDD505-2E9C-101B-9397-08002B2CF9AE}" pid="1120" name="Mendeley Recent Style Id 301_1">
    <vt:lpwstr>ADDIN CSL_CITATION {"citationItems":[{"id":"ITEM-1","itemData":{"author":[{"dropping-particle":"","family":"Azmi","given":"Sofiza","non-dropping-particle":"","parse-names":false,"suffix":""}],"container-title":"Textbook of family medicine","id":"ITEM-1","</vt:lpwstr>
  </property>
  <property fmtid="{D5CDD505-2E9C-101B-9397-08002B2CF9AE}" pid="1121" name="Mendeley Recent Style Id 301_2">
    <vt:lpwstr>issued":{"date-parts":[["2019"]]},"number-of-pages":"1-2","publisher-place":"London","title":"Global Islamic Finance Report. Artificial intelligence and innovation in Islamic finance","type":"report"},"uris":["http://www.mendeley.com/documents/?uuid=ba4b2</vt:lpwstr>
  </property>
  <property fmtid="{D5CDD505-2E9C-101B-9397-08002B2CF9AE}" pid="1122" name="Mendeley Recent Style Id 301_3">
    <vt:lpwstr>2e1-c5eb-4c73-b429-673bac41aaa0"]}],"mendeley":{"formattedCitation":"(Azmi, 2019)","plainTextFormattedCitation":"(Azmi, 2019)","previouslyFormattedCitation":"(Azmi, 2019)"},"properties":{"noteIndex":0},"schema":"https://github.com/citation-style-language/</vt:lpwstr>
  </property>
  <property fmtid="{D5CDD505-2E9C-101B-9397-08002B2CF9AE}" pid="1123" name="Mendeley Recent Style Id 301_4">
    <vt:lpwstr>schema/raw/master/csl-citation.json"}</vt:lpwstr>
  </property>
  <property fmtid="{D5CDD505-2E9C-101B-9397-08002B2CF9AE}" pid="1124" name="Mendeley Recent Style Name 301_1">
    <vt:lpwstr>(Azmi, 2019)</vt:lpwstr>
  </property>
  <property fmtid="{D5CDD505-2E9C-101B-9397-08002B2CF9AE}" pid="1125" name="Mendeley Recent Style Id 302_1">
    <vt:lpwstr>(Azmi, 2019)</vt:lpwstr>
  </property>
  <property fmtid="{D5CDD505-2E9C-101B-9397-08002B2CF9AE}" pid="1126" name="Mendeley Recent Style Name 302_1">
    <vt:lpwstr>(Azmi, 2019)</vt:lpwstr>
  </property>
  <property fmtid="{D5CDD505-2E9C-101B-9397-08002B2CF9AE}" pid="1127" name="Mendeley Recent Style Id 303_1">
    <vt:lpwstr>ADDIN CSL_CITATION {"citationItems":[{"id":"ITEM-1","itemData":{"author":[{"dropping-particle":"","family":"Sagiyeva","given":"Rimma К","non-dropping-particle":"","parse-names":false,"suffix":""},{"dropping-particle":"","family":"Kuanova","given":"Laura A</vt:lpwstr>
  </property>
  <property fmtid="{D5CDD505-2E9C-101B-9397-08002B2CF9AE}" pid="1128" name="Mendeley Recent Style Id 303_2">
    <vt:lpwstr>","non-dropping-particle":"","parse-names":false,"suffix":""}],"id":"ITEM-1","issue":"14","issued":{"date-parts":[["2019"]]},"page":"39-48","title":"Analysis of Islamic Finance development in Kazakhstan : overview and prospects","type":"article-journal","</vt:lpwstr>
  </property>
  <property fmtid="{D5CDD505-2E9C-101B-9397-08002B2CF9AE}" pid="1129" name="Mendeley Recent Style Id 303_3">
    <vt:lpwstr>volume":"3"},"uris":["http://www.mendeley.com/documents/?uuid=d6a2b9b9-8f57-40b3-8daa-7eaba2715c75"]}],"mendeley":{"formattedCitation":"(Sagiyeva and Kuanova, 2019)","plainTextFormattedCitation":"(Sagiyeva and Kuanova, 2019)","previouslyFormattedCitation"</vt:lpwstr>
  </property>
  <property fmtid="{D5CDD505-2E9C-101B-9397-08002B2CF9AE}" pid="1130" name="Mendeley Recent Style Id 303_4">
    <vt:lpwstr>:"(Sagiyeva and Kuanova, 2019)"},"properties":{"noteIndex":0},"schema":"https://github.com/citation-style-language/schema/raw/master/csl-citation.json"}</vt:lpwstr>
  </property>
  <property fmtid="{D5CDD505-2E9C-101B-9397-08002B2CF9AE}" pid="1131" name="Mendeley Recent Style Name 303_1">
    <vt:lpwstr>(Sagiyeva and Kuanova, 2019)</vt:lpwstr>
  </property>
  <property fmtid="{D5CDD505-2E9C-101B-9397-08002B2CF9AE}" pid="1132" name="Mendeley Recent Style Id 304_1">
    <vt:lpwstr>(Sagiyeva and Kuanova, 2019)</vt:lpwstr>
  </property>
  <property fmtid="{D5CDD505-2E9C-101B-9397-08002B2CF9AE}" pid="1133" name="Mendeley Recent Style Name 304_1">
    <vt:lpwstr>(Sagiyeva and Kuanova, 2019)</vt:lpwstr>
  </property>
  <property fmtid="{D5CDD505-2E9C-101B-9397-08002B2CF9AE}" pid="1134" name="Mendeley Recent Style Id 305_1">
    <vt:lpwstr>ADDIN CSL_CITATION {"citationItems":[{"id":"ITEM-1","itemData":{"DOI":"10.1016/j.bir.2019.07.006","ISSN":"22148469","abstract":"This review presents Islamic financial standards from inception to recent developments. The review discusses issues relating to</vt:lpwstr>
  </property>
  <property fmtid="{D5CDD505-2E9C-101B-9397-08002B2CF9AE}" pid="1135" name="Mendeley Recent Style Id 305_2">
    <vt:lpwstr> the Accounting and Auditing Organization for Islamic Financial Institutions (AAOIFI), Islamic Financial Services Board (IFSB), and International Islamic Financial Markets standards (IIFM). Beyond institutional financial standards, this article proposes o</vt:lpwstr>
  </property>
  <property fmtid="{D5CDD505-2E9C-101B-9397-08002B2CF9AE}" pid="1136" name="Mendeley Recent Style Id 305_3">
    <vt:lpwstr>ther perspectives that focus on the socio-economic impacts to the system. Consequently, the functional activities and standards development process of the reviewed bodies are discussed. The paper also highlights other challenges that need further strength</vt:lpwstr>
  </property>
  <property fmtid="{D5CDD505-2E9C-101B-9397-08002B2CF9AE}" pid="1137" name="Mendeley Recent Style Id 305_4">
    <vt:lpwstr>ening within the system and concludes with suggestions for future studies.","author":[{"dropping-particle":"","family":"Hassan","given":"M. Kabir","non-dropping-particle":"","parse-names":false,"suffix":""},{"dropping-particle":"","family":"Aliyu","given"</vt:lpwstr>
  </property>
  <property fmtid="{D5CDD505-2E9C-101B-9397-08002B2CF9AE}" pid="1138" name="Mendeley Recent Style Id 305_5">
    <vt:lpwstr>:"Sirajo","non-dropping-particle":"","parse-names":false,"suffix":""},{"dropping-particle":"","family":"Huda","given":"Makeen","non-dropping-particle":"","parse-names":false,"suffix":""},{"dropping-particle":"","family":"Rashid","given":"Mamunur","non-dro</vt:lpwstr>
  </property>
  <property fmtid="{D5CDD505-2E9C-101B-9397-08002B2CF9AE}" pid="1139" name="Mendeley Recent Style Id 305_6">
    <vt:lpwstr>pping-particle":"","parse-names":false,"suffix":""}],"container-title":"Borsa Istanbul Review","id":"ITEM-1","issued":{"date-parts":[["2019"]]},"page":"S1-S13","publisher":"Elsevier Ltd","title":"A survey on Islamic Finance and accounting standards","type</vt:lpwstr>
  </property>
  <property fmtid="{D5CDD505-2E9C-101B-9397-08002B2CF9AE}" pid="1140" name="Mendeley Recent Style Id 305_7">
    <vt:lpwstr>":"article-journal","volume":"19"},"uris":["http://www.mendeley.com/documents/?uuid=175af997-2bde-4922-93f8-9e4d38bb8a2a"]}],"mendeley":{"formattedCitation":"(Hassan &lt;i&gt;et al.&lt;/i&gt;, 2019)","plainTextFormattedCitation":"(Hassan et al., 2019)","previouslyFor</vt:lpwstr>
  </property>
  <property fmtid="{D5CDD505-2E9C-101B-9397-08002B2CF9AE}" pid="1141" name="Mendeley Recent Style Id 305_8">
    <vt:lpwstr>mattedCitation":"(Hassan &lt;i&gt;et al.&lt;/i&gt;, 2019)"},"properties":{"noteIndex":0},"schema":"https://github.com/citation-style-language/schema/raw/master/csl-citation.json"}</vt:lpwstr>
  </property>
  <property fmtid="{D5CDD505-2E9C-101B-9397-08002B2CF9AE}" pid="1142" name="Mendeley Recent Style Name 305_1">
    <vt:lpwstr>(Hassan &lt;i&gt;et al.&lt;/i&gt;, 2019)</vt:lpwstr>
  </property>
  <property fmtid="{D5CDD505-2E9C-101B-9397-08002B2CF9AE}" pid="1143" name="Mendeley Recent Style Id 306_1">
    <vt:lpwstr>(Hassan &lt;i&gt;et al.&lt;/i&gt;, 2019)</vt:lpwstr>
  </property>
  <property fmtid="{D5CDD505-2E9C-101B-9397-08002B2CF9AE}" pid="1144" name="Mendeley Recent Style Name 306_1">
    <vt:lpwstr>(Hassan et al., 2019)</vt:lpwstr>
  </property>
  <property fmtid="{D5CDD505-2E9C-101B-9397-08002B2CF9AE}" pid="1145" name="Mendeley Recent Style Id 307_1">
    <vt:lpwstr>ADDIN CSL_CITATION {"citationItems":[{"id":"ITEM-1","itemData":{"ISBN":"9960320219","author":[{"dropping-particle":"","family":"Kahf","given":"Monzer","non-dropping-particle":"","parse-names":false,"suffix":""}],"id":"ITEM-1","issued":{"date-parts":[["199</vt:lpwstr>
  </property>
  <property fmtid="{D5CDD505-2E9C-101B-9397-08002B2CF9AE}" pid="1146" name="Mendeley Recent Style Id 307_2">
    <vt:lpwstr>8"]]},"page":"343","publisher":"ISLAMIC RESEARCH AND TRAINING INSTITUTE","publisher-place":"Jeddah","title":"Lessons in Islamic Economics. Volume 2","type":"paper-conference"},"uris":["http://www.mendeley.com/documents/?uuid=6f5a4879-14c9-494f-bb58-ec9dd2</vt:lpwstr>
  </property>
  <property fmtid="{D5CDD505-2E9C-101B-9397-08002B2CF9AE}" pid="1147" name="Mendeley Recent Style Id 307_3">
    <vt:lpwstr>7280f1"]}],"mendeley":{"formattedCitation":"(Kahf, 1998)","plainTextFormattedCitation":"(Kahf, 1998)","previouslyFormattedCitation":"(Kahf, 1998)"},"properties":{"noteIndex":0},"schema":"https://github.com/citation-style-language/schema/raw/master/csl-cit</vt:lpwstr>
  </property>
  <property fmtid="{D5CDD505-2E9C-101B-9397-08002B2CF9AE}" pid="1148" name="Mendeley Recent Style Id 307_4">
    <vt:lpwstr>ation.json"}</vt:lpwstr>
  </property>
  <property fmtid="{D5CDD505-2E9C-101B-9397-08002B2CF9AE}" pid="1149" name="Mendeley Recent Style Name 307_1">
    <vt:lpwstr>(Kahf, 1998)</vt:lpwstr>
  </property>
  <property fmtid="{D5CDD505-2E9C-101B-9397-08002B2CF9AE}" pid="1150" name="Mendeley Recent Style Id 308_1">
    <vt:lpwstr>(Kahf, 1998)</vt:lpwstr>
  </property>
  <property fmtid="{D5CDD505-2E9C-101B-9397-08002B2CF9AE}" pid="1151" name="Mendeley Recent Style Name 308_1">
    <vt:lpwstr>(Kahf, 1998)</vt:lpwstr>
  </property>
  <property fmtid="{D5CDD505-2E9C-101B-9397-08002B2CF9AE}" pid="1152" name="Mendeley Recent Style Id 309_1">
    <vt:lpwstr>ADDIN CSL_CITATION {"citationItems":[{"id":"ITEM-1","itemData":{"ISBN":"9786030196166","author":[{"dropping-particle":"","family":"AAOIFI","given":"","non-dropping-particle":"","parse-names":false,"suffix":""}],"id":"ITEM-1","issued":{"date-parts":[["2015</vt:lpwstr>
  </property>
  <property fmtid="{D5CDD505-2E9C-101B-9397-08002B2CF9AE}" pid="1153" name="Mendeley Recent Style Id 309_2">
    <vt:lpwstr>"]]},"number-of-pages":"1262","publisher-place":"Manama","title":"Sariah Standarts","type":"book"},"uris":["http://www.mendeley.com/documents/?uuid=2a4e80ee-d88e-414c-bb26-eb2757266ce9"]}],"mendeley":{"formattedCitation":"(AAOIFI, 2015)","plainTextFormatt</vt:lpwstr>
  </property>
  <property fmtid="{D5CDD505-2E9C-101B-9397-08002B2CF9AE}" pid="1154" name="Mendeley Recent Style Id 309_3">
    <vt:lpwstr>edCitation":"(AAOIFI, 2015)","previouslyFormattedCitation":"(AAOIFI, 2015)"},"properties":{"noteIndex":0},"schema":"https://github.com/citation-style-language/schema/raw/master/csl-citation.json"}</vt:lpwstr>
  </property>
  <property fmtid="{D5CDD505-2E9C-101B-9397-08002B2CF9AE}" pid="1155" name="Mendeley Recent Style Name 309_1">
    <vt:lpwstr>(AAOIFI, 2015)</vt:lpwstr>
  </property>
  <property fmtid="{D5CDD505-2E9C-101B-9397-08002B2CF9AE}" pid="1156" name="Mendeley Recent Style Id 310_1">
    <vt:lpwstr>(AAOIFI, 2015)</vt:lpwstr>
  </property>
  <property fmtid="{D5CDD505-2E9C-101B-9397-08002B2CF9AE}" pid="1157" name="Mendeley Recent Style Name 310_1">
    <vt:lpwstr>(AAOIFI, 2015)</vt:lpwstr>
  </property>
  <property fmtid="{D5CDD505-2E9C-101B-9397-08002B2CF9AE}" pid="1158" name="Mendeley Recent Style Id 311_1">
    <vt:lpwstr>ADDIN CSL_CITATION {"citationItems":[{"id":"ITEM-1","itemData":{"id":"ITEM-1","issued":{"date-parts":[["2015"]]},"publisher-place":"Astana","title":"The Law of the RK on Charity","type":"legislation"},"uris":["http://www.mendeley.com/documents/?uuid=91782</vt:lpwstr>
  </property>
  <property fmtid="{D5CDD505-2E9C-101B-9397-08002B2CF9AE}" pid="1159" name="Mendeley Recent Style Id 311_2">
    <vt:lpwstr>ca0-d9b5-46c9-a41c-2ec4530192d5"]}],"mendeley":{"formattedCitation":"(&lt;i&gt;The Law of the RK on Charity&lt;/i&gt;, 2015)","plainTextFormattedCitation":"(The Law of the RK on Charity, 2015)","previouslyFormattedCitation":"(&lt;i&gt;The Law of the RK on Charity&lt;/i&gt;, 2015</vt:lpwstr>
  </property>
  <property fmtid="{D5CDD505-2E9C-101B-9397-08002B2CF9AE}" pid="1160" name="Mendeley Recent Style Id 311_3">
    <vt:lpwstr>)"},"properties":{"noteIndex":0},"schema":"https://github.com/citation-style-language/schema/raw/master/csl-citation.json"}</vt:lpwstr>
  </property>
  <property fmtid="{D5CDD505-2E9C-101B-9397-08002B2CF9AE}" pid="1161" name="Mendeley Recent Style Name 311_1">
    <vt:lpwstr>(&lt;i&gt;The Law of the RK on Charity&lt;/i&gt;, 2015)</vt:lpwstr>
  </property>
  <property fmtid="{D5CDD505-2E9C-101B-9397-08002B2CF9AE}" pid="1162" name="Mendeley Recent Style Id 312_1">
    <vt:lpwstr>(&lt;i&gt;The Law of the RK on Charity&lt;/i&gt;, 2015)</vt:lpwstr>
  </property>
  <property fmtid="{D5CDD505-2E9C-101B-9397-08002B2CF9AE}" pid="1163" name="Mendeley Recent Style Name 312_1">
    <vt:lpwstr>(The Law of the RK on Charity, 2015)</vt:lpwstr>
  </property>
  <property fmtid="{D5CDD505-2E9C-101B-9397-08002B2CF9AE}" pid="1164" name="Mendeley Recent Style Id 313_1">
    <vt:lpwstr>ADDIN CSL_CITATION {"citationItems":[{"id":"ITEM-1","itemData":{"id":"ITEM-1","issued":{"date-parts":[["1995"]]},"publisher-place":"Almaty","title":"The Constitution of the RK","type":"legislation"},"uris":["http://www.mendeley.com/documents/?uuid=6985c80</vt:lpwstr>
  </property>
  <property fmtid="{D5CDD505-2E9C-101B-9397-08002B2CF9AE}" pid="1165" name="Mendeley Recent Style Id 313_2">
    <vt:lpwstr>3-f114-401d-84dc-337796defa7b"]}],"mendeley":{"formattedCitation":"(&lt;i&gt;The Constitution of the RK&lt;/i&gt;, 1995)","plainTextFormattedCitation":"(The Constitution of the RK, 1995)","previouslyFormattedCitation":"(&lt;i&gt;The Constitution of the RK&lt;/i&gt;, 1995)"},"pro</vt:lpwstr>
  </property>
  <property fmtid="{D5CDD505-2E9C-101B-9397-08002B2CF9AE}" pid="1166" name="Mendeley Recent Style Id 313_3">
    <vt:lpwstr>perties":{"noteIndex":0},"schema":"https://github.com/citation-style-language/schema/raw/master/csl-citation.json"}</vt:lpwstr>
  </property>
  <property fmtid="{D5CDD505-2E9C-101B-9397-08002B2CF9AE}" pid="1167" name="Mendeley Recent Style Name 313_1">
    <vt:lpwstr>(&lt;i&gt;The Constitution of the RK&lt;/i&gt;, 1995)</vt:lpwstr>
  </property>
</Properties>
</file>