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6.xml"/>
  <Override ContentType="application/vnd.openxmlformats-officedocument.wordprocessingml.footer+xml" PartName="/word/footer5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43.xml"/>
  <Override ContentType="application/vnd.openxmlformats-officedocument.wordprocessingml.footer+xml" PartName="/word/footer19.xml"/>
  <Override ContentType="application/vnd.openxmlformats-officedocument.wordprocessingml.footer+xml" PartName="/word/footer50.xml"/>
  <Override ContentType="application/vnd.openxmlformats-officedocument.wordprocessingml.footer+xml" PartName="/word/footer25.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59.xml"/>
  <Override ContentType="application/vnd.openxmlformats-officedocument.wordprocessingml.footer+xml" PartName="/word/footer32.xml"/>
  <Override ContentType="application/vnd.openxmlformats-officedocument.wordprocessingml.footer+xml" PartName="/word/footer15.xml"/>
  <Override ContentType="application/vnd.openxmlformats-officedocument.wordprocessingml.footer+xml" PartName="/word/footer1.xml"/>
  <Override ContentType="application/vnd.openxmlformats-officedocument.wordprocessingml.footer+xml" PartName="/word/footer28.xml"/>
  <Override ContentType="application/vnd.openxmlformats-officedocument.wordprocessingml.footer+xml" PartName="/word/footer58.xml"/>
  <Override ContentType="application/vnd.openxmlformats-officedocument.wordprocessingml.footer+xml" PartName="/word/footer9.xml"/>
  <Override ContentType="application/vnd.openxmlformats-officedocument.wordprocessingml.footer+xml" PartName="/word/footer45.xml"/>
  <Override ContentType="application/vnd.openxmlformats-officedocument.wordprocessingml.footer+xml" PartName="/word/footer44.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2.xml"/>
  <Override ContentType="application/vnd.openxmlformats-officedocument.wordprocessingml.footer+xml" PartName="/word/footer57.xml"/>
  <Override ContentType="application/vnd.openxmlformats-officedocument.wordprocessingml.footer+xml" PartName="/word/footer31.xml"/>
  <Override ContentType="application/vnd.openxmlformats-officedocument.wordprocessingml.footer+xml" PartName="/word/footer56.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47.xml"/>
  <Override ContentType="application/vnd.openxmlformats-officedocument.wordprocessingml.footer+xml" PartName="/word/footer30.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55.xml"/>
  <Override ContentType="application/vnd.openxmlformats-officedocument.wordprocessingml.footer+xml" PartName="/word/footer12.xml"/>
  <Override ContentType="application/vnd.openxmlformats-officedocument.wordprocessingml.footer+xml" PartName="/word/footer29.xml"/>
  <Override ContentType="application/vnd.openxmlformats-officedocument.wordprocessingml.footer+xml" PartName="/word/footer46.xml"/>
  <Override ContentType="application/vnd.openxmlformats-officedocument.wordprocessingml.footer+xml" PartName="/word/footer37.xml"/>
  <Override ContentType="application/vnd.openxmlformats-officedocument.wordprocessingml.footer+xml" PartName="/word/footer24.xml"/>
  <Override ContentType="application/vnd.openxmlformats-officedocument.wordprocessingml.footer+xml" PartName="/word/footer40.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23.xml"/>
  <Override ContentType="application/vnd.openxmlformats-officedocument.wordprocessingml.footer+xml" PartName="/word/footer54.xml"/>
  <Override ContentType="application/vnd.openxmlformats-officedocument.wordprocessingml.footer+xml" PartName="/word/footer41.xml"/>
  <Override ContentType="application/vnd.openxmlformats-officedocument.wordprocessingml.footer+xml" PartName="/word/footer5.xml"/>
  <Override ContentType="application/vnd.openxmlformats-officedocument.wordprocessingml.footer+xml" PartName="/word/footer49.xml"/>
  <Override ContentType="application/vnd.openxmlformats-officedocument.wordprocessingml.footer+xml" PartName="/word/footer36.xml"/>
  <Override ContentType="application/vnd.openxmlformats-officedocument.wordprocessingml.footer+xml" PartName="/word/footer52.xml"/>
  <Override ContentType="application/vnd.openxmlformats-officedocument.wordprocessingml.footer+xml" PartName="/word/footer6.xml"/>
  <Override ContentType="application/vnd.openxmlformats-officedocument.wordprocessingml.footer+xml" PartName="/word/footer53.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4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52.xml"/>
  <Override ContentType="application/vnd.openxmlformats-officedocument.wordprocessingml.header+xml" PartName="/word/header19.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4.xml"/>
  <Override ContentType="application/vnd.openxmlformats-officedocument.wordprocessingml.header+xml" PartName="/word/header51.xml"/>
  <Override ContentType="application/vnd.openxmlformats-officedocument.wordprocessingml.header+xml" PartName="/word/header25.xml"/>
  <Override ContentType="application/vnd.openxmlformats-officedocument.wordprocessingml.header+xml" PartName="/word/header5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54.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17.xml"/>
  <Override ContentType="application/vnd.openxmlformats-officedocument.wordprocessingml.header+xml" PartName="/word/header53.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8.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56.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9.xml"/>
  <Override ContentType="application/vnd.openxmlformats-officedocument.wordprocessingml.header+xml" PartName="/word/header30.xml"/>
  <Override ContentType="application/vnd.openxmlformats-officedocument.wordprocessingml.header+xml" PartName="/word/header3.xml"/>
  <Override ContentType="application/vnd.openxmlformats-officedocument.wordprocessingml.header+xml" PartName="/word/header47.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0.xml"/>
  <Override ContentType="application/vnd.openxmlformats-officedocument.wordprocessingml.header+xml" PartName="/word/header55.xml"/>
  <Override ContentType="application/vnd.openxmlformats-officedocument.wordprocessingml.header+xml" PartName="/word/header46.xml"/>
  <Override ContentType="application/vnd.openxmlformats-officedocument.wordprocessingml.header+xml" PartName="/word/header59.xml"/>
  <Override ContentType="application/vnd.openxmlformats-officedocument.wordprocessingml.header+xml" PartName="/word/header38.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58.xml"/>
  <Override ContentType="application/vnd.openxmlformats-officedocument.wordprocessingml.header+xml" PartName="/word/header45.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57.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74" w:lineRule="auto"/>
        <w:ind w:left="0" w:right="5" w:firstLine="0"/>
        <w:jc w:val="center"/>
        <w:rPr>
          <w:sz w:val="28"/>
          <w:szCs w:val="28"/>
        </w:rPr>
      </w:pPr>
      <w:r w:rsidDel="00000000" w:rsidR="00000000" w:rsidRPr="00000000">
        <w:rPr>
          <w:sz w:val="28"/>
          <w:szCs w:val="28"/>
          <w:rtl w:val="0"/>
        </w:rPr>
        <w:t xml:space="preserve">Non-Commercial Joint-Stock Company «Semey Medical University»</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leader="none" w:pos="6619"/>
        </w:tabs>
        <w:spacing w:before="0" w:lineRule="auto"/>
        <w:ind w:left="0" w:right="39" w:firstLine="0"/>
        <w:jc w:val="center"/>
        <w:rPr>
          <w:sz w:val="28"/>
          <w:szCs w:val="28"/>
        </w:rPr>
      </w:pPr>
      <w:r w:rsidDel="00000000" w:rsidR="00000000" w:rsidRPr="00000000">
        <w:rPr>
          <w:sz w:val="28"/>
          <w:szCs w:val="28"/>
          <w:rtl w:val="0"/>
        </w:rPr>
        <w:t xml:space="preserve">UDC 616.132.2-002:616-008.851.852</w:t>
        <w:tab/>
        <w:t xml:space="preserve">Manuscript copyright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Rule="auto"/>
        <w:ind w:left="0" w:right="5" w:firstLine="0"/>
        <w:jc w:val="center"/>
        <w:rPr>
          <w:b w:val="1"/>
          <w:sz w:val="28"/>
          <w:szCs w:val="28"/>
        </w:rPr>
      </w:pPr>
      <w:r w:rsidDel="00000000" w:rsidR="00000000" w:rsidRPr="00000000">
        <w:rPr>
          <w:b w:val="1"/>
          <w:sz w:val="28"/>
          <w:szCs w:val="28"/>
          <w:rtl w:val="0"/>
        </w:rPr>
        <w:t xml:space="preserve">GALIMZHANOV AKHMETZHAN MARATOVICH</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276" w:lineRule="auto"/>
        <w:ind w:left="164" w:right="169" w:firstLine="0"/>
        <w:jc w:val="center"/>
        <w:rPr>
          <w:b w:val="1"/>
          <w:sz w:val="28"/>
          <w:szCs w:val="28"/>
        </w:rPr>
      </w:pPr>
      <w:r w:rsidDel="00000000" w:rsidR="00000000" w:rsidRPr="00000000">
        <w:rPr>
          <w:b w:val="1"/>
          <w:sz w:val="28"/>
          <w:szCs w:val="28"/>
          <w:rtl w:val="0"/>
        </w:rPr>
        <w:t xml:space="preserve">Predicting the risks of hemorrhagic and thrombotic events in patients after percutaneous coronary intervention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spacing w:before="0" w:lineRule="auto"/>
        <w:ind w:left="0" w:right="5" w:firstLine="0"/>
        <w:jc w:val="center"/>
        <w:rPr>
          <w:sz w:val="28"/>
          <w:szCs w:val="28"/>
        </w:rPr>
      </w:pPr>
      <w:r w:rsidDel="00000000" w:rsidR="00000000" w:rsidRPr="00000000">
        <w:rPr>
          <w:sz w:val="28"/>
          <w:szCs w:val="28"/>
          <w:rtl w:val="0"/>
        </w:rPr>
        <w:t xml:space="preserve">8D10102 - Medicine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spacing w:before="1" w:lineRule="auto"/>
        <w:ind w:left="0" w:right="5" w:firstLine="0"/>
        <w:jc w:val="center"/>
        <w:rPr>
          <w:sz w:val="28"/>
          <w:szCs w:val="28"/>
        </w:rPr>
      </w:pPr>
      <w:r w:rsidDel="00000000" w:rsidR="00000000" w:rsidRPr="00000000">
        <w:rPr>
          <w:sz w:val="28"/>
          <w:szCs w:val="28"/>
          <w:rtl w:val="0"/>
        </w:rPr>
        <w:t xml:space="preserve">Dissertation thesis for the degree of Doctor of Philosophy (PhD)</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spacing w:before="0" w:line="276" w:lineRule="auto"/>
        <w:ind w:left="4915" w:right="112" w:firstLine="0"/>
        <w:jc w:val="both"/>
        <w:rPr>
          <w:sz w:val="28"/>
          <w:szCs w:val="28"/>
        </w:rPr>
      </w:pPr>
      <w:r w:rsidDel="00000000" w:rsidR="00000000" w:rsidRPr="00000000">
        <w:rPr>
          <w:sz w:val="28"/>
          <w:szCs w:val="28"/>
          <w:rtl w:val="0"/>
        </w:rPr>
        <w:t xml:space="preserve">Scientific consultant (domestic) Sabitov Yersyn, PhD</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spacing w:before="0" w:line="276" w:lineRule="auto"/>
        <w:ind w:left="4915" w:right="108" w:firstLine="0"/>
        <w:jc w:val="both"/>
        <w:rPr>
          <w:sz w:val="28"/>
          <w:szCs w:val="28"/>
        </w:rPr>
      </w:pPr>
      <w:r w:rsidDel="00000000" w:rsidR="00000000" w:rsidRPr="00000000">
        <w:rPr>
          <w:sz w:val="28"/>
          <w:szCs w:val="28"/>
          <w:rtl w:val="0"/>
        </w:rPr>
        <w:t xml:space="preserve">Scientific consultant (international) Erhan Tenekecioglu, PhD, associate Professor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spacing w:before="0" w:line="276" w:lineRule="auto"/>
        <w:ind w:left="4915" w:right="110" w:firstLine="0"/>
        <w:jc w:val="both"/>
        <w:rPr>
          <w:sz w:val="28"/>
          <w:szCs w:val="28"/>
        </w:rPr>
      </w:pPr>
      <w:r w:rsidDel="00000000" w:rsidR="00000000" w:rsidRPr="00000000">
        <w:rPr>
          <w:sz w:val="28"/>
          <w:szCs w:val="28"/>
          <w:rtl w:val="0"/>
        </w:rPr>
        <w:t xml:space="preserve">Scientific consultant (international) Mamas A. Mamas, Professor, MA, DPhil, FRCP, BMBCh</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spacing w:before="1" w:line="276" w:lineRule="auto"/>
        <w:ind w:left="2663" w:right="2668" w:firstLine="0"/>
        <w:jc w:val="center"/>
        <w:rPr>
          <w:sz w:val="28"/>
          <w:szCs w:val="28"/>
        </w:rPr>
        <w:sectPr>
          <w:footerReference r:id="rId7" w:type="default"/>
          <w:pgSz w:h="16840" w:w="11920" w:orient="portrait"/>
          <w:pgMar w:bottom="280" w:top="1060" w:left="1600" w:right="1040" w:header="0" w:footer="0"/>
          <w:pgNumType w:start="733"/>
        </w:sectPr>
      </w:pPr>
      <w:r w:rsidDel="00000000" w:rsidR="00000000" w:rsidRPr="00000000">
        <w:rPr>
          <w:sz w:val="28"/>
          <w:szCs w:val="28"/>
          <w:rtl w:val="0"/>
        </w:rPr>
        <w:t xml:space="preserve">The Republic of Kazakhstan Semey, 2024</w:t>
      </w:r>
    </w:p>
    <w:p w:rsidR="00000000" w:rsidDel="00000000" w:rsidP="00000000" w:rsidRDefault="00000000" w:rsidRPr="00000000" w14:paraId="00000021">
      <w:pPr>
        <w:spacing w:before="65" w:lineRule="auto"/>
        <w:ind w:left="102" w:right="0" w:firstLine="0"/>
        <w:jc w:val="left"/>
        <w:rPr>
          <w:rFonts w:ascii="Trebuchet MS" w:cs="Trebuchet MS" w:eastAsia="Trebuchet MS" w:hAnsi="Trebuchet MS"/>
          <w:i w:val="1"/>
          <w:sz w:val="20"/>
          <w:szCs w:val="20"/>
        </w:rPr>
      </w:pPr>
      <w:r w:rsidDel="00000000" w:rsidR="00000000" w:rsidRPr="00000000">
        <w:rPr>
          <w:rFonts w:ascii="Trebuchet MS" w:cs="Trebuchet MS" w:eastAsia="Trebuchet MS" w:hAnsi="Trebuchet MS"/>
          <w:i w:val="1"/>
          <w:sz w:val="20"/>
          <w:szCs w:val="20"/>
          <w:rtl w:val="0"/>
        </w:rPr>
        <w:t xml:space="preserve">Acute Coronary Syndrome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0"/>
          <w:i w:val="1"/>
          <w:smallCaps w:val="0"/>
          <w:strike w:val="0"/>
          <w:color w:val="000000"/>
          <w:sz w:val="7"/>
          <w:szCs w:val="7"/>
          <w:u w:val="none"/>
          <w:shd w:fill="auto" w:val="clear"/>
          <w:vertAlign w:val="baseline"/>
        </w:rPr>
        <w:sectPr>
          <w:type w:val="nextPage"/>
          <w:pgSz w:h="16840" w:w="11920" w:orient="portrait"/>
          <w:pgMar w:bottom="280" w:top="900" w:left="740" w:right="720" w:header="0" w:footer="0"/>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63500</wp:posOffset>
                </wp:positionV>
                <wp:extent cx="6985" cy="12700"/>
                <wp:effectExtent b="0" l="0" r="0" t="0"/>
                <wp:wrapTopAndBottom distB="0" distT="0"/>
                <wp:docPr id="391" name=""/>
                <a:graphic>
                  <a:graphicData uri="http://schemas.microsoft.com/office/word/2010/wordprocessingShape">
                    <wps:wsp>
                      <wps:cNvSpPr/>
                      <wps:cNvPr id="41" name="Shape 41"/>
                      <wps:spPr>
                        <a:xfrm>
                          <a:off x="2176398" y="3776508"/>
                          <a:ext cx="6339205" cy="6985"/>
                        </a:xfrm>
                        <a:custGeom>
                          <a:rect b="b" l="l" r="r" t="t"/>
                          <a:pathLst>
                            <a:path extrusionOk="0" h="6985" w="6339205">
                              <a:moveTo>
                                <a:pt x="6338874" y="0"/>
                              </a:moveTo>
                              <a:lnTo>
                                <a:pt x="0" y="0"/>
                              </a:lnTo>
                              <a:lnTo>
                                <a:pt x="0" y="6480"/>
                              </a:lnTo>
                              <a:lnTo>
                                <a:pt x="6338874" y="6480"/>
                              </a:lnTo>
                              <a:lnTo>
                                <a:pt x="633887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63500</wp:posOffset>
                </wp:positionV>
                <wp:extent cx="6985" cy="12700"/>
                <wp:effectExtent b="0" l="0" r="0" t="0"/>
                <wp:wrapTopAndBottom distB="0" distT="0"/>
                <wp:docPr id="391"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985" cy="12700"/>
                        </a:xfrm>
                        <a:prstGeom prst="rect"/>
                        <a:ln/>
                      </pic:spPr>
                    </pic:pic>
                  </a:graphicData>
                </a:graphic>
              </wp:anchor>
            </w:drawing>
          </mc:Fallback>
        </mc:AlternateContent>
      </w:r>
    </w:p>
    <w:p w:rsidR="00000000" w:rsidDel="00000000" w:rsidP="00000000" w:rsidRDefault="00000000" w:rsidRPr="00000000" w14:paraId="00000023">
      <w:pPr>
        <w:spacing w:before="251" w:line="228" w:lineRule="auto"/>
        <w:ind w:left="102" w:right="38" w:firstLine="0"/>
        <w:jc w:val="left"/>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The Prognostic Utility of Mean Platelet Volume in Patients With Acute Coronary Syndrome: A Systematic Review With Meta-Analyses</w:t>
      </w:r>
    </w:p>
    <w:p w:rsidR="00000000" w:rsidDel="00000000" w:rsidP="00000000" w:rsidRDefault="00000000" w:rsidRPr="00000000" w14:paraId="00000024">
      <w:pPr>
        <w:spacing w:before="251" w:line="228" w:lineRule="auto"/>
        <w:ind w:left="102" w:right="38" w:firstLine="0"/>
        <w:jc w:val="left"/>
        <w:rPr>
          <w:rFonts w:ascii="Arial" w:cs="Arial" w:eastAsia="Arial" w:hAnsi="Arial"/>
          <w:sz w:val="14"/>
          <w:szCs w:val="14"/>
        </w:rPr>
      </w:pPr>
      <w:r w:rsidDel="00000000" w:rsidR="00000000" w:rsidRPr="00000000">
        <w:rPr>
          <w:rFonts w:ascii="Arial" w:cs="Arial" w:eastAsia="Arial" w:hAnsi="Arial"/>
          <w:sz w:val="14"/>
          <w:szCs w:val="14"/>
          <w:rtl w:val="0"/>
        </w:rPr>
        <w:t xml:space="preserve">Angiology</w:t>
      </w:r>
    </w:p>
    <w:p w:rsidR="00000000" w:rsidDel="00000000" w:rsidP="00000000" w:rsidRDefault="00000000" w:rsidRPr="00000000" w14:paraId="00000025">
      <w:pPr>
        <w:spacing w:before="8" w:lineRule="auto"/>
        <w:ind w:left="102" w:right="0" w:firstLine="0"/>
        <w:jc w:val="left"/>
        <w:rPr>
          <w:rFonts w:ascii="Arial" w:cs="Arial" w:eastAsia="Arial" w:hAnsi="Arial"/>
          <w:sz w:val="14"/>
          <w:szCs w:val="14"/>
        </w:rPr>
      </w:pPr>
      <w:r w:rsidDel="00000000" w:rsidR="00000000" w:rsidRPr="00000000">
        <w:rPr>
          <w:rFonts w:ascii="Arial" w:cs="Arial" w:eastAsia="Arial" w:hAnsi="Arial"/>
          <w:sz w:val="14"/>
          <w:szCs w:val="14"/>
          <w:rtl w:val="0"/>
        </w:rPr>
        <w:t xml:space="preserve">2022, Vol. 73(8) 734–743</w:t>
      </w:r>
    </w:p>
    <w:p w:rsidR="00000000" w:rsidDel="00000000" w:rsidP="00000000" w:rsidRDefault="00000000" w:rsidRPr="00000000" w14:paraId="00000026">
      <w:pPr>
        <w:spacing w:before="9" w:line="252.00000000000003" w:lineRule="auto"/>
        <w:ind w:left="102" w:right="1166" w:firstLine="0"/>
        <w:jc w:val="left"/>
        <w:rPr>
          <w:rFonts w:ascii="Arial" w:cs="Arial" w:eastAsia="Arial" w:hAnsi="Arial"/>
          <w:sz w:val="14"/>
          <w:szCs w:val="14"/>
        </w:rPr>
      </w:pPr>
      <w:r w:rsidDel="00000000" w:rsidR="00000000" w:rsidRPr="00000000">
        <w:rPr>
          <w:rFonts w:ascii="Arial" w:cs="Arial" w:eastAsia="Arial" w:hAnsi="Arial"/>
          <w:sz w:val="14"/>
          <w:szCs w:val="14"/>
          <w:rtl w:val="0"/>
        </w:rPr>
        <w:t xml:space="preserve">© The Author(s) 2022 Article reuse guidelines:</w:t>
      </w:r>
    </w:p>
    <w:p w:rsidR="00000000" w:rsidDel="00000000" w:rsidP="00000000" w:rsidRDefault="00000000" w:rsidRPr="00000000" w14:paraId="00000027">
      <w:pPr>
        <w:spacing w:before="0" w:line="254" w:lineRule="auto"/>
        <w:ind w:left="102" w:right="403" w:firstLine="0"/>
        <w:jc w:val="left"/>
        <w:rPr>
          <w:rFonts w:ascii="Arial" w:cs="Arial" w:eastAsia="Arial" w:hAnsi="Arial"/>
          <w:sz w:val="14"/>
          <w:szCs w:val="14"/>
        </w:rPr>
      </w:pPr>
      <w:hyperlink r:id="rId9">
        <w:r w:rsidDel="00000000" w:rsidR="00000000" w:rsidRPr="00000000">
          <w:rPr>
            <w:rFonts w:ascii="Arial" w:cs="Arial" w:eastAsia="Arial" w:hAnsi="Arial"/>
            <w:color w:val="0000ff"/>
            <w:sz w:val="14"/>
            <w:szCs w:val="14"/>
            <w:rtl w:val="0"/>
          </w:rPr>
          <w:t xml:space="preserve">sagepub.com/journals-permissions</w:t>
        </w:r>
      </w:hyperlink>
      <w:r w:rsidDel="00000000" w:rsidR="00000000" w:rsidRPr="00000000">
        <w:rPr>
          <w:rFonts w:ascii="Arial" w:cs="Arial" w:eastAsia="Arial" w:hAnsi="Arial"/>
          <w:color w:val="0000ff"/>
          <w:sz w:val="14"/>
          <w:szCs w:val="14"/>
          <w:rtl w:val="0"/>
        </w:rPr>
        <w:t xml:space="preserve"> </w:t>
      </w:r>
      <w:r w:rsidDel="00000000" w:rsidR="00000000" w:rsidRPr="00000000">
        <w:rPr>
          <w:rFonts w:ascii="Arial" w:cs="Arial" w:eastAsia="Arial" w:hAnsi="Arial"/>
          <w:sz w:val="14"/>
          <w:szCs w:val="14"/>
          <w:rtl w:val="0"/>
        </w:rPr>
        <w:t xml:space="preserve">DOI: </w:t>
      </w:r>
      <w:hyperlink r:id="rId10">
        <w:r w:rsidDel="00000000" w:rsidR="00000000" w:rsidRPr="00000000">
          <w:rPr>
            <w:rFonts w:ascii="Arial" w:cs="Arial" w:eastAsia="Arial" w:hAnsi="Arial"/>
            <w:sz w:val="14"/>
            <w:szCs w:val="14"/>
            <w:rtl w:val="0"/>
          </w:rPr>
          <w:t xml:space="preserve">10.1177/00033197211070908</w:t>
        </w:r>
      </w:hyperlink>
      <w:r w:rsidDel="00000000" w:rsidR="00000000" w:rsidRPr="00000000">
        <w:rPr>
          <w:rtl w:val="0"/>
        </w:rPr>
      </w:r>
    </w:p>
    <w:p w:rsidR="00000000" w:rsidDel="00000000" w:rsidP="00000000" w:rsidRDefault="00000000" w:rsidRPr="00000000" w14:paraId="00000028">
      <w:pPr>
        <w:spacing w:before="0" w:line="159" w:lineRule="auto"/>
        <w:ind w:left="102" w:right="0" w:firstLine="0"/>
        <w:jc w:val="left"/>
        <w:rPr>
          <w:rFonts w:ascii="Arial" w:cs="Arial" w:eastAsia="Arial" w:hAnsi="Arial"/>
          <w:sz w:val="14"/>
          <w:szCs w:val="14"/>
        </w:rPr>
      </w:pPr>
      <w:hyperlink r:id="rId11">
        <w:r w:rsidDel="00000000" w:rsidR="00000000" w:rsidRPr="00000000">
          <w:rPr>
            <w:rFonts w:ascii="Arial" w:cs="Arial" w:eastAsia="Arial" w:hAnsi="Arial"/>
            <w:color w:val="0000ff"/>
            <w:sz w:val="14"/>
            <w:szCs w:val="14"/>
            <w:rtl w:val="0"/>
          </w:rPr>
          <w:t xml:space="preserve">journals.sagepub.com/home/ang</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02"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6840" w:w="11920" w:orient="portrait"/>
          <w:pgMar w:bottom="280" w:top="1060" w:left="740" w:right="720" w:header="0" w:footer="0"/>
          <w:cols w:equalWidth="0" w:num="1">
            <w:col w:space="0" w:w="10445.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91721" cy="144684"/>
            <wp:effectExtent b="0" l="0" r="0" t="0"/>
            <wp:docPr id="506" name="image114.png"/>
            <a:graphic>
              <a:graphicData uri="http://schemas.openxmlformats.org/drawingml/2006/picture">
                <pic:pic>
                  <pic:nvPicPr>
                    <pic:cNvPr id="0" name="image114.png"/>
                    <pic:cNvPicPr preferRelativeResize="0"/>
                  </pic:nvPicPr>
                  <pic:blipFill>
                    <a:blip r:embed="rId12"/>
                    <a:srcRect b="0" l="0" r="0" t="0"/>
                    <a:stretch>
                      <a:fillRect/>
                    </a:stretch>
                  </pic:blipFill>
                  <pic:spPr>
                    <a:xfrm>
                      <a:off x="0" y="0"/>
                      <a:ext cx="491721" cy="14468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spacing w:before="0" w:lineRule="auto"/>
        <w:ind w:left="102" w:right="465" w:firstLine="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Akhmetzhan Galimzhanov, MD</w:t>
      </w:r>
      <w:r w:rsidDel="00000000" w:rsidR="00000000" w:rsidRPr="00000000">
        <w:rPr>
          <w:rFonts w:ascii="Trebuchet MS" w:cs="Trebuchet MS" w:eastAsia="Trebuchet MS" w:hAnsi="Trebuchet MS"/>
          <w:sz w:val="24"/>
          <w:szCs w:val="24"/>
          <w:vertAlign w:val="superscript"/>
          <w:rtl w:val="0"/>
        </w:rPr>
        <w:t xml:space="preserve">1</w:t>
      </w:r>
      <w:hyperlink r:id="rId13">
        <w:r w:rsidDel="00000000" w:rsidR="00000000" w:rsidRPr="00000000">
          <w:rPr>
            <w:rFonts w:ascii="Arial" w:cs="Arial" w:eastAsia="Arial" w:hAnsi="Arial"/>
            <w:color w:val="a6ce39"/>
            <w:sz w:val="19"/>
            <w:szCs w:val="19"/>
            <w:vertAlign w:val="baseline"/>
            <w:rtl w:val="0"/>
          </w:rPr>
          <w:t xml:space="preserve"></w:t>
        </w:r>
      </w:hyperlink>
      <w:r w:rsidDel="00000000" w:rsidR="00000000" w:rsidRPr="00000000">
        <w:rPr>
          <w:rFonts w:ascii="Trebuchet MS" w:cs="Trebuchet MS" w:eastAsia="Trebuchet MS" w:hAnsi="Trebuchet MS"/>
          <w:sz w:val="24"/>
          <w:szCs w:val="24"/>
          <w:vertAlign w:val="baseline"/>
          <w:rtl w:val="0"/>
        </w:rPr>
        <w:t xml:space="preserve">, Erhan Tenekecioglu, MD, PhD</w:t>
      </w:r>
      <w:r w:rsidDel="00000000" w:rsidR="00000000" w:rsidRPr="00000000">
        <w:rPr>
          <w:rFonts w:ascii="Trebuchet MS" w:cs="Trebuchet MS" w:eastAsia="Trebuchet MS" w:hAnsi="Trebuchet MS"/>
          <w:sz w:val="24"/>
          <w:szCs w:val="24"/>
          <w:vertAlign w:val="superscript"/>
          <w:rtl w:val="0"/>
        </w:rPr>
        <w:t xml:space="preserve">2</w:t>
      </w:r>
      <w:r w:rsidDel="00000000" w:rsidR="00000000" w:rsidRPr="00000000">
        <w:rPr>
          <w:rFonts w:ascii="Trebuchet MS" w:cs="Trebuchet MS" w:eastAsia="Trebuchet MS" w:hAnsi="Trebuchet MS"/>
          <w:sz w:val="24"/>
          <w:szCs w:val="24"/>
          <w:vertAlign w:val="baseline"/>
          <w:rtl w:val="0"/>
        </w:rPr>
        <w:t xml:space="preserve">, Farida Rustamova</w:t>
      </w:r>
      <w:r w:rsidDel="00000000" w:rsidR="00000000" w:rsidRPr="00000000">
        <w:rPr>
          <w:rFonts w:ascii="Trebuchet MS" w:cs="Trebuchet MS" w:eastAsia="Trebuchet MS" w:hAnsi="Trebuchet MS"/>
          <w:sz w:val="24"/>
          <w:szCs w:val="24"/>
          <w:vertAlign w:val="superscript"/>
          <w:rtl w:val="0"/>
        </w:rPr>
        <w:t xml:space="preserve">3</w:t>
      </w:r>
      <w:r w:rsidDel="00000000" w:rsidR="00000000" w:rsidRPr="00000000">
        <w:rPr>
          <w:rFonts w:ascii="Trebuchet MS" w:cs="Trebuchet MS" w:eastAsia="Trebuchet MS" w:hAnsi="Trebuchet MS"/>
          <w:sz w:val="24"/>
          <w:szCs w:val="24"/>
          <w:vertAlign w:val="baseline"/>
          <w:rtl w:val="0"/>
        </w:rPr>
        <w:t xml:space="preserve">, Han Naung Tun, MD, PhD</w:t>
      </w:r>
      <w:r w:rsidDel="00000000" w:rsidR="00000000" w:rsidRPr="00000000">
        <w:rPr>
          <w:rFonts w:ascii="Trebuchet MS" w:cs="Trebuchet MS" w:eastAsia="Trebuchet MS" w:hAnsi="Trebuchet MS"/>
          <w:sz w:val="24"/>
          <w:szCs w:val="24"/>
          <w:vertAlign w:val="superscript"/>
          <w:rtl w:val="0"/>
        </w:rPr>
        <w:t xml:space="preserve">4</w:t>
      </w:r>
      <w:r w:rsidDel="00000000" w:rsidR="00000000" w:rsidRPr="00000000">
        <w:rPr>
          <w:rFonts w:ascii="Trebuchet MS" w:cs="Trebuchet MS" w:eastAsia="Trebuchet MS" w:hAnsi="Trebuchet MS"/>
          <w:sz w:val="24"/>
          <w:szCs w:val="24"/>
          <w:vertAlign w:val="baseline"/>
          <w:rtl w:val="0"/>
        </w:rPr>
        <w:t xml:space="preserve">, and Mamas A. Mamas, DPhil, FRCP</w:t>
      </w:r>
      <w:r w:rsidDel="00000000" w:rsidR="00000000" w:rsidRPr="00000000">
        <w:rPr>
          <w:rFonts w:ascii="Trebuchet MS" w:cs="Trebuchet MS" w:eastAsia="Trebuchet MS" w:hAnsi="Trebuchet MS"/>
          <w:sz w:val="24"/>
          <w:szCs w:val="24"/>
          <w:vertAlign w:val="superscript"/>
          <w:rtl w:val="0"/>
        </w:rPr>
        <w:t xml:space="preserve">5</w:t>
      </w:r>
      <w:r w:rsidDel="00000000" w:rsidR="00000000" w:rsidRPr="00000000">
        <w:rPr>
          <w:rtl w:val="0"/>
        </w:rPr>
      </w:r>
    </w:p>
    <w:p w:rsidR="00000000" w:rsidDel="00000000" w:rsidP="00000000" w:rsidRDefault="00000000" w:rsidRPr="00000000" w14:paraId="0000002D">
      <w:pPr>
        <w:spacing w:before="1" w:lineRule="auto"/>
        <w:ind w:left="102" w:right="0" w:firstLine="0"/>
        <w:jc w:val="left"/>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E">
      <w:pPr>
        <w:tabs>
          <w:tab w:val="left" w:leader="none" w:pos="5212"/>
          <w:tab w:val="left" w:leader="none" w:pos="10084"/>
        </w:tabs>
        <w:spacing w:line="229" w:lineRule="auto"/>
        <w:ind w:left="102" w:firstLine="0"/>
        <w:rPr>
          <w:rFonts w:ascii="Arial" w:cs="Arial" w:eastAsia="Arial" w:hAnsi="Arial"/>
          <w:sz w:val="16"/>
          <w:szCs w:val="16"/>
          <w:vertAlign w:val="superscript"/>
        </w:rPr>
      </w:pP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02F">
      <w:pPr>
        <w:spacing w:before="107" w:line="259" w:lineRule="auto"/>
        <w:ind w:left="102" w:right="512" w:firstLine="0"/>
        <w:rPr>
          <w:rFonts w:ascii="Arial" w:cs="Arial" w:eastAsia="Arial" w:hAnsi="Arial"/>
          <w:sz w:val="16"/>
          <w:szCs w:val="16"/>
        </w:rPr>
      </w:pPr>
      <w:r w:rsidDel="00000000" w:rsidR="00000000" w:rsidRPr="00000000">
        <w:rPr>
          <w:rFonts w:ascii="Arial" w:cs="Arial" w:eastAsia="Arial" w:hAnsi="Arial"/>
          <w:sz w:val="16"/>
          <w:szCs w:val="16"/>
          <w:vertAlign w:val="superscript"/>
          <w:rtl w:val="0"/>
        </w:rPr>
        <w:t xml:space="preserve">1</w:t>
      </w:r>
      <w:r w:rsidDel="00000000" w:rsidR="00000000" w:rsidRPr="00000000">
        <w:rPr>
          <w:rFonts w:ascii="Arial" w:cs="Arial" w:eastAsia="Arial" w:hAnsi="Arial"/>
          <w:sz w:val="16"/>
          <w:szCs w:val="16"/>
          <w:rtl w:val="0"/>
        </w:rPr>
        <w:t xml:space="preserve">Department of Cardiology and Interventional Arrhythmology, Semey Medical University, Semey, Kazakhstan</w:t>
      </w:r>
    </w:p>
    <w:p w:rsidR="00000000" w:rsidDel="00000000" w:rsidP="00000000" w:rsidRDefault="00000000" w:rsidRPr="00000000" w14:paraId="00000030">
      <w:pPr>
        <w:spacing w:line="259" w:lineRule="auto"/>
        <w:ind w:left="102" w:right="512" w:firstLine="0"/>
        <w:rPr>
          <w:rFonts w:ascii="Arial" w:cs="Arial" w:eastAsia="Arial" w:hAnsi="Arial"/>
          <w:sz w:val="16"/>
          <w:szCs w:val="16"/>
        </w:rPr>
      </w:pPr>
      <w:r w:rsidDel="00000000" w:rsidR="00000000" w:rsidRPr="00000000">
        <w:rPr>
          <w:rFonts w:ascii="Arial" w:cs="Arial" w:eastAsia="Arial" w:hAnsi="Arial"/>
          <w:sz w:val="16"/>
          <w:szCs w:val="16"/>
          <w:vertAlign w:val="superscript"/>
          <w:rtl w:val="0"/>
        </w:rPr>
        <w:t xml:space="preserve">2</w:t>
      </w:r>
      <w:r w:rsidDel="00000000" w:rsidR="00000000" w:rsidRPr="00000000">
        <w:rPr>
          <w:rFonts w:ascii="Arial" w:cs="Arial" w:eastAsia="Arial" w:hAnsi="Arial"/>
          <w:sz w:val="16"/>
          <w:szCs w:val="16"/>
          <w:rtl w:val="0"/>
        </w:rPr>
        <w:t xml:space="preserve">Department of Cardiology, Bursa Education and Research Hospital Health Sciences University, Bursa, Turkey</w:t>
      </w:r>
    </w:p>
    <w:p w:rsidR="00000000" w:rsidDel="00000000" w:rsidP="00000000" w:rsidRDefault="00000000" w:rsidRPr="00000000" w14:paraId="00000031">
      <w:pPr>
        <w:spacing w:before="1" w:line="259" w:lineRule="auto"/>
        <w:ind w:left="102" w:right="102" w:firstLine="0"/>
        <w:rPr>
          <w:rFonts w:ascii="Arial" w:cs="Arial" w:eastAsia="Arial" w:hAnsi="Arial"/>
          <w:sz w:val="16"/>
          <w:szCs w:val="16"/>
        </w:rPr>
      </w:pPr>
      <w:r w:rsidDel="00000000" w:rsidR="00000000" w:rsidRPr="00000000">
        <w:rPr>
          <w:rFonts w:ascii="Arial" w:cs="Arial" w:eastAsia="Arial" w:hAnsi="Arial"/>
          <w:sz w:val="16"/>
          <w:szCs w:val="16"/>
          <w:vertAlign w:val="superscript"/>
          <w:rtl w:val="0"/>
        </w:rPr>
        <w:t xml:space="preserve">3</w:t>
      </w:r>
      <w:r w:rsidDel="00000000" w:rsidR="00000000" w:rsidRPr="00000000">
        <w:rPr>
          <w:rFonts w:ascii="Arial" w:cs="Arial" w:eastAsia="Arial" w:hAnsi="Arial"/>
          <w:sz w:val="16"/>
          <w:szCs w:val="16"/>
          <w:rtl w:val="0"/>
        </w:rPr>
        <w:t xml:space="preserve">Department of Internal Disease, Asfendiyarov Kazakh National Medical University, Almaty, Kazakhstan</w:t>
      </w:r>
    </w:p>
    <w:p w:rsidR="00000000" w:rsidDel="00000000" w:rsidP="00000000" w:rsidRDefault="00000000" w:rsidRPr="00000000" w14:paraId="00000032">
      <w:pPr>
        <w:spacing w:before="2" w:lineRule="auto"/>
        <w:ind w:left="102" w:firstLine="0"/>
        <w:rPr>
          <w:rFonts w:ascii="Arial" w:cs="Arial" w:eastAsia="Arial" w:hAnsi="Arial"/>
          <w:sz w:val="16"/>
          <w:szCs w:val="16"/>
        </w:rPr>
      </w:pPr>
      <w:r w:rsidDel="00000000" w:rsidR="00000000" w:rsidRPr="00000000">
        <w:rPr>
          <w:rFonts w:ascii="Arial" w:cs="Arial" w:eastAsia="Arial" w:hAnsi="Arial"/>
          <w:sz w:val="16"/>
          <w:szCs w:val="16"/>
          <w:vertAlign w:val="superscript"/>
          <w:rtl w:val="0"/>
        </w:rPr>
        <w:t xml:space="preserve">4</w:t>
      </w:r>
      <w:r w:rsidDel="00000000" w:rsidR="00000000" w:rsidRPr="00000000">
        <w:rPr>
          <w:rFonts w:ascii="Arial" w:cs="Arial" w:eastAsia="Arial" w:hAnsi="Arial"/>
          <w:sz w:val="16"/>
          <w:szCs w:val="16"/>
          <w:rtl w:val="0"/>
        </w:rPr>
        <w:t xml:space="preserve">Larner College of Medicine, University of Vermont, Burlington, VT, USA</w:t>
      </w:r>
    </w:p>
    <w:p w:rsidR="00000000" w:rsidDel="00000000" w:rsidP="00000000" w:rsidRDefault="00000000" w:rsidRPr="00000000" w14:paraId="00000033">
      <w:pPr>
        <w:spacing w:before="15" w:lineRule="auto"/>
        <w:ind w:left="102" w:firstLine="0"/>
        <w:rPr>
          <w:rFonts w:ascii="Arial" w:cs="Arial" w:eastAsia="Arial" w:hAnsi="Arial"/>
          <w:sz w:val="16"/>
          <w:szCs w:val="16"/>
        </w:rPr>
      </w:pPr>
      <w:r w:rsidDel="00000000" w:rsidR="00000000" w:rsidRPr="00000000">
        <w:rPr>
          <w:rFonts w:ascii="Arial" w:cs="Arial" w:eastAsia="Arial" w:hAnsi="Arial"/>
          <w:sz w:val="16"/>
          <w:szCs w:val="16"/>
          <w:vertAlign w:val="superscript"/>
          <w:rtl w:val="0"/>
        </w:rPr>
        <w:t xml:space="preserve">5</w:t>
      </w:r>
      <w:r w:rsidDel="00000000" w:rsidR="00000000" w:rsidRPr="00000000">
        <w:rPr>
          <w:rFonts w:ascii="Arial" w:cs="Arial" w:eastAsia="Arial" w:hAnsi="Arial"/>
          <w:sz w:val="16"/>
          <w:szCs w:val="16"/>
          <w:rtl w:val="0"/>
        </w:rPr>
        <w:t xml:space="preserve">Keele Cardiovascular Research Group Keele University, UK</w:t>
      </w:r>
    </w:p>
    <w:p w:rsidR="00000000" w:rsidDel="00000000" w:rsidP="00000000" w:rsidRDefault="00000000" w:rsidRPr="00000000" w14:paraId="00000034">
      <w:pPr>
        <w:spacing w:before="11"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5">
      <w:pPr>
        <w:ind w:left="102" w:firstLine="0"/>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Corresponding Author:</w:t>
      </w:r>
    </w:p>
    <w:p w:rsidR="00000000" w:rsidDel="00000000" w:rsidP="00000000" w:rsidRDefault="00000000" w:rsidRPr="00000000" w14:paraId="00000036">
      <w:pPr>
        <w:spacing w:before="13" w:line="259" w:lineRule="auto"/>
        <w:ind w:left="102" w:right="694"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Akhmetzhan Galimzhanov, Department of Cardiology and Interventional Arrhythmology, Semey Medical University, Abai str,103, Semey 071400, Kazakhstan.</w:t>
      </w:r>
    </w:p>
    <w:p w:rsidR="00000000" w:rsidDel="00000000" w:rsidP="00000000" w:rsidRDefault="00000000" w:rsidRPr="00000000" w14:paraId="00000037">
      <w:pPr>
        <w:spacing w:before="1" w:lineRule="auto"/>
        <w:ind w:left="102" w:firstLine="0"/>
        <w:jc w:val="both"/>
        <w:rPr>
          <w:rFonts w:ascii="Trebuchet MS" w:cs="Trebuchet MS" w:eastAsia="Trebuchet MS" w:hAnsi="Trebuchet MS"/>
          <w:sz w:val="24"/>
          <w:szCs w:val="24"/>
        </w:rPr>
      </w:pPr>
      <w:r w:rsidDel="00000000" w:rsidR="00000000" w:rsidRPr="00000000">
        <w:rPr>
          <w:rFonts w:ascii="Arial" w:cs="Arial" w:eastAsia="Arial" w:hAnsi="Arial"/>
          <w:sz w:val="16"/>
          <w:szCs w:val="16"/>
          <w:rtl w:val="0"/>
        </w:rPr>
        <w:t xml:space="preserve">Email: </w:t>
      </w:r>
      <w:hyperlink r:id="rId14">
        <w:r w:rsidDel="00000000" w:rsidR="00000000" w:rsidRPr="00000000">
          <w:rPr>
            <w:rFonts w:ascii="Arial" w:cs="Arial" w:eastAsia="Arial" w:hAnsi="Arial"/>
            <w:color w:val="0000ff"/>
            <w:sz w:val="16"/>
            <w:szCs w:val="16"/>
            <w:rtl w:val="0"/>
          </w:rPr>
          <w:t xml:space="preserve">ahmed.galimzhan@gmail.com</w:t>
        </w:r>
      </w:hyperlink>
      <w:r w:rsidDel="00000000" w:rsidR="00000000" w:rsidRPr="00000000">
        <w:rPr>
          <w:rtl w:val="0"/>
        </w:rPr>
      </w:r>
    </w:p>
    <w:p w:rsidR="00000000" w:rsidDel="00000000" w:rsidP="00000000" w:rsidRDefault="00000000" w:rsidRPr="00000000" w14:paraId="00000038">
      <w:pPr>
        <w:spacing w:before="1" w:lineRule="auto"/>
        <w:ind w:left="102" w:firstLine="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9">
      <w:pPr>
        <w:spacing w:before="1"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Abstract</w:t>
      </w:r>
    </w:p>
    <w:p w:rsidR="00000000" w:rsidDel="00000000" w:rsidP="00000000" w:rsidRDefault="00000000" w:rsidRPr="00000000" w14:paraId="0000003A">
      <w:pPr>
        <w:spacing w:before="7" w:line="249" w:lineRule="auto"/>
        <w:ind w:left="102" w:right="512"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Mean platelet volume (MPV) is a hematological index that is routinely measured in clinical settings. Although many studies have been conducted to investigate the prognostic signiﬁcance of MPV in acute coronary syndromes (ACS), the ﬁndings have been inconsistent. The goal of this study was to systematically review all current evidence on the association between admission MPV and clinical outcomes after ACS. PubMed, Scopus, Web of Science, and other databases were searched. The primary endpoints were major adverse cardiovascular events (MACE) and mortality. We applied a Knapp and Hartung adjustment, prediction interval calculations and permutation tests during pairwise meta-analyses. A one-stage dose–response meta-analysis was also conducted. The meta-analysis consisted of 41 studies with 33443 participants. Mean platelet volume, as a continuous variable, was associated with the risk of long-term mortality (hazard ratio 1.33, 95% CI 1.19–1.48). After conducting permutation tests and calculation of prediction intervals, this association remained signiﬁcant. The results for MACE were nonsigniﬁcant. Linear models were the best ﬁtted models during dose–response meta-analyses, trends for nonlinearity were signiﬁcant for long-term endpoints. Admission MPV was associated with long-term mortality in ACS patients, with nonlinear associations between MPV levels and long-term clinical outcomes.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spacing w:before="1"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Keywords</w:t>
      </w:r>
    </w:p>
    <w:p w:rsidR="00000000" w:rsidDel="00000000" w:rsidP="00000000" w:rsidRDefault="00000000" w:rsidRPr="00000000" w14:paraId="0000003D">
      <w:pPr>
        <w:spacing w:before="6" w:lineRule="auto"/>
        <w:ind w:left="102"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acute coronary syndrome, platelets, mean platelet volume, meta-analysis, mortality, myocardial infarction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6840" w:w="11920" w:orient="portrait"/>
          <w:pgMar w:bottom="280" w:top="1060" w:left="740" w:right="720" w:header="0" w:footer="0"/>
        </w:sectPr>
      </w:pPr>
      <w:r w:rsidDel="00000000" w:rsidR="00000000" w:rsidRPr="00000000">
        <w:rPr>
          <w:rtl w:val="0"/>
        </w:rPr>
      </w:r>
    </w:p>
    <w:p w:rsidR="00000000" w:rsidDel="00000000" w:rsidP="00000000" w:rsidRDefault="00000000" w:rsidRPr="00000000" w14:paraId="0000003F">
      <w:pPr>
        <w:spacing w:before="105" w:lineRule="auto"/>
        <w:ind w:left="102" w:right="0" w:firstLine="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Introduction</w:t>
      </w:r>
    </w:p>
    <w:p w:rsidR="00000000" w:rsidDel="00000000" w:rsidP="00000000" w:rsidRDefault="00000000" w:rsidRPr="00000000" w14:paraId="00000040">
      <w:pPr>
        <w:spacing w:before="120" w:line="249" w:lineRule="auto"/>
        <w:ind w:left="102" w:right="38" w:firstLine="0"/>
        <w:jc w:val="both"/>
        <w:rPr>
          <w:sz w:val="20"/>
          <w:szCs w:val="20"/>
        </w:rPr>
      </w:pPr>
      <w:r w:rsidDel="00000000" w:rsidR="00000000" w:rsidRPr="00000000">
        <w:rPr>
          <w:sz w:val="20"/>
          <w:szCs w:val="20"/>
          <w:rtl w:val="0"/>
        </w:rPr>
        <w:t xml:space="preserve">Despite recent advances in cardiology, acute coronary syn- drome (ACS) continues to have a signiﬁcant impact on global morbidity and mortality.</w:t>
      </w:r>
      <w:hyperlink w:anchor="_heading=h.2p2csry">
        <w:r w:rsidDel="00000000" w:rsidR="00000000" w:rsidRPr="00000000">
          <w:rPr>
            <w:color w:val="0000ff"/>
            <w:sz w:val="20"/>
            <w:szCs w:val="20"/>
            <w:vertAlign w:val="superscript"/>
            <w:rtl w:val="0"/>
          </w:rPr>
          <w:t xml:space="preserve">1</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Prognostic tools are commonly used in patients with ACS to guide treatments and predict clinical outcomes. Hematological indices are among the most com</w:t>
      </w:r>
      <w:r w:rsidDel="00000000" w:rsidR="00000000" w:rsidRPr="00000000">
        <w:rPr>
          <w:sz w:val="20"/>
          <w:szCs w:val="20"/>
          <w:rtl w:val="0"/>
        </w:rPr>
        <w:t xml:space="preserve">monly studied laboratory measures in ACS, with the prognostic value of several novel markers including mean platelet volume (MPV) assessed in prior studies in patients with ACS.</w:t>
      </w:r>
      <w:hyperlink w:anchor="_heading=h.2p2csry">
        <w:r w:rsidDel="00000000" w:rsidR="00000000" w:rsidRPr="00000000">
          <w:rPr>
            <w:color w:val="0000ff"/>
            <w:sz w:val="20"/>
            <w:szCs w:val="20"/>
            <w:vertAlign w:val="superscript"/>
            <w:rtl w:val="0"/>
          </w:rPr>
          <w:t xml:space="preserve">2</w:t>
        </w:r>
      </w:hyperlink>
      <w:r w:rsidDel="00000000" w:rsidR="00000000" w:rsidRPr="00000000">
        <w:rPr>
          <w:sz w:val="20"/>
          <w:szCs w:val="20"/>
          <w:rtl w:val="0"/>
        </w:rPr>
        <w:t xml:space="preserve">    Mean platelet volume is a low-cost, widely available metric that is determined in everyday practice using ordinary auto- mated analyzers.</w:t>
      </w:r>
      <w:hyperlink w:anchor="_heading=h.2p2csry">
        <w:r w:rsidDel="00000000" w:rsidR="00000000" w:rsidRPr="00000000">
          <w:rPr>
            <w:color w:val="0000ff"/>
            <w:sz w:val="20"/>
            <w:szCs w:val="20"/>
            <w:vertAlign w:val="superscript"/>
            <w:rtl w:val="0"/>
          </w:rPr>
          <w:t xml:space="preserve">2</w:t>
        </w:r>
      </w:hyperlink>
      <w:r w:rsidDel="00000000" w:rsidR="00000000" w:rsidRPr="00000000">
        <w:rPr>
          <w:color w:val="0000ff"/>
          <w:sz w:val="20"/>
          <w:szCs w:val="20"/>
          <w:rtl w:val="0"/>
        </w:rPr>
        <w:t xml:space="preserve"> </w:t>
      </w:r>
      <w:r w:rsidDel="00000000" w:rsidR="00000000" w:rsidRPr="00000000">
        <w:rPr>
          <w:sz w:val="20"/>
          <w:szCs w:val="20"/>
          <w:rtl w:val="0"/>
        </w:rPr>
        <w:t xml:space="preserve">Increased MPV indicates a higher number of large platelets with greater prothrombotic activity.</w:t>
      </w:r>
      <w:hyperlink w:anchor="_heading=h.147n2zr">
        <w:r w:rsidDel="00000000" w:rsidR="00000000" w:rsidRPr="00000000">
          <w:rPr>
            <w:color w:val="0000ff"/>
            <w:sz w:val="20"/>
            <w:szCs w:val="20"/>
            <w:vertAlign w:val="superscript"/>
            <w:rtl w:val="0"/>
          </w:rPr>
          <w:t xml:space="preserve">3</w:t>
        </w:r>
      </w:hyperlink>
      <w:r w:rsidDel="00000000" w:rsidR="00000000" w:rsidRPr="00000000">
        <w:rPr>
          <w:color w:val="0000ff"/>
          <w:sz w:val="20"/>
          <w:szCs w:val="20"/>
          <w:rtl w:val="0"/>
        </w:rPr>
        <w:t xml:space="preserve"> </w:t>
      </w:r>
      <w:r w:rsidDel="00000000" w:rsidR="00000000" w:rsidRPr="00000000">
        <w:rPr>
          <w:sz w:val="20"/>
          <w:szCs w:val="20"/>
          <w:rtl w:val="0"/>
        </w:rPr>
        <w:t xml:space="preserve">Being more prevalent in patients with acute thrombotic events, this measure has been found to predict the occurrence of subsequent adverse cardiovascular events in some,</w:t>
      </w:r>
      <w:hyperlink w:anchor="_heading=h.3o7alnk">
        <w:r w:rsidDel="00000000" w:rsidR="00000000" w:rsidRPr="00000000">
          <w:rPr>
            <w:color w:val="0000ff"/>
            <w:sz w:val="20"/>
            <w:szCs w:val="20"/>
            <w:vertAlign w:val="superscript"/>
            <w:rtl w:val="0"/>
          </w:rPr>
          <w:t xml:space="preserve">4</w:t>
        </w:r>
      </w:hyperlink>
      <w:r w:rsidDel="00000000" w:rsidR="00000000" w:rsidRPr="00000000">
        <w:rPr>
          <w:color w:val="0000ff"/>
          <w:sz w:val="20"/>
          <w:szCs w:val="20"/>
          <w:rtl w:val="0"/>
        </w:rPr>
        <w:t xml:space="preserve"> </w:t>
      </w:r>
      <w:r w:rsidDel="00000000" w:rsidR="00000000" w:rsidRPr="00000000">
        <w:rPr>
          <w:sz w:val="20"/>
          <w:szCs w:val="20"/>
          <w:rtl w:val="0"/>
        </w:rPr>
        <w:t xml:space="preserve">but not all, studies.</w:t>
      </w:r>
      <w:hyperlink w:anchor="_heading=h.23ckvvd">
        <w:r w:rsidDel="00000000" w:rsidR="00000000" w:rsidRPr="00000000">
          <w:rPr>
            <w:color w:val="0000ff"/>
            <w:sz w:val="20"/>
            <w:szCs w:val="20"/>
            <w:vertAlign w:val="superscript"/>
            <w:rtl w:val="0"/>
          </w:rPr>
          <w:t xml:space="preserve">5</w:t>
        </w:r>
      </w:hyperlink>
      <w:r w:rsidDel="00000000" w:rsidR="00000000" w:rsidRPr="00000000">
        <w:rPr>
          <w:color w:val="0000ff"/>
          <w:sz w:val="20"/>
          <w:szCs w:val="20"/>
          <w:rtl w:val="0"/>
        </w:rPr>
        <w:t xml:space="preserve"> </w:t>
      </w:r>
      <w:r w:rsidDel="00000000" w:rsidR="00000000" w:rsidRPr="00000000">
        <w:rPr>
          <w:sz w:val="20"/>
          <w:szCs w:val="20"/>
          <w:rtl w:val="0"/>
        </w:rPr>
        <w:t xml:space="preserve">There have only been a limited number of meta-analyses that have attempted to systematically review the literature and quantify the relationships between MPV and ACS outcomes.</w:t>
      </w:r>
      <w:hyperlink w:anchor="_heading=h.3o7alnk">
        <w:r w:rsidDel="00000000" w:rsidR="00000000" w:rsidRPr="00000000">
          <w:rPr>
            <w:color w:val="0000ff"/>
            <w:sz w:val="20"/>
            <w:szCs w:val="20"/>
            <w:vertAlign w:val="superscript"/>
            <w:rtl w:val="0"/>
          </w:rPr>
          <w:t xml:space="preserve">4</w:t>
        </w:r>
      </w:hyperlink>
      <w:r w:rsidDel="00000000" w:rsidR="00000000" w:rsidRPr="00000000">
        <w:rPr>
          <w:sz w:val="20"/>
          <w:szCs w:val="20"/>
          <w:vertAlign w:val="superscript"/>
          <w:rtl w:val="0"/>
        </w:rPr>
        <w:t xml:space="preserve">,</w:t>
      </w:r>
      <w:hyperlink w:anchor="_heading=h.ihv636">
        <w:r w:rsidDel="00000000" w:rsidR="00000000" w:rsidRPr="00000000">
          <w:rPr>
            <w:color w:val="0000ff"/>
            <w:sz w:val="20"/>
            <w:szCs w:val="20"/>
            <w:vertAlign w:val="superscript"/>
            <w:rtl w:val="0"/>
          </w:rPr>
          <w:t xml:space="preserve">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These reviews are limited in that one of them was completed over a decade ago and does not consider more recent studies.</w:t>
      </w:r>
      <w:hyperlink w:anchor="_heading=h.3o7alnk">
        <w:r w:rsidDel="00000000" w:rsidR="00000000" w:rsidRPr="00000000">
          <w:rPr>
            <w:color w:val="0000ff"/>
            <w:sz w:val="20"/>
            <w:szCs w:val="20"/>
            <w:vertAlign w:val="superscript"/>
            <w:rtl w:val="0"/>
          </w:rPr>
          <w:t xml:space="preserve">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second review was limited by synthesizing adjusted with non-adjusted statistics, time-to-event with dichotomized effect estimates, and not exploring dose</w:t>
      </w:r>
      <w:r w:rsidDel="00000000" w:rsidR="00000000" w:rsidRPr="00000000">
        <w:rPr>
          <w:rFonts w:ascii="Arial" w:cs="Arial" w:eastAsia="Arial" w:hAnsi="Arial"/>
          <w:sz w:val="20"/>
          <w:szCs w:val="20"/>
          <w:vertAlign w:val="baseline"/>
          <w:rtl w:val="0"/>
        </w:rPr>
        <w:t xml:space="preserve">–</w:t>
      </w:r>
      <w:r w:rsidDel="00000000" w:rsidR="00000000" w:rsidRPr="00000000">
        <w:rPr>
          <w:sz w:val="20"/>
          <w:szCs w:val="20"/>
          <w:vertAlign w:val="baseline"/>
          <w:rtl w:val="0"/>
        </w:rPr>
        <w:t xml:space="preserve">response relationships.</w:t>
      </w:r>
      <w:hyperlink w:anchor="_heading=h.ihv636">
        <w:r w:rsidDel="00000000" w:rsidR="00000000" w:rsidRPr="00000000">
          <w:rPr>
            <w:color w:val="0000ff"/>
            <w:sz w:val="20"/>
            <w:szCs w:val="20"/>
            <w:vertAlign w:val="superscript"/>
            <w:rtl w:val="0"/>
          </w:rPr>
          <w:t xml:space="preserve">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We therefore </w:t>
      </w:r>
      <w:r w:rsidDel="00000000" w:rsidR="00000000" w:rsidRPr="00000000">
        <w:rPr>
          <w:sz w:val="20"/>
          <w:szCs w:val="20"/>
          <w:rtl w:val="0"/>
        </w:rPr>
        <w:t xml:space="preserve">undertook a systematic review and meta-analysis to examine all recent data on the relationship between admission MPV and the risk of adverse clinical outcomes in patients presenting with ACS.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spacing w:before="1" w:lineRule="auto"/>
        <w:ind w:left="495" w:right="0" w:firstLine="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Materials and Methods</w:t>
      </w:r>
    </w:p>
    <w:p w:rsidR="00000000" w:rsidDel="00000000" w:rsidP="00000000" w:rsidRDefault="00000000" w:rsidRPr="00000000" w14:paraId="00000043">
      <w:pPr>
        <w:spacing w:before="118" w:line="249" w:lineRule="auto"/>
        <w:ind w:left="141.73228346456688" w:right="2" w:firstLine="283.464566929134"/>
        <w:jc w:val="both"/>
        <w:rPr>
          <w:sz w:val="20"/>
          <w:szCs w:val="20"/>
        </w:rPr>
      </w:pPr>
      <w:r w:rsidDel="00000000" w:rsidR="00000000" w:rsidRPr="00000000">
        <w:rPr>
          <w:sz w:val="20"/>
          <w:szCs w:val="20"/>
          <w:rtl w:val="0"/>
        </w:rPr>
        <w:t xml:space="preserve">The meta-analysis was conducted in accordance with the Preferred Reporting Items for Systematic Reviews and Meta- Analyses (PRISMA) statement and a Guide to systematic review and meta-analysis of prognostic factor studies.</w:t>
      </w:r>
      <w:hyperlink w:anchor="_heading=h.32hioqz">
        <w:r w:rsidDel="00000000" w:rsidR="00000000" w:rsidRPr="00000000">
          <w:rPr>
            <w:color w:val="0000ff"/>
            <w:sz w:val="20"/>
            <w:szCs w:val="20"/>
            <w:vertAlign w:val="superscript"/>
            <w:rtl w:val="0"/>
          </w:rPr>
          <w:t xml:space="preserve">7</w:t>
        </w:r>
      </w:hyperlink>
      <w:r w:rsidDel="00000000" w:rsidR="00000000" w:rsidRPr="00000000">
        <w:rPr>
          <w:sz w:val="20"/>
          <w:szCs w:val="20"/>
          <w:vertAlign w:val="superscript"/>
          <w:rtl w:val="0"/>
        </w:rPr>
        <w:t xml:space="preserve">,</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protocol was prospectively registered in PROSPERO (CRD42021230058). The main sources for the systematic review were PubMed, Web of Science, Scopus (up to May 24, 2021), and Cochrane Library (up to June 27, 2021). There were no restrictions based on language or dates of potential studies. The </w:t>
      </w:r>
      <w:r w:rsidDel="00000000" w:rsidR="00000000" w:rsidRPr="00000000">
        <w:rPr>
          <w:i w:val="1"/>
          <w:sz w:val="20"/>
          <w:szCs w:val="20"/>
          <w:vertAlign w:val="baseline"/>
          <w:rtl w:val="0"/>
        </w:rPr>
        <w:t xml:space="preserve">litsearchr </w:t>
      </w:r>
      <w:r w:rsidDel="00000000" w:rsidR="00000000" w:rsidRPr="00000000">
        <w:rPr>
          <w:sz w:val="20"/>
          <w:szCs w:val="20"/>
          <w:vertAlign w:val="baseline"/>
          <w:rtl w:val="0"/>
        </w:rPr>
        <w:t xml:space="preserve">R package and our understanding of the ﬁeld were used to create the search strategy.</w:t>
      </w:r>
      <w:hyperlink w:anchor="_heading=h.41mghml">
        <w:r w:rsidDel="00000000" w:rsidR="00000000" w:rsidRPr="00000000">
          <w:rPr>
            <w:color w:val="0000ff"/>
            <w:sz w:val="20"/>
            <w:szCs w:val="20"/>
            <w:vertAlign w:val="superscript"/>
            <w:rtl w:val="0"/>
          </w:rPr>
          <w:t xml:space="preserve">9</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full strategy was described in the Supplementary Search Strategy.</w:t>
      </w:r>
      <w:r w:rsidDel="00000000" w:rsidR="00000000" w:rsidRPr="00000000">
        <w:rPr>
          <w:rtl w:val="0"/>
        </w:rPr>
      </w:r>
    </w:p>
    <w:p w:rsidR="00000000" w:rsidDel="00000000" w:rsidP="00000000" w:rsidRDefault="00000000" w:rsidRPr="00000000" w14:paraId="00000044">
      <w:pPr>
        <w:spacing w:before="0" w:line="249" w:lineRule="auto"/>
        <w:ind w:left="141.73228346456688" w:right="2" w:firstLine="240"/>
        <w:jc w:val="both"/>
        <w:rPr>
          <w:sz w:val="20"/>
          <w:szCs w:val="20"/>
        </w:rPr>
      </w:pPr>
      <w:r w:rsidDel="00000000" w:rsidR="00000000" w:rsidRPr="00000000">
        <w:rPr>
          <w:sz w:val="20"/>
          <w:szCs w:val="20"/>
          <w:rtl w:val="0"/>
        </w:rPr>
        <w:t xml:space="preserve">In order to retrieve relevant publications, Dimensions, BioMed Explorer, international study registries, conference meeting materials, most prominent journal websites, references of included articles, and analogous meta-analyses were also explored. In addition to the standard keyword-based method, co-citation</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based search was also applied with a CoCites tool to improve accuracy of the strategy.</w:t>
      </w:r>
      <w:hyperlink w:anchor="_heading=h.2grqrue">
        <w:r w:rsidDel="00000000" w:rsidR="00000000" w:rsidRPr="00000000">
          <w:rPr>
            <w:color w:val="0000ff"/>
            <w:sz w:val="20"/>
            <w:szCs w:val="20"/>
            <w:vertAlign w:val="superscript"/>
            <w:rtl w:val="0"/>
          </w:rPr>
          <w:t xml:space="preserve">10</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This search is based on ranking potential articles on their co-citation frequency with articles that already met inclusion criteria.</w:t>
      </w:r>
      <w:hyperlink w:anchor="_heading=h.2grqrue">
        <w:r w:rsidDel="00000000" w:rsidR="00000000" w:rsidRPr="00000000">
          <w:rPr>
            <w:color w:val="0000ff"/>
            <w:sz w:val="20"/>
            <w:szCs w:val="20"/>
            <w:vertAlign w:val="superscript"/>
            <w:rtl w:val="0"/>
          </w:rPr>
          <w:t xml:space="preserve">10</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We contacted authors of original studies to retrieve any missing data. The ﬂow diagram was created using a speciﬁc ShinyApp tool.</w:t>
      </w:r>
      <w:hyperlink w:anchor="_heading=h.vx1227">
        <w:r w:rsidDel="00000000" w:rsidR="00000000" w:rsidRPr="00000000">
          <w:rPr>
            <w:color w:val="0000ff"/>
            <w:sz w:val="20"/>
            <w:szCs w:val="20"/>
            <w:vertAlign w:val="superscript"/>
            <w:rtl w:val="0"/>
          </w:rPr>
          <w:t xml:space="preserve">11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spacing w:before="0" w:lineRule="auto"/>
        <w:ind w:left="495" w:right="0" w:firstLine="0"/>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Study Selection</w:t>
      </w:r>
    </w:p>
    <w:p w:rsidR="00000000" w:rsidDel="00000000" w:rsidP="00000000" w:rsidRDefault="00000000" w:rsidRPr="00000000" w14:paraId="00000047">
      <w:pPr>
        <w:spacing w:before="117" w:line="249" w:lineRule="auto"/>
        <w:ind w:left="141.73228346456688" w:right="2" w:firstLine="0"/>
        <w:jc w:val="both"/>
        <w:rPr>
          <w:sz w:val="20"/>
          <w:szCs w:val="20"/>
        </w:rPr>
      </w:pPr>
      <w:r w:rsidDel="00000000" w:rsidR="00000000" w:rsidRPr="00000000">
        <w:rPr>
          <w:sz w:val="20"/>
          <w:szCs w:val="20"/>
          <w:rtl w:val="0"/>
        </w:rPr>
        <w:t xml:space="preserve">The studies that met the following Population</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Exposure</w:t>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Outcome criteria were selected:</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48"/>
          <w:tab w:val="left" w:leader="none" w:pos="1050"/>
        </w:tabs>
        <w:spacing w:after="0" w:before="0" w:line="249" w:lineRule="auto"/>
        <w:ind w:left="1050" w:right="2" w:hanging="31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Population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patients with all types of ACS, that is, myocardial infarction with (STEMI) and without ST-segment elevation, unstable angina. The exclusion criteria were participants under 18 years old, pregnant women, patients with terminal chronic kidney disease, terminal liver disease, and cancer.</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48"/>
          <w:tab w:val="left" w:leader="none" w:pos="1050"/>
        </w:tabs>
        <w:spacing w:after="0" w:before="0" w:line="249" w:lineRule="auto"/>
        <w:ind w:left="1050" w:right="2" w:hanging="31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Exposure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only studies that explored the prognostic value of MPV measured on hospital admission were considered.</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48"/>
          <w:tab w:val="left" w:leader="none" w:pos="1050"/>
        </w:tabs>
        <w:spacing w:after="0" w:before="0" w:line="249" w:lineRule="auto"/>
        <w:ind w:left="1050" w:right="3" w:hanging="31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Outcome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only studies that provided clinical end-points were included.</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spacing w:before="0" w:line="249" w:lineRule="auto"/>
        <w:ind w:left="141.73228346456693" w:right="2" w:firstLine="240.00000000000003"/>
        <w:jc w:val="both"/>
        <w:rPr>
          <w:sz w:val="20"/>
          <w:szCs w:val="20"/>
        </w:rPr>
      </w:pPr>
      <w:r w:rsidDel="00000000" w:rsidR="00000000" w:rsidRPr="00000000">
        <w:rPr>
          <w:sz w:val="20"/>
          <w:szCs w:val="20"/>
          <w:rtl w:val="0"/>
        </w:rPr>
        <w:t xml:space="preserve">The main outcomes of the meta-analysis were major adverse cardiovascular events (MACE) and mortality. Secondary endpoints included stroke, recurring myocardial infarction (re-MI), and unplanned revascularization. The Rayyan web app (</w:t>
      </w:r>
      <w:hyperlink r:id="rId15">
        <w:r w:rsidDel="00000000" w:rsidR="00000000" w:rsidRPr="00000000">
          <w:rPr>
            <w:color w:val="0000ff"/>
            <w:sz w:val="20"/>
            <w:szCs w:val="20"/>
            <w:rtl w:val="0"/>
          </w:rPr>
          <w:t xml:space="preserve">http://rayyan.qcri.org</w:t>
        </w:r>
      </w:hyperlink>
      <w:r w:rsidDel="00000000" w:rsidR="00000000" w:rsidRPr="00000000">
        <w:rPr>
          <w:sz w:val="20"/>
          <w:szCs w:val="20"/>
          <w:rtl w:val="0"/>
        </w:rPr>
        <w:t xml:space="preserve">) was applied for facilitating screening and selection processes.</w:t>
      </w:r>
      <w:hyperlink w:anchor="_heading=h.3fwokq0">
        <w:r w:rsidDel="00000000" w:rsidR="00000000" w:rsidRPr="00000000">
          <w:rPr>
            <w:color w:val="0000ff"/>
            <w:sz w:val="20"/>
            <w:szCs w:val="20"/>
            <w:vertAlign w:val="superscript"/>
            <w:rtl w:val="0"/>
          </w:rPr>
          <w:t xml:space="preserve">12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A machine-learning</w:t>
      </w:r>
      <w:r w:rsidDel="00000000" w:rsidR="00000000" w:rsidRPr="00000000">
        <w:rPr>
          <w:sz w:val="20"/>
          <w:szCs w:val="20"/>
          <w:rtl w:val="0"/>
        </w:rPr>
        <w:t xml:space="preserve"> algorithm was used to continuously rate the recordings, and it was regularly updated based on previous decisions.</w:t>
      </w:r>
      <w:hyperlink w:anchor="_heading=h.3fwokq0">
        <w:r w:rsidDel="00000000" w:rsidR="00000000" w:rsidRPr="00000000">
          <w:rPr>
            <w:color w:val="0000ff"/>
            <w:sz w:val="20"/>
            <w:szCs w:val="20"/>
            <w:vertAlign w:val="superscript"/>
            <w:rtl w:val="0"/>
          </w:rPr>
          <w:t xml:space="preserve">12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All ratings were then checked manually.</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spacing w:before="1" w:lineRule="auto"/>
        <w:ind w:left="194" w:right="0" w:firstLine="0"/>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Data Extraction and Risk of Bias Evaluation</w:t>
      </w:r>
    </w:p>
    <w:p w:rsidR="00000000" w:rsidDel="00000000" w:rsidP="00000000" w:rsidRDefault="00000000" w:rsidRPr="00000000" w14:paraId="00000050">
      <w:pPr>
        <w:spacing w:before="118" w:line="249" w:lineRule="auto"/>
        <w:ind w:left="194" w:right="-36.18897637795135" w:firstLine="231.19685039370063"/>
        <w:jc w:val="both"/>
        <w:rPr>
          <w:sz w:val="20"/>
          <w:szCs w:val="20"/>
        </w:rPr>
      </w:pPr>
      <w:r w:rsidDel="00000000" w:rsidR="00000000" w:rsidRPr="00000000">
        <w:rPr>
          <w:sz w:val="20"/>
          <w:szCs w:val="20"/>
          <w:rtl w:val="0"/>
        </w:rPr>
        <w:t xml:space="preserve">Data was extracted using the Checklist for critical appraisal and data extraction for systematic reviews of prediction modeling studies</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prognostic factors (CHARMS-PF).</w:t>
      </w:r>
      <w:hyperlink w:anchor="_heading=h.1hmsyys">
        <w:r w:rsidDel="00000000" w:rsidR="00000000" w:rsidRPr="00000000">
          <w:rPr>
            <w:color w:val="0000ff"/>
            <w:sz w:val="20"/>
            <w:szCs w:val="20"/>
            <w:vertAlign w:val="superscript"/>
            <w:rtl w:val="0"/>
          </w:rPr>
          <w:t xml:space="preserve">8</w:t>
        </w:r>
      </w:hyperlink>
      <w:r w:rsidDel="00000000" w:rsidR="00000000" w:rsidRPr="00000000">
        <w:rPr>
          <w:sz w:val="20"/>
          <w:szCs w:val="20"/>
          <w:vertAlign w:val="superscript"/>
          <w:rtl w:val="0"/>
        </w:rPr>
        <w:t xml:space="preserve">,</w:t>
      </w:r>
      <w:hyperlink w:anchor="_heading=h.1v1yuxt">
        <w:r w:rsidDel="00000000" w:rsidR="00000000" w:rsidRPr="00000000">
          <w:rPr>
            <w:color w:val="0000ff"/>
            <w:sz w:val="20"/>
            <w:szCs w:val="20"/>
            <w:vertAlign w:val="superscript"/>
            <w:rtl w:val="0"/>
          </w:rPr>
          <w:t xml:space="preserve">13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Data on basic study characteristics, patients, prognostic factors, missing values, statistical analyses, key results, and sample sizes were gathered into a predetermined Excel spreadsheet. Means and standard deviations were calculated using the formula published by the Cochrane group for studies that did not provide overall statistics.</w:t>
      </w:r>
      <w:hyperlink w:anchor="_heading=h.4f1mdlm">
        <w:r w:rsidDel="00000000" w:rsidR="00000000" w:rsidRPr="00000000">
          <w:rPr>
            <w:color w:val="0000ff"/>
            <w:sz w:val="20"/>
            <w:szCs w:val="20"/>
            <w:vertAlign w:val="superscript"/>
            <w:rtl w:val="0"/>
          </w:rPr>
          <w:t xml:space="preserve">14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For studies that reported medians and interquartile ranges, means and standard deviations were estimated with Wan et al</w:t>
      </w:r>
      <w:r w:rsidDel="00000000" w:rsidR="00000000" w:rsidRPr="00000000">
        <w:rPr>
          <w:rFonts w:ascii="Arial" w:cs="Arial" w:eastAsia="Arial" w:hAnsi="Arial"/>
          <w:sz w:val="20"/>
          <w:szCs w:val="20"/>
          <w:vertAlign w:val="baseline"/>
          <w:rtl w:val="0"/>
        </w:rPr>
        <w:t xml:space="preserve">’</w:t>
      </w:r>
      <w:r w:rsidDel="00000000" w:rsidR="00000000" w:rsidRPr="00000000">
        <w:rPr>
          <w:sz w:val="20"/>
          <w:szCs w:val="20"/>
          <w:vertAlign w:val="baseline"/>
          <w:rtl w:val="0"/>
        </w:rPr>
        <w:t xml:space="preserve">s</w:t>
      </w:r>
      <w:hyperlink w:anchor="_heading=h.2u6wntf">
        <w:r w:rsidDel="00000000" w:rsidR="00000000" w:rsidRPr="00000000">
          <w:rPr>
            <w:color w:val="0000ff"/>
            <w:sz w:val="20"/>
            <w:szCs w:val="20"/>
            <w:vertAlign w:val="superscript"/>
            <w:rtl w:val="0"/>
          </w:rPr>
          <w:t xml:space="preserve">15</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formula.</w:t>
      </w:r>
      <w:r w:rsidDel="00000000" w:rsidR="00000000" w:rsidRPr="00000000">
        <w:rPr>
          <w:rtl w:val="0"/>
        </w:rPr>
      </w:r>
    </w:p>
    <w:p w:rsidR="00000000" w:rsidDel="00000000" w:rsidP="00000000" w:rsidRDefault="00000000" w:rsidRPr="00000000" w14:paraId="00000051">
      <w:pPr>
        <w:spacing w:before="0" w:line="249" w:lineRule="auto"/>
        <w:ind w:left="194" w:right="-36.18897637795135" w:firstLine="239"/>
        <w:jc w:val="both"/>
        <w:rPr>
          <w:sz w:val="20"/>
          <w:szCs w:val="20"/>
        </w:rPr>
      </w:pPr>
      <w:r w:rsidDel="00000000" w:rsidR="00000000" w:rsidRPr="00000000">
        <w:rPr>
          <w:sz w:val="20"/>
          <w:szCs w:val="20"/>
          <w:rtl w:val="0"/>
        </w:rPr>
        <w:t xml:space="preserve">The risk of bias assessment was conducted using the QUIPS tool (quality in prognostic factor studies).</w:t>
      </w:r>
      <w:hyperlink w:anchor="_heading=h.19c6y18">
        <w:r w:rsidDel="00000000" w:rsidR="00000000" w:rsidRPr="00000000">
          <w:rPr>
            <w:color w:val="0000ff"/>
            <w:sz w:val="20"/>
            <w:szCs w:val="20"/>
            <w:vertAlign w:val="superscript"/>
            <w:rtl w:val="0"/>
          </w:rPr>
          <w:t xml:space="preserve">16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study selection and data extraction was initially performed by 1 reviewer and then discussed by all team members. The risk of bias evaluation was carried out by 1 reviewer, independently checked by a second reviewer, and, ﬁnally, discussed by all reviewers.</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spacing w:before="1" w:lineRule="auto"/>
        <w:ind w:left="194" w:right="0" w:firstLine="0"/>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Statistical Analyses</w:t>
      </w:r>
    </w:p>
    <w:p w:rsidR="00000000" w:rsidDel="00000000" w:rsidP="00000000" w:rsidRDefault="00000000" w:rsidRPr="00000000" w14:paraId="00000054">
      <w:pPr>
        <w:spacing w:before="118" w:line="249" w:lineRule="auto"/>
        <w:ind w:left="194" w:right="116" w:firstLine="231.19685039370063"/>
        <w:jc w:val="both"/>
        <w:rPr>
          <w:sz w:val="20"/>
          <w:szCs w:val="20"/>
        </w:rPr>
      </w:pPr>
      <w:r w:rsidDel="00000000" w:rsidR="00000000" w:rsidRPr="00000000">
        <w:rPr>
          <w:sz w:val="20"/>
          <w:szCs w:val="20"/>
          <w:rtl w:val="0"/>
        </w:rPr>
        <w:t xml:space="preserve">We conducted random-effects pairwise and dose</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response meta-analyses with both maximum and restricted maximum likelihood estimation. Studies with time-to-event and dichotomous estimates were synthesized separately.</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Fur- thermore, papers that presented MPV as a continuous or categorical variable were analyzed separately.</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Also, separate analyses were conducted for different time points of outcomes. Only adjusted statistics were collected for statistical analyses, as recommended.</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To decrease Type I error rate, 95% conﬁdence intervals (CIs) was calculated with Knapp and Hartung adjustment.</w:t>
      </w:r>
      <w:hyperlink w:anchor="_heading=h.3tbugp1">
        <w:r w:rsidDel="00000000" w:rsidR="00000000" w:rsidRPr="00000000">
          <w:rPr>
            <w:color w:val="0000ff"/>
            <w:sz w:val="20"/>
            <w:szCs w:val="20"/>
            <w:vertAlign w:val="superscript"/>
            <w:rtl w:val="0"/>
          </w:rPr>
          <w:t xml:space="preserve">17</w:t>
        </w:r>
      </w:hyperlink>
      <w:r w:rsidDel="00000000" w:rsidR="00000000" w:rsidRPr="00000000">
        <w:rPr>
          <w:sz w:val="20"/>
          <w:szCs w:val="20"/>
          <w:vertAlign w:val="superscript"/>
          <w:rtl w:val="0"/>
        </w:rPr>
        <w:t xml:space="preserve">-</w:t>
      </w:r>
      <w:hyperlink w:anchor="_heading=h.nmf14n">
        <w:r w:rsidDel="00000000" w:rsidR="00000000" w:rsidRPr="00000000">
          <w:rPr>
            <w:color w:val="0000ff"/>
            <w:sz w:val="20"/>
            <w:szCs w:val="20"/>
            <w:vertAlign w:val="superscript"/>
            <w:rtl w:val="0"/>
          </w:rPr>
          <w:t xml:space="preserve">19</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For interpretation purposes, we also calculated 95% prediction intervals (PIs).</w:t>
      </w:r>
      <w:hyperlink w:anchor="_heading=h.37m2jsg">
        <w:r w:rsidDel="00000000" w:rsidR="00000000" w:rsidRPr="00000000">
          <w:rPr>
            <w:color w:val="0000ff"/>
            <w:sz w:val="20"/>
            <w:szCs w:val="20"/>
            <w:vertAlign w:val="superscript"/>
            <w:rtl w:val="0"/>
          </w:rPr>
          <w:t xml:space="preserve">20</w:t>
        </w:r>
      </w:hyperlink>
      <w:r w:rsidDel="00000000" w:rsidR="00000000" w:rsidRPr="00000000">
        <w:rPr>
          <w:sz w:val="20"/>
          <w:szCs w:val="20"/>
          <w:vertAlign w:val="superscript"/>
          <w:rtl w:val="0"/>
        </w:rPr>
        <w:t xml:space="preserve">,</w:t>
      </w:r>
      <w:hyperlink w:anchor="_heading=h.1mrcu09">
        <w:r w:rsidDel="00000000" w:rsidR="00000000" w:rsidRPr="00000000">
          <w:rPr>
            <w:color w:val="0000ff"/>
            <w:sz w:val="20"/>
            <w:szCs w:val="20"/>
            <w:vertAlign w:val="superscript"/>
            <w:rtl w:val="0"/>
          </w:rPr>
          <w:t xml:space="preserve">21</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MPV is considered a signiﬁcant prognostic factor across all cutpoints and suppliers of automated hematological analyzers used in primary research if the interval is fully over 1.</w:t>
      </w:r>
      <w:hyperlink w:anchor="_heading=h.37m2jsg">
        <w:r w:rsidDel="00000000" w:rsidR="00000000" w:rsidRPr="00000000">
          <w:rPr>
            <w:color w:val="0000ff"/>
            <w:sz w:val="20"/>
            <w:szCs w:val="20"/>
            <w:vertAlign w:val="superscript"/>
            <w:rtl w:val="0"/>
          </w:rPr>
          <w:t xml:space="preserve">20</w:t>
        </w:r>
      </w:hyperlink>
      <w:r w:rsidDel="00000000" w:rsidR="00000000" w:rsidRPr="00000000">
        <w:rPr>
          <w:sz w:val="20"/>
          <w:szCs w:val="20"/>
          <w:vertAlign w:val="superscript"/>
          <w:rtl w:val="0"/>
        </w:rPr>
        <w:t xml:space="preserve">,</w:t>
      </w:r>
      <w:hyperlink w:anchor="_heading=h.1mrcu09">
        <w:r w:rsidDel="00000000" w:rsidR="00000000" w:rsidRPr="00000000">
          <w:rPr>
            <w:color w:val="0000ff"/>
            <w:sz w:val="20"/>
            <w:szCs w:val="20"/>
            <w:vertAlign w:val="superscript"/>
            <w:rtl w:val="0"/>
          </w:rPr>
          <w:t xml:space="preserve">21</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We also conducted multi-level meta-analyses with vendors of hematological systems treated as outer units to account for any potential inconsistencies between hematological analyzers. Furthermore, exact permutation tests were carried out for reducing the probability of type I error.</w:t>
      </w:r>
      <w:hyperlink w:anchor="_heading=h.46r0co2">
        <w:r w:rsidDel="00000000" w:rsidR="00000000" w:rsidRPr="00000000">
          <w:rPr>
            <w:color w:val="0000ff"/>
            <w:sz w:val="20"/>
            <w:szCs w:val="20"/>
            <w:vertAlign w:val="superscript"/>
            <w:rtl w:val="0"/>
          </w:rPr>
          <w:t xml:space="preserve">22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Heterogeneity was estimated with chi-squared Q test (</w:t>
      </w:r>
      <w:r w:rsidDel="00000000" w:rsidR="00000000" w:rsidRPr="00000000">
        <w:rPr>
          <w:i w:val="1"/>
          <w:sz w:val="20"/>
          <w:szCs w:val="20"/>
          <w:vertAlign w:val="baseline"/>
          <w:rtl w:val="0"/>
        </w:rPr>
        <w:t xml:space="preserve">P </w:t>
      </w:r>
      <w:r w:rsidDel="00000000" w:rsidR="00000000" w:rsidRPr="00000000">
        <w:rPr>
          <w:sz w:val="20"/>
          <w:szCs w:val="20"/>
          <w:vertAlign w:val="baseline"/>
          <w:rtl w:val="0"/>
        </w:rPr>
        <w:t xml:space="preserve">&lt;.1 was considered as signiﬁcant) and I</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test (I</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&gt; 50% - substantial heterogeneity).</w:t>
      </w:r>
      <w:r w:rsidDel="00000000" w:rsidR="00000000" w:rsidRPr="00000000">
        <w:rPr>
          <w:rtl w:val="0"/>
        </w:rPr>
      </w:r>
    </w:p>
    <w:p w:rsidR="00000000" w:rsidDel="00000000" w:rsidP="00000000" w:rsidRDefault="00000000" w:rsidRPr="00000000" w14:paraId="00000055">
      <w:pPr>
        <w:spacing w:before="0" w:line="249" w:lineRule="auto"/>
        <w:ind w:left="216" w:right="119" w:firstLine="240"/>
        <w:jc w:val="both"/>
        <w:rPr>
          <w:sz w:val="20"/>
          <w:szCs w:val="20"/>
        </w:rPr>
      </w:pPr>
      <w:r w:rsidDel="00000000" w:rsidR="00000000" w:rsidRPr="00000000">
        <w:rPr>
          <w:sz w:val="20"/>
          <w:szCs w:val="20"/>
          <w:rtl w:val="0"/>
        </w:rPr>
        <w:t xml:space="preserve">To reveal potential nonlinear relationships, we performed a one-stage dose</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response meta-analysis proposed by Crippa et al.</w:t>
      </w:r>
      <w:hyperlink w:anchor="_heading=h.2lwamvv">
        <w:r w:rsidDel="00000000" w:rsidR="00000000" w:rsidRPr="00000000">
          <w:rPr>
            <w:color w:val="0000ff"/>
            <w:sz w:val="20"/>
            <w:szCs w:val="20"/>
            <w:vertAlign w:val="superscript"/>
            <w:rtl w:val="0"/>
          </w:rPr>
          <w:t xml:space="preserve">23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mean values of each MPV study group were set as dose estimates. If these numbers were not reported, the midpoints between the upper and lower borders were </w:t>
      </w:r>
      <w:r w:rsidDel="00000000" w:rsidR="00000000" w:rsidRPr="00000000">
        <w:rPr>
          <w:sz w:val="20"/>
          <w:szCs w:val="20"/>
          <w:rtl w:val="0"/>
        </w:rPr>
        <w:t xml:space="preserve">considered as dose exposures. The doses for open-ended upper groups were calculated by adding a half of adjacent intervals to the highest categories. The similar approach was applied for open-ended lowest categories. For studies with 1 non-referent group, the midpoints between cutpoints and 2.5 percentiles or 97.5 percentiles were considered as dose exposures for lower and upper categories, respectively. Linear, quadratic, cubic, fractional polynomial, and spline models with maximum likelihood were constructed for model selection based on the Akaike information criterion (AIC) and the Bayesian information criterion (BIC). The Crippa et al. R code was used to select the best ﬁtted fractional polynomials and knots.</w:t>
      </w:r>
      <w:hyperlink w:anchor="_heading=h.111kx3o">
        <w:r w:rsidDel="00000000" w:rsidR="00000000" w:rsidRPr="00000000">
          <w:rPr>
            <w:color w:val="0000ff"/>
            <w:sz w:val="20"/>
            <w:szCs w:val="20"/>
            <w:vertAlign w:val="superscript"/>
            <w:rtl w:val="0"/>
          </w:rPr>
          <w:t xml:space="preserve">24</w:t>
        </w:r>
      </w:hyperlink>
      <w:r w:rsidDel="00000000" w:rsidR="00000000" w:rsidRPr="00000000">
        <w:rPr>
          <w:rtl w:val="0"/>
        </w:rPr>
      </w:r>
    </w:p>
    <w:p w:rsidR="00000000" w:rsidDel="00000000" w:rsidP="00000000" w:rsidRDefault="00000000" w:rsidRPr="00000000" w14:paraId="00000056">
      <w:pPr>
        <w:spacing w:before="0" w:line="249" w:lineRule="auto"/>
        <w:ind w:left="204" w:right="38" w:firstLine="240"/>
        <w:jc w:val="both"/>
        <w:rPr>
          <w:sz w:val="20"/>
          <w:szCs w:val="20"/>
        </w:rPr>
      </w:pPr>
      <w:r w:rsidDel="00000000" w:rsidR="00000000" w:rsidRPr="00000000">
        <w:rPr>
          <w:sz w:val="20"/>
          <w:szCs w:val="20"/>
          <w:rtl w:val="0"/>
        </w:rPr>
        <w:t xml:space="preserve">We also conducted publication bias assessment with a trim and ﬁll method, inﬂuential case diagnostics, and leave-one-out sensitivity analyses.</w:t>
      </w:r>
      <w:hyperlink w:anchor="_heading=h.3l18frh">
        <w:r w:rsidDel="00000000" w:rsidR="00000000" w:rsidRPr="00000000">
          <w:rPr>
            <w:color w:val="0000ff"/>
            <w:sz w:val="20"/>
            <w:szCs w:val="20"/>
            <w:vertAlign w:val="superscript"/>
            <w:rtl w:val="0"/>
          </w:rPr>
          <w:t xml:space="preserve">25</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certainty of evidence was graded as high, moderate, low, or very low according to the approach proposed by the Grading of Recommendations, Assessment, Development and Evaluation Working Group.</w:t>
      </w:r>
      <w:hyperlink w:anchor="_heading=h.206ipza">
        <w:r w:rsidDel="00000000" w:rsidR="00000000" w:rsidRPr="00000000">
          <w:rPr>
            <w:color w:val="0000ff"/>
            <w:sz w:val="20"/>
            <w:szCs w:val="20"/>
            <w:vertAlign w:val="superscript"/>
            <w:rtl w:val="0"/>
          </w:rPr>
          <w:t xml:space="preserve">26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R language for Statistical Computing (version 4.0.3, Vienna, Austria) with </w:t>
      </w:r>
      <w:r w:rsidDel="00000000" w:rsidR="00000000" w:rsidRPr="00000000">
        <w:rPr>
          <w:i w:val="1"/>
          <w:sz w:val="20"/>
          <w:szCs w:val="20"/>
          <w:vertAlign w:val="baseline"/>
          <w:rtl w:val="0"/>
        </w:rPr>
        <w:t xml:space="preserve">metafor </w:t>
      </w:r>
      <w:r w:rsidDel="00000000" w:rsidR="00000000" w:rsidRPr="00000000">
        <w:rPr>
          <w:sz w:val="20"/>
          <w:szCs w:val="20"/>
          <w:vertAlign w:val="baseline"/>
          <w:rtl w:val="0"/>
        </w:rPr>
        <w:t xml:space="preserve">and </w:t>
      </w:r>
      <w:r w:rsidDel="00000000" w:rsidR="00000000" w:rsidRPr="00000000">
        <w:rPr>
          <w:i w:val="1"/>
          <w:sz w:val="20"/>
          <w:szCs w:val="20"/>
          <w:vertAlign w:val="baseline"/>
          <w:rtl w:val="0"/>
        </w:rPr>
        <w:t xml:space="preserve">dosresmeta </w:t>
      </w:r>
      <w:r w:rsidDel="00000000" w:rsidR="00000000" w:rsidRPr="00000000">
        <w:rPr>
          <w:sz w:val="20"/>
          <w:szCs w:val="20"/>
          <w:vertAlign w:val="baseline"/>
          <w:rtl w:val="0"/>
        </w:rPr>
        <w:t xml:space="preserve">R packages were used during statistical analyses.</w:t>
      </w:r>
      <w:hyperlink w:anchor="_heading=h.111kx3o">
        <w:r w:rsidDel="00000000" w:rsidR="00000000" w:rsidRPr="00000000">
          <w:rPr>
            <w:color w:val="0000ff"/>
            <w:sz w:val="20"/>
            <w:szCs w:val="20"/>
            <w:vertAlign w:val="superscript"/>
            <w:rtl w:val="0"/>
          </w:rPr>
          <w:t xml:space="preserve">24</w:t>
        </w:r>
      </w:hyperlink>
      <w:r w:rsidDel="00000000" w:rsidR="00000000" w:rsidRPr="00000000">
        <w:rPr>
          <w:sz w:val="20"/>
          <w:szCs w:val="20"/>
          <w:vertAlign w:val="superscript"/>
          <w:rtl w:val="0"/>
        </w:rPr>
        <w:t xml:space="preserve">,</w:t>
      </w:r>
      <w:hyperlink w:anchor="_heading=h.3l18frh">
        <w:r w:rsidDel="00000000" w:rsidR="00000000" w:rsidRPr="00000000">
          <w:rPr>
            <w:color w:val="0000ff"/>
            <w:sz w:val="20"/>
            <w:szCs w:val="20"/>
            <w:vertAlign w:val="superscript"/>
            <w:rtl w:val="0"/>
          </w:rPr>
          <w:t xml:space="preserve">25</w:t>
        </w:r>
      </w:hyperlink>
      <w:r w:rsidDel="00000000" w:rsidR="00000000" w:rsidRPr="00000000">
        <w:rPr>
          <w:sz w:val="20"/>
          <w:szCs w:val="20"/>
          <w:vertAlign w:val="superscript"/>
          <w:rtl w:val="0"/>
        </w:rPr>
        <w:t xml:space="preserve">,</w:t>
      </w:r>
      <w:hyperlink w:anchor="_heading=h.4k668n3">
        <w:r w:rsidDel="00000000" w:rsidR="00000000" w:rsidRPr="00000000">
          <w:rPr>
            <w:color w:val="0000ff"/>
            <w:sz w:val="20"/>
            <w:szCs w:val="20"/>
            <w:vertAlign w:val="superscript"/>
            <w:rtl w:val="0"/>
          </w:rPr>
          <w:t xml:space="preserve">27</w:t>
        </w:r>
      </w:hyperlink>
      <w:r w:rsidDel="00000000" w:rsidR="00000000" w:rsidRPr="00000000">
        <w:rPr>
          <w:rtl w:val="0"/>
        </w:rPr>
      </w:r>
    </w:p>
    <w:p w:rsidR="00000000" w:rsidDel="00000000" w:rsidP="00000000" w:rsidRDefault="00000000" w:rsidRPr="00000000" w14:paraId="00000057">
      <w:pPr>
        <w:spacing w:before="0" w:lineRule="auto"/>
        <w:ind w:left="192" w:right="0" w:firstLine="0"/>
        <w:jc w:val="left"/>
        <w:rPr>
          <w:sz w:val="20"/>
          <w:szCs w:val="20"/>
        </w:rPr>
      </w:pPr>
      <w:r w:rsidDel="00000000" w:rsidR="00000000" w:rsidRPr="00000000">
        <w:rPr>
          <w:rtl w:val="0"/>
        </w:rPr>
      </w:r>
    </w:p>
    <w:p w:rsidR="00000000" w:rsidDel="00000000" w:rsidP="00000000" w:rsidRDefault="00000000" w:rsidRPr="00000000" w14:paraId="00000058">
      <w:pPr>
        <w:spacing w:before="0" w:lineRule="auto"/>
        <w:ind w:left="192" w:right="0" w:firstLine="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Results</w:t>
      </w:r>
    </w:p>
    <w:p w:rsidR="00000000" w:rsidDel="00000000" w:rsidP="00000000" w:rsidRDefault="00000000" w:rsidRPr="00000000" w14:paraId="00000059">
      <w:pPr>
        <w:spacing w:before="119" w:line="249" w:lineRule="auto"/>
        <w:ind w:left="192" w:right="38" w:firstLine="264"/>
        <w:jc w:val="both"/>
        <w:rPr>
          <w:sz w:val="20"/>
          <w:szCs w:val="20"/>
        </w:rPr>
      </w:pPr>
      <w:r w:rsidDel="00000000" w:rsidR="00000000" w:rsidRPr="00000000">
        <w:rPr>
          <w:sz w:val="20"/>
          <w:szCs w:val="20"/>
          <w:rtl w:val="0"/>
        </w:rPr>
        <w:t xml:space="preserve">The systematic search revealed 41 eligible studies with 33443 participants.</w:t>
      </w:r>
      <w:hyperlink w:anchor="_heading=h.23ckvvd">
        <w:r w:rsidDel="00000000" w:rsidR="00000000" w:rsidRPr="00000000">
          <w:rPr>
            <w:color w:val="0000ff"/>
            <w:sz w:val="20"/>
            <w:szCs w:val="20"/>
            <w:vertAlign w:val="superscript"/>
            <w:rtl w:val="0"/>
          </w:rPr>
          <w:t xml:space="preserve">5</w:t>
        </w:r>
      </w:hyperlink>
      <w:r w:rsidDel="00000000" w:rsidR="00000000" w:rsidRPr="00000000">
        <w:rPr>
          <w:sz w:val="20"/>
          <w:szCs w:val="20"/>
          <w:vertAlign w:val="superscript"/>
          <w:rtl w:val="0"/>
        </w:rPr>
        <w:t xml:space="preserve">,</w:t>
      </w:r>
      <w:hyperlink w:anchor="_heading=h.2zbgiuw">
        <w:r w:rsidDel="00000000" w:rsidR="00000000" w:rsidRPr="00000000">
          <w:rPr>
            <w:color w:val="0000ff"/>
            <w:sz w:val="20"/>
            <w:szCs w:val="20"/>
            <w:vertAlign w:val="superscript"/>
            <w:rtl w:val="0"/>
          </w:rPr>
          <w:t xml:space="preserve">28</w:t>
        </w:r>
      </w:hyperlink>
      <w:r w:rsidDel="00000000" w:rsidR="00000000" w:rsidRPr="00000000">
        <w:rPr>
          <w:sz w:val="20"/>
          <w:szCs w:val="20"/>
          <w:vertAlign w:val="superscript"/>
          <w:rtl w:val="0"/>
        </w:rPr>
        <w:t xml:space="preserve">-</w:t>
      </w:r>
      <w:hyperlink w:anchor="_heading=h.1gf8i83">
        <w:r w:rsidDel="00000000" w:rsidR="00000000" w:rsidRPr="00000000">
          <w:rPr>
            <w:color w:val="0000ff"/>
            <w:sz w:val="20"/>
            <w:szCs w:val="20"/>
            <w:vertAlign w:val="superscript"/>
            <w:rtl w:val="0"/>
          </w:rPr>
          <w:t xml:space="preserve">68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ﬂow diagram is described in </w:t>
      </w:r>
      <w:hyperlink w:anchor="_heading=h.1t3h5sf">
        <w:r w:rsidDel="00000000" w:rsidR="00000000" w:rsidRPr="00000000">
          <w:rPr>
            <w:color w:val="0000ff"/>
            <w:sz w:val="20"/>
            <w:szCs w:val="20"/>
            <w:vertAlign w:val="baseline"/>
            <w:rtl w:val="0"/>
          </w:rPr>
          <w:t xml:space="preserve">Figure 1</w:t>
        </w:r>
      </w:hyperlink>
      <w:r w:rsidDel="00000000" w:rsidR="00000000" w:rsidRPr="00000000">
        <w:rPr>
          <w:sz w:val="20"/>
          <w:szCs w:val="20"/>
          <w:vertAlign w:val="baseline"/>
          <w:rtl w:val="0"/>
        </w:rPr>
        <w:t xml:space="preserve">. Additional data on search results was provided in </w:t>
      </w:r>
      <w:hyperlink r:id="rId16">
        <w:r w:rsidDel="00000000" w:rsidR="00000000" w:rsidRPr="00000000">
          <w:rPr>
            <w:color w:val="0000ff"/>
            <w:sz w:val="20"/>
            <w:szCs w:val="20"/>
            <w:vertAlign w:val="baseline"/>
            <w:rtl w:val="0"/>
          </w:rPr>
          <w:t xml:space="preserve">Supplementary</w:t>
        </w:r>
      </w:hyperlink>
      <w:r w:rsidDel="00000000" w:rsidR="00000000" w:rsidRPr="00000000">
        <w:rPr>
          <w:color w:val="0000ff"/>
          <w:sz w:val="20"/>
          <w:szCs w:val="20"/>
          <w:vertAlign w:val="baseline"/>
          <w:rtl w:val="0"/>
        </w:rPr>
        <w:t xml:space="preserve"> </w:t>
      </w:r>
      <w:hyperlink r:id="rId17">
        <w:r w:rsidDel="00000000" w:rsidR="00000000" w:rsidRPr="00000000">
          <w:rPr>
            <w:color w:val="0000ff"/>
            <w:sz w:val="20"/>
            <w:szCs w:val="20"/>
            <w:vertAlign w:val="baseline"/>
            <w:rtl w:val="0"/>
          </w:rPr>
          <w:t xml:space="preserve">Tables 1 and 2</w:t>
        </w:r>
      </w:hyperlink>
      <w:r w:rsidDel="00000000" w:rsidR="00000000" w:rsidRPr="00000000">
        <w:rPr>
          <w:sz w:val="20"/>
          <w:szCs w:val="20"/>
          <w:vertAlign w:val="baseline"/>
          <w:rtl w:val="0"/>
        </w:rPr>
        <w:t xml:space="preserve">. The identiﬁed studies differ greatly in terms of baseline characteristics (</w:t>
      </w:r>
      <w:hyperlink r:id="rId18">
        <w:r w:rsidDel="00000000" w:rsidR="00000000" w:rsidRPr="00000000">
          <w:rPr>
            <w:color w:val="0000ff"/>
            <w:sz w:val="20"/>
            <w:szCs w:val="20"/>
            <w:vertAlign w:val="baseline"/>
            <w:rtl w:val="0"/>
          </w:rPr>
          <w:t xml:space="preserve">Supplementary Table 3</w:t>
        </w:r>
      </w:hyperlink>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5A">
      <w:pPr>
        <w:spacing w:before="0" w:line="240" w:lineRule="auto"/>
        <w:ind w:left="102" w:right="42" w:firstLine="238.99999999999994"/>
        <w:jc w:val="both"/>
        <w:rPr>
          <w:sz w:val="20"/>
          <w:szCs w:val="20"/>
        </w:rPr>
        <w:sectPr>
          <w:type w:val="continuous"/>
          <w:pgSz w:h="16840" w:w="11920" w:orient="portrait"/>
          <w:pgMar w:bottom="280" w:top="1060" w:left="740" w:right="750" w:header="0" w:footer="0"/>
          <w:cols w:equalWidth="0" w:num="1">
            <w:col w:space="0" w:w="10415.5"/>
          </w:cols>
        </w:sectPr>
      </w:pPr>
      <w:r w:rsidDel="00000000" w:rsidR="00000000" w:rsidRPr="00000000">
        <w:rPr>
          <w:sz w:val="20"/>
          <w:szCs w:val="20"/>
          <w:rtl w:val="0"/>
        </w:rPr>
        <w:t xml:space="preserve">The full risk of bias assessment is presented in </w:t>
      </w:r>
      <w:hyperlink r:id="rId19">
        <w:r w:rsidDel="00000000" w:rsidR="00000000" w:rsidRPr="00000000">
          <w:rPr>
            <w:color w:val="0000ff"/>
            <w:sz w:val="20"/>
            <w:szCs w:val="20"/>
            <w:rtl w:val="0"/>
          </w:rPr>
          <w:t xml:space="preserve">Supplementary</w:t>
        </w:r>
      </w:hyperlink>
      <w:r w:rsidDel="00000000" w:rsidR="00000000" w:rsidRPr="00000000">
        <w:rPr>
          <w:color w:val="0000ff"/>
          <w:sz w:val="20"/>
          <w:szCs w:val="20"/>
          <w:rtl w:val="0"/>
        </w:rPr>
        <w:t xml:space="preserve"> </w:t>
      </w:r>
      <w:hyperlink r:id="rId20">
        <w:r w:rsidDel="00000000" w:rsidR="00000000" w:rsidRPr="00000000">
          <w:rPr>
            <w:color w:val="0000ff"/>
            <w:sz w:val="20"/>
            <w:szCs w:val="20"/>
            <w:rtl w:val="0"/>
          </w:rPr>
          <w:t xml:space="preserve">Table 4</w:t>
        </w:r>
      </w:hyperlink>
      <w:r w:rsidDel="00000000" w:rsidR="00000000" w:rsidRPr="00000000">
        <w:rPr>
          <w:sz w:val="20"/>
          <w:szCs w:val="20"/>
          <w:rtl w:val="0"/>
        </w:rPr>
        <w:t xml:space="preserve">. In short, within the study participation domain, some studies did not clearly specify sampling procedures (eg, consecutive or random); hence, they were labeled as of high risk.</w:t>
      </w:r>
      <w:hyperlink w:anchor="_heading=h.3ygebqi">
        <w:r w:rsidDel="00000000" w:rsidR="00000000" w:rsidRPr="00000000">
          <w:rPr>
            <w:color w:val="0000ff"/>
            <w:sz w:val="20"/>
            <w:szCs w:val="20"/>
            <w:vertAlign w:val="superscript"/>
            <w:rtl w:val="0"/>
          </w:rPr>
          <w:t xml:space="preserve">30</w:t>
        </w:r>
      </w:hyperlink>
      <w:r w:rsidDel="00000000" w:rsidR="00000000" w:rsidRPr="00000000">
        <w:rPr>
          <w:sz w:val="20"/>
          <w:szCs w:val="20"/>
          <w:vertAlign w:val="superscript"/>
          <w:rtl w:val="0"/>
        </w:rPr>
        <w:t xml:space="preserve">,</w:t>
      </w:r>
      <w:hyperlink w:anchor="_heading=h.2r0uhxc">
        <w:r w:rsidDel="00000000" w:rsidR="00000000" w:rsidRPr="00000000">
          <w:rPr>
            <w:color w:val="0000ff"/>
            <w:sz w:val="20"/>
            <w:szCs w:val="20"/>
            <w:vertAlign w:val="superscript"/>
            <w:rtl w:val="0"/>
          </w:rPr>
          <w:t xml:space="preserve">37</w:t>
        </w:r>
      </w:hyperlink>
      <w:r w:rsidDel="00000000" w:rsidR="00000000" w:rsidRPr="00000000">
        <w:rPr>
          <w:sz w:val="20"/>
          <w:szCs w:val="20"/>
          <w:vertAlign w:val="superscript"/>
          <w:rtl w:val="0"/>
        </w:rPr>
        <w:t xml:space="preserve">,</w:t>
      </w:r>
      <w:hyperlink w:anchor="_heading=h.kgcv8k">
        <w:r w:rsidDel="00000000" w:rsidR="00000000" w:rsidRPr="00000000">
          <w:rPr>
            <w:color w:val="0000ff"/>
            <w:sz w:val="20"/>
            <w:szCs w:val="20"/>
            <w:vertAlign w:val="superscript"/>
            <w:rtl w:val="0"/>
          </w:rPr>
          <w:t xml:space="preserve">42</w:t>
        </w:r>
      </w:hyperlink>
      <w:r w:rsidDel="00000000" w:rsidR="00000000" w:rsidRPr="00000000">
        <w:rPr>
          <w:sz w:val="20"/>
          <w:szCs w:val="20"/>
          <w:vertAlign w:val="superscript"/>
          <w:rtl w:val="0"/>
        </w:rPr>
        <w:t xml:space="preserve">,</w:t>
      </w:r>
      <w:hyperlink w:anchor="_heading=h.34g0dwd">
        <w:r w:rsidDel="00000000" w:rsidR="00000000" w:rsidRPr="00000000">
          <w:rPr>
            <w:color w:val="0000ff"/>
            <w:sz w:val="20"/>
            <w:szCs w:val="20"/>
            <w:vertAlign w:val="superscript"/>
            <w:rtl w:val="0"/>
          </w:rPr>
          <w:t xml:space="preserve">43</w:t>
        </w:r>
      </w:hyperlink>
      <w:r w:rsidDel="00000000" w:rsidR="00000000" w:rsidRPr="00000000">
        <w:rPr>
          <w:sz w:val="20"/>
          <w:szCs w:val="20"/>
          <w:vertAlign w:val="superscript"/>
          <w:rtl w:val="0"/>
        </w:rPr>
        <w:t xml:space="preserve">,</w:t>
      </w:r>
      <w:hyperlink w:anchor="_heading=h.xvir7l">
        <w:r w:rsidDel="00000000" w:rsidR="00000000" w:rsidRPr="00000000">
          <w:rPr>
            <w:color w:val="0000ff"/>
            <w:sz w:val="20"/>
            <w:szCs w:val="20"/>
            <w:vertAlign w:val="superscript"/>
            <w:rtl w:val="0"/>
          </w:rPr>
          <w:t xml:space="preserve">48</w:t>
        </w:r>
      </w:hyperlink>
      <w:r w:rsidDel="00000000" w:rsidR="00000000" w:rsidRPr="00000000">
        <w:rPr>
          <w:sz w:val="20"/>
          <w:szCs w:val="20"/>
          <w:vertAlign w:val="superscript"/>
          <w:rtl w:val="0"/>
        </w:rPr>
        <w:t xml:space="preserve">,</w:t>
      </w:r>
      <w:hyperlink w:anchor="_heading=h.1x0gk37">
        <w:r w:rsidDel="00000000" w:rsidR="00000000" w:rsidRPr="00000000">
          <w:rPr>
            <w:color w:val="0000ff"/>
            <w:sz w:val="20"/>
            <w:szCs w:val="20"/>
            <w:vertAlign w:val="superscript"/>
            <w:rtl w:val="0"/>
          </w:rPr>
          <w:t xml:space="preserve">50</w:t>
        </w:r>
      </w:hyperlink>
      <w:r w:rsidDel="00000000" w:rsidR="00000000" w:rsidRPr="00000000">
        <w:rPr>
          <w:sz w:val="20"/>
          <w:szCs w:val="20"/>
          <w:vertAlign w:val="superscript"/>
          <w:rtl w:val="0"/>
        </w:rPr>
        <w:t xml:space="preserve">,</w:t>
      </w:r>
      <w:hyperlink w:anchor="_heading=h.3mzq4wv">
        <w:r w:rsidDel="00000000" w:rsidR="00000000" w:rsidRPr="00000000">
          <w:rPr>
            <w:color w:val="0000ff"/>
            <w:sz w:val="20"/>
            <w:szCs w:val="20"/>
            <w:vertAlign w:val="superscript"/>
            <w:rtl w:val="0"/>
          </w:rPr>
          <w:t xml:space="preserve">64</w:t>
        </w:r>
      </w:hyperlink>
      <w:r w:rsidDel="00000000" w:rsidR="00000000" w:rsidRPr="00000000">
        <w:rPr>
          <w:sz w:val="20"/>
          <w:szCs w:val="20"/>
          <w:vertAlign w:val="superscript"/>
          <w:rtl w:val="0"/>
        </w:rPr>
        <w:t xml:space="preserve">,</w:t>
      </w:r>
      <w:hyperlink w:anchor="_heading=h.haapch">
        <w:r w:rsidDel="00000000" w:rsidR="00000000" w:rsidRPr="00000000">
          <w:rPr>
            <w:color w:val="0000ff"/>
            <w:sz w:val="20"/>
            <w:szCs w:val="20"/>
            <w:vertAlign w:val="superscript"/>
            <w:rtl w:val="0"/>
          </w:rPr>
          <w:t xml:space="preserve">66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Regarding study attrition, the majority of investigations did not report the percentage of population who dropped out during follow-up.</w:t>
      </w:r>
      <w:hyperlink w:anchor="_heading=h.1egqt2p">
        <w:r w:rsidDel="00000000" w:rsidR="00000000" w:rsidRPr="00000000">
          <w:rPr>
            <w:color w:val="0000ff"/>
            <w:sz w:val="20"/>
            <w:szCs w:val="20"/>
            <w:vertAlign w:val="superscript"/>
            <w:rtl w:val="0"/>
          </w:rPr>
          <w:t xml:space="preserve">29</w:t>
        </w:r>
      </w:hyperlink>
      <w:r w:rsidDel="00000000" w:rsidR="00000000" w:rsidRPr="00000000">
        <w:rPr>
          <w:sz w:val="20"/>
          <w:szCs w:val="20"/>
          <w:vertAlign w:val="superscript"/>
          <w:rtl w:val="0"/>
        </w:rPr>
        <w:t xml:space="preserve">,</w:t>
      </w:r>
      <w:hyperlink w:anchor="_heading=h.sqyw64">
        <w:r w:rsidDel="00000000" w:rsidR="00000000" w:rsidRPr="00000000">
          <w:rPr>
            <w:color w:val="0000ff"/>
            <w:sz w:val="20"/>
            <w:szCs w:val="20"/>
            <w:vertAlign w:val="superscript"/>
            <w:rtl w:val="0"/>
          </w:rPr>
          <w:t xml:space="preserve">32</w:t>
        </w:r>
      </w:hyperlink>
      <w:r w:rsidDel="00000000" w:rsidR="00000000" w:rsidRPr="00000000">
        <w:rPr>
          <w:sz w:val="20"/>
          <w:szCs w:val="20"/>
          <w:vertAlign w:val="superscript"/>
          <w:rtl w:val="0"/>
        </w:rPr>
        <w:t xml:space="preserve">,</w:t>
      </w:r>
      <w:hyperlink w:anchor="_heading=h.1rvwp1q">
        <w:r w:rsidDel="00000000" w:rsidR="00000000" w:rsidRPr="00000000">
          <w:rPr>
            <w:color w:val="0000ff"/>
            <w:sz w:val="20"/>
            <w:szCs w:val="20"/>
            <w:vertAlign w:val="superscript"/>
            <w:rtl w:val="0"/>
          </w:rPr>
          <w:t xml:space="preserve">34</w:t>
        </w:r>
      </w:hyperlink>
      <w:r w:rsidDel="00000000" w:rsidR="00000000" w:rsidRPr="00000000">
        <w:rPr>
          <w:sz w:val="20"/>
          <w:szCs w:val="20"/>
          <w:vertAlign w:val="superscript"/>
          <w:rtl w:val="0"/>
        </w:rPr>
        <w:t xml:space="preserve">-</w:t>
      </w:r>
      <w:hyperlink w:anchor="_heading=h.25b2l0r">
        <w:r w:rsidDel="00000000" w:rsidR="00000000" w:rsidRPr="00000000">
          <w:rPr>
            <w:color w:val="0000ff"/>
            <w:sz w:val="20"/>
            <w:szCs w:val="20"/>
            <w:vertAlign w:val="superscript"/>
            <w:rtl w:val="0"/>
          </w:rPr>
          <w:t xml:space="preserve">41</w:t>
        </w:r>
      </w:hyperlink>
      <w:r w:rsidDel="00000000" w:rsidR="00000000" w:rsidRPr="00000000">
        <w:rPr>
          <w:sz w:val="20"/>
          <w:szCs w:val="20"/>
          <w:vertAlign w:val="superscript"/>
          <w:rtl w:val="0"/>
        </w:rPr>
        <w:t xml:space="preserve">,</w:t>
      </w:r>
      <w:hyperlink w:anchor="_heading=h.34g0dwd">
        <w:r w:rsidDel="00000000" w:rsidR="00000000" w:rsidRPr="00000000">
          <w:rPr>
            <w:color w:val="0000ff"/>
            <w:sz w:val="20"/>
            <w:szCs w:val="20"/>
            <w:vertAlign w:val="superscript"/>
            <w:rtl w:val="0"/>
          </w:rPr>
          <w:t xml:space="preserve">43</w:t>
        </w:r>
      </w:hyperlink>
      <w:r w:rsidDel="00000000" w:rsidR="00000000" w:rsidRPr="00000000">
        <w:rPr>
          <w:sz w:val="20"/>
          <w:szCs w:val="20"/>
          <w:vertAlign w:val="superscript"/>
          <w:rtl w:val="0"/>
        </w:rPr>
        <w:t xml:space="preserve">,</w:t>
      </w:r>
      <w:hyperlink w:anchor="_heading=h.2iq8gzs">
        <w:r w:rsidDel="00000000" w:rsidR="00000000" w:rsidRPr="00000000">
          <w:rPr>
            <w:color w:val="0000ff"/>
            <w:sz w:val="20"/>
            <w:szCs w:val="20"/>
            <w:vertAlign w:val="superscript"/>
            <w:rtl w:val="0"/>
          </w:rPr>
          <w:t xml:space="preserve">46</w:t>
        </w:r>
      </w:hyperlink>
      <w:r w:rsidDel="00000000" w:rsidR="00000000" w:rsidRPr="00000000">
        <w:rPr>
          <w:sz w:val="20"/>
          <w:szCs w:val="20"/>
          <w:vertAlign w:val="superscript"/>
          <w:rtl w:val="0"/>
        </w:rPr>
        <w:t xml:space="preserve">,</w:t>
      </w:r>
      <w:hyperlink w:anchor="_heading=h.2w5ecyt">
        <w:r w:rsidDel="00000000" w:rsidR="00000000" w:rsidRPr="00000000">
          <w:rPr>
            <w:color w:val="0000ff"/>
            <w:sz w:val="20"/>
            <w:szCs w:val="20"/>
            <w:vertAlign w:val="superscript"/>
            <w:rtl w:val="0"/>
          </w:rPr>
          <w:t xml:space="preserve">52</w:t>
        </w:r>
      </w:hyperlink>
      <w:r w:rsidDel="00000000" w:rsidR="00000000" w:rsidRPr="00000000">
        <w:rPr>
          <w:sz w:val="20"/>
          <w:szCs w:val="20"/>
          <w:vertAlign w:val="superscript"/>
          <w:rtl w:val="0"/>
        </w:rPr>
        <w:t xml:space="preserve">,</w:t>
      </w:r>
      <w:hyperlink w:anchor="_heading=h.1baon6m">
        <w:r w:rsidDel="00000000" w:rsidR="00000000" w:rsidRPr="00000000">
          <w:rPr>
            <w:color w:val="0000ff"/>
            <w:sz w:val="20"/>
            <w:szCs w:val="20"/>
            <w:vertAlign w:val="superscript"/>
            <w:rtl w:val="0"/>
          </w:rPr>
          <w:t xml:space="preserve">54</w:t>
        </w:r>
      </w:hyperlink>
      <w:r w:rsidDel="00000000" w:rsidR="00000000" w:rsidRPr="00000000">
        <w:rPr>
          <w:sz w:val="20"/>
          <w:szCs w:val="20"/>
          <w:vertAlign w:val="superscript"/>
          <w:rtl w:val="0"/>
        </w:rPr>
        <w:t xml:space="preserve">,</w:t>
      </w:r>
      <w:hyperlink w:anchor="_heading=h.48pi1tg">
        <w:r w:rsidDel="00000000" w:rsidR="00000000" w:rsidRPr="00000000">
          <w:rPr>
            <w:color w:val="0000ff"/>
            <w:sz w:val="20"/>
            <w:szCs w:val="20"/>
            <w:vertAlign w:val="superscript"/>
            <w:rtl w:val="0"/>
          </w:rPr>
          <w:t xml:space="preserve">61</w:t>
        </w:r>
      </w:hyperlink>
      <w:r w:rsidDel="00000000" w:rsidR="00000000" w:rsidRPr="00000000">
        <w:rPr>
          <w:sz w:val="20"/>
          <w:szCs w:val="20"/>
          <w:vertAlign w:val="superscript"/>
          <w:rtl w:val="0"/>
        </w:rPr>
        <w:t xml:space="preserve">,</w:t>
      </w:r>
      <w:hyperlink w:anchor="_heading=h.2nusc19">
        <w:r w:rsidDel="00000000" w:rsidR="00000000" w:rsidRPr="00000000">
          <w:rPr>
            <w:color w:val="0000ff"/>
            <w:sz w:val="20"/>
            <w:szCs w:val="20"/>
            <w:vertAlign w:val="superscript"/>
            <w:rtl w:val="0"/>
          </w:rPr>
          <w:t xml:space="preserve">62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Other studies did not attempt to compare lost to follow up patients with those who completed the study.</w:t>
      </w:r>
      <w:hyperlink w:anchor="_heading=h.3cqmetx">
        <w:r w:rsidDel="00000000" w:rsidR="00000000" w:rsidRPr="00000000">
          <w:rPr>
            <w:color w:val="0000ff"/>
            <w:sz w:val="20"/>
            <w:szCs w:val="20"/>
            <w:vertAlign w:val="superscript"/>
            <w:rtl w:val="0"/>
          </w:rPr>
          <w:t xml:space="preserve">33</w:t>
        </w:r>
      </w:hyperlink>
      <w:r w:rsidDel="00000000" w:rsidR="00000000" w:rsidRPr="00000000">
        <w:rPr>
          <w:sz w:val="20"/>
          <w:szCs w:val="20"/>
          <w:vertAlign w:val="superscript"/>
          <w:rtl w:val="0"/>
        </w:rPr>
        <w:t xml:space="preserve">,</w:t>
      </w:r>
      <w:hyperlink w:anchor="_heading=h.43ky6rz">
        <w:r w:rsidDel="00000000" w:rsidR="00000000" w:rsidRPr="00000000">
          <w:rPr>
            <w:color w:val="0000ff"/>
            <w:sz w:val="20"/>
            <w:szCs w:val="20"/>
            <w:vertAlign w:val="superscript"/>
            <w:rtl w:val="0"/>
          </w:rPr>
          <w:t xml:space="preserve">45</w:t>
        </w:r>
      </w:hyperlink>
      <w:r w:rsidDel="00000000" w:rsidR="00000000" w:rsidRPr="00000000">
        <w:rPr>
          <w:sz w:val="20"/>
          <w:szCs w:val="20"/>
          <w:vertAlign w:val="superscript"/>
          <w:rtl w:val="0"/>
        </w:rPr>
        <w:t xml:space="preserve">,</w:t>
      </w:r>
      <w:hyperlink w:anchor="_heading=h.3vac5uf">
        <w:r w:rsidDel="00000000" w:rsidR="00000000" w:rsidRPr="00000000">
          <w:rPr>
            <w:color w:val="0000ff"/>
            <w:sz w:val="20"/>
            <w:szCs w:val="20"/>
            <w:vertAlign w:val="superscript"/>
            <w:rtl w:val="0"/>
          </w:rPr>
          <w:t xml:space="preserve">55</w:t>
        </w:r>
      </w:hyperlink>
      <w:r w:rsidDel="00000000" w:rsidR="00000000" w:rsidRPr="00000000">
        <w:rPr>
          <w:sz w:val="20"/>
          <w:szCs w:val="20"/>
          <w:vertAlign w:val="superscript"/>
          <w:rtl w:val="0"/>
        </w:rPr>
        <w:t xml:space="preserve">,</w:t>
      </w:r>
      <w:hyperlink w:anchor="_heading=h.pkwqa1">
        <w:r w:rsidDel="00000000" w:rsidR="00000000" w:rsidRPr="00000000">
          <w:rPr>
            <w:color w:val="0000ff"/>
            <w:sz w:val="20"/>
            <w:szCs w:val="20"/>
            <w:vertAlign w:val="superscript"/>
            <w:rtl w:val="0"/>
          </w:rPr>
          <w:t xml:space="preserve">57</w:t>
        </w:r>
      </w:hyperlink>
      <w:r w:rsidDel="00000000" w:rsidR="00000000" w:rsidRPr="00000000">
        <w:rPr>
          <w:sz w:val="20"/>
          <w:szCs w:val="20"/>
          <w:vertAlign w:val="superscript"/>
          <w:rtl w:val="0"/>
        </w:rPr>
        <w:t xml:space="preserve">,</w:t>
      </w:r>
      <w:hyperlink w:anchor="_heading=h.39kk8xu">
        <w:r w:rsidDel="00000000" w:rsidR="00000000" w:rsidRPr="00000000">
          <w:rPr>
            <w:color w:val="0000ff"/>
            <w:sz w:val="20"/>
            <w:szCs w:val="20"/>
            <w:vertAlign w:val="superscript"/>
            <w:rtl w:val="0"/>
          </w:rPr>
          <w:t xml:space="preserve">58</w:t>
        </w:r>
      </w:hyperlink>
      <w:r w:rsidDel="00000000" w:rsidR="00000000" w:rsidRPr="00000000">
        <w:rPr>
          <w:sz w:val="20"/>
          <w:szCs w:val="20"/>
          <w:vertAlign w:val="superscript"/>
          <w:rtl w:val="0"/>
        </w:rPr>
        <w:t xml:space="preserve">,</w:t>
      </w:r>
      <w:hyperlink w:anchor="_heading=h.48pi1tg">
        <w:r w:rsidDel="00000000" w:rsidR="00000000" w:rsidRPr="00000000">
          <w:rPr>
            <w:color w:val="0000ff"/>
            <w:sz w:val="20"/>
            <w:szCs w:val="20"/>
            <w:vertAlign w:val="superscript"/>
            <w:rtl w:val="0"/>
          </w:rPr>
          <w:t xml:space="preserve">61</w:t>
        </w:r>
      </w:hyperlink>
      <w:r w:rsidDel="00000000" w:rsidR="00000000" w:rsidRPr="00000000">
        <w:rPr>
          <w:sz w:val="20"/>
          <w:szCs w:val="20"/>
          <w:vertAlign w:val="superscript"/>
          <w:rtl w:val="0"/>
        </w:rPr>
        <w:t xml:space="preserve">,</w:t>
      </w:r>
      <w:hyperlink w:anchor="_heading=h.3mzq4wv">
        <w:r w:rsidDel="00000000" w:rsidR="00000000" w:rsidRPr="00000000">
          <w:rPr>
            <w:color w:val="0000ff"/>
            <w:sz w:val="20"/>
            <w:szCs w:val="20"/>
            <w:vertAlign w:val="superscript"/>
            <w:rtl w:val="0"/>
          </w:rPr>
          <w:t xml:space="preserve">64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Therefore, these publications were classiﬁed as having high or moderate risk of bias. The risk of bias due to prognostic factor measurement was regarded as high in studies that did not describe vendors of hematological analyzers.</w:t>
      </w:r>
      <w:hyperlink w:anchor="_heading=h.kgcv8k">
        <w:r w:rsidDel="00000000" w:rsidR="00000000" w:rsidRPr="00000000">
          <w:rPr>
            <w:color w:val="0000ff"/>
            <w:sz w:val="20"/>
            <w:szCs w:val="20"/>
            <w:vertAlign w:val="superscript"/>
            <w:rtl w:val="0"/>
          </w:rPr>
          <w:t xml:space="preserve">42</w:t>
        </w:r>
      </w:hyperlink>
      <w:r w:rsidDel="00000000" w:rsidR="00000000" w:rsidRPr="00000000">
        <w:rPr>
          <w:sz w:val="20"/>
          <w:szCs w:val="20"/>
          <w:vertAlign w:val="superscript"/>
          <w:rtl w:val="0"/>
        </w:rPr>
        <w:t xml:space="preserve">,</w:t>
      </w:r>
      <w:hyperlink w:anchor="_heading=h.2iq8gzs">
        <w:r w:rsidDel="00000000" w:rsidR="00000000" w:rsidRPr="00000000">
          <w:rPr>
            <w:color w:val="0000ff"/>
            <w:sz w:val="20"/>
            <w:szCs w:val="20"/>
            <w:vertAlign w:val="superscript"/>
            <w:rtl w:val="0"/>
          </w:rPr>
          <w:t xml:space="preserve">46</w:t>
        </w:r>
      </w:hyperlink>
      <w:r w:rsidDel="00000000" w:rsidR="00000000" w:rsidRPr="00000000">
        <w:rPr>
          <w:sz w:val="20"/>
          <w:szCs w:val="20"/>
          <w:vertAlign w:val="superscript"/>
          <w:rtl w:val="0"/>
        </w:rPr>
        <w:t xml:space="preserve">,</w:t>
      </w:r>
      <w:hyperlink w:anchor="_heading=h.haapch">
        <w:r w:rsidDel="00000000" w:rsidR="00000000" w:rsidRPr="00000000">
          <w:rPr>
            <w:color w:val="0000ff"/>
            <w:sz w:val="20"/>
            <w:szCs w:val="20"/>
            <w:vertAlign w:val="superscript"/>
            <w:rtl w:val="0"/>
          </w:rPr>
          <w:t xml:space="preserve">66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As preanalytical factors can impact on MPV values, we collected data on used anticoagulants, time between venepuncture and MPV measurement, and resolution of analyzers.</w:t>
      </w:r>
      <w:hyperlink w:anchor="_heading=h.40ew0vw">
        <w:r w:rsidDel="00000000" w:rsidR="00000000" w:rsidRPr="00000000">
          <w:rPr>
            <w:color w:val="0000ff"/>
            <w:sz w:val="20"/>
            <w:szCs w:val="20"/>
            <w:vertAlign w:val="superscript"/>
            <w:rtl w:val="0"/>
          </w:rPr>
          <w:t xml:space="preserve">69</w:t>
        </w:r>
      </w:hyperlink>
      <w:r w:rsidDel="00000000" w:rsidR="00000000" w:rsidRPr="00000000">
        <w:rPr>
          <w:sz w:val="20"/>
          <w:szCs w:val="20"/>
          <w:vertAlign w:val="superscript"/>
          <w:rtl w:val="0"/>
        </w:rPr>
        <w:t xml:space="preserve">,</w:t>
      </w:r>
      <w:hyperlink w:anchor="_heading=h.2fk6b3p">
        <w:r w:rsidDel="00000000" w:rsidR="00000000" w:rsidRPr="00000000">
          <w:rPr>
            <w:color w:val="0000ff"/>
            <w:sz w:val="20"/>
            <w:szCs w:val="20"/>
            <w:vertAlign w:val="superscript"/>
            <w:rtl w:val="0"/>
          </w:rPr>
          <w:t xml:space="preserve">70</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None of the included studies speciﬁed the resolution of the analyzers. Some studies adequately reported the process of complete blood count measurement and had 100% data on MPV values; therefore, we identiﬁed them as with low risk of bias.</w:t>
      </w:r>
      <w:hyperlink w:anchor="_heading=h.3cqmetx">
        <w:r w:rsidDel="00000000" w:rsidR="00000000" w:rsidRPr="00000000">
          <w:rPr>
            <w:color w:val="0000ff"/>
            <w:sz w:val="20"/>
            <w:szCs w:val="20"/>
            <w:vertAlign w:val="superscript"/>
            <w:rtl w:val="0"/>
          </w:rPr>
          <w:t xml:space="preserve">33</w:t>
        </w:r>
      </w:hyperlink>
      <w:r w:rsidDel="00000000" w:rsidR="00000000" w:rsidRPr="00000000">
        <w:rPr>
          <w:sz w:val="20"/>
          <w:szCs w:val="20"/>
          <w:vertAlign w:val="superscript"/>
          <w:rtl w:val="0"/>
        </w:rPr>
        <w:t xml:space="preserve">,</w:t>
      </w:r>
      <w:hyperlink w:anchor="_heading=h.3q5sasy">
        <w:r w:rsidDel="00000000" w:rsidR="00000000" w:rsidRPr="00000000">
          <w:rPr>
            <w:color w:val="0000ff"/>
            <w:sz w:val="20"/>
            <w:szCs w:val="20"/>
            <w:vertAlign w:val="superscript"/>
            <w:rtl w:val="0"/>
          </w:rPr>
          <w:t xml:space="preserve">40</w:t>
        </w:r>
      </w:hyperlink>
      <w:r w:rsidDel="00000000" w:rsidR="00000000" w:rsidRPr="00000000">
        <w:rPr>
          <w:sz w:val="20"/>
          <w:szCs w:val="20"/>
          <w:vertAlign w:val="superscript"/>
          <w:rtl w:val="0"/>
        </w:rPr>
        <w:t xml:space="preserve">,</w:t>
      </w:r>
      <w:hyperlink w:anchor="_heading=h.25b2l0r">
        <w:r w:rsidDel="00000000" w:rsidR="00000000" w:rsidRPr="00000000">
          <w:rPr>
            <w:color w:val="0000ff"/>
            <w:sz w:val="20"/>
            <w:szCs w:val="20"/>
            <w:vertAlign w:val="superscript"/>
            <w:rtl w:val="0"/>
          </w:rPr>
          <w:t xml:space="preserve">41</w:t>
        </w:r>
      </w:hyperlink>
      <w:r w:rsidDel="00000000" w:rsidR="00000000" w:rsidRPr="00000000">
        <w:rPr>
          <w:sz w:val="20"/>
          <w:szCs w:val="20"/>
          <w:vertAlign w:val="superscript"/>
          <w:rtl w:val="0"/>
        </w:rPr>
        <w:t xml:space="preserve">,</w:t>
      </w:r>
      <w:hyperlink w:anchor="_heading=h.xvir7l">
        <w:r w:rsidDel="00000000" w:rsidR="00000000" w:rsidRPr="00000000">
          <w:rPr>
            <w:color w:val="0000ff"/>
            <w:sz w:val="20"/>
            <w:szCs w:val="20"/>
            <w:vertAlign w:val="superscript"/>
            <w:rtl w:val="0"/>
          </w:rPr>
          <w:t xml:space="preserve">48</w:t>
        </w:r>
      </w:hyperlink>
      <w:r w:rsidDel="00000000" w:rsidR="00000000" w:rsidRPr="00000000">
        <w:rPr>
          <w:sz w:val="20"/>
          <w:szCs w:val="20"/>
          <w:vertAlign w:val="superscript"/>
          <w:rtl w:val="0"/>
        </w:rPr>
        <w:t xml:space="preserve">,</w:t>
      </w:r>
      <w:hyperlink w:anchor="_heading=h.4h042r0">
        <w:r w:rsidDel="00000000" w:rsidR="00000000" w:rsidRPr="00000000">
          <w:rPr>
            <w:color w:val="0000ff"/>
            <w:sz w:val="20"/>
            <w:szCs w:val="20"/>
            <w:vertAlign w:val="superscript"/>
            <w:rtl w:val="0"/>
          </w:rPr>
          <w:t xml:space="preserve">51</w:t>
        </w:r>
      </w:hyperlink>
      <w:r w:rsidDel="00000000" w:rsidR="00000000" w:rsidRPr="00000000">
        <w:rPr>
          <w:sz w:val="20"/>
          <w:szCs w:val="20"/>
          <w:vertAlign w:val="superscript"/>
          <w:rtl w:val="0"/>
        </w:rPr>
        <w:t xml:space="preserve">,</w:t>
      </w:r>
      <w:hyperlink w:anchor="_heading=h.2w5ecyt">
        <w:r w:rsidDel="00000000" w:rsidR="00000000" w:rsidRPr="00000000">
          <w:rPr>
            <w:color w:val="0000ff"/>
            <w:sz w:val="20"/>
            <w:szCs w:val="20"/>
            <w:vertAlign w:val="superscript"/>
            <w:rtl w:val="0"/>
          </w:rPr>
          <w:t xml:space="preserve">52</w:t>
        </w:r>
      </w:hyperlink>
      <w:r w:rsidDel="00000000" w:rsidR="00000000" w:rsidRPr="00000000">
        <w:rPr>
          <w:sz w:val="20"/>
          <w:szCs w:val="20"/>
          <w:vertAlign w:val="superscript"/>
          <w:rtl w:val="0"/>
        </w:rPr>
        <w:t xml:space="preserve">,</w:t>
      </w:r>
      <w:hyperlink w:anchor="_heading=h.pkwqa1">
        <w:r w:rsidDel="00000000" w:rsidR="00000000" w:rsidRPr="00000000">
          <w:rPr>
            <w:color w:val="0000ff"/>
            <w:sz w:val="20"/>
            <w:szCs w:val="20"/>
            <w:vertAlign w:val="superscript"/>
            <w:rtl w:val="0"/>
          </w:rPr>
          <w:t xml:space="preserve">57</w:t>
        </w:r>
      </w:hyperlink>
      <w:r w:rsidDel="00000000" w:rsidR="00000000" w:rsidRPr="00000000">
        <w:rPr>
          <w:sz w:val="20"/>
          <w:szCs w:val="20"/>
          <w:vertAlign w:val="superscript"/>
          <w:rtl w:val="0"/>
        </w:rPr>
        <w:t xml:space="preserve">,</w:t>
      </w:r>
      <w:hyperlink w:anchor="_heading=h.39kk8xu">
        <w:r w:rsidDel="00000000" w:rsidR="00000000" w:rsidRPr="00000000">
          <w:rPr>
            <w:color w:val="0000ff"/>
            <w:sz w:val="20"/>
            <w:szCs w:val="20"/>
            <w:vertAlign w:val="superscript"/>
            <w:rtl w:val="0"/>
          </w:rPr>
          <w:t xml:space="preserve">58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Of note, for the majority of studies, cutpoint choice was data-driven. Concerning outcome measurement, only Niu et al.</w:t>
      </w:r>
      <w:hyperlink w:anchor="_heading=h.pkwqa1">
        <w:r w:rsidDel="00000000" w:rsidR="00000000" w:rsidRPr="00000000">
          <w:rPr>
            <w:color w:val="0000ff"/>
            <w:sz w:val="20"/>
            <w:szCs w:val="20"/>
            <w:vertAlign w:val="superscript"/>
            <w:rtl w:val="0"/>
          </w:rPr>
          <w:t xml:space="preserve">57</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claimed blinded assessment of clinical endpoints. Study confounding was also ﬂawed in many inves</w:t>
      </w:r>
      <w:r w:rsidDel="00000000" w:rsidR="00000000" w:rsidRPr="00000000">
        <w:rPr>
          <w:sz w:val="20"/>
          <w:szCs w:val="20"/>
          <w:rtl w:val="0"/>
        </w:rPr>
        <w:t xml:space="preserve">tigations since there was no adjustment for traditional risk </w:t>
      </w:r>
      <w:r w:rsidDel="00000000" w:rsidR="00000000" w:rsidRPr="00000000">
        <w:rPr>
          <w:sz w:val="20"/>
          <w:szCs w:val="20"/>
          <w:rtl w:val="0"/>
        </w:rPr>
        <w:t xml:space="preserve">factors.</w:t>
      </w:r>
      <w:hyperlink w:anchor="_heading=h.4bvk7pj">
        <w:r w:rsidDel="00000000" w:rsidR="00000000" w:rsidRPr="00000000">
          <w:rPr>
            <w:color w:val="0000ff"/>
            <w:sz w:val="20"/>
            <w:szCs w:val="20"/>
            <w:vertAlign w:val="superscript"/>
            <w:rtl w:val="0"/>
          </w:rPr>
          <w:t xml:space="preserve">35</w:t>
        </w:r>
      </w:hyperlink>
      <w:r w:rsidDel="00000000" w:rsidR="00000000" w:rsidRPr="00000000">
        <w:rPr>
          <w:sz w:val="20"/>
          <w:szCs w:val="20"/>
          <w:vertAlign w:val="superscript"/>
          <w:rtl w:val="0"/>
        </w:rPr>
        <w:t xml:space="preserve">,</w:t>
      </w:r>
      <w:hyperlink w:anchor="_heading=h.2r0uhxc">
        <w:r w:rsidDel="00000000" w:rsidR="00000000" w:rsidRPr="00000000">
          <w:rPr>
            <w:color w:val="0000ff"/>
            <w:sz w:val="20"/>
            <w:szCs w:val="20"/>
            <w:vertAlign w:val="superscript"/>
            <w:rtl w:val="0"/>
          </w:rPr>
          <w:t xml:space="preserve">37</w:t>
        </w:r>
      </w:hyperlink>
      <w:r w:rsidDel="00000000" w:rsidR="00000000" w:rsidRPr="00000000">
        <w:rPr>
          <w:sz w:val="20"/>
          <w:szCs w:val="20"/>
          <w:vertAlign w:val="superscript"/>
          <w:rtl w:val="0"/>
        </w:rPr>
        <w:t xml:space="preserve">-</w:t>
      </w:r>
      <w:hyperlink w:anchor="_heading=h.3q5sasy">
        <w:r w:rsidDel="00000000" w:rsidR="00000000" w:rsidRPr="00000000">
          <w:rPr>
            <w:color w:val="0000ff"/>
            <w:sz w:val="20"/>
            <w:szCs w:val="20"/>
            <w:vertAlign w:val="superscript"/>
            <w:rtl w:val="0"/>
          </w:rPr>
          <w:t xml:space="preserve">40</w:t>
        </w:r>
      </w:hyperlink>
      <w:r w:rsidDel="00000000" w:rsidR="00000000" w:rsidRPr="00000000">
        <w:rPr>
          <w:sz w:val="20"/>
          <w:szCs w:val="20"/>
          <w:vertAlign w:val="superscript"/>
          <w:rtl w:val="0"/>
        </w:rPr>
        <w:t xml:space="preserve">,</w:t>
      </w:r>
      <w:hyperlink w:anchor="_heading=h.kgcv8k">
        <w:r w:rsidDel="00000000" w:rsidR="00000000" w:rsidRPr="00000000">
          <w:rPr>
            <w:color w:val="0000ff"/>
            <w:sz w:val="20"/>
            <w:szCs w:val="20"/>
            <w:vertAlign w:val="superscript"/>
            <w:rtl w:val="0"/>
          </w:rPr>
          <w:t xml:space="preserve">42</w:t>
        </w:r>
      </w:hyperlink>
      <w:r w:rsidDel="00000000" w:rsidR="00000000" w:rsidRPr="00000000">
        <w:rPr>
          <w:sz w:val="20"/>
          <w:szCs w:val="20"/>
          <w:vertAlign w:val="superscript"/>
          <w:rtl w:val="0"/>
        </w:rPr>
        <w:t xml:space="preserve">,</w:t>
      </w:r>
      <w:hyperlink w:anchor="_heading=h.1jlao46">
        <w:r w:rsidDel="00000000" w:rsidR="00000000" w:rsidRPr="00000000">
          <w:rPr>
            <w:color w:val="0000ff"/>
            <w:sz w:val="20"/>
            <w:szCs w:val="20"/>
            <w:vertAlign w:val="superscript"/>
            <w:rtl w:val="0"/>
          </w:rPr>
          <w:t xml:space="preserve">44</w:t>
        </w:r>
      </w:hyperlink>
      <w:r w:rsidDel="00000000" w:rsidR="00000000" w:rsidRPr="00000000">
        <w:rPr>
          <w:sz w:val="20"/>
          <w:szCs w:val="20"/>
          <w:vertAlign w:val="superscript"/>
          <w:rtl w:val="0"/>
        </w:rPr>
        <w:t xml:space="preserve">,</w:t>
      </w:r>
      <w:hyperlink w:anchor="_heading=h.2iq8gzs">
        <w:r w:rsidDel="00000000" w:rsidR="00000000" w:rsidRPr="00000000">
          <w:rPr>
            <w:color w:val="0000ff"/>
            <w:sz w:val="20"/>
            <w:szCs w:val="20"/>
            <w:vertAlign w:val="superscript"/>
            <w:rtl w:val="0"/>
          </w:rPr>
          <w:t xml:space="preserve">46</w:t>
        </w:r>
      </w:hyperlink>
      <w:r w:rsidDel="00000000" w:rsidR="00000000" w:rsidRPr="00000000">
        <w:rPr>
          <w:sz w:val="20"/>
          <w:szCs w:val="20"/>
          <w:vertAlign w:val="superscript"/>
          <w:rtl w:val="0"/>
        </w:rPr>
        <w:t xml:space="preserve">,</w:t>
      </w:r>
      <w:hyperlink w:anchor="_heading=h.1baon6m">
        <w:r w:rsidDel="00000000" w:rsidR="00000000" w:rsidRPr="00000000">
          <w:rPr>
            <w:color w:val="0000ff"/>
            <w:sz w:val="20"/>
            <w:szCs w:val="20"/>
            <w:vertAlign w:val="superscript"/>
            <w:rtl w:val="0"/>
          </w:rPr>
          <w:t xml:space="preserve">54</w:t>
        </w:r>
      </w:hyperlink>
      <w:r w:rsidDel="00000000" w:rsidR="00000000" w:rsidRPr="00000000">
        <w:rPr>
          <w:sz w:val="20"/>
          <w:szCs w:val="20"/>
          <w:vertAlign w:val="superscript"/>
          <w:rtl w:val="0"/>
        </w:rPr>
        <w:t xml:space="preserve">-</w:t>
      </w:r>
      <w:hyperlink w:anchor="_heading=h.2afmg28">
        <w:r w:rsidDel="00000000" w:rsidR="00000000" w:rsidRPr="00000000">
          <w:rPr>
            <w:color w:val="0000ff"/>
            <w:sz w:val="20"/>
            <w:szCs w:val="20"/>
            <w:vertAlign w:val="superscript"/>
            <w:rtl w:val="0"/>
          </w:rPr>
          <w:t xml:space="preserve">56</w:t>
        </w:r>
      </w:hyperlink>
      <w:r w:rsidDel="00000000" w:rsidR="00000000" w:rsidRPr="00000000">
        <w:rPr>
          <w:sz w:val="20"/>
          <w:szCs w:val="20"/>
          <w:vertAlign w:val="superscript"/>
          <w:rtl w:val="0"/>
        </w:rPr>
        <w:t xml:space="preserve">,</w:t>
      </w:r>
      <w:hyperlink w:anchor="_heading=h.48pi1tg">
        <w:r w:rsidDel="00000000" w:rsidR="00000000" w:rsidRPr="00000000">
          <w:rPr>
            <w:color w:val="0000ff"/>
            <w:sz w:val="20"/>
            <w:szCs w:val="20"/>
            <w:vertAlign w:val="superscript"/>
            <w:rtl w:val="0"/>
          </w:rPr>
          <w:t xml:space="preserve">61</w:t>
        </w:r>
      </w:hyperlink>
      <w:r w:rsidDel="00000000" w:rsidR="00000000" w:rsidRPr="00000000">
        <w:rPr>
          <w:sz w:val="20"/>
          <w:szCs w:val="20"/>
          <w:vertAlign w:val="superscript"/>
          <w:rtl w:val="0"/>
        </w:rPr>
        <w:t xml:space="preserve">,</w:t>
      </w:r>
      <w:hyperlink w:anchor="_heading=h.2nusc19">
        <w:r w:rsidDel="00000000" w:rsidR="00000000" w:rsidRPr="00000000">
          <w:rPr>
            <w:color w:val="0000ff"/>
            <w:sz w:val="20"/>
            <w:szCs w:val="20"/>
            <w:vertAlign w:val="superscript"/>
            <w:rtl w:val="0"/>
          </w:rPr>
          <w:t xml:space="preserve">62</w:t>
        </w:r>
      </w:hyperlink>
      <w:r w:rsidDel="00000000" w:rsidR="00000000" w:rsidRPr="00000000">
        <w:rPr>
          <w:sz w:val="20"/>
          <w:szCs w:val="20"/>
          <w:vertAlign w:val="superscript"/>
          <w:rtl w:val="0"/>
        </w:rPr>
        <w:t xml:space="preserve">,</w:t>
      </w:r>
      <w:hyperlink w:anchor="_heading=h.2250f4o">
        <w:r w:rsidDel="00000000" w:rsidR="00000000" w:rsidRPr="00000000">
          <w:rPr>
            <w:color w:val="0000ff"/>
            <w:sz w:val="20"/>
            <w:szCs w:val="20"/>
            <w:vertAlign w:val="superscript"/>
            <w:rtl w:val="0"/>
          </w:rPr>
          <w:t xml:space="preserve">65</w:t>
        </w:r>
      </w:hyperlink>
      <w:r w:rsidDel="00000000" w:rsidR="00000000" w:rsidRPr="00000000">
        <w:rPr>
          <w:sz w:val="20"/>
          <w:szCs w:val="20"/>
          <w:vertAlign w:val="superscript"/>
          <w:rtl w:val="0"/>
        </w:rPr>
        <w:t xml:space="preserve">,</w:t>
      </w:r>
      <w:hyperlink w:anchor="_heading=h.haapch">
        <w:r w:rsidDel="00000000" w:rsidR="00000000" w:rsidRPr="00000000">
          <w:rPr>
            <w:color w:val="0000ff"/>
            <w:sz w:val="20"/>
            <w:szCs w:val="20"/>
            <w:vertAlign w:val="superscript"/>
            <w:rtl w:val="0"/>
          </w:rPr>
          <w:t xml:space="preserve">66</w:t>
        </w:r>
      </w:hyperlink>
      <w:r w:rsidDel="00000000" w:rsidR="00000000" w:rsidRPr="00000000">
        <w:rPr>
          <w:sz w:val="20"/>
          <w:szCs w:val="20"/>
          <w:vertAlign w:val="superscript"/>
          <w:rtl w:val="0"/>
        </w:rPr>
        <w:t xml:space="preserve">,</w:t>
      </w:r>
      <w:hyperlink w:anchor="_heading=h.1gf8i83">
        <w:r w:rsidDel="00000000" w:rsidR="00000000" w:rsidRPr="00000000">
          <w:rPr>
            <w:color w:val="0000ff"/>
            <w:sz w:val="20"/>
            <w:szCs w:val="20"/>
            <w:vertAlign w:val="superscript"/>
            <w:rtl w:val="0"/>
          </w:rPr>
          <w:t xml:space="preserve">68</w:t>
        </w:r>
      </w:hyperlink>
      <w:r w:rsidDel="00000000" w:rsidR="00000000" w:rsidRPr="00000000">
        <w:rPr>
          <w:color w:val="0000ff"/>
          <w:sz w:val="13"/>
          <w:szCs w:val="13"/>
          <w:rtl w:val="0"/>
        </w:rPr>
        <w:t xml:space="preserve"> </w:t>
      </w:r>
      <w:r w:rsidDel="00000000" w:rsidR="00000000" w:rsidRPr="00000000">
        <w:rPr>
          <w:sz w:val="20"/>
          <w:szCs w:val="20"/>
          <w:rtl w:val="0"/>
        </w:rPr>
        <w:t xml:space="preserve">In terms of selective</w:t>
      </w:r>
      <w:r w:rsidDel="00000000" w:rsidR="00000000" w:rsidRPr="00000000">
        <w:rPr>
          <w:sz w:val="33.333333333333336"/>
          <w:szCs w:val="33.333333333333336"/>
          <w:vertAlign w:val="subscript"/>
          <w:rtl w:val="0"/>
        </w:rPr>
        <w:t xml:space="preserve"> </w:t>
      </w:r>
      <w:r w:rsidDel="00000000" w:rsidR="00000000" w:rsidRPr="00000000">
        <w:rPr>
          <w:sz w:val="20"/>
          <w:szCs w:val="20"/>
          <w:rtl w:val="0"/>
        </w:rPr>
        <w:t xml:space="preserve">reporting, 2 studies determined MACE as a study endpoint in the </w:t>
      </w:r>
      <w:r w:rsidDel="00000000" w:rsidR="00000000" w:rsidRPr="00000000">
        <w:rPr>
          <w:i w:val="1"/>
          <w:sz w:val="20"/>
          <w:szCs w:val="20"/>
          <w:rtl w:val="0"/>
        </w:rPr>
        <w:t xml:space="preserve">Methods</w:t>
      </w:r>
      <w:r w:rsidDel="00000000" w:rsidR="00000000" w:rsidRPr="00000000">
        <w:rPr>
          <w:sz w:val="20"/>
          <w:szCs w:val="20"/>
          <w:rtl w:val="0"/>
        </w:rPr>
        <w:t xml:space="preserve">, but provided mortality data in the </w:t>
      </w:r>
      <w:r w:rsidDel="00000000" w:rsidR="00000000" w:rsidRPr="00000000">
        <w:rPr>
          <w:i w:val="1"/>
          <w:sz w:val="20"/>
          <w:szCs w:val="20"/>
          <w:rtl w:val="0"/>
        </w:rPr>
        <w:t xml:space="preserve">Results</w:t>
      </w:r>
      <w:r w:rsidDel="00000000" w:rsidR="00000000" w:rsidRPr="00000000">
        <w:rPr>
          <w:sz w:val="20"/>
          <w:szCs w:val="20"/>
          <w:rtl w:val="0"/>
        </w:rPr>
        <w:t xml:space="preserve">.</w:t>
      </w:r>
      <w:hyperlink w:anchor="_heading=h.1664s55">
        <w:r w:rsidDel="00000000" w:rsidR="00000000" w:rsidRPr="00000000">
          <w:rPr>
            <w:color w:val="0000ff"/>
            <w:sz w:val="20"/>
            <w:szCs w:val="20"/>
            <w:vertAlign w:val="superscript"/>
            <w:rtl w:val="0"/>
          </w:rPr>
          <w:t xml:space="preserve">39</w:t>
        </w:r>
      </w:hyperlink>
      <w:r w:rsidDel="00000000" w:rsidR="00000000" w:rsidRPr="00000000">
        <w:rPr>
          <w:sz w:val="20"/>
          <w:szCs w:val="20"/>
          <w:vertAlign w:val="superscript"/>
          <w:rtl w:val="0"/>
        </w:rPr>
        <w:t xml:space="preserve">,</w:t>
      </w:r>
      <w:hyperlink w:anchor="_heading=h.34g0dwd">
        <w:r w:rsidDel="00000000" w:rsidR="00000000" w:rsidRPr="00000000">
          <w:rPr>
            <w:color w:val="0000ff"/>
            <w:sz w:val="20"/>
            <w:szCs w:val="20"/>
            <w:vertAlign w:val="superscript"/>
            <w:rtl w:val="0"/>
          </w:rPr>
          <w:t xml:space="preserve">43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Because to our knowledge, none of the investigations were prospectively registered, selective reporting was difﬁcult to determine. One study mentioned logistic regression in the Methods yet provided hazard ratios (HRs) in the </w:t>
      </w:r>
      <w:r w:rsidDel="00000000" w:rsidR="00000000" w:rsidRPr="00000000">
        <w:rPr>
          <w:i w:val="1"/>
          <w:sz w:val="20"/>
          <w:szCs w:val="20"/>
          <w:vertAlign w:val="baseline"/>
          <w:rtl w:val="0"/>
        </w:rPr>
        <w:t xml:space="preserve">Results</w:t>
      </w:r>
      <w:r w:rsidDel="00000000" w:rsidR="00000000" w:rsidRPr="00000000">
        <w:rPr>
          <w:sz w:val="20"/>
          <w:szCs w:val="20"/>
          <w:vertAlign w:val="baseline"/>
          <w:rtl w:val="0"/>
        </w:rPr>
        <w:t xml:space="preserve">.</w:t>
      </w:r>
      <w:hyperlink w:anchor="_heading=h.1664s55">
        <w:r w:rsidDel="00000000" w:rsidR="00000000" w:rsidRPr="00000000">
          <w:rPr>
            <w:color w:val="0000ff"/>
            <w:sz w:val="20"/>
            <w:szCs w:val="20"/>
            <w:vertAlign w:val="superscript"/>
            <w:rtl w:val="0"/>
          </w:rPr>
          <w:t xml:space="preserve">39</w:t>
        </w:r>
      </w:hyperlink>
      <w:r w:rsidDel="00000000" w:rsidR="00000000" w:rsidRPr="00000000">
        <w:rPr>
          <w:sz w:val="20"/>
          <w:szCs w:val="20"/>
          <w:vertAlign w:val="superscript"/>
          <w:rtl w:val="0"/>
        </w:rPr>
        <w:t xml:space="preserve">,</w:t>
      </w:r>
      <w:hyperlink w:anchor="_heading=h.34g0dwd">
        <w:r w:rsidDel="00000000" w:rsidR="00000000" w:rsidRPr="00000000">
          <w:rPr>
            <w:color w:val="0000ff"/>
            <w:sz w:val="20"/>
            <w:szCs w:val="20"/>
            <w:vertAlign w:val="superscript"/>
            <w:rtl w:val="0"/>
          </w:rPr>
          <w:t xml:space="preserve">43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Furthermore, another set of studies applied logistic regression for long-term outcomes, which is not recommended.</w:t>
      </w:r>
      <w:hyperlink w:anchor="_heading=h.2zbgiuw">
        <w:r w:rsidDel="00000000" w:rsidR="00000000" w:rsidRPr="00000000">
          <w:rPr>
            <w:color w:val="0000ff"/>
            <w:sz w:val="20"/>
            <w:szCs w:val="20"/>
            <w:vertAlign w:val="superscript"/>
            <w:rtl w:val="0"/>
          </w:rPr>
          <w:t xml:space="preserve">28</w:t>
        </w:r>
      </w:hyperlink>
      <w:r w:rsidDel="00000000" w:rsidR="00000000" w:rsidRPr="00000000">
        <w:rPr>
          <w:sz w:val="20"/>
          <w:szCs w:val="20"/>
          <w:vertAlign w:val="superscript"/>
          <w:rtl w:val="0"/>
        </w:rPr>
        <w:t xml:space="preserve">,</w:t>
      </w:r>
      <w:hyperlink w:anchor="_heading=h.sqyw64">
        <w:r w:rsidDel="00000000" w:rsidR="00000000" w:rsidRPr="00000000">
          <w:rPr>
            <w:color w:val="0000ff"/>
            <w:sz w:val="20"/>
            <w:szCs w:val="20"/>
            <w:vertAlign w:val="superscript"/>
            <w:rtl w:val="0"/>
          </w:rPr>
          <w:t xml:space="preserve">32</w:t>
        </w:r>
      </w:hyperlink>
      <w:r w:rsidDel="00000000" w:rsidR="00000000" w:rsidRPr="00000000">
        <w:rPr>
          <w:sz w:val="20"/>
          <w:szCs w:val="20"/>
          <w:vertAlign w:val="superscript"/>
          <w:rtl w:val="0"/>
        </w:rPr>
        <w:t xml:space="preserve">,</w:t>
      </w:r>
      <w:hyperlink w:anchor="_heading=h.3hv69ve">
        <w:r w:rsidDel="00000000" w:rsidR="00000000" w:rsidRPr="00000000">
          <w:rPr>
            <w:color w:val="0000ff"/>
            <w:sz w:val="20"/>
            <w:szCs w:val="20"/>
            <w:vertAlign w:val="superscript"/>
            <w:rtl w:val="0"/>
          </w:rPr>
          <w:t xml:space="preserve">49</w:t>
        </w:r>
      </w:hyperlink>
      <w:r w:rsidDel="00000000" w:rsidR="00000000" w:rsidRPr="00000000">
        <w:rPr>
          <w:sz w:val="20"/>
          <w:szCs w:val="20"/>
          <w:vertAlign w:val="superscript"/>
          <w:rtl w:val="0"/>
        </w:rPr>
        <w:t xml:space="preserve">,</w:t>
      </w:r>
      <w:hyperlink w:anchor="_heading=h.upglbi">
        <w:r w:rsidDel="00000000" w:rsidR="00000000" w:rsidRPr="00000000">
          <w:rPr>
            <w:color w:val="0000ff"/>
            <w:sz w:val="20"/>
            <w:szCs w:val="20"/>
            <w:vertAlign w:val="superscript"/>
            <w:rtl w:val="0"/>
          </w:rPr>
          <w:t xml:space="preserve">71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264275" cy="2882900"/>
                <wp:effectExtent b="0" l="0" r="0" t="0"/>
                <wp:docPr id="452" name=""/>
                <a:graphic>
                  <a:graphicData uri="http://schemas.microsoft.com/office/word/2010/wordprocessingGroup">
                    <wpg:wgp>
                      <wpg:cNvGrpSpPr/>
                      <wpg:grpSpPr>
                        <a:xfrm>
                          <a:off x="2213850" y="2338550"/>
                          <a:ext cx="6264275" cy="2882900"/>
                          <a:chOff x="2213850" y="2338550"/>
                          <a:chExt cx="6264300" cy="2882900"/>
                        </a:xfrm>
                      </wpg:grpSpPr>
                      <wpg:grpSp>
                        <wpg:cNvGrpSpPr/>
                        <wpg:grpSpPr>
                          <a:xfrm>
                            <a:off x="2213863" y="2338550"/>
                            <a:ext cx="6264275" cy="2882900"/>
                            <a:chOff x="2213850" y="2338550"/>
                            <a:chExt cx="6264300" cy="2882900"/>
                          </a:xfrm>
                        </wpg:grpSpPr>
                        <wps:wsp>
                          <wps:cNvSpPr/>
                          <wps:cNvPr id="3" name="Shape 3"/>
                          <wps:spPr>
                            <a:xfrm>
                              <a:off x="2213850" y="2338550"/>
                              <a:ext cx="6264300" cy="28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13863" y="2338550"/>
                              <a:ext cx="6264275" cy="2882900"/>
                              <a:chOff x="0" y="0"/>
                              <a:chExt cx="6264275" cy="2882900"/>
                            </a:xfrm>
                          </wpg:grpSpPr>
                          <wps:wsp>
                            <wps:cNvSpPr/>
                            <wps:cNvPr id="104" name="Shape 104"/>
                            <wps:spPr>
                              <a:xfrm>
                                <a:off x="0" y="0"/>
                                <a:ext cx="6264275" cy="288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0" y="0"/>
                                <a:ext cx="6264275" cy="2882900"/>
                              </a:xfrm>
                              <a:custGeom>
                                <a:rect b="b" l="l" r="r" t="t"/>
                                <a:pathLst>
                                  <a:path extrusionOk="0" h="2882900" w="6264275">
                                    <a:moveTo>
                                      <a:pt x="6263995" y="0"/>
                                    </a:moveTo>
                                    <a:lnTo>
                                      <a:pt x="6257518" y="0"/>
                                    </a:lnTo>
                                    <a:lnTo>
                                      <a:pt x="6257518" y="6477"/>
                                    </a:lnTo>
                                    <a:lnTo>
                                      <a:pt x="6257518" y="2876397"/>
                                    </a:lnTo>
                                    <a:lnTo>
                                      <a:pt x="5753" y="2876397"/>
                                    </a:lnTo>
                                    <a:lnTo>
                                      <a:pt x="5753" y="6477"/>
                                    </a:lnTo>
                                    <a:lnTo>
                                      <a:pt x="6257518" y="6477"/>
                                    </a:lnTo>
                                    <a:lnTo>
                                      <a:pt x="6257518" y="0"/>
                                    </a:lnTo>
                                    <a:lnTo>
                                      <a:pt x="0" y="0"/>
                                    </a:lnTo>
                                    <a:lnTo>
                                      <a:pt x="0" y="2882874"/>
                                    </a:lnTo>
                                    <a:lnTo>
                                      <a:pt x="6263995" y="2882874"/>
                                    </a:lnTo>
                                    <a:lnTo>
                                      <a:pt x="6263995" y="0"/>
                                    </a:lnTo>
                                    <a:close/>
                                  </a:path>
                                </a:pathLst>
                              </a:custGeom>
                              <a:solidFill>
                                <a:srgbClr val="000000"/>
                              </a:solidFill>
                              <a:ln>
                                <a:noFill/>
                              </a:ln>
                            </wps:spPr>
                            <wps:bodyPr anchorCtr="0" anchor="ctr" bIns="91425" lIns="91425" spcFirstLastPara="1" rIns="91425" wrap="square" tIns="91425">
                              <a:noAutofit/>
                            </wps:bodyPr>
                          </wps:wsp>
                          <pic:pic>
                            <pic:nvPicPr>
                              <pic:cNvPr id="106" name="Shape 106"/>
                              <pic:cNvPicPr preferRelativeResize="0"/>
                            </pic:nvPicPr>
                            <pic:blipFill rotWithShape="1">
                              <a:blip r:embed="rId21">
                                <a:alphaModFix/>
                              </a:blip>
                              <a:srcRect b="0" l="0" r="0" t="0"/>
                              <a:stretch/>
                            </pic:blipFill>
                            <pic:spPr>
                              <a:xfrm>
                                <a:off x="91220" y="86646"/>
                                <a:ext cx="6088953" cy="2708863"/>
                              </a:xfrm>
                              <a:prstGeom prst="rect">
                                <a:avLst/>
                              </a:prstGeom>
                              <a:noFill/>
                              <a:ln>
                                <a:noFill/>
                              </a:ln>
                            </pic:spPr>
                          </pic:pic>
                        </wpg:grpSp>
                      </wpg:grpSp>
                    </wpg:wgp>
                  </a:graphicData>
                </a:graphic>
              </wp:inline>
            </w:drawing>
          </mc:Choice>
          <mc:Fallback>
            <w:drawing>
              <wp:inline distB="0" distT="0" distL="0" distR="0">
                <wp:extent cx="6264275" cy="2882900"/>
                <wp:effectExtent b="0" l="0" r="0" t="0"/>
                <wp:docPr id="452" name="image135.png"/>
                <a:graphic>
                  <a:graphicData uri="http://schemas.openxmlformats.org/drawingml/2006/picture">
                    <pic:pic>
                      <pic:nvPicPr>
                        <pic:cNvPr id="0" name="image135.png"/>
                        <pic:cNvPicPr preferRelativeResize="0"/>
                      </pic:nvPicPr>
                      <pic:blipFill>
                        <a:blip r:embed="rId22"/>
                        <a:srcRect/>
                        <a:stretch>
                          <a:fillRect/>
                        </a:stretch>
                      </pic:blipFill>
                      <pic:spPr>
                        <a:xfrm>
                          <a:off x="0" y="0"/>
                          <a:ext cx="6264275" cy="2882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spacing w:before="119" w:lineRule="auto"/>
        <w:ind w:left="102" w:right="0" w:firstLine="0"/>
        <w:jc w:val="left"/>
        <w:rPr>
          <w:rFonts w:ascii="Arial" w:cs="Arial" w:eastAsia="Arial" w:hAnsi="Arial"/>
          <w:sz w:val="18"/>
          <w:szCs w:val="18"/>
        </w:rPr>
        <w:sectPr>
          <w:type w:val="continuous"/>
          <w:pgSz w:h="16840" w:w="11920" w:orient="portrait"/>
          <w:pgMar w:bottom="280" w:top="1060" w:left="740" w:right="720" w:header="653" w:footer="0"/>
        </w:sectPr>
      </w:pPr>
      <w:bookmarkStart w:colFirst="0" w:colLast="0" w:name="_heading=h.1t3h5sf" w:id="0"/>
      <w:bookmarkEnd w:id="0"/>
      <w:r w:rsidDel="00000000" w:rsidR="00000000" w:rsidRPr="00000000">
        <w:rPr>
          <w:rFonts w:ascii="Trebuchet MS" w:cs="Trebuchet MS" w:eastAsia="Trebuchet MS" w:hAnsi="Trebuchet MS"/>
          <w:sz w:val="18"/>
          <w:szCs w:val="18"/>
          <w:rtl w:val="0"/>
        </w:rPr>
        <w:t xml:space="preserve">Figure 1. </w:t>
      </w:r>
      <w:r w:rsidDel="00000000" w:rsidR="00000000" w:rsidRPr="00000000">
        <w:rPr>
          <w:rFonts w:ascii="Arial" w:cs="Arial" w:eastAsia="Arial" w:hAnsi="Arial"/>
          <w:sz w:val="18"/>
          <w:szCs w:val="18"/>
          <w:rtl w:val="0"/>
        </w:rPr>
        <w:t xml:space="preserve">Flow diagram of the meta-analysis. MPV, mean platelet volume; SCAD, stable coronary artery disease.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20" w:orient="portrait"/>
          <w:pgMar w:bottom="280" w:top="920" w:left="740" w:right="720" w:header="653" w:footer="0"/>
        </w:sectPr>
      </w:pPr>
      <w:r w:rsidDel="00000000" w:rsidR="00000000" w:rsidRPr="00000000">
        <w:rPr>
          <w:rtl w:val="0"/>
        </w:rPr>
      </w:r>
    </w:p>
    <w:p w:rsidR="00000000" w:rsidDel="00000000" w:rsidP="00000000" w:rsidRDefault="00000000" w:rsidRPr="00000000" w14:paraId="00000060">
      <w:pPr>
        <w:spacing w:before="91" w:lineRule="auto"/>
        <w:ind w:left="495"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Prognostic Signi</w:t>
      </w:r>
      <w:r w:rsidDel="00000000" w:rsidR="00000000" w:rsidRPr="00000000">
        <w:rPr>
          <w:rFonts w:ascii="Arial" w:cs="Arial" w:eastAsia="Arial" w:hAnsi="Arial"/>
          <w:i w:val="1"/>
          <w:sz w:val="24"/>
          <w:szCs w:val="24"/>
          <w:rtl w:val="0"/>
        </w:rPr>
        <w:t xml:space="preserve">ﬁ</w:t>
      </w:r>
      <w:r w:rsidDel="00000000" w:rsidR="00000000" w:rsidRPr="00000000">
        <w:rPr>
          <w:rFonts w:ascii="Trebuchet MS" w:cs="Trebuchet MS" w:eastAsia="Trebuchet MS" w:hAnsi="Trebuchet MS"/>
          <w:i w:val="1"/>
          <w:sz w:val="24"/>
          <w:szCs w:val="24"/>
          <w:rtl w:val="0"/>
        </w:rPr>
        <w:t xml:space="preserve">cance of MPV as a Continuous Variable for Long-Term Mortality With HR as an Effect Estimate</w:t>
      </w:r>
    </w:p>
    <w:p w:rsidR="00000000" w:rsidDel="00000000" w:rsidP="00000000" w:rsidRDefault="00000000" w:rsidRPr="00000000" w14:paraId="00000061">
      <w:pPr>
        <w:spacing w:before="120" w:line="249" w:lineRule="auto"/>
        <w:ind w:left="495" w:right="0" w:firstLine="213.66141732283452"/>
        <w:jc w:val="both"/>
        <w:rPr>
          <w:sz w:val="20"/>
          <w:szCs w:val="20"/>
        </w:rPr>
      </w:pPr>
      <w:r w:rsidDel="00000000" w:rsidR="00000000" w:rsidRPr="00000000">
        <w:rPr>
          <w:sz w:val="20"/>
          <w:szCs w:val="20"/>
          <w:rtl w:val="0"/>
        </w:rPr>
        <w:t xml:space="preserve">A total of 7 studies were meta-analyzed, and MPV was signiﬁcantly associated with long-term mortality (HR 1.33, 95% CI 1.19</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1.48) (</w:t>
      </w:r>
      <w:hyperlink w:anchor="_heading=h.3rdcrjn">
        <w:r w:rsidDel="00000000" w:rsidR="00000000" w:rsidRPr="00000000">
          <w:rPr>
            <w:color w:val="0000ff"/>
            <w:sz w:val="20"/>
            <w:szCs w:val="20"/>
            <w:rtl w:val="0"/>
          </w:rPr>
          <w:t xml:space="preserve">Figure 2</w:t>
        </w:r>
      </w:hyperlink>
      <w:r w:rsidDel="00000000" w:rsidR="00000000" w:rsidRPr="00000000">
        <w:rPr>
          <w:sz w:val="20"/>
          <w:szCs w:val="20"/>
          <w:rtl w:val="0"/>
        </w:rPr>
        <w:t xml:space="preserve">). Importantly, this association also remained signiﬁcant when PIs were calculated (1.07</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1.64). Permutation tests supported these ﬁndings (HR 1.33; 95% CI 1.22</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1.52). The mixed-effects analyses provided similar results (HR 1.34; 95% CI 1.20</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1.48) (</w:t>
      </w:r>
      <w:hyperlink w:anchor="_heading=h.3rdcrjn">
        <w:r w:rsidDel="00000000" w:rsidR="00000000" w:rsidRPr="00000000">
          <w:rPr>
            <w:color w:val="0000ff"/>
            <w:sz w:val="20"/>
            <w:szCs w:val="20"/>
            <w:rtl w:val="0"/>
          </w:rPr>
          <w:t xml:space="preserve">Figure 2</w:t>
        </w:r>
      </w:hyperlink>
      <w:r w:rsidDel="00000000" w:rsidR="00000000" w:rsidRPr="00000000">
        <w:rPr>
          <w:sz w:val="20"/>
          <w:szCs w:val="20"/>
          <w:rtl w:val="0"/>
        </w:rPr>
        <w:t xml:space="preserve">, </w:t>
      </w:r>
      <w:hyperlink r:id="rId23">
        <w:r w:rsidDel="00000000" w:rsidR="00000000" w:rsidRPr="00000000">
          <w:rPr>
            <w:color w:val="0000ff"/>
            <w:sz w:val="20"/>
            <w:szCs w:val="20"/>
            <w:rtl w:val="0"/>
          </w:rPr>
          <w:t xml:space="preserve">Supplementary Figures 1 and 2</w:t>
        </w:r>
      </w:hyperlink>
      <w:r w:rsidDel="00000000" w:rsidR="00000000" w:rsidRPr="00000000">
        <w:rPr>
          <w:sz w:val="20"/>
          <w:szCs w:val="20"/>
          <w:rtl w:val="0"/>
        </w:rPr>
        <w:t xml:space="preserve">). The association between MPV and long-term mortality was also detected in patients with ACS without ST-segment elevation (NST-ACS) (HR 1.27, 95% CI 1.14</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1.41), and percutaneous coronary intervention (PCI) (HR 1.28, 95% CI 1.09</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1.50) but not in patients with STEMI (HR 1.35, 95% CI .90</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2.04) (</w:t>
      </w:r>
      <w:hyperlink r:id="rId24">
        <w:r w:rsidDel="00000000" w:rsidR="00000000" w:rsidRPr="00000000">
          <w:rPr>
            <w:color w:val="0000ff"/>
            <w:sz w:val="20"/>
            <w:szCs w:val="20"/>
            <w:rtl w:val="0"/>
          </w:rPr>
          <w:t xml:space="preserve">Supplementary</w:t>
        </w:r>
      </w:hyperlink>
      <w:hyperlink r:id="rId25">
        <w:r w:rsidDel="00000000" w:rsidR="00000000" w:rsidRPr="00000000">
          <w:rPr>
            <w:sz w:val="20"/>
            <w:szCs w:val="20"/>
            <w:rtl w:val="0"/>
          </w:rPr>
          <w:t xml:space="preserve"> </w:t>
        </w:r>
      </w:hyperlink>
      <w:hyperlink r:id="rId26">
        <w:r w:rsidDel="00000000" w:rsidR="00000000" w:rsidRPr="00000000">
          <w:rPr>
            <w:color w:val="0000ff"/>
            <w:sz w:val="20"/>
            <w:szCs w:val="20"/>
            <w:rtl w:val="0"/>
          </w:rPr>
          <w:t xml:space="preserve">Figure 3</w:t>
        </w:r>
      </w:hyperlink>
      <w:r w:rsidDel="00000000" w:rsidR="00000000" w:rsidRPr="00000000">
        <w:rPr>
          <w:sz w:val="20"/>
          <w:szCs w:val="20"/>
          <w:rtl w:val="0"/>
        </w:rPr>
        <w:t xml:space="preserve">).</w:t>
      </w:r>
    </w:p>
    <w:p w:rsidR="00000000" w:rsidDel="00000000" w:rsidP="00000000" w:rsidRDefault="00000000" w:rsidRPr="00000000" w14:paraId="00000062">
      <w:pPr>
        <w:spacing w:before="10" w:line="249" w:lineRule="auto"/>
        <w:ind w:left="495" w:right="0" w:firstLine="237.99999999999997"/>
        <w:jc w:val="both"/>
        <w:rPr>
          <w:sz w:val="20"/>
          <w:szCs w:val="20"/>
        </w:rPr>
      </w:pPr>
      <w:r w:rsidDel="00000000" w:rsidR="00000000" w:rsidRPr="00000000">
        <w:rPr>
          <w:sz w:val="20"/>
          <w:szCs w:val="20"/>
          <w:rtl w:val="0"/>
        </w:rPr>
        <w:t xml:space="preserve">The study of Niu et al.</w:t>
      </w:r>
      <w:hyperlink w:anchor="_heading=h.1302m92">
        <w:r w:rsidDel="00000000" w:rsidR="00000000" w:rsidRPr="00000000">
          <w:rPr>
            <w:color w:val="0000ff"/>
            <w:sz w:val="20"/>
            <w:szCs w:val="20"/>
            <w:vertAlign w:val="superscript"/>
            <w:rtl w:val="0"/>
          </w:rPr>
          <w:t xml:space="preserve">63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was inﬂuential on model statistics; however, statistical signiﬁcance remained even following leave-one-out sensitivity analyses </w:t>
      </w:r>
      <w:hyperlink r:id="rId27">
        <w:r w:rsidDel="00000000" w:rsidR="00000000" w:rsidRPr="00000000">
          <w:rPr>
            <w:color w:val="0000ff"/>
            <w:sz w:val="20"/>
            <w:szCs w:val="20"/>
            <w:vertAlign w:val="baseline"/>
            <w:rtl w:val="0"/>
          </w:rPr>
          <w:t xml:space="preserve">Supplementary Table 5</w:t>
        </w:r>
      </w:hyperlink>
      <w:r w:rsidDel="00000000" w:rsidR="00000000" w:rsidRPr="00000000">
        <w:rPr>
          <w:sz w:val="20"/>
          <w:szCs w:val="20"/>
          <w:vertAlign w:val="baseline"/>
          <w:rtl w:val="0"/>
        </w:rPr>
        <w:t xml:space="preserve">. The formal statistics and graphical methods for publication bias assessment did not provide evidence on funnel plot asymmetry. The cumulative meta-analysis is provided in the </w:t>
      </w:r>
      <w:hyperlink r:id="rId28">
        <w:r w:rsidDel="00000000" w:rsidR="00000000" w:rsidRPr="00000000">
          <w:rPr>
            <w:color w:val="0000ff"/>
            <w:sz w:val="20"/>
            <w:szCs w:val="20"/>
            <w:vertAlign w:val="baseline"/>
            <w:rtl w:val="0"/>
          </w:rPr>
          <w:t xml:space="preserve">Supplementary Figure 4</w:t>
        </w:r>
      </w:hyperlink>
      <w:r w:rsidDel="00000000" w:rsidR="00000000" w:rsidRPr="00000000">
        <w:rPr>
          <w:sz w:val="20"/>
          <w:szCs w:val="20"/>
          <w:vertAlign w:val="baseline"/>
          <w:rtl w:val="0"/>
        </w:rPr>
        <w:t xml:space="preserve">. The grade of evidence was rated as moderate.</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spacing w:before="0" w:lineRule="auto"/>
        <w:ind w:left="495"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MPV as a Continuous Variable for Long-Term MACE With HR as an Effect Estimate</w:t>
      </w:r>
    </w:p>
    <w:p w:rsidR="00000000" w:rsidDel="00000000" w:rsidP="00000000" w:rsidRDefault="00000000" w:rsidRPr="00000000" w14:paraId="00000065">
      <w:pPr>
        <w:spacing w:before="118" w:line="249" w:lineRule="auto"/>
        <w:ind w:left="495" w:right="1" w:firstLine="213.66141732283452"/>
        <w:jc w:val="both"/>
        <w:rPr>
          <w:sz w:val="20"/>
          <w:szCs w:val="20"/>
        </w:rPr>
      </w:pPr>
      <w:r w:rsidDel="00000000" w:rsidR="00000000" w:rsidRPr="00000000">
        <w:rPr>
          <w:sz w:val="20"/>
          <w:szCs w:val="20"/>
          <w:rtl w:val="0"/>
        </w:rPr>
        <w:t xml:space="preserve">Although MPV was associated with MACE (HR 1.21, 95% CI 1.08</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1.37), its prognostic value lost signiﬁcance when 95% PIs were estimated (.89</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1.66). Permutation tests yielded positive results (HR 1.21, 95% CI 1.10</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1.39). Subgroup analyses provided signiﬁcant results for patients with NST-ACS (HR 1.19; 95% CI 1.07</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1.31) but not for patients treated with PCI (HR 1.21; 95% CI .99</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1.48) (</w:t>
      </w:r>
      <w:hyperlink r:id="rId29">
        <w:r w:rsidDel="00000000" w:rsidR="00000000" w:rsidRPr="00000000">
          <w:rPr>
            <w:color w:val="0000ff"/>
            <w:sz w:val="20"/>
            <w:szCs w:val="20"/>
            <w:rtl w:val="0"/>
          </w:rPr>
          <w:t xml:space="preserve">Supplementary</w:t>
        </w:r>
      </w:hyperlink>
      <w:r w:rsidDel="00000000" w:rsidR="00000000" w:rsidRPr="00000000">
        <w:rPr>
          <w:sz w:val="20"/>
          <w:szCs w:val="20"/>
          <w:rtl w:val="0"/>
        </w:rPr>
        <w:t xml:space="preserve"> </w:t>
      </w:r>
      <w:hyperlink r:id="rId30">
        <w:r w:rsidDel="00000000" w:rsidR="00000000" w:rsidRPr="00000000">
          <w:rPr>
            <w:color w:val="0000ff"/>
            <w:sz w:val="20"/>
            <w:szCs w:val="20"/>
            <w:rtl w:val="0"/>
          </w:rPr>
          <w:t xml:space="preserve">Figures 5-9</w:t>
        </w:r>
      </w:hyperlink>
      <w:r w:rsidDel="00000000" w:rsidR="00000000" w:rsidRPr="00000000">
        <w:rPr>
          <w:sz w:val="20"/>
          <w:szCs w:val="20"/>
          <w:rtl w:val="0"/>
        </w:rPr>
        <w:t xml:space="preserve">).</w:t>
      </w:r>
    </w:p>
    <w:p w:rsidR="00000000" w:rsidDel="00000000" w:rsidP="00000000" w:rsidRDefault="00000000" w:rsidRPr="00000000" w14:paraId="00000066">
      <w:pPr>
        <w:spacing w:before="8" w:line="249" w:lineRule="auto"/>
        <w:ind w:left="504" w:right="119" w:firstLine="240.00000000000006"/>
        <w:jc w:val="both"/>
        <w:rPr>
          <w:sz w:val="20"/>
          <w:szCs w:val="20"/>
        </w:rPr>
      </w:pPr>
      <w:r w:rsidDel="00000000" w:rsidR="00000000" w:rsidRPr="00000000">
        <w:rPr>
          <w:sz w:val="20"/>
          <w:szCs w:val="20"/>
          <w:rtl w:val="0"/>
        </w:rPr>
        <w:t xml:space="preserve">Meanwhile, 1 study was detected to be inﬂuential, although similar ﬁndings were recorded following leave-one-out sensitivity analyses (</w:t>
      </w:r>
      <w:hyperlink r:id="rId31">
        <w:r w:rsidDel="00000000" w:rsidR="00000000" w:rsidRPr="00000000">
          <w:rPr>
            <w:color w:val="0000ff"/>
            <w:sz w:val="20"/>
            <w:szCs w:val="20"/>
            <w:rtl w:val="0"/>
          </w:rPr>
          <w:t xml:space="preserve">Supplementary Figure 10</w:t>
        </w:r>
      </w:hyperlink>
      <w:r w:rsidDel="00000000" w:rsidR="00000000" w:rsidRPr="00000000">
        <w:rPr>
          <w:sz w:val="20"/>
          <w:szCs w:val="20"/>
          <w:rtl w:val="0"/>
        </w:rPr>
        <w:t xml:space="preserve">). Whilst regression tests indicated funnel plot asymmetry, a trim and ﬁll method still provided signiﬁcant results (</w:t>
      </w:r>
      <w:hyperlink r:id="rId32">
        <w:r w:rsidDel="00000000" w:rsidR="00000000" w:rsidRPr="00000000">
          <w:rPr>
            <w:color w:val="0000ff"/>
            <w:sz w:val="20"/>
            <w:szCs w:val="20"/>
            <w:rtl w:val="0"/>
          </w:rPr>
          <w:t xml:space="preserve">Supplementary Figure 11</w:t>
        </w:r>
      </w:hyperlink>
      <w:r w:rsidDel="00000000" w:rsidR="00000000" w:rsidRPr="00000000">
        <w:rPr>
          <w:sz w:val="20"/>
          <w:szCs w:val="20"/>
          <w:rtl w:val="0"/>
        </w:rPr>
        <w:t xml:space="preserve">). The certainty of evidence was regarded as low.</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spacing w:before="0" w:lineRule="auto"/>
        <w:ind w:left="566.9291338582677"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MPV as a Categorized Variable for Long-Term Mortality With HR as an Effect Estimate</w:t>
      </w:r>
    </w:p>
    <w:p w:rsidR="00000000" w:rsidDel="00000000" w:rsidP="00000000" w:rsidRDefault="00000000" w:rsidRPr="00000000" w14:paraId="00000069">
      <w:pPr>
        <w:spacing w:before="118" w:line="249" w:lineRule="auto"/>
        <w:ind w:left="504" w:right="120" w:firstLine="246"/>
        <w:jc w:val="both"/>
        <w:rPr>
          <w:sz w:val="20"/>
          <w:szCs w:val="20"/>
        </w:rPr>
      </w:pPr>
      <w:r w:rsidDel="00000000" w:rsidR="00000000" w:rsidRPr="00000000">
        <w:rPr>
          <w:sz w:val="20"/>
          <w:szCs w:val="20"/>
          <w:rtl w:val="0"/>
        </w:rPr>
        <w:t xml:space="preserve">The prognostic role of MPV was not detected (HR 2.45, 95% CI .89</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6.73). Conducting other analyses was not feasible (</w:t>
      </w:r>
      <w:hyperlink r:id="rId33">
        <w:r w:rsidDel="00000000" w:rsidR="00000000" w:rsidRPr="00000000">
          <w:rPr>
            <w:color w:val="0000ff"/>
            <w:sz w:val="20"/>
            <w:szCs w:val="20"/>
            <w:rtl w:val="0"/>
          </w:rPr>
          <w:t xml:space="preserve">Supplementary Figure 12</w:t>
        </w:r>
      </w:hyperlink>
      <w:r w:rsidDel="00000000" w:rsidR="00000000" w:rsidRPr="00000000">
        <w:rPr>
          <w:sz w:val="20"/>
          <w:szCs w:val="20"/>
          <w:rtl w:val="0"/>
        </w:rPr>
        <w:t xml:space="preserve">). The quality of evidence was considered as low.</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spacing w:before="1" w:lineRule="auto"/>
        <w:ind w:left="566.9291338582675"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MPV as a Categorized Variable for Long-Term MACE With HR as an Effect Estimate</w:t>
      </w:r>
    </w:p>
    <w:p w:rsidR="00000000" w:rsidDel="00000000" w:rsidP="00000000" w:rsidRDefault="00000000" w:rsidRPr="00000000" w14:paraId="0000006C">
      <w:pPr>
        <w:spacing w:before="118" w:line="249" w:lineRule="auto"/>
        <w:ind w:left="525" w:right="113" w:firstLine="210"/>
        <w:jc w:val="both"/>
        <w:rPr>
          <w:sz w:val="20"/>
          <w:szCs w:val="20"/>
        </w:rPr>
        <w:sectPr>
          <w:type w:val="continuous"/>
          <w:pgSz w:h="16840" w:w="11920" w:orient="portrait"/>
          <w:pgMar w:bottom="280" w:top="1060" w:left="740" w:right="720" w:header="653" w:footer="0"/>
          <w:cols w:equalWidth="0" w:num="1">
            <w:col w:space="0" w:w="10445.5"/>
          </w:cols>
        </w:sectPr>
      </w:pPr>
      <w:r w:rsidDel="00000000" w:rsidR="00000000" w:rsidRPr="00000000">
        <w:rPr>
          <w:sz w:val="20"/>
          <w:szCs w:val="20"/>
          <w:rtl w:val="0"/>
        </w:rPr>
        <w:t xml:space="preserve">While the traditional meta-analyses and permutation tests demonstrated prognostic value of MPV (HR 2.18, 95% CI 1.27</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3.75), 95% PIs were not supportive (.65</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7.36). The mixed-effects analyses also showed signiﬁcant results (HR 2.16, 95%CI 1.33</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3.5). There were not any outstanding patterns in patients with NST-ACS (HR 1.48, 95% CI 1.18</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1.84) and PCI (HR 4.28, 95% CI 1.6</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11.46). The cutpoint value explained heterogeneity during univariate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264275" cy="2729230"/>
                <wp:effectExtent b="0" l="0" r="0" t="0"/>
                <wp:docPr id="454" name=""/>
                <a:graphic>
                  <a:graphicData uri="http://schemas.microsoft.com/office/word/2010/wordprocessingGroup">
                    <wpg:wgp>
                      <wpg:cNvGrpSpPr/>
                      <wpg:grpSpPr>
                        <a:xfrm>
                          <a:off x="2213850" y="2415375"/>
                          <a:ext cx="6264275" cy="2729230"/>
                          <a:chOff x="2213850" y="2415375"/>
                          <a:chExt cx="6264300" cy="2729250"/>
                        </a:xfrm>
                      </wpg:grpSpPr>
                      <wpg:grpSp>
                        <wpg:cNvGrpSpPr/>
                        <wpg:grpSpPr>
                          <a:xfrm>
                            <a:off x="2213863" y="2415385"/>
                            <a:ext cx="6264275" cy="2729230"/>
                            <a:chOff x="2213850" y="2415375"/>
                            <a:chExt cx="6264300" cy="2729250"/>
                          </a:xfrm>
                        </wpg:grpSpPr>
                        <wps:wsp>
                          <wps:cNvSpPr/>
                          <wps:cNvPr id="3" name="Shape 3"/>
                          <wps:spPr>
                            <a:xfrm>
                              <a:off x="2213850" y="2415375"/>
                              <a:ext cx="6264300" cy="272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13851" y="2415385"/>
                              <a:ext cx="6264287" cy="2729230"/>
                              <a:chOff x="-12" y="0"/>
                              <a:chExt cx="6264287" cy="2729230"/>
                            </a:xfrm>
                          </wpg:grpSpPr>
                          <wps:wsp>
                            <wps:cNvSpPr/>
                            <wps:cNvPr id="114" name="Shape 114"/>
                            <wps:spPr>
                              <a:xfrm>
                                <a:off x="0" y="0"/>
                                <a:ext cx="6264275" cy="272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12" y="0"/>
                                <a:ext cx="6264275" cy="2729230"/>
                              </a:xfrm>
                              <a:custGeom>
                                <a:rect b="b" l="l" r="r" t="t"/>
                                <a:pathLst>
                                  <a:path extrusionOk="0" h="2729230" w="6264275">
                                    <a:moveTo>
                                      <a:pt x="6264008" y="0"/>
                                    </a:moveTo>
                                    <a:lnTo>
                                      <a:pt x="6257531" y="0"/>
                                    </a:lnTo>
                                    <a:lnTo>
                                      <a:pt x="6257531" y="5753"/>
                                    </a:lnTo>
                                    <a:lnTo>
                                      <a:pt x="6257531" y="2722308"/>
                                    </a:lnTo>
                                    <a:lnTo>
                                      <a:pt x="5778" y="2722308"/>
                                    </a:lnTo>
                                    <a:lnTo>
                                      <a:pt x="5778" y="5753"/>
                                    </a:lnTo>
                                    <a:lnTo>
                                      <a:pt x="6257531" y="5753"/>
                                    </a:lnTo>
                                    <a:lnTo>
                                      <a:pt x="6257531" y="0"/>
                                    </a:lnTo>
                                    <a:lnTo>
                                      <a:pt x="0" y="0"/>
                                    </a:lnTo>
                                    <a:lnTo>
                                      <a:pt x="0" y="2728798"/>
                                    </a:lnTo>
                                    <a:lnTo>
                                      <a:pt x="6264008" y="2728798"/>
                                    </a:lnTo>
                                    <a:lnTo>
                                      <a:pt x="6264008" y="0"/>
                                    </a:lnTo>
                                    <a:close/>
                                  </a:path>
                                </a:pathLst>
                              </a:custGeom>
                              <a:solidFill>
                                <a:srgbClr val="000000"/>
                              </a:solidFill>
                              <a:ln>
                                <a:noFill/>
                              </a:ln>
                            </wps:spPr>
                            <wps:bodyPr anchorCtr="0" anchor="ctr" bIns="91425" lIns="91425" spcFirstLastPara="1" rIns="91425" wrap="square" tIns="91425">
                              <a:noAutofit/>
                            </wps:bodyPr>
                          </wps:wsp>
                          <pic:pic>
                            <pic:nvPicPr>
                              <pic:cNvPr id="116" name="Shape 116"/>
                              <pic:cNvPicPr preferRelativeResize="0"/>
                            </pic:nvPicPr>
                            <pic:blipFill rotWithShape="1">
                              <a:blip r:embed="rId34">
                                <a:alphaModFix/>
                              </a:blip>
                              <a:srcRect b="0" l="0" r="0" t="0"/>
                              <a:stretch/>
                            </pic:blipFill>
                            <pic:spPr>
                              <a:xfrm>
                                <a:off x="82083" y="82075"/>
                                <a:ext cx="6102667" cy="2559349"/>
                              </a:xfrm>
                              <a:prstGeom prst="rect">
                                <a:avLst/>
                              </a:prstGeom>
                              <a:noFill/>
                              <a:ln>
                                <a:noFill/>
                              </a:ln>
                            </pic:spPr>
                          </pic:pic>
                        </wpg:grpSp>
                      </wpg:grpSp>
                    </wpg:wgp>
                  </a:graphicData>
                </a:graphic>
              </wp:inline>
            </w:drawing>
          </mc:Choice>
          <mc:Fallback>
            <w:drawing>
              <wp:inline distB="0" distT="0" distL="0" distR="0">
                <wp:extent cx="6264275" cy="2729230"/>
                <wp:effectExtent b="0" l="0" r="0" t="0"/>
                <wp:docPr id="454" name="image137.png"/>
                <a:graphic>
                  <a:graphicData uri="http://schemas.openxmlformats.org/drawingml/2006/picture">
                    <pic:pic>
                      <pic:nvPicPr>
                        <pic:cNvPr id="0" name="image137.png"/>
                        <pic:cNvPicPr preferRelativeResize="0"/>
                      </pic:nvPicPr>
                      <pic:blipFill>
                        <a:blip r:embed="rId35"/>
                        <a:srcRect/>
                        <a:stretch>
                          <a:fillRect/>
                        </a:stretch>
                      </pic:blipFill>
                      <pic:spPr>
                        <a:xfrm>
                          <a:off x="0" y="0"/>
                          <a:ext cx="6264275" cy="27292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0">
      <w:pPr>
        <w:spacing w:before="117" w:lineRule="auto"/>
        <w:ind w:left="495" w:right="0" w:firstLine="0"/>
        <w:jc w:val="left"/>
        <w:rPr>
          <w:rFonts w:ascii="Arial" w:cs="Arial" w:eastAsia="Arial" w:hAnsi="Arial"/>
          <w:sz w:val="18"/>
          <w:szCs w:val="18"/>
        </w:rPr>
        <w:sectPr>
          <w:type w:val="continuous"/>
          <w:pgSz w:h="16840" w:w="11920" w:orient="portrait"/>
          <w:pgMar w:bottom="280" w:top="1060" w:left="740" w:right="720" w:header="653" w:footer="0"/>
        </w:sectPr>
      </w:pPr>
      <w:bookmarkStart w:colFirst="0" w:colLast="0" w:name="_heading=h.3rdcrjn" w:id="1"/>
      <w:bookmarkEnd w:id="1"/>
      <w:r w:rsidDel="00000000" w:rsidR="00000000" w:rsidRPr="00000000">
        <w:rPr>
          <w:rFonts w:ascii="Trebuchet MS" w:cs="Trebuchet MS" w:eastAsia="Trebuchet MS" w:hAnsi="Trebuchet MS"/>
          <w:sz w:val="18"/>
          <w:szCs w:val="18"/>
          <w:rtl w:val="0"/>
        </w:rPr>
        <w:t xml:space="preserve">Figure 2. </w:t>
      </w:r>
      <w:r w:rsidDel="00000000" w:rsidR="00000000" w:rsidRPr="00000000">
        <w:rPr>
          <w:rFonts w:ascii="Arial" w:cs="Arial" w:eastAsia="Arial" w:hAnsi="Arial"/>
          <w:sz w:val="18"/>
          <w:szCs w:val="18"/>
          <w:rtl w:val="0"/>
        </w:rPr>
        <w:t xml:space="preserve">Analyses for long-term mortality with MPV treated as continuous variable, hazard ratio as an effect estimate and the Knapp and Hartung adjustment.</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20" w:orient="portrait"/>
          <w:pgMar w:bottom="280" w:top="920" w:left="740" w:right="720" w:header="653" w:footer="0"/>
        </w:sectPr>
      </w:pPr>
      <w:r w:rsidDel="00000000" w:rsidR="00000000" w:rsidRPr="00000000">
        <w:rPr>
          <w:rtl w:val="0"/>
        </w:rPr>
      </w:r>
    </w:p>
    <w:p w:rsidR="00000000" w:rsidDel="00000000" w:rsidP="00000000" w:rsidRDefault="00000000" w:rsidRPr="00000000" w14:paraId="00000072">
      <w:pPr>
        <w:spacing w:before="88" w:line="249" w:lineRule="auto"/>
        <w:ind w:left="102" w:right="38" w:firstLine="0"/>
        <w:jc w:val="both"/>
        <w:rPr>
          <w:sz w:val="20"/>
          <w:szCs w:val="20"/>
        </w:rPr>
      </w:pPr>
      <w:r w:rsidDel="00000000" w:rsidR="00000000" w:rsidRPr="00000000">
        <w:rPr>
          <w:sz w:val="20"/>
          <w:szCs w:val="20"/>
          <w:rtl w:val="0"/>
        </w:rPr>
        <w:t xml:space="preserve">meta-regression based on normal distribution (HR 1.21, 95% CI 1.09</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1.35 per-unit increase in cutpoint value), but not on t-distribution (</w:t>
      </w:r>
      <w:hyperlink r:id="rId36">
        <w:r w:rsidDel="00000000" w:rsidR="00000000" w:rsidRPr="00000000">
          <w:rPr>
            <w:color w:val="0000ff"/>
            <w:sz w:val="20"/>
            <w:szCs w:val="20"/>
            <w:rtl w:val="0"/>
          </w:rPr>
          <w:t xml:space="preserve">Supplementary Figures 13-17</w:t>
        </w:r>
      </w:hyperlink>
      <w:r w:rsidDel="00000000" w:rsidR="00000000" w:rsidRPr="00000000">
        <w:rPr>
          <w:sz w:val="20"/>
          <w:szCs w:val="20"/>
          <w:rtl w:val="0"/>
        </w:rPr>
        <w:t xml:space="preserve">).</w:t>
      </w:r>
    </w:p>
    <w:p w:rsidR="00000000" w:rsidDel="00000000" w:rsidP="00000000" w:rsidRDefault="00000000" w:rsidRPr="00000000" w14:paraId="00000073">
      <w:pPr>
        <w:spacing w:before="0" w:line="249" w:lineRule="auto"/>
        <w:ind w:left="102" w:right="43" w:firstLine="238.99999999999994"/>
        <w:jc w:val="both"/>
        <w:rPr>
          <w:sz w:val="20"/>
          <w:szCs w:val="20"/>
        </w:rPr>
      </w:pPr>
      <w:r w:rsidDel="00000000" w:rsidR="00000000" w:rsidRPr="00000000">
        <w:rPr>
          <w:sz w:val="20"/>
          <w:szCs w:val="20"/>
          <w:rtl w:val="0"/>
        </w:rPr>
        <w:t xml:space="preserve">The inﬂuential diagnostics detected 1 outlier study, but leave-one-out analyses did not support its impact on overall results </w:t>
      </w:r>
      <w:hyperlink r:id="rId37">
        <w:r w:rsidDel="00000000" w:rsidR="00000000" w:rsidRPr="00000000">
          <w:rPr>
            <w:color w:val="0000ff"/>
            <w:sz w:val="20"/>
            <w:szCs w:val="20"/>
            <w:rtl w:val="0"/>
          </w:rPr>
          <w:t xml:space="preserve">(Supplementary Figure 18 and Table 5</w:t>
        </w:r>
      </w:hyperlink>
      <w:r w:rsidDel="00000000" w:rsidR="00000000" w:rsidRPr="00000000">
        <w:rPr>
          <w:sz w:val="20"/>
          <w:szCs w:val="20"/>
          <w:rtl w:val="0"/>
        </w:rPr>
        <w:t xml:space="preserve">). Although formal statistics for publication bias were signiﬁcant, their ﬁndings were not conclusive with the trim and ﬁll method (</w:t>
      </w:r>
      <w:hyperlink r:id="rId38">
        <w:r w:rsidDel="00000000" w:rsidR="00000000" w:rsidRPr="00000000">
          <w:rPr>
            <w:color w:val="0000ff"/>
            <w:sz w:val="20"/>
            <w:szCs w:val="20"/>
            <w:rtl w:val="0"/>
          </w:rPr>
          <w:t xml:space="preserve">Supplementary Figure 19</w:t>
        </w:r>
      </w:hyperlink>
      <w:r w:rsidDel="00000000" w:rsidR="00000000" w:rsidRPr="00000000">
        <w:rPr>
          <w:sz w:val="20"/>
          <w:szCs w:val="20"/>
          <w:rtl w:val="0"/>
        </w:rPr>
        <w:t xml:space="preserve">). The certainty of evidence was qualiﬁed as low.</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spacing w:before="0" w:lineRule="auto"/>
        <w:ind w:left="102"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Other Analyses for Long-Term Outcomes</w:t>
      </w:r>
    </w:p>
    <w:p w:rsidR="00000000" w:rsidDel="00000000" w:rsidP="00000000" w:rsidRDefault="00000000" w:rsidRPr="00000000" w14:paraId="00000076">
      <w:pPr>
        <w:spacing w:before="119" w:line="249" w:lineRule="auto"/>
        <w:ind w:left="102" w:right="45" w:firstLine="303"/>
        <w:jc w:val="both"/>
        <w:rPr>
          <w:sz w:val="20"/>
          <w:szCs w:val="20"/>
        </w:rPr>
      </w:pPr>
      <w:r w:rsidDel="00000000" w:rsidR="00000000" w:rsidRPr="00000000">
        <w:rPr>
          <w:sz w:val="20"/>
          <w:szCs w:val="20"/>
          <w:rtl w:val="0"/>
        </w:rPr>
        <w:t xml:space="preserve">MPVas a linear variable was not associated with the risk of re-MI (HR 1.20, 95% CI .70</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2.72). With odds ratios (ORs) as effect estimates, there was a link between MPV as a categorized variable and MACE (OR 2.04, 95% CI 1.14</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3.63) and mortality (OR 2.94, 95% CI 1.53</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5.63) (</w:t>
      </w:r>
      <w:hyperlink r:id="rId39">
        <w:r w:rsidDel="00000000" w:rsidR="00000000" w:rsidRPr="00000000">
          <w:rPr>
            <w:color w:val="0000ff"/>
            <w:sz w:val="20"/>
            <w:szCs w:val="20"/>
            <w:rtl w:val="0"/>
          </w:rPr>
          <w:t xml:space="preserve">Supplementary</w:t>
        </w:r>
      </w:hyperlink>
      <w:r w:rsidDel="00000000" w:rsidR="00000000" w:rsidRPr="00000000">
        <w:rPr>
          <w:color w:val="0000ff"/>
          <w:sz w:val="20"/>
          <w:szCs w:val="20"/>
          <w:rtl w:val="0"/>
        </w:rPr>
        <w:t xml:space="preserve"> </w:t>
      </w:r>
      <w:hyperlink r:id="rId40">
        <w:r w:rsidDel="00000000" w:rsidR="00000000" w:rsidRPr="00000000">
          <w:rPr>
            <w:color w:val="0000ff"/>
            <w:sz w:val="20"/>
            <w:szCs w:val="20"/>
            <w:rtl w:val="0"/>
          </w:rPr>
          <w:t xml:space="preserve">Figures 20-22</w:t>
        </w:r>
      </w:hyperlink>
      <w:r w:rsidDel="00000000" w:rsidR="00000000" w:rsidRPr="00000000">
        <w:rPr>
          <w:sz w:val="20"/>
          <w:szCs w:val="20"/>
          <w:rtl w:val="0"/>
        </w:rPr>
        <w:t xml:space="preserve">). The quality of evidence was rated as low.</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spacing w:before="1" w:lineRule="auto"/>
        <w:ind w:left="102"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Predictive Value of MPV for One-Month Outcomes</w:t>
      </w:r>
    </w:p>
    <w:p w:rsidR="00000000" w:rsidDel="00000000" w:rsidP="00000000" w:rsidRDefault="00000000" w:rsidRPr="00000000" w14:paraId="00000079">
      <w:pPr>
        <w:spacing w:before="0" w:line="249" w:lineRule="auto"/>
        <w:ind w:left="0" w:right="43" w:firstLine="315"/>
        <w:jc w:val="both"/>
        <w:rPr>
          <w:sz w:val="20"/>
          <w:szCs w:val="20"/>
        </w:rPr>
      </w:pPr>
      <w:r w:rsidDel="00000000" w:rsidR="00000000" w:rsidRPr="00000000">
        <w:rPr>
          <w:sz w:val="20"/>
          <w:szCs w:val="20"/>
          <w:rtl w:val="0"/>
        </w:rPr>
        <w:t xml:space="preserve">One femtoliter (ﬂ) increase in MPV value was not associated with mortality (HR 1.31, 95% CI .81</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2.13). MPV was not predictive of 1-month MACE (OR 1.85, 95% CI: .12</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28.37) and mortality (OR 2.23, 95% CI: .90</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5.54) (</w:t>
      </w:r>
      <w:hyperlink r:id="rId41">
        <w:r w:rsidDel="00000000" w:rsidR="00000000" w:rsidRPr="00000000">
          <w:rPr>
            <w:color w:val="0000ff"/>
            <w:sz w:val="20"/>
            <w:szCs w:val="20"/>
            <w:rtl w:val="0"/>
          </w:rPr>
          <w:t xml:space="preserve">Supplementary</w:t>
        </w:r>
      </w:hyperlink>
      <w:r w:rsidDel="00000000" w:rsidR="00000000" w:rsidRPr="00000000">
        <w:rPr>
          <w:color w:val="0000ff"/>
          <w:sz w:val="20"/>
          <w:szCs w:val="20"/>
          <w:rtl w:val="0"/>
        </w:rPr>
        <w:t xml:space="preserve"> </w:t>
      </w:r>
      <w:hyperlink r:id="rId42">
        <w:r w:rsidDel="00000000" w:rsidR="00000000" w:rsidRPr="00000000">
          <w:rPr>
            <w:color w:val="0000ff"/>
            <w:sz w:val="20"/>
            <w:szCs w:val="20"/>
            <w:rtl w:val="0"/>
          </w:rPr>
          <w:t xml:space="preserve">Figures 23-25</w:t>
        </w:r>
      </w:hyperlink>
      <w:r w:rsidDel="00000000" w:rsidR="00000000" w:rsidRPr="00000000">
        <w:rPr>
          <w:sz w:val="20"/>
          <w:szCs w:val="20"/>
          <w:rtl w:val="0"/>
        </w:rPr>
        <w:t xml:space="preserve">). The grade of evidence was considered as low.</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spacing w:before="0" w:lineRule="auto"/>
        <w:ind w:left="102"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Predictive Value of MPV for In-Hospital Outcomes</w:t>
      </w:r>
    </w:p>
    <w:p w:rsidR="00000000" w:rsidDel="00000000" w:rsidP="00000000" w:rsidRDefault="00000000" w:rsidRPr="00000000" w14:paraId="0000007C">
      <w:pPr>
        <w:spacing w:before="0" w:line="249" w:lineRule="auto"/>
        <w:ind w:left="0" w:right="43" w:firstLine="315"/>
        <w:jc w:val="both"/>
        <w:rPr>
          <w:sz w:val="20"/>
          <w:szCs w:val="20"/>
        </w:rPr>
      </w:pPr>
      <w:r w:rsidDel="00000000" w:rsidR="00000000" w:rsidRPr="00000000">
        <w:rPr>
          <w:sz w:val="20"/>
          <w:szCs w:val="20"/>
          <w:rtl w:val="0"/>
        </w:rPr>
        <w:t xml:space="preserve">As a categorical variable, MPV was associated with the risk of in-hospital mortality (OR 1.72, 95% CI: 1.15</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2.56), but results were derived from only 4 studies (</w:t>
      </w:r>
      <w:hyperlink r:id="rId43">
        <w:r w:rsidDel="00000000" w:rsidR="00000000" w:rsidRPr="00000000">
          <w:rPr>
            <w:color w:val="0000ff"/>
            <w:sz w:val="20"/>
            <w:szCs w:val="20"/>
            <w:rtl w:val="0"/>
          </w:rPr>
          <w:t xml:space="preserve">Supplementary</w:t>
        </w:r>
      </w:hyperlink>
      <w:r w:rsidDel="00000000" w:rsidR="00000000" w:rsidRPr="00000000">
        <w:rPr>
          <w:color w:val="0000ff"/>
          <w:sz w:val="20"/>
          <w:szCs w:val="20"/>
          <w:rtl w:val="0"/>
        </w:rPr>
        <w:t xml:space="preserve"> </w:t>
      </w:r>
      <w:hyperlink r:id="rId44">
        <w:r w:rsidDel="00000000" w:rsidR="00000000" w:rsidRPr="00000000">
          <w:rPr>
            <w:color w:val="0000ff"/>
            <w:sz w:val="20"/>
            <w:szCs w:val="20"/>
            <w:rtl w:val="0"/>
          </w:rPr>
          <w:t xml:space="preserve">Figure 26</w:t>
        </w:r>
      </w:hyperlink>
      <w:r w:rsidDel="00000000" w:rsidR="00000000" w:rsidRPr="00000000">
        <w:rPr>
          <w:sz w:val="20"/>
          <w:szCs w:val="20"/>
          <w:rtl w:val="0"/>
        </w:rPr>
        <w:t xml:space="preserve">). For in-hospital MACE, the results were inconclusive with signiﬁcant ﬁndings from traditional analyses and permutation tests (OR 1.67, 95%CI: 1.00</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2.80), but nonsigniﬁcant ﬁndings from PIs (95% PI .65</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4.32). In addition, the results were not consistent in patients with STEMI (OR 1.32, 95% CI .76</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2.28) and PCI (OR 1.75, 95% CI .06</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52.62). The exploratory univariate meta-regression did not ﬁnd a relationship between cutpoint values and the effect estimate.</w:t>
      </w:r>
    </w:p>
    <w:p w:rsidR="00000000" w:rsidDel="00000000" w:rsidP="00000000" w:rsidRDefault="00000000" w:rsidRPr="00000000" w14:paraId="0000007D">
      <w:pPr>
        <w:spacing w:before="0" w:line="249" w:lineRule="auto"/>
        <w:ind w:left="0" w:right="43" w:firstLine="240"/>
        <w:jc w:val="both"/>
        <w:rPr>
          <w:sz w:val="20"/>
          <w:szCs w:val="20"/>
        </w:rPr>
      </w:pPr>
      <w:r w:rsidDel="00000000" w:rsidR="00000000" w:rsidRPr="00000000">
        <w:rPr>
          <w:sz w:val="20"/>
          <w:szCs w:val="20"/>
          <w:rtl w:val="0"/>
        </w:rPr>
        <w:t xml:space="preserve">One study was found inﬂuential. Leave-one-out analyses altered the signiﬁcance of the main analyses after exclusion of some of the studies (</w:t>
      </w:r>
      <w:hyperlink r:id="rId45">
        <w:r w:rsidDel="00000000" w:rsidR="00000000" w:rsidRPr="00000000">
          <w:rPr>
            <w:color w:val="0000ff"/>
            <w:sz w:val="20"/>
            <w:szCs w:val="20"/>
            <w:rtl w:val="0"/>
          </w:rPr>
          <w:t xml:space="preserve">Supplementary Table 5</w:t>
        </w:r>
      </w:hyperlink>
      <w:r w:rsidDel="00000000" w:rsidR="00000000" w:rsidRPr="00000000">
        <w:rPr>
          <w:sz w:val="20"/>
          <w:szCs w:val="20"/>
          <w:rtl w:val="0"/>
        </w:rPr>
        <w:t xml:space="preserve">). Publication bias was detected by the regression tests with the trim and ﬁll method providing nonsigniﬁcant results (</w:t>
      </w:r>
      <w:hyperlink r:id="rId46">
        <w:r w:rsidDel="00000000" w:rsidR="00000000" w:rsidRPr="00000000">
          <w:rPr>
            <w:color w:val="0000ff"/>
            <w:sz w:val="20"/>
            <w:szCs w:val="20"/>
            <w:rtl w:val="0"/>
          </w:rPr>
          <w:t xml:space="preserve">Supplementary</w:t>
        </w:r>
      </w:hyperlink>
      <w:r w:rsidDel="00000000" w:rsidR="00000000" w:rsidRPr="00000000">
        <w:rPr>
          <w:color w:val="0000ff"/>
          <w:sz w:val="20"/>
          <w:szCs w:val="20"/>
          <w:rtl w:val="0"/>
        </w:rPr>
        <w:t xml:space="preserve"> </w:t>
      </w:r>
      <w:hyperlink r:id="rId47">
        <w:r w:rsidDel="00000000" w:rsidR="00000000" w:rsidRPr="00000000">
          <w:rPr>
            <w:color w:val="0000ff"/>
            <w:sz w:val="20"/>
            <w:szCs w:val="20"/>
            <w:rtl w:val="0"/>
          </w:rPr>
          <w:t xml:space="preserve">Figures 27</w:t>
        </w:r>
      </w:hyperlink>
      <w:r w:rsidDel="00000000" w:rsidR="00000000" w:rsidRPr="00000000">
        <w:rPr>
          <w:rFonts w:ascii="Arial" w:cs="Arial" w:eastAsia="Arial" w:hAnsi="Arial"/>
          <w:color w:val="0000ff"/>
          <w:sz w:val="20"/>
          <w:szCs w:val="20"/>
          <w:rtl w:val="0"/>
        </w:rPr>
        <w:t xml:space="preserve">–</w:t>
      </w:r>
      <w:hyperlink r:id="rId48">
        <w:r w:rsidDel="00000000" w:rsidR="00000000" w:rsidRPr="00000000">
          <w:rPr>
            <w:color w:val="0000ff"/>
            <w:sz w:val="20"/>
            <w:szCs w:val="20"/>
            <w:rtl w:val="0"/>
          </w:rPr>
          <w:t xml:space="preserve">30</w:t>
        </w:r>
      </w:hyperlink>
      <w:r w:rsidDel="00000000" w:rsidR="00000000" w:rsidRPr="00000000">
        <w:rPr>
          <w:sz w:val="20"/>
          <w:szCs w:val="20"/>
          <w:rtl w:val="0"/>
        </w:rPr>
        <w:t xml:space="preserve">). The quality of evidence was rated as very low. For other endpoints (stroke, unplanned revascularization), analyses were not conducted given the absence of published data.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spacing w:before="1" w:lineRule="auto"/>
        <w:ind w:left="102"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Dose</w:t>
      </w:r>
      <w:r w:rsidDel="00000000" w:rsidR="00000000" w:rsidRPr="00000000">
        <w:rPr>
          <w:rFonts w:ascii="Arial" w:cs="Arial" w:eastAsia="Arial" w:hAnsi="Arial"/>
          <w:sz w:val="24"/>
          <w:szCs w:val="24"/>
          <w:rtl w:val="0"/>
        </w:rPr>
        <w:t xml:space="preserve">–</w:t>
      </w:r>
      <w:r w:rsidDel="00000000" w:rsidR="00000000" w:rsidRPr="00000000">
        <w:rPr>
          <w:rFonts w:ascii="Trebuchet MS" w:cs="Trebuchet MS" w:eastAsia="Trebuchet MS" w:hAnsi="Trebuchet MS"/>
          <w:i w:val="1"/>
          <w:sz w:val="24"/>
          <w:szCs w:val="24"/>
          <w:rtl w:val="0"/>
        </w:rPr>
        <w:t xml:space="preserve">Response Meta-Analyses</w:t>
      </w:r>
    </w:p>
    <w:p w:rsidR="00000000" w:rsidDel="00000000" w:rsidP="00000000" w:rsidRDefault="00000000" w:rsidRPr="00000000" w14:paraId="00000080">
      <w:pPr>
        <w:spacing w:before="0" w:line="249" w:lineRule="auto"/>
        <w:ind w:left="0" w:right="44" w:firstLine="285"/>
        <w:jc w:val="both"/>
        <w:rPr>
          <w:sz w:val="20"/>
          <w:szCs w:val="20"/>
        </w:rPr>
      </w:pPr>
      <w:r w:rsidDel="00000000" w:rsidR="00000000" w:rsidRPr="00000000">
        <w:rPr>
          <w:sz w:val="20"/>
          <w:szCs w:val="20"/>
          <w:rtl w:val="0"/>
        </w:rPr>
        <w:t xml:space="preserve">Linear, quadratic, cubic, fractional polynomial, and spline models were constructed. The basic characteristics of the models are provided in </w:t>
      </w:r>
      <w:hyperlink r:id="rId49">
        <w:r w:rsidDel="00000000" w:rsidR="00000000" w:rsidRPr="00000000">
          <w:rPr>
            <w:color w:val="0000ff"/>
            <w:sz w:val="20"/>
            <w:szCs w:val="20"/>
            <w:rtl w:val="0"/>
          </w:rPr>
          <w:t xml:space="preserve">Supplementary Table 6</w:t>
        </w:r>
      </w:hyperlink>
      <w:r w:rsidDel="00000000" w:rsidR="00000000" w:rsidRPr="00000000">
        <w:rPr>
          <w:sz w:val="20"/>
          <w:szCs w:val="20"/>
          <w:rtl w:val="0"/>
        </w:rPr>
        <w:t xml:space="preserve">. For MACE, the best ﬁtted powers for fractional polynomials were 3 and 3. The best knots were determined at 8.49, 10.12, and 10.56. The best ﬁtted model was a linear model with AIC at 13.07 and BIC at 13.23. One ﬂ increment in MPV value was associated with a signiﬁcant increase in the risk of long-term MACE (rate ratio 1.51, 95% CI 1.21</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1.88). In addition, a signiﬁcant nonlinear dose</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response trend was identiﬁed in the cubic and best ﬁtted spline models (the </w:t>
      </w:r>
      <w:r w:rsidDel="00000000" w:rsidR="00000000" w:rsidRPr="00000000">
        <w:rPr>
          <w:i w:val="1"/>
          <w:sz w:val="20"/>
          <w:szCs w:val="20"/>
          <w:rtl w:val="0"/>
        </w:rPr>
        <w:t xml:space="preserve">P </w:t>
      </w:r>
      <w:r w:rsidDel="00000000" w:rsidR="00000000" w:rsidRPr="00000000">
        <w:rPr>
          <w:sz w:val="20"/>
          <w:szCs w:val="20"/>
          <w:rtl w:val="0"/>
        </w:rPr>
        <w:t xml:space="preserve">value for the second spline was .046, z value = 1.996). The latter model reported a gradual increase in the risk of MACE from about 7.5 to 9 ﬂ and, then, a sharp increase from the value of about 9.5 ﬂ (</w:t>
      </w:r>
      <w:hyperlink w:anchor="_heading=h.3j2qqm3">
        <w:r w:rsidDel="00000000" w:rsidR="00000000" w:rsidRPr="00000000">
          <w:rPr>
            <w:color w:val="0000ff"/>
            <w:sz w:val="20"/>
            <w:szCs w:val="20"/>
            <w:rtl w:val="0"/>
          </w:rPr>
          <w:t xml:space="preserve">Figure 3</w:t>
        </w:r>
      </w:hyperlink>
      <w:r w:rsidDel="00000000" w:rsidR="00000000" w:rsidRPr="00000000">
        <w:rPr>
          <w:sz w:val="20"/>
          <w:szCs w:val="20"/>
          <w:rtl w:val="0"/>
        </w:rPr>
        <w:t xml:space="preserve">).</w:t>
      </w:r>
    </w:p>
    <w:p w:rsidR="00000000" w:rsidDel="00000000" w:rsidP="00000000" w:rsidRDefault="00000000" w:rsidRPr="00000000" w14:paraId="00000081">
      <w:pPr>
        <w:spacing w:before="11" w:line="223" w:lineRule="auto"/>
        <w:ind w:left="0" w:right="45" w:firstLine="240"/>
        <w:jc w:val="both"/>
        <w:rPr>
          <w:sz w:val="20"/>
          <w:szCs w:val="20"/>
        </w:rPr>
      </w:pPr>
      <w:r w:rsidDel="00000000" w:rsidR="00000000" w:rsidRPr="00000000">
        <w:rPr>
          <w:sz w:val="20"/>
          <w:szCs w:val="20"/>
          <w:rtl w:val="0"/>
        </w:rPr>
        <w:t xml:space="preserve">Concerning long-term mortality, the best ﬁtted powers for fractional polynomials were </w:t>
      </w:r>
      <w:r w:rsidDel="00000000" w:rsidR="00000000" w:rsidRPr="00000000">
        <w:rPr>
          <w:rFonts w:ascii="Lucida Sans" w:cs="Lucida Sans" w:eastAsia="Lucida Sans" w:hAnsi="Lucida Sans"/>
          <w:sz w:val="20"/>
          <w:szCs w:val="20"/>
          <w:rtl w:val="0"/>
        </w:rPr>
        <w:t xml:space="preserve">-</w:t>
      </w:r>
      <w:r w:rsidDel="00000000" w:rsidR="00000000" w:rsidRPr="00000000">
        <w:rPr>
          <w:sz w:val="20"/>
          <w:szCs w:val="20"/>
          <w:rtl w:val="0"/>
        </w:rPr>
        <w:t xml:space="preserve">2 and 2, meanwhile, the best knots were 8.05, 9.02, and 9.8. The best ﬁtted model was a linear model with AIC at 9.11 and BIC at 9.00. Test for nonlinearity was signiﬁcant for the chosen fractional polynomial model with </w:t>
      </w:r>
      <w:r w:rsidDel="00000000" w:rsidR="00000000" w:rsidRPr="00000000">
        <w:rPr>
          <w:i w:val="1"/>
          <w:sz w:val="20"/>
          <w:szCs w:val="20"/>
          <w:rtl w:val="0"/>
        </w:rPr>
        <w:t xml:space="preserve">P </w:t>
      </w:r>
      <w:r w:rsidDel="00000000" w:rsidR="00000000" w:rsidRPr="00000000">
        <w:rPr>
          <w:sz w:val="20"/>
          <w:szCs w:val="20"/>
          <w:rtl w:val="0"/>
        </w:rPr>
        <w:t xml:space="preserve">value at .03 and .02 for the ﬁrst and second polynomials. The risk of mortality seemed to decrease from 7.0 to 8.0 ﬂ and, then, gradually increase (</w:t>
      </w:r>
      <w:hyperlink r:id="rId50">
        <w:r w:rsidDel="00000000" w:rsidR="00000000" w:rsidRPr="00000000">
          <w:rPr>
            <w:color w:val="0000ff"/>
            <w:sz w:val="20"/>
            <w:szCs w:val="20"/>
            <w:rtl w:val="0"/>
          </w:rPr>
          <w:t xml:space="preserve">Supplementary</w:t>
        </w:r>
      </w:hyperlink>
      <w:r w:rsidDel="00000000" w:rsidR="00000000" w:rsidRPr="00000000">
        <w:rPr>
          <w:color w:val="0000ff"/>
          <w:sz w:val="20"/>
          <w:szCs w:val="20"/>
          <w:rtl w:val="0"/>
        </w:rPr>
        <w:t xml:space="preserve"> </w:t>
      </w:r>
      <w:hyperlink r:id="rId51">
        <w:r w:rsidDel="00000000" w:rsidR="00000000" w:rsidRPr="00000000">
          <w:rPr>
            <w:color w:val="0000ff"/>
            <w:sz w:val="20"/>
            <w:szCs w:val="20"/>
            <w:rtl w:val="0"/>
          </w:rPr>
          <w:t xml:space="preserve">Figure 31</w:t>
        </w:r>
      </w:hyperlink>
      <w:r w:rsidDel="00000000" w:rsidR="00000000" w:rsidRPr="00000000">
        <w:rPr>
          <w:sz w:val="20"/>
          <w:szCs w:val="20"/>
          <w:rtl w:val="0"/>
        </w:rPr>
        <w:t xml:space="preserve">). However, the CIs for low dose intervals were wide and included no effect estimate.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spacing w:before="0" w:lineRule="auto"/>
        <w:ind w:left="102" w:right="0" w:firstLine="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Discussion</w:t>
      </w:r>
    </w:p>
    <w:p w:rsidR="00000000" w:rsidDel="00000000" w:rsidP="00000000" w:rsidRDefault="00000000" w:rsidRPr="00000000" w14:paraId="00000084">
      <w:pPr>
        <w:spacing w:before="0" w:line="249" w:lineRule="auto"/>
        <w:ind w:left="0" w:right="15" w:firstLine="315"/>
        <w:jc w:val="both"/>
        <w:rPr>
          <w:sz w:val="20"/>
          <w:szCs w:val="20"/>
        </w:rPr>
      </w:pPr>
      <w:r w:rsidDel="00000000" w:rsidR="00000000" w:rsidRPr="00000000">
        <w:rPr>
          <w:sz w:val="20"/>
          <w:szCs w:val="20"/>
          <w:rtl w:val="0"/>
        </w:rPr>
        <w:t xml:space="preserve">The major ﬁnding of the present meta-analysis is that MPV, as a continuous variable, was associated with long-term mortality in ACS patients. These results were robust after calculating CIs and PIs with Knapp and Hartung adjustment, running permutation tests and leave-one-out analyses. Furthermore, the dose</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response meta-analyses suggest that there might be a nonlinear relationship between MPV and the risk of long-term outcomes.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spacing w:before="0" w:lineRule="auto"/>
        <w:ind w:left="102"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Comparison With Previous Meta-Analyses</w:t>
      </w:r>
    </w:p>
    <w:p w:rsidR="00000000" w:rsidDel="00000000" w:rsidP="00000000" w:rsidRDefault="00000000" w:rsidRPr="00000000" w14:paraId="00000087">
      <w:pPr>
        <w:spacing w:before="0" w:line="249" w:lineRule="auto"/>
        <w:ind w:left="0" w:right="15" w:firstLine="240"/>
        <w:jc w:val="both"/>
        <w:rPr>
          <w:sz w:val="20"/>
          <w:szCs w:val="20"/>
        </w:rPr>
      </w:pPr>
      <w:r w:rsidDel="00000000" w:rsidR="00000000" w:rsidRPr="00000000">
        <w:rPr>
          <w:sz w:val="20"/>
          <w:szCs w:val="20"/>
          <w:rtl w:val="0"/>
        </w:rPr>
        <w:t xml:space="preserve">To the best of our knowledge, only 2 meta-analyses have been undertaken studying the association between MPV and clinical outcomes in patients with ACS.</w:t>
      </w:r>
      <w:hyperlink w:anchor="_heading=h.3o7alnk">
        <w:r w:rsidDel="00000000" w:rsidR="00000000" w:rsidRPr="00000000">
          <w:rPr>
            <w:color w:val="0000ff"/>
            <w:sz w:val="20"/>
            <w:szCs w:val="20"/>
            <w:vertAlign w:val="superscript"/>
            <w:rtl w:val="0"/>
          </w:rPr>
          <w:t xml:space="preserve">4</w:t>
        </w:r>
      </w:hyperlink>
      <w:r w:rsidDel="00000000" w:rsidR="00000000" w:rsidRPr="00000000">
        <w:rPr>
          <w:sz w:val="20"/>
          <w:szCs w:val="20"/>
          <w:vertAlign w:val="superscript"/>
          <w:rtl w:val="0"/>
        </w:rPr>
        <w:t xml:space="preserve">,</w:t>
      </w:r>
      <w:hyperlink w:anchor="_heading=h.ihv636">
        <w:r w:rsidDel="00000000" w:rsidR="00000000" w:rsidRPr="00000000">
          <w:rPr>
            <w:color w:val="0000ff"/>
            <w:sz w:val="20"/>
            <w:szCs w:val="20"/>
            <w:vertAlign w:val="superscript"/>
            <w:rtl w:val="0"/>
          </w:rPr>
          <w:t xml:space="preserve">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In general, our ﬁndings are in line with those of earlier studies. The ﬁrst systematic review was conducted over a decade ago and uniﬁed only 3 studies. The authors could not establish if the MPV-mortality link was continuous or categorical based on the evidence.</w:t>
      </w:r>
      <w:hyperlink w:anchor="_heading=h.3o7alnk">
        <w:r w:rsidDel="00000000" w:rsidR="00000000" w:rsidRPr="00000000">
          <w:rPr>
            <w:color w:val="0000ff"/>
            <w:sz w:val="20"/>
            <w:szCs w:val="20"/>
            <w:vertAlign w:val="superscript"/>
            <w:rtl w:val="0"/>
          </w:rPr>
          <w:t xml:space="preserve">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second meta-analysis gathered evidence from 14 studies. The authors combined non-adjusted and adjusted effect estimates from primary studies, which is not robust due to the high potential of confounding bias.</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Furthermore, the meta-analysis aggregated all estimates into a single report, regardless of whether the statistics were HRs or ORs, or whether they were continuous or categorical.</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interpretation of meta-analysis results using this approach is challenging.</w:t>
      </w:r>
      <w:r w:rsidDel="00000000" w:rsidR="00000000" w:rsidRPr="00000000">
        <w:rPr>
          <w:rtl w:val="0"/>
        </w:rPr>
      </w:r>
    </w:p>
    <w:p w:rsidR="00000000" w:rsidDel="00000000" w:rsidP="00000000" w:rsidRDefault="00000000" w:rsidRPr="00000000" w14:paraId="00000088">
      <w:pPr>
        <w:spacing w:before="0" w:line="249" w:lineRule="auto"/>
        <w:ind w:left="102" w:right="0" w:firstLine="238.99999999999994"/>
        <w:jc w:val="both"/>
        <w:rPr>
          <w:sz w:val="20"/>
          <w:szCs w:val="20"/>
        </w:rPr>
        <w:sectPr>
          <w:type w:val="continuous"/>
          <w:pgSz w:h="16840" w:w="11920" w:orient="portrait"/>
          <w:pgMar w:bottom="280" w:top="1060" w:left="740" w:right="720" w:header="653" w:footer="0"/>
          <w:cols w:equalWidth="0" w:num="1">
            <w:col w:space="0" w:w="10445.5"/>
          </w:cols>
        </w:sectPr>
      </w:pPr>
      <w:r w:rsidDel="00000000" w:rsidR="00000000" w:rsidRPr="00000000">
        <w:rPr>
          <w:sz w:val="20"/>
          <w:szCs w:val="20"/>
          <w:rtl w:val="0"/>
        </w:rPr>
        <w:t xml:space="preserve">The previous meta-analyses applied a conventional CI estimation based on Wald-type statistics that perform well in a large-sample setting (regarding number of studies).</w:t>
      </w:r>
      <w:hyperlink w:anchor="_heading=h.28h4qwu">
        <w:r w:rsidDel="00000000" w:rsidR="00000000" w:rsidRPr="00000000">
          <w:rPr>
            <w:color w:val="0000ff"/>
            <w:sz w:val="20"/>
            <w:szCs w:val="20"/>
            <w:vertAlign w:val="superscript"/>
            <w:rtl w:val="0"/>
          </w:rPr>
          <w:t xml:space="preserve">18</w:t>
        </w:r>
      </w:hyperlink>
      <w:r w:rsidDel="00000000" w:rsidR="00000000" w:rsidRPr="00000000">
        <w:rPr>
          <w:sz w:val="20"/>
          <w:szCs w:val="20"/>
          <w:vertAlign w:val="superscript"/>
          <w:rtl w:val="0"/>
        </w:rPr>
        <w:t xml:space="preserve">,</w:t>
      </w:r>
      <w:hyperlink w:anchor="_heading=h.nmf14n">
        <w:r w:rsidDel="00000000" w:rsidR="00000000" w:rsidRPr="00000000">
          <w:rPr>
            <w:color w:val="0000ff"/>
            <w:sz w:val="20"/>
            <w:szCs w:val="20"/>
            <w:vertAlign w:val="superscript"/>
            <w:rtl w:val="0"/>
          </w:rPr>
          <w:t xml:space="preserve">19</w:t>
        </w:r>
      </w:hyperlink>
      <w:r w:rsidDel="00000000" w:rsidR="00000000" w:rsidRPr="00000000">
        <w:rPr>
          <w:sz w:val="20"/>
          <w:szCs w:val="20"/>
          <w:vertAlign w:val="superscript"/>
          <w:rtl w:val="0"/>
        </w:rPr>
        <w:t xml:space="preserve">,</w:t>
      </w:r>
      <w:hyperlink w:anchor="_heading=h.3ep43zb">
        <w:r w:rsidDel="00000000" w:rsidR="00000000" w:rsidRPr="00000000">
          <w:rPr>
            <w:color w:val="0000ff"/>
            <w:sz w:val="20"/>
            <w:szCs w:val="20"/>
            <w:vertAlign w:val="superscript"/>
            <w:rtl w:val="0"/>
          </w:rPr>
          <w:t xml:space="preserve">72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In simulation experiments, Wald-type methods produced highly</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735830" cy="3529329"/>
                <wp:effectExtent b="0" l="0" r="0" t="0"/>
                <wp:docPr id="453" name=""/>
                <a:graphic>
                  <a:graphicData uri="http://schemas.microsoft.com/office/word/2010/wordprocessingGroup">
                    <wpg:wgp>
                      <wpg:cNvGrpSpPr/>
                      <wpg:grpSpPr>
                        <a:xfrm>
                          <a:off x="2978075" y="2015325"/>
                          <a:ext cx="4735830" cy="3529329"/>
                          <a:chOff x="2978075" y="2015325"/>
                          <a:chExt cx="4735850" cy="3529350"/>
                        </a:xfrm>
                      </wpg:grpSpPr>
                      <wpg:grpSp>
                        <wpg:cNvGrpSpPr/>
                        <wpg:grpSpPr>
                          <a:xfrm>
                            <a:off x="2978085" y="2015336"/>
                            <a:ext cx="4735830" cy="3529329"/>
                            <a:chOff x="2978075" y="2015325"/>
                            <a:chExt cx="4735850" cy="3529350"/>
                          </a:xfrm>
                        </wpg:grpSpPr>
                        <wps:wsp>
                          <wps:cNvSpPr/>
                          <wps:cNvPr id="3" name="Shape 3"/>
                          <wps:spPr>
                            <a:xfrm>
                              <a:off x="2978075" y="2015325"/>
                              <a:ext cx="4735850" cy="352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8085" y="2015336"/>
                              <a:ext cx="4735830" cy="3529329"/>
                              <a:chOff x="0" y="0"/>
                              <a:chExt cx="4735830" cy="3529329"/>
                            </a:xfrm>
                          </wpg:grpSpPr>
                          <wps:wsp>
                            <wps:cNvSpPr/>
                            <wps:cNvPr id="109" name="Shape 109"/>
                            <wps:spPr>
                              <a:xfrm>
                                <a:off x="0" y="0"/>
                                <a:ext cx="4735825" cy="3529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0" y="0"/>
                                <a:ext cx="4735830" cy="3529329"/>
                              </a:xfrm>
                              <a:custGeom>
                                <a:rect b="b" l="l" r="r" t="t"/>
                                <a:pathLst>
                                  <a:path extrusionOk="0" h="3529329" w="4735830">
                                    <a:moveTo>
                                      <a:pt x="4735449" y="0"/>
                                    </a:moveTo>
                                    <a:lnTo>
                                      <a:pt x="4729683" y="0"/>
                                    </a:lnTo>
                                    <a:lnTo>
                                      <a:pt x="4729683" y="6477"/>
                                    </a:lnTo>
                                    <a:lnTo>
                                      <a:pt x="4729683" y="3522954"/>
                                    </a:lnTo>
                                    <a:lnTo>
                                      <a:pt x="5765" y="3522954"/>
                                    </a:lnTo>
                                    <a:lnTo>
                                      <a:pt x="5765" y="6477"/>
                                    </a:lnTo>
                                    <a:lnTo>
                                      <a:pt x="4729683" y="6477"/>
                                    </a:lnTo>
                                    <a:lnTo>
                                      <a:pt x="4729683" y="0"/>
                                    </a:lnTo>
                                    <a:lnTo>
                                      <a:pt x="0" y="0"/>
                                    </a:lnTo>
                                    <a:lnTo>
                                      <a:pt x="0" y="3528720"/>
                                    </a:lnTo>
                                    <a:lnTo>
                                      <a:pt x="4735449" y="3528720"/>
                                    </a:lnTo>
                                    <a:lnTo>
                                      <a:pt x="4735449" y="0"/>
                                    </a:lnTo>
                                    <a:close/>
                                  </a:path>
                                </a:pathLst>
                              </a:custGeom>
                              <a:solidFill>
                                <a:srgbClr val="000000"/>
                              </a:solidFill>
                              <a:ln>
                                <a:noFill/>
                              </a:ln>
                            </wps:spPr>
                            <wps:bodyPr anchorCtr="0" anchor="ctr" bIns="91425" lIns="91425" spcFirstLastPara="1" rIns="91425" wrap="square" tIns="91425">
                              <a:noAutofit/>
                            </wps:bodyPr>
                          </wps:wsp>
                          <pic:pic>
                            <pic:nvPicPr>
                              <pic:cNvPr id="111" name="Shape 111"/>
                              <pic:cNvPicPr preferRelativeResize="0"/>
                            </pic:nvPicPr>
                            <pic:blipFill rotWithShape="1">
                              <a:blip r:embed="rId52">
                                <a:alphaModFix/>
                              </a:blip>
                              <a:srcRect b="0" l="0" r="0" t="0"/>
                              <a:stretch/>
                            </pic:blipFill>
                            <pic:spPr>
                              <a:xfrm>
                                <a:off x="82085" y="82803"/>
                                <a:ext cx="4571278" cy="3363836"/>
                              </a:xfrm>
                              <a:prstGeom prst="rect">
                                <a:avLst/>
                              </a:prstGeom>
                              <a:noFill/>
                              <a:ln>
                                <a:noFill/>
                              </a:ln>
                            </pic:spPr>
                          </pic:pic>
                        </wpg:grpSp>
                      </wpg:grpSp>
                    </wpg:wgp>
                  </a:graphicData>
                </a:graphic>
              </wp:inline>
            </w:drawing>
          </mc:Choice>
          <mc:Fallback>
            <w:drawing>
              <wp:inline distB="0" distT="0" distL="0" distR="0">
                <wp:extent cx="4735830" cy="3529329"/>
                <wp:effectExtent b="0" l="0" r="0" t="0"/>
                <wp:docPr id="453" name="image136.png"/>
                <a:graphic>
                  <a:graphicData uri="http://schemas.openxmlformats.org/drawingml/2006/picture">
                    <pic:pic>
                      <pic:nvPicPr>
                        <pic:cNvPr id="0" name="image136.png"/>
                        <pic:cNvPicPr preferRelativeResize="0"/>
                      </pic:nvPicPr>
                      <pic:blipFill>
                        <a:blip r:embed="rId53"/>
                        <a:srcRect/>
                        <a:stretch>
                          <a:fillRect/>
                        </a:stretch>
                      </pic:blipFill>
                      <pic:spPr>
                        <a:xfrm>
                          <a:off x="0" y="0"/>
                          <a:ext cx="4735830" cy="35293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C">
      <w:pPr>
        <w:spacing w:before="116" w:line="242" w:lineRule="auto"/>
        <w:ind w:left="495" w:right="120" w:firstLine="0"/>
        <w:jc w:val="left"/>
        <w:rPr>
          <w:rFonts w:ascii="Arial" w:cs="Arial" w:eastAsia="Arial" w:hAnsi="Arial"/>
          <w:sz w:val="18"/>
          <w:szCs w:val="18"/>
        </w:rPr>
        <w:sectPr>
          <w:type w:val="nextPage"/>
          <w:pgSz w:h="16840" w:w="11920" w:orient="portrait"/>
          <w:pgMar w:bottom="280" w:top="920" w:left="740" w:right="720" w:header="653" w:footer="0"/>
        </w:sectPr>
      </w:pPr>
      <w:bookmarkStart w:colFirst="0" w:colLast="0" w:name="_heading=h.3j2qqm3" w:id="2"/>
      <w:bookmarkEnd w:id="2"/>
      <w:r w:rsidDel="00000000" w:rsidR="00000000" w:rsidRPr="00000000">
        <w:rPr>
          <w:rFonts w:ascii="Trebuchet MS" w:cs="Trebuchet MS" w:eastAsia="Trebuchet MS" w:hAnsi="Trebuchet MS"/>
          <w:sz w:val="18"/>
          <w:szCs w:val="18"/>
          <w:rtl w:val="0"/>
        </w:rPr>
        <w:t xml:space="preserve">Figure 3. </w:t>
      </w:r>
      <w:r w:rsidDel="00000000" w:rsidR="00000000" w:rsidRPr="00000000">
        <w:rPr>
          <w:rFonts w:ascii="Arial" w:cs="Arial" w:eastAsia="Arial" w:hAnsi="Arial"/>
          <w:sz w:val="18"/>
          <w:szCs w:val="18"/>
          <w:rtl w:val="0"/>
        </w:rPr>
        <w:t xml:space="preserve">Dose–response relationship between mean platelet volume and long-term MACE. (A) Individual prediction curve with conﬁdence intervals for a quadratic model; (B) individual prediction curve with conﬁdence intervals for a cubic model; (C) individual prediction curve with conﬁdence intervals for the best ﬁtted fractional polynomial model with powers </w:t>
      </w:r>
      <w:r w:rsidDel="00000000" w:rsidR="00000000" w:rsidRPr="00000000">
        <w:rPr>
          <w:rFonts w:ascii="Trebuchet MS" w:cs="Trebuchet MS" w:eastAsia="Trebuchet MS" w:hAnsi="Trebuchet MS"/>
          <w:i w:val="1"/>
          <w:sz w:val="18"/>
          <w:szCs w:val="18"/>
          <w:rtl w:val="0"/>
        </w:rPr>
        <w:t xml:space="preserve">P</w:t>
      </w:r>
      <w:r w:rsidDel="00000000" w:rsidR="00000000" w:rsidRPr="00000000">
        <w:rPr>
          <w:rFonts w:ascii="Arial" w:cs="Arial" w:eastAsia="Arial" w:hAnsi="Arial"/>
          <w:sz w:val="18"/>
          <w:szCs w:val="18"/>
          <w:rtl w:val="0"/>
        </w:rPr>
        <w:t xml:space="preserve">(3, 3); (D) individual prediction curve with conﬁdence intervals for the best ﬁtted spline regression model with knots at 8.49, 10.12, and 10.56.</w:t>
      </w:r>
    </w:p>
    <w:p w:rsidR="00000000" w:rsidDel="00000000" w:rsidP="00000000" w:rsidRDefault="00000000" w:rsidRPr="00000000" w14:paraId="0000008D">
      <w:pPr>
        <w:spacing w:before="90" w:line="222" w:lineRule="auto"/>
        <w:ind w:left="495" w:right="0" w:firstLine="0"/>
        <w:jc w:val="both"/>
        <w:rPr>
          <w:sz w:val="20"/>
          <w:szCs w:val="20"/>
        </w:rPr>
      </w:pPr>
      <w:r w:rsidDel="00000000" w:rsidR="00000000" w:rsidRPr="00000000">
        <w:rPr>
          <w:sz w:val="20"/>
          <w:szCs w:val="20"/>
          <w:rtl w:val="0"/>
        </w:rPr>
        <w:t xml:space="preserve">inaccurate results when the number of studies were below 16.</w:t>
      </w:r>
      <w:hyperlink w:anchor="_heading=h.1tuee74">
        <w:r w:rsidDel="00000000" w:rsidR="00000000" w:rsidRPr="00000000">
          <w:rPr>
            <w:color w:val="0000ff"/>
            <w:sz w:val="21.666666666666668"/>
            <w:szCs w:val="21.666666666666668"/>
            <w:vertAlign w:val="superscript"/>
            <w:rtl w:val="0"/>
          </w:rPr>
          <w:t xml:space="preserve">73</w:t>
        </w:r>
      </w:hyperlink>
      <w:r w:rsidDel="00000000" w:rsidR="00000000" w:rsidRPr="00000000">
        <w:rPr>
          <w:color w:val="0000ff"/>
          <w:sz w:val="21.666666666666668"/>
          <w:szCs w:val="21.666666666666668"/>
          <w:vertAlign w:val="superscript"/>
          <w:rtl w:val="0"/>
        </w:rPr>
        <w:t xml:space="preserve"> </w:t>
      </w:r>
      <w:r w:rsidDel="00000000" w:rsidR="00000000" w:rsidRPr="00000000">
        <w:rPr>
          <w:sz w:val="20"/>
          <w:szCs w:val="20"/>
          <w:rtl w:val="0"/>
        </w:rPr>
        <w:t xml:space="preserve">As can be observed, all of our meta-analyses included &lt;10 items; hence, a standard CI calculation should perform worse in these circumstances. Furthermore, if I2 (a measure of heterogeneity) is as high as 90% in a simulated study, the coverage probability of this strategy drops to .65.</w:t>
      </w:r>
      <w:hyperlink w:anchor="_heading=h.nmf14n">
        <w:r w:rsidDel="00000000" w:rsidR="00000000" w:rsidRPr="00000000">
          <w:rPr>
            <w:color w:val="0000ff"/>
            <w:sz w:val="20"/>
            <w:szCs w:val="20"/>
            <w:vertAlign w:val="superscript"/>
            <w:rtl w:val="0"/>
          </w:rPr>
          <w:t xml:space="preserve">19</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For a meta-analysis of prognostic studies, high heterogeneity could be regarded as a rule rather than exception;</w:t>
      </w:r>
      <w:hyperlink w:anchor="_heading=h.1hmsyys">
        <w:r w:rsidDel="00000000" w:rsidR="00000000" w:rsidRPr="00000000">
          <w:rPr>
            <w:color w:val="0000ff"/>
            <w:sz w:val="20"/>
            <w:szCs w:val="20"/>
            <w:vertAlign w:val="superscript"/>
            <w:rtl w:val="0"/>
          </w:rPr>
          <w:t xml:space="preserve">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thus, a Wald-type CI estimation should not be considered as a ﬁrst option.</w:t>
      </w:r>
      <w:hyperlink w:anchor="_heading=h.nmf14n">
        <w:r w:rsidDel="00000000" w:rsidR="00000000" w:rsidRPr="00000000">
          <w:rPr>
            <w:color w:val="0000ff"/>
            <w:sz w:val="20"/>
            <w:szCs w:val="20"/>
            <w:vertAlign w:val="superscript"/>
            <w:rtl w:val="0"/>
          </w:rPr>
          <w:t xml:space="preserve">19</w:t>
        </w:r>
      </w:hyperlink>
      <w:r w:rsidDel="00000000" w:rsidR="00000000" w:rsidRPr="00000000">
        <w:rPr>
          <w:sz w:val="20"/>
          <w:szCs w:val="20"/>
          <w:vertAlign w:val="superscript"/>
          <w:rtl w:val="0"/>
        </w:rPr>
        <w:t xml:space="preserve">,</w:t>
      </w:r>
      <w:hyperlink w:anchor="_heading=h.3ep43zb">
        <w:r w:rsidDel="00000000" w:rsidR="00000000" w:rsidRPr="00000000">
          <w:rPr>
            <w:color w:val="0000ff"/>
            <w:sz w:val="20"/>
            <w:szCs w:val="20"/>
            <w:vertAlign w:val="superscript"/>
            <w:rtl w:val="0"/>
          </w:rPr>
          <w:t xml:space="preserve">72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Real-world data from 689 meta-analyses revealed that 25.1% of signiﬁcant outcomes from traditional analyses were determined to be nonsigniﬁcant after Knapp and Hartung adjustment.</w:t>
      </w:r>
      <w:hyperlink w:anchor="_heading=h.3ep43zb">
        <w:r w:rsidDel="00000000" w:rsidR="00000000" w:rsidRPr="00000000">
          <w:rPr>
            <w:color w:val="0000ff"/>
            <w:sz w:val="20"/>
            <w:szCs w:val="20"/>
            <w:vertAlign w:val="superscript"/>
            <w:rtl w:val="0"/>
          </w:rPr>
          <w:t xml:space="preserve">72</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Given these facts, several authors have recommended Knapp and Hartung adjustment for CI computation as a preferred strategy for meta-analyses.</w:t>
      </w:r>
      <w:hyperlink w:anchor="_heading=h.28h4qwu">
        <w:r w:rsidDel="00000000" w:rsidR="00000000" w:rsidRPr="00000000">
          <w:rPr>
            <w:color w:val="0000ff"/>
            <w:sz w:val="20"/>
            <w:szCs w:val="20"/>
            <w:vertAlign w:val="superscript"/>
            <w:rtl w:val="0"/>
          </w:rPr>
          <w:t xml:space="preserve">18</w:t>
        </w:r>
      </w:hyperlink>
      <w:r w:rsidDel="00000000" w:rsidR="00000000" w:rsidRPr="00000000">
        <w:rPr>
          <w:sz w:val="20"/>
          <w:szCs w:val="20"/>
          <w:vertAlign w:val="superscript"/>
          <w:rtl w:val="0"/>
        </w:rPr>
        <w:t xml:space="preserve">,</w:t>
      </w:r>
      <w:hyperlink w:anchor="_heading=h.nmf14n">
        <w:r w:rsidDel="00000000" w:rsidR="00000000" w:rsidRPr="00000000">
          <w:rPr>
            <w:color w:val="0000ff"/>
            <w:sz w:val="20"/>
            <w:szCs w:val="20"/>
            <w:vertAlign w:val="superscript"/>
            <w:rtl w:val="0"/>
          </w:rPr>
          <w:t xml:space="preserve">19</w:t>
        </w:r>
      </w:hyperlink>
      <w:r w:rsidDel="00000000" w:rsidR="00000000" w:rsidRPr="00000000">
        <w:rPr>
          <w:sz w:val="20"/>
          <w:szCs w:val="20"/>
          <w:vertAlign w:val="superscript"/>
          <w:rtl w:val="0"/>
        </w:rPr>
        <w:t xml:space="preserve">,</w:t>
      </w:r>
      <w:hyperlink w:anchor="_heading=h.3ep43zb">
        <w:r w:rsidDel="00000000" w:rsidR="00000000" w:rsidRPr="00000000">
          <w:rPr>
            <w:color w:val="0000ff"/>
            <w:sz w:val="20"/>
            <w:szCs w:val="20"/>
            <w:vertAlign w:val="superscript"/>
            <w:rtl w:val="0"/>
          </w:rPr>
          <w:t xml:space="preserve">72</w:t>
        </w:r>
      </w:hyperlink>
      <w:r w:rsidDel="00000000" w:rsidR="00000000" w:rsidRPr="00000000">
        <w:rPr>
          <w:rtl w:val="0"/>
        </w:rPr>
      </w:r>
    </w:p>
    <w:p w:rsidR="00000000" w:rsidDel="00000000" w:rsidP="00000000" w:rsidRDefault="00000000" w:rsidRPr="00000000" w14:paraId="0000008E">
      <w:pPr>
        <w:spacing w:before="0" w:line="249" w:lineRule="auto"/>
        <w:ind w:left="495" w:right="0" w:firstLine="237.99999999999997"/>
        <w:jc w:val="both"/>
        <w:rPr>
          <w:sz w:val="20"/>
          <w:szCs w:val="20"/>
        </w:rPr>
      </w:pPr>
      <w:r w:rsidDel="00000000" w:rsidR="00000000" w:rsidRPr="00000000">
        <w:rPr>
          <w:sz w:val="20"/>
          <w:szCs w:val="20"/>
          <w:rtl w:val="0"/>
        </w:rPr>
        <w:t xml:space="preserve">By running permutation tests and calculating PIs, we further attempted to lessen the chance of type I error compared with the prior reviews.</w:t>
      </w:r>
      <w:hyperlink w:anchor="_heading=h.37m2jsg">
        <w:r w:rsidDel="00000000" w:rsidR="00000000" w:rsidRPr="00000000">
          <w:rPr>
            <w:color w:val="0000ff"/>
            <w:sz w:val="20"/>
            <w:szCs w:val="20"/>
            <w:vertAlign w:val="superscript"/>
            <w:rtl w:val="0"/>
          </w:rPr>
          <w:t xml:space="preserve">20</w:t>
        </w:r>
      </w:hyperlink>
      <w:r w:rsidDel="00000000" w:rsidR="00000000" w:rsidRPr="00000000">
        <w:rPr>
          <w:sz w:val="20"/>
          <w:szCs w:val="20"/>
          <w:vertAlign w:val="superscript"/>
          <w:rtl w:val="0"/>
        </w:rPr>
        <w:t xml:space="preserve">-</w:t>
      </w:r>
      <w:hyperlink w:anchor="_heading=h.46r0co2">
        <w:r w:rsidDel="00000000" w:rsidR="00000000" w:rsidRPr="00000000">
          <w:rPr>
            <w:color w:val="0000ff"/>
            <w:sz w:val="20"/>
            <w:szCs w:val="20"/>
            <w:vertAlign w:val="superscript"/>
            <w:rtl w:val="0"/>
          </w:rPr>
          <w:t xml:space="preserve">22</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spacing w:before="0" w:lineRule="auto"/>
        <w:ind w:left="495" w:right="0" w:firstLine="0"/>
        <w:jc w:val="both"/>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Implications for Clinical Practice and Further Research</w:t>
      </w:r>
    </w:p>
    <w:p w:rsidR="00000000" w:rsidDel="00000000" w:rsidP="00000000" w:rsidRDefault="00000000" w:rsidRPr="00000000" w14:paraId="00000091">
      <w:pPr>
        <w:spacing w:before="118" w:line="249" w:lineRule="auto"/>
        <w:ind w:left="495" w:right="0" w:hanging="1.0000000000000142"/>
        <w:jc w:val="both"/>
        <w:rPr>
          <w:sz w:val="20"/>
          <w:szCs w:val="20"/>
        </w:rPr>
        <w:sectPr>
          <w:type w:val="continuous"/>
          <w:pgSz w:h="16840" w:w="11920" w:orient="portrait"/>
          <w:pgMar w:bottom="280" w:top="1060" w:left="740" w:right="720" w:header="653" w:footer="0"/>
          <w:cols w:equalWidth="0" w:num="1">
            <w:col w:space="0" w:w="10445.5"/>
          </w:cols>
        </w:sectPr>
      </w:pPr>
      <w:r w:rsidDel="00000000" w:rsidR="00000000" w:rsidRPr="00000000">
        <w:rPr>
          <w:sz w:val="20"/>
          <w:szCs w:val="20"/>
          <w:rtl w:val="0"/>
        </w:rPr>
        <w:t xml:space="preserve">Risk stratiﬁcation is central to the management of ACS, both in determining who should receive cardiac catheterization, the timings, and antiplatelet/antithrombotic regimes utilized both in type and duration.</w:t>
      </w:r>
      <w:hyperlink w:anchor="_heading=h.4du1wux">
        <w:r w:rsidDel="00000000" w:rsidR="00000000" w:rsidRPr="00000000">
          <w:rPr>
            <w:color w:val="0000ff"/>
            <w:sz w:val="20"/>
            <w:szCs w:val="20"/>
            <w:vertAlign w:val="superscript"/>
            <w:rtl w:val="0"/>
          </w:rPr>
          <w:t xml:space="preserve">74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Nevertheless, risk stratiﬁcation is challenging evidenced by the large volume of literature</w:t>
      </w:r>
      <w:r w:rsidDel="00000000" w:rsidR="00000000" w:rsidRPr="00000000">
        <w:rPr>
          <w:sz w:val="20"/>
          <w:szCs w:val="20"/>
          <w:rtl w:val="0"/>
        </w:rPr>
        <w:t xml:space="preserve"> published around novel risk stratiﬁcation tools in ACS. Previous studies such as Roe et al.</w:t>
      </w:r>
      <w:hyperlink w:anchor="_heading=h.2szc72q">
        <w:r w:rsidDel="00000000" w:rsidR="00000000" w:rsidRPr="00000000">
          <w:rPr>
            <w:color w:val="0000ff"/>
            <w:sz w:val="20"/>
            <w:szCs w:val="20"/>
            <w:vertAlign w:val="superscript"/>
            <w:rtl w:val="0"/>
          </w:rPr>
          <w:t xml:space="preserve">75</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suggested that 10.5% of non-ST-segment elevation MI (NSTEMI) patients did not have any typical risk factors, but they were at a higher risk of dying in the hospital. Similarly, in an analysis of 62 048 patients with a ﬁrst STEMI from using data from the Swedish myocardial infarction registry, 14.9% of patients had no standard modiﬁable cardiovascular risk factors but had a higher rate of in-hospital all-cause mortality.</w:t>
      </w:r>
      <w:hyperlink w:anchor="_heading=h.184mhaj">
        <w:r w:rsidDel="00000000" w:rsidR="00000000" w:rsidRPr="00000000">
          <w:rPr>
            <w:color w:val="0000ff"/>
            <w:sz w:val="20"/>
            <w:szCs w:val="20"/>
            <w:vertAlign w:val="superscript"/>
            <w:rtl w:val="0"/>
          </w:rPr>
          <w:t xml:space="preserve">76</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Currently, the Global Registry of Acute Coronary Events (GRACE) score is recommended for risk stratiﬁcation of NST-ACS patients.</w:t>
      </w:r>
      <w:hyperlink w:anchor="_heading=h.4du1wux">
        <w:r w:rsidDel="00000000" w:rsidR="00000000" w:rsidRPr="00000000">
          <w:rPr>
            <w:color w:val="0000ff"/>
            <w:sz w:val="20"/>
            <w:szCs w:val="20"/>
            <w:vertAlign w:val="superscript"/>
            <w:rtl w:val="0"/>
          </w:rPr>
          <w:t xml:space="preserve">74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However, the discriminative ability of the GRACE score is not absolute</w:t>
      </w:r>
      <w:hyperlink w:anchor="_heading=h.43ky6rz">
        <w:r w:rsidDel="00000000" w:rsidR="00000000" w:rsidRPr="00000000">
          <w:rPr>
            <w:color w:val="0000ff"/>
            <w:sz w:val="20"/>
            <w:szCs w:val="20"/>
            <w:vertAlign w:val="superscript"/>
            <w:rtl w:val="0"/>
          </w:rPr>
          <w:t xml:space="preserve">45</w:t>
        </w:r>
      </w:hyperlink>
      <w:r w:rsidDel="00000000" w:rsidR="00000000" w:rsidRPr="00000000">
        <w:rPr>
          <w:sz w:val="20"/>
          <w:szCs w:val="20"/>
          <w:vertAlign w:val="superscript"/>
          <w:rtl w:val="0"/>
        </w:rPr>
        <w:t xml:space="preserve">,</w:t>
      </w:r>
      <w:hyperlink w:anchor="_heading=h.1302m92">
        <w:r w:rsidDel="00000000" w:rsidR="00000000" w:rsidRPr="00000000">
          <w:rPr>
            <w:color w:val="0000ff"/>
            <w:sz w:val="20"/>
            <w:szCs w:val="20"/>
            <w:vertAlign w:val="superscript"/>
            <w:rtl w:val="0"/>
          </w:rPr>
          <w:t xml:space="preserve">63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with signiﬁcant work in identifying risk stratiﬁcation tools that can aid decision making. The European society of Cardiology (ESC) has highlighted several gaps in evidence in ACS in its recent guidelines, particularly whether risk stratiﬁcation of NSTE-ACS patients based on multivariable risk prediction models improves clinical outcomes and highlights that no dedicated RCT has evaluated the value of a management strategy based on a risk prediction model.</w:t>
      </w:r>
      <w:hyperlink w:anchor="_heading=h.4du1wux">
        <w:r w:rsidDel="00000000" w:rsidR="00000000" w:rsidRPr="00000000">
          <w:rPr>
            <w:color w:val="0000ff"/>
            <w:sz w:val="20"/>
            <w:szCs w:val="20"/>
            <w:vertAlign w:val="superscript"/>
            <w:rtl w:val="0"/>
          </w:rPr>
          <w:t xml:space="preserve">74</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Our meta-analysis builds on these recommendations, providing strong evidence for the predictive importance of MPV in determining the risk of long-term death in ACS. It is worth noting that the analyses were adjusted for conventional risk factors and other commonly used risk stratiﬁcation tools. As a result, MPV may be able to assist clinicians in identifying</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20" w:orient="portrait"/>
          <w:pgMar w:bottom="280" w:top="920" w:left="740" w:right="720" w:header="653" w:footer="0"/>
        </w:sectPr>
      </w:pPr>
      <w:r w:rsidDel="00000000" w:rsidR="00000000" w:rsidRPr="00000000">
        <w:rPr>
          <w:rtl w:val="0"/>
        </w:rPr>
      </w:r>
    </w:p>
    <w:p w:rsidR="00000000" w:rsidDel="00000000" w:rsidP="00000000" w:rsidRDefault="00000000" w:rsidRPr="00000000" w14:paraId="00000093">
      <w:pPr>
        <w:spacing w:before="88" w:line="249" w:lineRule="auto"/>
        <w:ind w:left="102" w:right="39" w:firstLine="0"/>
        <w:jc w:val="both"/>
        <w:rPr>
          <w:sz w:val="20"/>
          <w:szCs w:val="20"/>
        </w:rPr>
      </w:pPr>
      <w:r w:rsidDel="00000000" w:rsidR="00000000" w:rsidRPr="00000000">
        <w:rPr>
          <w:sz w:val="20"/>
          <w:szCs w:val="20"/>
          <w:rtl w:val="0"/>
        </w:rPr>
        <w:t xml:space="preserve">individuals who are at risk of adverse outcomes despite the absence of established predictors. The independent prognostic role of MPV could also be explained from a physiological point of view. Large platelets were found to be more reactive, contain a higher number of granules with prothrombotic agents and have higher ability for aggregation.</w:t>
      </w:r>
      <w:hyperlink w:anchor="_heading=h.147n2zr">
        <w:r w:rsidDel="00000000" w:rsidR="00000000" w:rsidRPr="00000000">
          <w:rPr>
            <w:color w:val="0000ff"/>
            <w:sz w:val="20"/>
            <w:szCs w:val="20"/>
            <w:vertAlign w:val="superscript"/>
            <w:rtl w:val="0"/>
          </w:rPr>
          <w:t xml:space="preserve">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Recent research has shown that combining the GRACE score with MPV improves its prognostic ability.</w:t>
      </w:r>
      <w:hyperlink w:anchor="_heading=h.43ky6rz">
        <w:r w:rsidDel="00000000" w:rsidR="00000000" w:rsidRPr="00000000">
          <w:rPr>
            <w:color w:val="0000ff"/>
            <w:sz w:val="20"/>
            <w:szCs w:val="20"/>
            <w:vertAlign w:val="superscript"/>
            <w:rtl w:val="0"/>
          </w:rPr>
          <w:t xml:space="preserve">45</w:t>
        </w:r>
      </w:hyperlink>
      <w:r w:rsidDel="00000000" w:rsidR="00000000" w:rsidRPr="00000000">
        <w:rPr>
          <w:sz w:val="20"/>
          <w:szCs w:val="20"/>
          <w:vertAlign w:val="superscript"/>
          <w:rtl w:val="0"/>
        </w:rPr>
        <w:t xml:space="preserve">,</w:t>
      </w:r>
      <w:hyperlink w:anchor="_heading=h.1302m92">
        <w:r w:rsidDel="00000000" w:rsidR="00000000" w:rsidRPr="00000000">
          <w:rPr>
            <w:color w:val="0000ff"/>
            <w:sz w:val="20"/>
            <w:szCs w:val="20"/>
            <w:vertAlign w:val="superscript"/>
            <w:rtl w:val="0"/>
          </w:rPr>
          <w:t xml:space="preserve">63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Niu et al,</w:t>
      </w:r>
      <w:hyperlink w:anchor="_heading=h.1302m92">
        <w:r w:rsidDel="00000000" w:rsidR="00000000" w:rsidRPr="00000000">
          <w:rPr>
            <w:color w:val="0000ff"/>
            <w:sz w:val="20"/>
            <w:szCs w:val="20"/>
            <w:vertAlign w:val="superscript"/>
            <w:rtl w:val="0"/>
          </w:rPr>
          <w:t xml:space="preserve">63</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for example, found that using the MPV allowed them to correctly reclassify 16% of cases. There is also some evidence that MPV may have an impact on therapy selection. In the Huczek et al</w:t>
      </w:r>
      <w:hyperlink w:anchor="_heading=h.2zbgiuw">
        <w:r w:rsidDel="00000000" w:rsidR="00000000" w:rsidRPr="00000000">
          <w:rPr>
            <w:color w:val="0000ff"/>
            <w:sz w:val="20"/>
            <w:szCs w:val="20"/>
            <w:vertAlign w:val="superscript"/>
            <w:rtl w:val="0"/>
          </w:rPr>
          <w:t xml:space="preserve">28</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study, only patients with high MPV gained mortality beneﬁts from abciximab administration. However, as highlighted by recent ESC NSTEMI guidelines, whether the use of prognosis tools can improve outcomes in ACS patients should be studied further in large-scale randomized controlled trials.</w:t>
      </w:r>
      <w:hyperlink w:anchor="_heading=h.4du1wux">
        <w:r w:rsidDel="00000000" w:rsidR="00000000" w:rsidRPr="00000000">
          <w:rPr>
            <w:color w:val="0000ff"/>
            <w:sz w:val="20"/>
            <w:szCs w:val="20"/>
            <w:vertAlign w:val="superscript"/>
            <w:rtl w:val="0"/>
          </w:rPr>
          <w:t xml:space="preserve">74</w:t>
        </w:r>
      </w:hyperlink>
      <w:r w:rsidDel="00000000" w:rsidR="00000000" w:rsidRPr="00000000">
        <w:rPr>
          <w:rtl w:val="0"/>
        </w:rPr>
      </w:r>
    </w:p>
    <w:p w:rsidR="00000000" w:rsidDel="00000000" w:rsidP="00000000" w:rsidRDefault="00000000" w:rsidRPr="00000000" w14:paraId="00000094">
      <w:pPr>
        <w:spacing w:before="0" w:line="249" w:lineRule="auto"/>
        <w:ind w:left="102" w:right="38" w:firstLine="238.99999999999994"/>
        <w:jc w:val="both"/>
        <w:rPr>
          <w:sz w:val="20"/>
          <w:szCs w:val="20"/>
        </w:rPr>
      </w:pPr>
      <w:r w:rsidDel="00000000" w:rsidR="00000000" w:rsidRPr="00000000">
        <w:rPr>
          <w:sz w:val="20"/>
          <w:szCs w:val="20"/>
          <w:rtl w:val="0"/>
        </w:rPr>
        <w:t xml:space="preserve">In our meta-analysis, there was no signiﬁcant association between MPV and risk of MACE after PI calculation. We assume that inconsistent results were partially due to different endpoint deﬁnitions used in primary studies.</w:t>
      </w:r>
      <w:hyperlink w:anchor="_heading=h.3s49zyc">
        <w:r w:rsidDel="00000000" w:rsidR="00000000" w:rsidRPr="00000000">
          <w:rPr>
            <w:color w:val="0000ff"/>
            <w:sz w:val="20"/>
            <w:szCs w:val="20"/>
            <w:vertAlign w:val="superscript"/>
            <w:rtl w:val="0"/>
          </w:rPr>
          <w:t xml:space="preserve">77</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For example, MACE was deﬁned as a composite of all-cause mortality, non-fatal re-MI, stroke, heart failure, or unplanned revascularization by Niu et al., and as a composite of all-cause mortality or non-fatal MI by Yu et al.</w:t>
      </w:r>
      <w:hyperlink w:anchor="_heading=h.2w5ecyt">
        <w:r w:rsidDel="00000000" w:rsidR="00000000" w:rsidRPr="00000000">
          <w:rPr>
            <w:color w:val="0000ff"/>
            <w:sz w:val="20"/>
            <w:szCs w:val="20"/>
            <w:vertAlign w:val="superscript"/>
            <w:rtl w:val="0"/>
          </w:rPr>
          <w:t xml:space="preserve">52</w:t>
        </w:r>
      </w:hyperlink>
      <w:r w:rsidDel="00000000" w:rsidR="00000000" w:rsidRPr="00000000">
        <w:rPr>
          <w:sz w:val="20"/>
          <w:szCs w:val="20"/>
          <w:vertAlign w:val="superscript"/>
          <w:rtl w:val="0"/>
        </w:rPr>
        <w:t xml:space="preserve">,</w:t>
      </w:r>
      <w:hyperlink w:anchor="_heading=h.pkwqa1">
        <w:r w:rsidDel="00000000" w:rsidR="00000000" w:rsidRPr="00000000">
          <w:rPr>
            <w:color w:val="0000ff"/>
            <w:sz w:val="20"/>
            <w:szCs w:val="20"/>
            <w:vertAlign w:val="superscript"/>
            <w:rtl w:val="0"/>
          </w:rPr>
          <w:t xml:space="preserve">57</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Hence, future studies should focus on non-fatal endpoints with consensus-based deﬁnitions.</w:t>
      </w:r>
      <w:r w:rsidDel="00000000" w:rsidR="00000000" w:rsidRPr="00000000">
        <w:rPr>
          <w:rtl w:val="0"/>
        </w:rPr>
      </w:r>
    </w:p>
    <w:p w:rsidR="00000000" w:rsidDel="00000000" w:rsidP="00000000" w:rsidRDefault="00000000" w:rsidRPr="00000000" w14:paraId="00000095">
      <w:pPr>
        <w:spacing w:before="0" w:line="249" w:lineRule="auto"/>
        <w:ind w:left="102" w:right="39" w:firstLine="238.99999999999994"/>
        <w:jc w:val="both"/>
        <w:rPr>
          <w:sz w:val="20"/>
          <w:szCs w:val="20"/>
        </w:rPr>
      </w:pPr>
      <w:r w:rsidDel="00000000" w:rsidR="00000000" w:rsidRPr="00000000">
        <w:rPr>
          <w:sz w:val="20"/>
          <w:szCs w:val="20"/>
          <w:rtl w:val="0"/>
        </w:rPr>
        <w:t xml:space="preserve">Concerning categorical endpoints, the inconsistency of the results might be explained in part by the varying cutpoint values.</w:t>
      </w:r>
      <w:hyperlink w:anchor="_heading=h.37m2jsg">
        <w:r w:rsidDel="00000000" w:rsidR="00000000" w:rsidRPr="00000000">
          <w:rPr>
            <w:color w:val="0000ff"/>
            <w:sz w:val="20"/>
            <w:szCs w:val="20"/>
            <w:vertAlign w:val="superscript"/>
            <w:rtl w:val="0"/>
          </w:rPr>
          <w:t xml:space="preserve">20</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Cutpoints for in-hospital MACE, for example, ranged from 7.5 to 11.3 ﬂ.</w:t>
      </w:r>
      <w:hyperlink w:anchor="_heading=h.23ckvvd">
        <w:r w:rsidDel="00000000" w:rsidR="00000000" w:rsidRPr="00000000">
          <w:rPr>
            <w:color w:val="0000ff"/>
            <w:sz w:val="20"/>
            <w:szCs w:val="20"/>
            <w:vertAlign w:val="superscript"/>
            <w:rtl w:val="0"/>
          </w:rPr>
          <w:t xml:space="preserve">5</w:t>
        </w:r>
      </w:hyperlink>
      <w:r w:rsidDel="00000000" w:rsidR="00000000" w:rsidRPr="00000000">
        <w:rPr>
          <w:sz w:val="20"/>
          <w:szCs w:val="20"/>
          <w:vertAlign w:val="superscript"/>
          <w:rtl w:val="0"/>
        </w:rPr>
        <w:t xml:space="preserve">,</w:t>
      </w:r>
      <w:hyperlink w:anchor="_heading=h.3ygebqi">
        <w:r w:rsidDel="00000000" w:rsidR="00000000" w:rsidRPr="00000000">
          <w:rPr>
            <w:color w:val="0000ff"/>
            <w:sz w:val="20"/>
            <w:szCs w:val="20"/>
            <w:vertAlign w:val="superscript"/>
            <w:rtl w:val="0"/>
          </w:rPr>
          <w:t xml:space="preserve">30</w:t>
        </w:r>
      </w:hyperlink>
      <w:r w:rsidDel="00000000" w:rsidR="00000000" w:rsidRPr="00000000">
        <w:rPr>
          <w:sz w:val="20"/>
          <w:szCs w:val="20"/>
          <w:vertAlign w:val="superscript"/>
          <w:rtl w:val="0"/>
        </w:rPr>
        <w:t xml:space="preserve">,</w:t>
      </w:r>
      <w:hyperlink w:anchor="_heading=h.2dlolyb">
        <w:r w:rsidDel="00000000" w:rsidR="00000000" w:rsidRPr="00000000">
          <w:rPr>
            <w:color w:val="0000ff"/>
            <w:sz w:val="20"/>
            <w:szCs w:val="20"/>
            <w:vertAlign w:val="superscript"/>
            <w:rtl w:val="0"/>
          </w:rPr>
          <w:t xml:space="preserve">31</w:t>
        </w:r>
      </w:hyperlink>
      <w:r w:rsidDel="00000000" w:rsidR="00000000" w:rsidRPr="00000000">
        <w:rPr>
          <w:sz w:val="20"/>
          <w:szCs w:val="20"/>
          <w:vertAlign w:val="superscript"/>
          <w:rtl w:val="0"/>
        </w:rPr>
        <w:t xml:space="preserve">,</w:t>
      </w:r>
      <w:hyperlink w:anchor="_heading=h.1jlao46">
        <w:r w:rsidDel="00000000" w:rsidR="00000000" w:rsidRPr="00000000">
          <w:rPr>
            <w:color w:val="0000ff"/>
            <w:sz w:val="20"/>
            <w:szCs w:val="20"/>
            <w:vertAlign w:val="superscript"/>
            <w:rtl w:val="0"/>
          </w:rPr>
          <w:t xml:space="preserve">44</w:t>
        </w:r>
      </w:hyperlink>
      <w:r w:rsidDel="00000000" w:rsidR="00000000" w:rsidRPr="00000000">
        <w:rPr>
          <w:sz w:val="20"/>
          <w:szCs w:val="20"/>
          <w:vertAlign w:val="superscript"/>
          <w:rtl w:val="0"/>
        </w:rPr>
        <w:t xml:space="preserve">,</w:t>
      </w:r>
      <w:hyperlink w:anchor="_heading=h.3vac5uf">
        <w:r w:rsidDel="00000000" w:rsidR="00000000" w:rsidRPr="00000000">
          <w:rPr>
            <w:color w:val="0000ff"/>
            <w:sz w:val="20"/>
            <w:szCs w:val="20"/>
            <w:vertAlign w:val="superscript"/>
            <w:rtl w:val="0"/>
          </w:rPr>
          <w:t xml:space="preserve">55</w:t>
        </w:r>
      </w:hyperlink>
      <w:r w:rsidDel="00000000" w:rsidR="00000000" w:rsidRPr="00000000">
        <w:rPr>
          <w:sz w:val="20"/>
          <w:szCs w:val="20"/>
          <w:vertAlign w:val="superscript"/>
          <w:rtl w:val="0"/>
        </w:rPr>
        <w:t xml:space="preserve">,</w:t>
      </w:r>
      <w:hyperlink w:anchor="_heading=h.1opuj5n">
        <w:r w:rsidDel="00000000" w:rsidR="00000000" w:rsidRPr="00000000">
          <w:rPr>
            <w:color w:val="0000ff"/>
            <w:sz w:val="20"/>
            <w:szCs w:val="20"/>
            <w:vertAlign w:val="superscript"/>
            <w:rtl w:val="0"/>
          </w:rPr>
          <w:t xml:space="preserve">60</w:t>
        </w:r>
      </w:hyperlink>
      <w:r w:rsidDel="00000000" w:rsidR="00000000" w:rsidRPr="00000000">
        <w:rPr>
          <w:sz w:val="20"/>
          <w:szCs w:val="20"/>
          <w:vertAlign w:val="superscript"/>
          <w:rtl w:val="0"/>
        </w:rPr>
        <w:t xml:space="preserve">,</w:t>
      </w:r>
      <w:hyperlink w:anchor="_heading=h.haapch">
        <w:r w:rsidDel="00000000" w:rsidR="00000000" w:rsidRPr="00000000">
          <w:rPr>
            <w:color w:val="0000ff"/>
            <w:sz w:val="20"/>
            <w:szCs w:val="20"/>
            <w:vertAlign w:val="superscript"/>
            <w:rtl w:val="0"/>
          </w:rPr>
          <w:t xml:space="preserve">66</w:t>
        </w:r>
      </w:hyperlink>
      <w:r w:rsidDel="00000000" w:rsidR="00000000" w:rsidRPr="00000000">
        <w:rPr>
          <w:sz w:val="20"/>
          <w:szCs w:val="20"/>
          <w:vertAlign w:val="superscript"/>
          <w:rtl w:val="0"/>
        </w:rPr>
        <w:t xml:space="preserve">,</w:t>
      </w:r>
      <w:hyperlink w:anchor="_heading=h.319y80a">
        <w:r w:rsidDel="00000000" w:rsidR="00000000" w:rsidRPr="00000000">
          <w:rPr>
            <w:color w:val="0000ff"/>
            <w:sz w:val="20"/>
            <w:szCs w:val="20"/>
            <w:vertAlign w:val="superscript"/>
            <w:rtl w:val="0"/>
          </w:rPr>
          <w:t xml:space="preserve">67</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We believe that this may support treating MPV as a linear variable. Interestingly, dose</w:t>
      </w:r>
      <w:r w:rsidDel="00000000" w:rsidR="00000000" w:rsidRPr="00000000">
        <w:rPr>
          <w:rFonts w:ascii="Arial" w:cs="Arial" w:eastAsia="Arial" w:hAnsi="Arial"/>
          <w:sz w:val="20"/>
          <w:szCs w:val="20"/>
          <w:vertAlign w:val="baseline"/>
          <w:rtl w:val="0"/>
        </w:rPr>
        <w:t xml:space="preserve">–</w:t>
      </w:r>
      <w:r w:rsidDel="00000000" w:rsidR="00000000" w:rsidRPr="00000000">
        <w:rPr>
          <w:sz w:val="20"/>
          <w:szCs w:val="20"/>
          <w:vertAlign w:val="baseline"/>
          <w:rtl w:val="0"/>
        </w:rPr>
        <w:t xml:space="preserve">response meta-analyses reported a greater increase in the risk of adverse events for an MPV &gt; 9 ﬂ. Unfortunately, our dose</w:t>
      </w:r>
      <w:r w:rsidDel="00000000" w:rsidR="00000000" w:rsidRPr="00000000">
        <w:rPr>
          <w:rFonts w:ascii="Arial" w:cs="Arial" w:eastAsia="Arial" w:hAnsi="Arial"/>
          <w:sz w:val="20"/>
          <w:szCs w:val="20"/>
          <w:vertAlign w:val="baseline"/>
          <w:rtl w:val="0"/>
        </w:rPr>
        <w:t xml:space="preserve">–</w:t>
      </w:r>
      <w:r w:rsidDel="00000000" w:rsidR="00000000" w:rsidRPr="00000000">
        <w:rPr>
          <w:sz w:val="20"/>
          <w:szCs w:val="20"/>
          <w:vertAlign w:val="baseline"/>
          <w:rtl w:val="0"/>
        </w:rPr>
        <w:t xml:space="preserve">response analyses were ﬂawed with the fact that the majority of studies reported only 1 non-referent estimate for MPV. Potential nonlinear relationships could be easily revealed if future studies provide at least 2 non-referent statistics for MPV.</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spacing w:before="0" w:lineRule="auto"/>
        <w:ind w:left="102" w:right="0" w:firstLine="0"/>
        <w:jc w:val="left"/>
        <w:rPr>
          <w:rFonts w:ascii="Trebuchet MS" w:cs="Trebuchet MS" w:eastAsia="Trebuchet MS" w:hAnsi="Trebuchet MS"/>
          <w:i w:val="1"/>
          <w:sz w:val="24"/>
          <w:szCs w:val="24"/>
        </w:rPr>
      </w:pPr>
      <w:r w:rsidDel="00000000" w:rsidR="00000000" w:rsidRPr="00000000">
        <w:rPr>
          <w:rFonts w:ascii="Trebuchet MS" w:cs="Trebuchet MS" w:eastAsia="Trebuchet MS" w:hAnsi="Trebuchet MS"/>
          <w:i w:val="1"/>
          <w:sz w:val="24"/>
          <w:szCs w:val="24"/>
          <w:rtl w:val="0"/>
        </w:rPr>
        <w:t xml:space="preserve">Limitations</w:t>
      </w:r>
    </w:p>
    <w:p w:rsidR="00000000" w:rsidDel="00000000" w:rsidP="00000000" w:rsidRDefault="00000000" w:rsidRPr="00000000" w14:paraId="00000098">
      <w:pPr>
        <w:spacing w:before="0" w:line="249" w:lineRule="auto"/>
        <w:ind w:left="102" w:right="40" w:firstLine="323.1968503937006"/>
        <w:jc w:val="both"/>
        <w:rPr>
          <w:sz w:val="20"/>
          <w:szCs w:val="20"/>
        </w:rPr>
      </w:pPr>
      <w:r w:rsidDel="00000000" w:rsidR="00000000" w:rsidRPr="00000000">
        <w:rPr>
          <w:sz w:val="20"/>
          <w:szCs w:val="20"/>
          <w:rtl w:val="0"/>
        </w:rPr>
        <w:t xml:space="preserve">While combining observational studies, our meta-analysis only indicated an association rather than causal link between MPV and clinical endpoints. Whether integration of MPV in risk stratiﬁcation will improve prognosis in ACS patients should be investigated in future randomized controlled studies. Although some studies demonstrated a decrease in MPV after statin therapy,</w:t>
      </w:r>
      <w:hyperlink w:anchor="_heading=h.279ka65">
        <w:r w:rsidDel="00000000" w:rsidR="00000000" w:rsidRPr="00000000">
          <w:rPr>
            <w:color w:val="0000ff"/>
            <w:sz w:val="20"/>
            <w:szCs w:val="20"/>
            <w:vertAlign w:val="superscript"/>
            <w:rtl w:val="0"/>
          </w:rPr>
          <w:t xml:space="preserve">78</w:t>
        </w:r>
      </w:hyperlink>
      <w:r w:rsidDel="00000000" w:rsidR="00000000" w:rsidRPr="00000000">
        <w:rPr>
          <w:sz w:val="20"/>
          <w:szCs w:val="20"/>
          <w:vertAlign w:val="superscript"/>
          <w:rtl w:val="0"/>
        </w:rPr>
        <w:t xml:space="preserve">-</w:t>
      </w:r>
      <w:hyperlink w:anchor="_heading=h.meukdy">
        <w:r w:rsidDel="00000000" w:rsidR="00000000" w:rsidRPr="00000000">
          <w:rPr>
            <w:color w:val="0000ff"/>
            <w:sz w:val="20"/>
            <w:szCs w:val="20"/>
            <w:vertAlign w:val="superscript"/>
            <w:rtl w:val="0"/>
          </w:rPr>
          <w:t xml:space="preserve">80</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it has not yet been established whether a reduction in MPV translates into clinical beneﬁts. Unfortunately, none of our analyses were based on &gt;10 studies, therefore, we failed to explore potential reasons for high heterogeneity with meta-regression and subgroup analyses. However, we do not believe that this limitation impacted on main results as we used recommended  statistical  methods.</w:t>
      </w:r>
      <w:hyperlink w:anchor="_heading=h.28h4qwu">
        <w:r w:rsidDel="00000000" w:rsidR="00000000" w:rsidRPr="00000000">
          <w:rPr>
            <w:color w:val="0000ff"/>
            <w:sz w:val="20"/>
            <w:szCs w:val="20"/>
            <w:vertAlign w:val="superscript"/>
            <w:rtl w:val="0"/>
          </w:rPr>
          <w:t xml:space="preserve">18</w:t>
        </w:r>
      </w:hyperlink>
      <w:r w:rsidDel="00000000" w:rsidR="00000000" w:rsidRPr="00000000">
        <w:rPr>
          <w:sz w:val="20"/>
          <w:szCs w:val="20"/>
          <w:vertAlign w:val="superscript"/>
          <w:rtl w:val="0"/>
        </w:rPr>
        <w:t xml:space="preserve">,</w:t>
      </w:r>
      <w:hyperlink w:anchor="_heading=h.nmf14n">
        <w:r w:rsidDel="00000000" w:rsidR="00000000" w:rsidRPr="00000000">
          <w:rPr>
            <w:color w:val="0000ff"/>
            <w:sz w:val="20"/>
            <w:szCs w:val="20"/>
            <w:vertAlign w:val="superscript"/>
            <w:rtl w:val="0"/>
          </w:rPr>
          <w:t xml:space="preserve">19</w:t>
        </w:r>
      </w:hyperlink>
      <w:r w:rsidDel="00000000" w:rsidR="00000000" w:rsidRPr="00000000">
        <w:rPr>
          <w:sz w:val="20"/>
          <w:szCs w:val="20"/>
          <w:vertAlign w:val="superscript"/>
          <w:rtl w:val="0"/>
        </w:rPr>
        <w:t xml:space="preserve">,</w:t>
      </w:r>
      <w:hyperlink w:anchor="_heading=h.upglbi">
        <w:r w:rsidDel="00000000" w:rsidR="00000000" w:rsidRPr="00000000">
          <w:rPr>
            <w:color w:val="0000ff"/>
            <w:sz w:val="20"/>
            <w:szCs w:val="20"/>
            <w:vertAlign w:val="superscript"/>
            <w:rtl w:val="0"/>
          </w:rPr>
          <w:t xml:space="preserve">71</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The  primary  studies</w:t>
      </w:r>
      <w:r w:rsidDel="00000000" w:rsidR="00000000" w:rsidRPr="00000000">
        <w:rPr>
          <w:sz w:val="20"/>
          <w:szCs w:val="20"/>
          <w:rtl w:val="0"/>
        </w:rPr>
        <w:t xml:space="preserve"> applied different sets of adjustment factors, cutpoints, and vendors of automated analyzers. Regarding this point, calculating PIs facilitates the interpretation of random-effects meta-analyses, with summary estimates being true across all different baseline study characteristics.</w:t>
      </w:r>
      <w:hyperlink w:anchor="_heading=h.37m2jsg">
        <w:r w:rsidDel="00000000" w:rsidR="00000000" w:rsidRPr="00000000">
          <w:rPr>
            <w:color w:val="0000ff"/>
            <w:sz w:val="20"/>
            <w:szCs w:val="20"/>
            <w:vertAlign w:val="superscript"/>
            <w:rtl w:val="0"/>
          </w:rPr>
          <w:t xml:space="preserve">20</w:t>
        </w:r>
      </w:hyperlink>
      <w:r w:rsidDel="00000000" w:rsidR="00000000" w:rsidRPr="00000000">
        <w:rPr>
          <w:sz w:val="20"/>
          <w:szCs w:val="20"/>
          <w:vertAlign w:val="superscript"/>
          <w:rtl w:val="0"/>
        </w:rPr>
        <w:t xml:space="preserve">,</w:t>
      </w:r>
      <w:hyperlink w:anchor="_heading=h.1mrcu09">
        <w:r w:rsidDel="00000000" w:rsidR="00000000" w:rsidRPr="00000000">
          <w:rPr>
            <w:color w:val="0000ff"/>
            <w:sz w:val="20"/>
            <w:szCs w:val="20"/>
            <w:vertAlign w:val="superscript"/>
            <w:rtl w:val="0"/>
          </w:rPr>
          <w:t xml:space="preserve">21</w:t>
        </w:r>
      </w:hyperlink>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In our opinion, there were no signiﬁcant deviations from our prespeciﬁed protocol with exception to addition of advanced statistical techniques to reduce the rate of false-positive results. Also, we did not attempt to extract outcome measures from Kaplan</w:t>
      </w:r>
      <w:r w:rsidDel="00000000" w:rsidR="00000000" w:rsidRPr="00000000">
        <w:rPr>
          <w:rFonts w:ascii="Arial" w:cs="Arial" w:eastAsia="Arial" w:hAnsi="Arial"/>
          <w:sz w:val="20"/>
          <w:szCs w:val="20"/>
          <w:vertAlign w:val="baseline"/>
          <w:rtl w:val="0"/>
        </w:rPr>
        <w:t xml:space="preserve">– </w:t>
      </w:r>
      <w:r w:rsidDel="00000000" w:rsidR="00000000" w:rsidRPr="00000000">
        <w:rPr>
          <w:sz w:val="20"/>
          <w:szCs w:val="20"/>
          <w:vertAlign w:val="baseline"/>
          <w:rtl w:val="0"/>
        </w:rPr>
        <w:t xml:space="preserve">Meier curves with graph digitizing software, since only adjusted statistics were summarized.</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spacing w:before="0" w:lineRule="auto"/>
        <w:ind w:left="102" w:right="0" w:firstLine="0"/>
        <w:jc w:val="left"/>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Conclusion</w:t>
      </w:r>
    </w:p>
    <w:p w:rsidR="00000000" w:rsidDel="00000000" w:rsidP="00000000" w:rsidRDefault="00000000" w:rsidRPr="00000000" w14:paraId="0000009B">
      <w:pPr>
        <w:spacing w:before="0" w:line="249" w:lineRule="auto"/>
        <w:ind w:left="102" w:right="24" w:firstLine="323.1968503937006"/>
        <w:jc w:val="both"/>
        <w:rPr>
          <w:sz w:val="20"/>
          <w:szCs w:val="20"/>
        </w:rPr>
      </w:pPr>
      <w:r w:rsidDel="00000000" w:rsidR="00000000" w:rsidRPr="00000000">
        <w:rPr>
          <w:sz w:val="20"/>
          <w:szCs w:val="20"/>
          <w:rtl w:val="0"/>
        </w:rPr>
        <w:t xml:space="preserve">We suggest that admission MPV as a continuous variable could be regarded as a useful marker of long-term mortality in ACS patients. Also, accumulated evidence indicates a potential nonlinear relationship between MPV values and long-term endpoints. Further high-quality studies should focus on the prognostic signiﬁcance of MPV in prediction of other clinical endpoints and exploring dose</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response relationships.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spacing w:before="0"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Acknowledgments</w:t>
      </w:r>
    </w:p>
    <w:p w:rsidR="00000000" w:rsidDel="00000000" w:rsidP="00000000" w:rsidRDefault="00000000" w:rsidRPr="00000000" w14:paraId="0000009E">
      <w:pPr>
        <w:spacing w:before="0" w:line="278.00000000000006" w:lineRule="auto"/>
        <w:ind w:left="102" w:right="12" w:firstLine="0"/>
        <w:jc w:val="both"/>
        <w:rPr>
          <w:sz w:val="18"/>
          <w:szCs w:val="18"/>
        </w:rPr>
      </w:pPr>
      <w:r w:rsidDel="00000000" w:rsidR="00000000" w:rsidRPr="00000000">
        <w:rPr>
          <w:sz w:val="18"/>
          <w:szCs w:val="18"/>
          <w:rtl w:val="0"/>
        </w:rPr>
        <w:t xml:space="preserve">We thank Jill A. Hayden, DC, PhD, for providing the updated version of QUIPS tool for risk of bias assessment. We would also like to express our gratitude to Alessio Crippa, PhD, for valuable comments that improved the consistency of the manuscript. We also appreciate the contribution of all corresponding authors of primary studies. The research would not have been possible without their assistance and support.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0">
      <w:pPr>
        <w:spacing w:before="0"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Author Contributions</w:t>
      </w:r>
    </w:p>
    <w:p w:rsidR="00000000" w:rsidDel="00000000" w:rsidP="00000000" w:rsidRDefault="00000000" w:rsidRPr="00000000" w14:paraId="000000A1">
      <w:pPr>
        <w:spacing w:before="0" w:line="276" w:lineRule="auto"/>
        <w:ind w:left="102" w:right="0" w:firstLine="0"/>
        <w:jc w:val="both"/>
        <w:rPr>
          <w:sz w:val="18"/>
          <w:szCs w:val="18"/>
        </w:rPr>
      </w:pPr>
      <w:r w:rsidDel="00000000" w:rsidR="00000000" w:rsidRPr="00000000">
        <w:rPr>
          <w:sz w:val="18"/>
          <w:szCs w:val="18"/>
          <w:rtl w:val="0"/>
        </w:rPr>
        <w:t xml:space="preserve">AG, ET, RF, HNT, and MAM contributed to the conception of the study, collecting the data, statistical analyses, writing and reviewing the manuscript. All authors approved the ﬁnal version for publication.</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spacing w:before="0"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Declaration of Con</w:t>
      </w:r>
      <w:r w:rsidDel="00000000" w:rsidR="00000000" w:rsidRPr="00000000">
        <w:rPr>
          <w:rFonts w:ascii="Arial" w:cs="Arial" w:eastAsia="Arial" w:hAnsi="Arial"/>
          <w:sz w:val="20"/>
          <w:szCs w:val="20"/>
          <w:rtl w:val="0"/>
        </w:rPr>
        <w:t xml:space="preserve">ﬂ</w:t>
      </w:r>
      <w:r w:rsidDel="00000000" w:rsidR="00000000" w:rsidRPr="00000000">
        <w:rPr>
          <w:rFonts w:ascii="Trebuchet MS" w:cs="Trebuchet MS" w:eastAsia="Trebuchet MS" w:hAnsi="Trebuchet MS"/>
          <w:sz w:val="20"/>
          <w:szCs w:val="20"/>
          <w:rtl w:val="0"/>
        </w:rPr>
        <w:t xml:space="preserve">icting Interests</w:t>
      </w:r>
    </w:p>
    <w:p w:rsidR="00000000" w:rsidDel="00000000" w:rsidP="00000000" w:rsidRDefault="00000000" w:rsidRPr="00000000" w14:paraId="000000A4">
      <w:pPr>
        <w:spacing w:before="0" w:line="278.00000000000006" w:lineRule="auto"/>
        <w:ind w:left="102" w:right="513" w:firstLine="0"/>
        <w:jc w:val="both"/>
        <w:rPr>
          <w:sz w:val="18"/>
          <w:szCs w:val="18"/>
        </w:rPr>
      </w:pPr>
      <w:r w:rsidDel="00000000" w:rsidR="00000000" w:rsidRPr="00000000">
        <w:rPr>
          <w:sz w:val="18"/>
          <w:szCs w:val="18"/>
          <w:rtl w:val="0"/>
        </w:rPr>
        <w:t xml:space="preserve">The author(s) declared no potential conﬂicts of interest with respect to the research, authorship, and/or publication of this article.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spacing w:before="0"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Funding</w:t>
      </w:r>
    </w:p>
    <w:p w:rsidR="00000000" w:rsidDel="00000000" w:rsidP="00000000" w:rsidRDefault="00000000" w:rsidRPr="00000000" w14:paraId="000000A7">
      <w:pPr>
        <w:spacing w:before="0" w:line="278.00000000000006" w:lineRule="auto"/>
        <w:ind w:left="102" w:right="513" w:firstLine="0"/>
        <w:jc w:val="both"/>
        <w:rPr>
          <w:sz w:val="18"/>
          <w:szCs w:val="18"/>
        </w:rPr>
      </w:pPr>
      <w:r w:rsidDel="00000000" w:rsidR="00000000" w:rsidRPr="00000000">
        <w:rPr>
          <w:sz w:val="18"/>
          <w:szCs w:val="18"/>
          <w:rtl w:val="0"/>
        </w:rPr>
        <w:t xml:space="preserve">The author(s) received no ﬁnancial support for the research, au- thorship, and/or publication of this article.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9">
      <w:pPr>
        <w:spacing w:before="1"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Author Note</w:t>
      </w:r>
    </w:p>
    <w:p w:rsidR="00000000" w:rsidDel="00000000" w:rsidP="00000000" w:rsidRDefault="00000000" w:rsidRPr="00000000" w14:paraId="000000AA">
      <w:pPr>
        <w:spacing w:before="106" w:line="278.00000000000006" w:lineRule="auto"/>
        <w:ind w:left="102" w:right="-12" w:firstLine="0"/>
        <w:jc w:val="both"/>
        <w:rPr>
          <w:sz w:val="18"/>
          <w:szCs w:val="18"/>
        </w:rPr>
      </w:pPr>
      <w:r w:rsidDel="00000000" w:rsidR="00000000" w:rsidRPr="00000000">
        <w:rPr>
          <w:sz w:val="18"/>
          <w:szCs w:val="18"/>
          <w:rtl w:val="0"/>
        </w:rPr>
        <w:t xml:space="preserve">The paper was presented orally at International Young Academy of Cardiology E-Congress 2021 held on September 17, 2021-</w:t>
      </w:r>
      <w:hyperlink r:id="rId54">
        <w:r w:rsidDel="00000000" w:rsidR="00000000" w:rsidRPr="00000000">
          <w:rPr>
            <w:color w:val="0000ff"/>
            <w:sz w:val="18"/>
            <w:szCs w:val="18"/>
            <w:rtl w:val="0"/>
          </w:rPr>
          <w:t xml:space="preserve">http://</w:t>
        </w:r>
      </w:hyperlink>
      <w:r w:rsidDel="00000000" w:rsidR="00000000" w:rsidRPr="00000000">
        <w:rPr>
          <w:color w:val="0000ff"/>
          <w:sz w:val="18"/>
          <w:szCs w:val="18"/>
          <w:rtl w:val="0"/>
        </w:rPr>
        <w:t xml:space="preserve"> </w:t>
      </w:r>
      <w:hyperlink r:id="rId55">
        <w:r w:rsidDel="00000000" w:rsidR="00000000" w:rsidRPr="00000000">
          <w:rPr>
            <w:color w:val="0000ff"/>
            <w:sz w:val="18"/>
            <w:szCs w:val="18"/>
            <w:rtl w:val="0"/>
          </w:rPr>
          <w:t xml:space="preserve">www.kvakkongre.org/en/</w:t>
        </w:r>
      </w:hyperlink>
      <w:r w:rsidDel="00000000" w:rsidR="00000000" w:rsidRPr="00000000">
        <w:rPr>
          <w:sz w:val="18"/>
          <w:szCs w:val="18"/>
          <w:rtl w:val="0"/>
        </w:rPr>
        <w:t xml:space="preserv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C">
      <w:pPr>
        <w:spacing w:before="1" w:lineRule="auto"/>
        <w:ind w:left="102"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ORCID iD</w:t>
      </w:r>
    </w:p>
    <w:p w:rsidR="00000000" w:rsidDel="00000000" w:rsidP="00000000" w:rsidRDefault="00000000" w:rsidRPr="00000000" w14:paraId="000000AD">
      <w:pPr>
        <w:spacing w:before="109" w:line="271" w:lineRule="auto"/>
        <w:ind w:left="102" w:right="513" w:firstLine="0"/>
        <w:jc w:val="both"/>
        <w:rPr>
          <w:sz w:val="18"/>
          <w:szCs w:val="18"/>
        </w:rPr>
        <w:sectPr>
          <w:type w:val="continuous"/>
          <w:pgSz w:h="16840" w:w="11920" w:orient="portrait"/>
          <w:pgMar w:bottom="280" w:top="1060" w:left="740" w:right="720" w:header="653" w:footer="0"/>
          <w:cols w:equalWidth="0" w:num="1">
            <w:col w:space="0" w:w="10445.5"/>
          </w:cols>
        </w:sectPr>
      </w:pPr>
      <w:r w:rsidDel="00000000" w:rsidR="00000000" w:rsidRPr="00000000">
        <w:rPr>
          <w:sz w:val="18"/>
          <w:szCs w:val="18"/>
          <w:rtl w:val="0"/>
        </w:rPr>
        <w:t xml:space="preserve">Akhmetzhan Galimzhanov </w:t>
      </w:r>
      <w:hyperlink r:id="rId56">
        <w:r w:rsidDel="00000000" w:rsidR="00000000" w:rsidRPr="00000000">
          <w:rPr>
            <w:rFonts w:ascii="Arial" w:cs="Arial" w:eastAsia="Arial" w:hAnsi="Arial"/>
            <w:color w:val="a6ce39"/>
            <w:sz w:val="18"/>
            <w:szCs w:val="18"/>
            <w:rtl w:val="0"/>
          </w:rPr>
          <w:t xml:space="preserve"></w:t>
        </w:r>
      </w:hyperlink>
      <w:r w:rsidDel="00000000" w:rsidR="00000000" w:rsidRPr="00000000">
        <w:rPr>
          <w:rFonts w:ascii="Arial" w:cs="Arial" w:eastAsia="Arial" w:hAnsi="Arial"/>
          <w:color w:val="a6ce39"/>
          <w:sz w:val="18"/>
          <w:szCs w:val="18"/>
          <w:rtl w:val="0"/>
        </w:rPr>
        <w:t xml:space="preserve"> </w:t>
      </w:r>
      <w:hyperlink r:id="rId57">
        <w:r w:rsidDel="00000000" w:rsidR="00000000" w:rsidRPr="00000000">
          <w:rPr>
            <w:color w:val="0000ff"/>
            <w:sz w:val="18"/>
            <w:szCs w:val="18"/>
            <w:rtl w:val="0"/>
          </w:rPr>
          <w:t xml:space="preserve">https://orcid.org/0000-0002-1605-</w:t>
        </w:r>
      </w:hyperlink>
      <w:r w:rsidDel="00000000" w:rsidR="00000000" w:rsidRPr="00000000">
        <w:rPr>
          <w:color w:val="0000ff"/>
          <w:sz w:val="18"/>
          <w:szCs w:val="18"/>
          <w:rtl w:val="0"/>
        </w:rPr>
        <w:t xml:space="preserve"> </w:t>
      </w:r>
      <w:hyperlink r:id="rId58">
        <w:r w:rsidDel="00000000" w:rsidR="00000000" w:rsidRPr="00000000">
          <w:rPr>
            <w:color w:val="0000ff"/>
            <w:sz w:val="18"/>
            <w:szCs w:val="18"/>
            <w:rtl w:val="0"/>
          </w:rPr>
          <w:t xml:space="preserve">9512</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20" w:orient="portrait"/>
          <w:pgMar w:bottom="280" w:top="920" w:left="740" w:right="720" w:header="653" w:footer="0"/>
        </w:sectPr>
      </w:pPr>
      <w:r w:rsidDel="00000000" w:rsidR="00000000" w:rsidRPr="00000000">
        <w:rPr>
          <w:rtl w:val="0"/>
        </w:rPr>
      </w:r>
    </w:p>
    <w:p w:rsidR="00000000" w:rsidDel="00000000" w:rsidP="00000000" w:rsidRDefault="00000000" w:rsidRPr="00000000" w14:paraId="000000AF">
      <w:pPr>
        <w:spacing w:before="98" w:lineRule="auto"/>
        <w:ind w:left="495"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Supplemental Material</w:t>
      </w:r>
    </w:p>
    <w:p w:rsidR="00000000" w:rsidDel="00000000" w:rsidP="00000000" w:rsidRDefault="00000000" w:rsidRPr="00000000" w14:paraId="000000B0">
      <w:pPr>
        <w:spacing w:before="106" w:lineRule="auto"/>
        <w:ind w:left="495" w:right="0" w:firstLine="0"/>
        <w:jc w:val="left"/>
        <w:rPr>
          <w:sz w:val="18"/>
          <w:szCs w:val="18"/>
        </w:rPr>
      </w:pPr>
      <w:r w:rsidDel="00000000" w:rsidR="00000000" w:rsidRPr="00000000">
        <w:rPr>
          <w:sz w:val="18"/>
          <w:szCs w:val="18"/>
          <w:rtl w:val="0"/>
        </w:rPr>
        <w:t xml:space="preserve">Supplemental material for this article is available online.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2">
      <w:pPr>
        <w:spacing w:before="0" w:lineRule="auto"/>
        <w:ind w:left="495"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References</w:t>
      </w:r>
    </w:p>
    <w:p w:rsidR="00000000" w:rsidDel="00000000" w:rsidP="00000000" w:rsidRDefault="00000000" w:rsidRPr="00000000" w14:paraId="000000B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107" w:line="27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p2csry" w:id="3"/>
      <w:bookmarkEnd w:id="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Roth GA, Mensah GA, Johnson CO, et al. Global burden of cardiovascular diseases and risk factors, 1990-2019: update from the GBD 2019 study. J Am Coll Cardiol 2020;76: 2982-3021.</w:t>
      </w:r>
    </w:p>
    <w:p w:rsidR="00000000" w:rsidDel="00000000" w:rsidP="00000000" w:rsidRDefault="00000000" w:rsidRPr="00000000" w14:paraId="000000B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4"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47n2zr" w:id="4"/>
      <w:bookmarkEnd w:id="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Korniluk A, Koper-Lenkiewicz OM, </w:t>
      </w:r>
      <w:r w:rsidDel="00000000" w:rsidR="00000000" w:rsidRPr="00000000">
        <w:rPr>
          <w:sz w:val="18"/>
          <w:szCs w:val="18"/>
          <w:rtl w:val="0"/>
        </w:rPr>
        <w:t xml:space="preserve">Kamińska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 Mean platelet volume (MPV): new perspectives for an old marker in the course and prognosis of inﬂammatory conditions. Mediators Inﬂamm 2019;2019:9213074.</w:t>
      </w:r>
    </w:p>
    <w:p w:rsidR="00000000" w:rsidDel="00000000" w:rsidP="00000000" w:rsidRDefault="00000000" w:rsidRPr="00000000" w14:paraId="000000B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o7alnk" w:id="5"/>
      <w:bookmarkEnd w:id="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Martin JF, Kristensen SD, Mathur A, Grove EL, Choudry FA. The causal role of megakaryocyte-platelet hyperactivity in acute coronary syndromes. Nat Rev Cardiol 2012;9:658-70.</w:t>
      </w:r>
    </w:p>
    <w:p w:rsidR="00000000" w:rsidDel="00000000" w:rsidP="00000000" w:rsidRDefault="00000000" w:rsidRPr="00000000" w14:paraId="000000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3ckvvd" w:id="6"/>
      <w:bookmarkEnd w:id="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Chu SG, Becker RC, Berger PB, et al. Mean platelet volume as a predictor of cardiovascular risk: a systematic review and meta- analysis. J Thromb Haemostasis 2010;8:148-56.</w:t>
      </w:r>
    </w:p>
    <w:p w:rsidR="00000000" w:rsidDel="00000000" w:rsidP="00000000" w:rsidRDefault="00000000" w:rsidRPr="00000000" w14:paraId="000000B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ihv636" w:id="7"/>
      <w:bookmarkEnd w:id="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Pabón Osuna P, Nieto Ballesteros F, </w:t>
      </w:r>
      <w:r w:rsidDel="00000000" w:rsidR="00000000" w:rsidRPr="00000000">
        <w:rPr>
          <w:sz w:val="18"/>
          <w:szCs w:val="18"/>
          <w:rtl w:val="0"/>
        </w:rPr>
        <w:t xml:space="preserve">Moríñigo Muñoz</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JL, et al. [The effect of the mean platelet volume on the short-term prognosis of acute myocardial infarct]. Rev Española Cardiol 1998;51:816-22.</w:t>
      </w:r>
    </w:p>
    <w:p w:rsidR="00000000" w:rsidDel="00000000" w:rsidP="00000000" w:rsidRDefault="00000000" w:rsidRPr="00000000" w14:paraId="000000B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2hioqz" w:id="8"/>
      <w:bookmarkEnd w:id="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Chen XS, Shao M, Zhang T, et al. Prognostic value of elevated mean platelet volume in acute myocardial infarction: a meta-analysis including 8,945 patients. Int J Clin Exp Med 2019;12: 10151-63.</w:t>
      </w:r>
    </w:p>
    <w:p w:rsidR="00000000" w:rsidDel="00000000" w:rsidP="00000000" w:rsidRDefault="00000000" w:rsidRPr="00000000" w14:paraId="000000B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hmsyys" w:id="9"/>
      <w:bookmarkEnd w:id="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Page MJ, McKenzie JE, Bossuyt PM, et al. The PRISMA 2020 statement: an updated guideline for reporting systematic reviews. BMJ 2021;372:n71.</w:t>
      </w:r>
    </w:p>
    <w:p w:rsidR="00000000" w:rsidDel="00000000" w:rsidP="00000000" w:rsidRDefault="00000000" w:rsidRPr="00000000" w14:paraId="000000B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1mghml" w:id="10"/>
      <w:bookmarkEnd w:id="1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Riley RD, Moons KGM, Snell KIE, et al. A guide to systematic review and meta-analysis of prognostic factor studies. BMJ 2019;364:k4597.</w:t>
      </w:r>
    </w:p>
    <w:p w:rsidR="00000000" w:rsidDel="00000000" w:rsidP="00000000" w:rsidRDefault="00000000" w:rsidRPr="00000000" w14:paraId="000000B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grqrue" w:id="11"/>
      <w:bookmarkEnd w:id="1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Grames EM, Stillman AN, Tingley MW, Elphick CS. An automated approach to identifying search terms for systematic reviews using keyword co-occurrence networks. Meth Ecol Evol 2019;10:1645-54.</w:t>
      </w:r>
    </w:p>
    <w:p w:rsidR="00000000" w:rsidDel="00000000" w:rsidP="00000000" w:rsidRDefault="00000000" w:rsidRPr="00000000" w14:paraId="000000B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04"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Janssens ACJW, Gwinn M, Brockman JE, Powell K, Goodman</w:t>
      </w:r>
      <w:r w:rsidDel="00000000" w:rsidR="00000000" w:rsidRPr="00000000">
        <w:rPr>
          <w:sz w:val="18"/>
          <w:szCs w:val="18"/>
          <w:rtl w:val="0"/>
        </w:rPr>
        <w:t xml:space="preserve"> M. Novel citation-based search method for scientiﬁc literature: a validation study. BMC Med Res Methodol 2020;20:25.</w:t>
      </w:r>
    </w:p>
    <w:p w:rsidR="00000000" w:rsidDel="00000000" w:rsidP="00000000" w:rsidRDefault="00000000" w:rsidRPr="00000000" w14:paraId="000000B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fwokq0" w:id="12"/>
      <w:bookmarkEnd w:id="1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Haddaway NR, Page MJ, Pritchard CC, McGuinness LA. PRISMA2020: an R package and Shiny app for producing PRISMA 2020-compliant ﬂow diagrams, with interactivity for optimised digital transparency and Open Synthesis. medRxiv 2021.07.14.21260492.</w:t>
      </w:r>
    </w:p>
    <w:p w:rsidR="00000000" w:rsidDel="00000000" w:rsidP="00000000" w:rsidRDefault="00000000" w:rsidRPr="00000000" w14:paraId="000000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v1yuxt" w:id="13"/>
      <w:bookmarkEnd w:id="1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Ouzzani M, Hammady H, Fedorowicz Z, Elmagarmid A. Rayyan-a web and mobile app for systematic reviews. Syst Rev 2016;5:210.</w:t>
      </w:r>
    </w:p>
    <w:p w:rsidR="00000000" w:rsidDel="00000000" w:rsidP="00000000" w:rsidRDefault="00000000" w:rsidRPr="00000000" w14:paraId="000000B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f1mdlm" w:id="14"/>
      <w:bookmarkEnd w:id="1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Moons KG, de Groot JA, Bouwmeester W, et al. Critical appraisal and data extraction for systematic reviews of prediction modelling studies: the CHARMS checklist. PLoS Medicine 2014; 11: e1001744.</w:t>
      </w:r>
    </w:p>
    <w:p w:rsidR="00000000" w:rsidDel="00000000" w:rsidP="00000000" w:rsidRDefault="00000000" w:rsidRPr="00000000" w14:paraId="000000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283.46456692913387" w:right="0" w:hanging="25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Higgins J, Li T, Deeks J. Choosing effect measures and computing estimates of effect. In: Cochrane handbook for systematic reviews of interventions version 6.0. 6th ed. Cochrane, </w:t>
      </w:r>
      <w:hyperlink r:id="rId59">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https://</w:t>
        </w:r>
      </w:hyperlink>
      <w:hyperlink r:id="rId60">
        <w:r w:rsidDel="00000000" w:rsidR="00000000" w:rsidRPr="00000000">
          <w:rPr>
            <w:color w:val="0000ff"/>
            <w:sz w:val="18"/>
            <w:szCs w:val="18"/>
            <w:rtl w:val="0"/>
          </w:rPr>
          <w:t xml:space="preserve">training.cochrane.org/handbook/current/chapter-06#section-6-</w:t>
        </w:r>
      </w:hyperlink>
      <w:r w:rsidDel="00000000" w:rsidR="00000000" w:rsidRPr="00000000">
        <w:rPr>
          <w:color w:val="0000ff"/>
          <w:sz w:val="18"/>
          <w:szCs w:val="18"/>
          <w:rtl w:val="0"/>
        </w:rPr>
        <w:t xml:space="preserve"> </w:t>
      </w:r>
      <w:hyperlink r:id="rId61">
        <w:r w:rsidDel="00000000" w:rsidR="00000000" w:rsidRPr="00000000">
          <w:rPr>
            <w:color w:val="0000ff"/>
            <w:sz w:val="18"/>
            <w:szCs w:val="18"/>
            <w:rtl w:val="0"/>
          </w:rPr>
          <w:t xml:space="preserve">5-2</w:t>
        </w:r>
      </w:hyperlink>
      <w:r w:rsidDel="00000000" w:rsidR="00000000" w:rsidRPr="00000000">
        <w:rPr>
          <w:color w:val="0000ff"/>
          <w:sz w:val="18"/>
          <w:szCs w:val="18"/>
          <w:rtl w:val="0"/>
        </w:rPr>
        <w:t xml:space="preserve"> </w:t>
      </w:r>
      <w:r w:rsidDel="00000000" w:rsidR="00000000" w:rsidRPr="00000000">
        <w:rPr>
          <w:sz w:val="18"/>
          <w:szCs w:val="18"/>
          <w:rtl w:val="0"/>
        </w:rPr>
        <w:t xml:space="preserve">(2019, Accessed 20 May 2021).</w:t>
      </w:r>
    </w:p>
    <w:p w:rsidR="00000000" w:rsidDel="00000000" w:rsidP="00000000" w:rsidRDefault="00000000" w:rsidRPr="00000000" w14:paraId="000000C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2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9c6y18" w:id="15"/>
      <w:bookmarkEnd w:id="1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Wan X, Wang W, Liu J, Tong T. Estimating the sample mean and standard deviation from the sample size, median, range and/or interquartile range. BMC Med Res Methodol 2014;14:135.</w:t>
      </w:r>
    </w:p>
    <w:p w:rsidR="00000000" w:rsidDel="00000000" w:rsidP="00000000" w:rsidRDefault="00000000" w:rsidRPr="00000000" w14:paraId="000000C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tbugp1" w:id="16"/>
      <w:bookmarkEnd w:id="1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Hayden JA, van der Windt DA, Cartwright JL, </w:t>
      </w:r>
      <w:r w:rsidDel="00000000" w:rsidR="00000000" w:rsidRPr="00000000">
        <w:rPr>
          <w:sz w:val="18"/>
          <w:szCs w:val="18"/>
          <w:rtl w:val="0"/>
        </w:rPr>
        <w:t xml:space="preserve">Côté</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 Bombardier C. Assessing bias in studies of prognostic factors. Ann Intern Med 2013;158:280-6.</w:t>
      </w:r>
    </w:p>
    <w:p w:rsidR="00000000" w:rsidDel="00000000" w:rsidP="00000000" w:rsidRDefault="00000000" w:rsidRPr="00000000" w14:paraId="000000C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8h4qwu" w:id="17"/>
      <w:bookmarkEnd w:id="1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Hartung J, Knapp G. A reﬁned method for the meta-analysis of controlled clinical trials with binary outcome. Stat Med 2001;20: 3875-89.</w:t>
      </w:r>
    </w:p>
    <w:p w:rsidR="00000000" w:rsidDel="00000000" w:rsidP="00000000" w:rsidRDefault="00000000" w:rsidRPr="00000000" w14:paraId="000000C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2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nmf14n" w:id="18"/>
      <w:bookmarkEnd w:id="1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Veroniki AA, Jackson D, Bender R, et al. Methods to calculate uncertainty in the estimated overall effect size from a random-effects meta-analysis. Res Synth Methods 2019;10:23-43.</w:t>
      </w:r>
    </w:p>
    <w:p w:rsidR="00000000" w:rsidDel="00000000" w:rsidP="00000000" w:rsidRDefault="00000000" w:rsidRPr="00000000" w14:paraId="000000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7m2jsg" w:id="19"/>
      <w:bookmarkEnd w:id="1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Langan D, Higgins JPT, Jackson D, et al. A comparison of heterogeneity variance estimators in simulated random-effects meta-analyses. Res Synth Methods 2019;10:83-98.</w:t>
      </w:r>
    </w:p>
    <w:p w:rsidR="00000000" w:rsidDel="00000000" w:rsidP="00000000" w:rsidRDefault="00000000" w:rsidRPr="00000000" w14:paraId="000000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mrcu09" w:id="20"/>
      <w:bookmarkEnd w:id="2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Riley RD, Elia EG, Malin G, Hemming K, Price MP. </w:t>
      </w:r>
      <w:r w:rsidDel="00000000" w:rsidR="00000000" w:rsidRPr="00000000">
        <w:rPr>
          <w:sz w:val="18"/>
          <w:szCs w:val="18"/>
          <w:rtl w:val="0"/>
        </w:rPr>
        <w:t xml:space="preserve">Multivariate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meta-analysis of prognostic factor studies with multiple cut-points and/or methods of measurement. Stat Med 2015;34: 2481-96.</w:t>
      </w:r>
    </w:p>
    <w:p w:rsidR="00000000" w:rsidDel="00000000" w:rsidP="00000000" w:rsidRDefault="00000000" w:rsidRPr="00000000" w14:paraId="000000C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6" w:lineRule="auto"/>
        <w:ind w:left="283.46456692913387" w:right="12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6r0co2" w:id="21"/>
      <w:bookmarkEnd w:id="2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Higgins JPT, Thompson SG, Spiegelhalter DJ. A re-evaluation of random-effects meta-analysis. J Roy Stat Soc 2009;172: 137-59.</w:t>
      </w:r>
    </w:p>
    <w:p w:rsidR="00000000" w:rsidDel="00000000" w:rsidP="00000000" w:rsidRDefault="00000000" w:rsidRPr="00000000" w14:paraId="000000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2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lwamvv" w:id="22"/>
      <w:bookmarkEnd w:id="2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Follmann DA, Proschan MA. Valid inference in random effects meta-analysis. Biometrics 1999;55:732-37.</w:t>
      </w:r>
    </w:p>
    <w:p w:rsidR="00000000" w:rsidDel="00000000" w:rsidP="00000000" w:rsidRDefault="00000000" w:rsidRPr="00000000" w14:paraId="000000C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2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11kx3o" w:id="23"/>
      <w:bookmarkEnd w:id="2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Crippa A, Discacciati A, Bottai M, Spiegelman D, Orsini N. One-stage dose-response meta-analysis for aggregated data. Stat Methods Med Res 2019;28:1579-96.</w:t>
      </w:r>
    </w:p>
    <w:p w:rsidR="00000000" w:rsidDel="00000000" w:rsidP="00000000" w:rsidRDefault="00000000" w:rsidRPr="00000000" w14:paraId="000000C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2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l18frh" w:id="24"/>
      <w:bookmarkEnd w:id="2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Crippa A, Orsini N. Multivariate dose-response meta-analysis: the dosresmeta R package. J Stat Software 2016;72:1-15.</w:t>
      </w:r>
    </w:p>
    <w:p w:rsidR="00000000" w:rsidDel="00000000" w:rsidP="00000000" w:rsidRDefault="00000000" w:rsidRPr="00000000" w14:paraId="000000C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8"/>
        </w:tabs>
        <w:spacing w:after="0" w:before="0" w:line="204" w:lineRule="auto"/>
        <w:ind w:left="283.46456692913387"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Viechtbauer W. Conducting meta-analyses in R with the metafor</w:t>
      </w:r>
      <w:r w:rsidDel="00000000" w:rsidR="00000000" w:rsidRPr="00000000">
        <w:rPr>
          <w:sz w:val="18"/>
          <w:szCs w:val="18"/>
          <w:rtl w:val="0"/>
        </w:rPr>
        <w:t xml:space="preserve"> Package. J Stat Software 2010; 36: 1-48.</w:t>
      </w:r>
    </w:p>
    <w:p w:rsidR="00000000" w:rsidDel="00000000" w:rsidP="00000000" w:rsidRDefault="00000000" w:rsidRPr="00000000" w14:paraId="000000C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32" w:line="278.0000000000000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k668n3" w:id="25"/>
      <w:bookmarkEnd w:id="2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Schünemann H, Brozek J, Guyatt G, Oxman A. GRADE handbook for grading quality of evidence and strength of recommendations. Updated October 2013. The GRADE Working Group, 2013, </w:t>
      </w:r>
      <w:hyperlink r:id="rId62">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https://gradepro.org/cite/guidelinedevelopment.</w:t>
        </w:r>
      </w:hyperlink>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 </w:t>
      </w:r>
      <w:hyperlink r:id="rId63">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org/handbook</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zbgiuw" w:id="26"/>
      <w:bookmarkEnd w:id="2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 Core Team. R: A language and environment for statistical computing. R Foundation for Statistical Computing, 2020, </w:t>
      </w:r>
      <w:hyperlink r:id="rId64">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https://www.R-project.org/</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egqt2p" w:id="27"/>
      <w:bookmarkEnd w:id="2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Huczek Z, Kochman J, Filipiak KJ, et al. Mean platelet volume on admission predicts impaired reperfusion and long-term mortality in acute myocardial infarction treated with primary percutaneous coronary intervention. J Am Coll Cardiol 2005;46: 284-90.</w:t>
      </w:r>
    </w:p>
    <w:p w:rsidR="00000000" w:rsidDel="00000000" w:rsidP="00000000" w:rsidRDefault="00000000" w:rsidRPr="00000000" w14:paraId="000000C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8"/>
        </w:tabs>
        <w:spacing w:after="0" w:before="0" w:line="203" w:lineRule="auto"/>
        <w:ind w:left="283.46456692913387"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Estévez-Loureiro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 </w:t>
      </w:r>
      <w:r w:rsidDel="00000000" w:rsidR="00000000" w:rsidRPr="00000000">
        <w:rPr>
          <w:sz w:val="18"/>
          <w:szCs w:val="18"/>
          <w:rtl w:val="0"/>
        </w:rPr>
        <w:t xml:space="preserve">Salgado-Fernández</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J, Marzoa-Rivas R,</w:t>
      </w:r>
      <w:r w:rsidDel="00000000" w:rsidR="00000000" w:rsidRPr="00000000">
        <w:rPr>
          <w:sz w:val="18"/>
          <w:szCs w:val="18"/>
          <w:rtl w:val="0"/>
        </w:rPr>
        <w:t xml:space="preserve"> et al. Mean platelet volume predicts patency of the infarct-related artery before mechanical reperfusion and short-term mortality in patients with ST-segment elevation myocardial infarction undergoing primary percutaneous coronary intervention. Thromb Res 2009;124:536-40.</w:t>
      </w:r>
    </w:p>
    <w:p w:rsidR="00000000" w:rsidDel="00000000" w:rsidP="00000000" w:rsidRDefault="00000000" w:rsidRPr="00000000" w14:paraId="000000D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5"/>
        </w:tabs>
        <w:spacing w:after="0" w:before="0" w:line="278.00000000000006" w:lineRule="auto"/>
        <w:ind w:left="283.46456692913387" w:right="119"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6840" w:w="11920" w:orient="portrait"/>
          <w:pgMar w:bottom="280" w:top="1060" w:left="740" w:right="720" w:header="653" w:footer="0"/>
          <w:cols w:equalWidth="0" w:num="1">
            <w:col w:space="0" w:w="10445.5"/>
          </w:cols>
        </w:sect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Vakili H, Kowsari R, Namazi MH, et al. Could mean platelet volume predicts impaired reperfusion and in-hospital major adverse cardiovascular event in patients with primary</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20" w:orient="portrait"/>
          <w:pgMar w:bottom="280" w:top="920" w:left="740" w:right="720" w:header="653" w:footer="0"/>
        </w:sectPr>
      </w:pPr>
      <w:r w:rsidDel="00000000" w:rsidR="00000000" w:rsidRPr="00000000">
        <w:rPr>
          <w:rtl w:val="0"/>
        </w:rPr>
      </w:r>
    </w:p>
    <w:p w:rsidR="00000000" w:rsidDel="00000000" w:rsidP="00000000" w:rsidRDefault="00000000" w:rsidRPr="00000000" w14:paraId="000000D2">
      <w:pPr>
        <w:spacing w:before="90" w:line="278.00000000000006" w:lineRule="auto"/>
        <w:ind w:left="452" w:right="40" w:firstLine="0"/>
        <w:jc w:val="both"/>
        <w:rPr>
          <w:sz w:val="18"/>
          <w:szCs w:val="18"/>
        </w:rPr>
      </w:pPr>
      <w:bookmarkStart w:colFirst="0" w:colLast="0" w:name="_heading=h.2dlolyb" w:id="28"/>
      <w:bookmarkEnd w:id="28"/>
      <w:r w:rsidDel="00000000" w:rsidR="00000000" w:rsidRPr="00000000">
        <w:rPr>
          <w:sz w:val="18"/>
          <w:szCs w:val="18"/>
          <w:rtl w:val="0"/>
        </w:rPr>
        <w:t xml:space="preserve">percutaneous coronary intervention after ST-elevation myocardial in. J Tehran Univ Heart Cent 2009; 1: 17-23.</w:t>
      </w:r>
    </w:p>
    <w:p w:rsidR="00000000" w:rsidDel="00000000" w:rsidP="00000000" w:rsidRDefault="00000000" w:rsidRPr="00000000" w14:paraId="000000D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8.0000000000000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sqyw64" w:id="29"/>
      <w:bookmarkEnd w:id="2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Akpek M, Kaya MG, Uyarel H, et al. The association of serum uric acid levels on coronary ﬂow in patients with STEMI undergoing primary PCI. Atherosclerosis 2011;219:334-41.</w:t>
      </w:r>
    </w:p>
    <w:p w:rsidR="00000000" w:rsidDel="00000000" w:rsidP="00000000" w:rsidRDefault="00000000" w:rsidRPr="00000000" w14:paraId="000000D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cqmetx" w:id="30"/>
      <w:bookmarkEnd w:id="3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Goncalves SC, Labinaz M, Le May M, et al. Usefulness of mean platelet volume as a biomarker for long-term outcomes after percutaneous coronary intervention. Am J Cardiol 2011;107: 204-09.</w:t>
      </w:r>
    </w:p>
    <w:p w:rsidR="00000000" w:rsidDel="00000000" w:rsidP="00000000" w:rsidRDefault="00000000" w:rsidRPr="00000000" w14:paraId="000000D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8.0000000000000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rvwp1q" w:id="31"/>
      <w:bookmarkEnd w:id="3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Taglieri N, Saia F, Rapezzi C, et al. Prognostic signiﬁcance of mean platelet volume on admission in an unselected cohort of patients with non ST-segment elevation acute coronary syndrome. Thromb Haemostasis 2011;106:132-40.</w:t>
      </w:r>
    </w:p>
    <w:p w:rsidR="00000000" w:rsidDel="00000000" w:rsidP="00000000" w:rsidRDefault="00000000" w:rsidRPr="00000000" w14:paraId="000000D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6" w:lineRule="auto"/>
        <w:ind w:left="452" w:right="4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bvk7pj" w:id="32"/>
      <w:bookmarkEnd w:id="3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Tekbas E, Kara AF, Ariturk Z, et al. Mean platelet volume in predicting short- and long-term morbidity and mortality in patients with or without ST-segment elevation myocardial infarction. Scand J Clin Lab Investig 2011;71:613-19.</w:t>
      </w:r>
    </w:p>
    <w:p w:rsidR="00000000" w:rsidDel="00000000" w:rsidP="00000000" w:rsidRDefault="00000000" w:rsidRPr="00000000" w14:paraId="000000D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8.0000000000000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Dogan A, Aksoy F, Icli A, et al. Mean platelet volume is associated with culprit lesion severity and cardiac events in acute coronary syndromes without ST elevation. Blood Coagul Fibrinolysis 2012;23:324-30.</w:t>
      </w:r>
    </w:p>
    <w:p w:rsidR="00000000" w:rsidDel="00000000" w:rsidP="00000000" w:rsidRDefault="00000000" w:rsidRPr="00000000" w14:paraId="000000D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3" w:lineRule="auto"/>
        <w:ind w:left="452" w:right="4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r0uhxc" w:id="33"/>
      <w:bookmarkEnd w:id="3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López-Cuenca AA, Tello-Montoliu A, </w:t>
      </w:r>
      <w:r w:rsidDel="00000000" w:rsidR="00000000" w:rsidRPr="00000000">
        <w:rPr>
          <w:sz w:val="18"/>
          <w:szCs w:val="18"/>
          <w:rtl w:val="0"/>
        </w:rPr>
        <w:t xml:space="preserve">Roldán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V, </w:t>
      </w:r>
      <w:r w:rsidDel="00000000" w:rsidR="00000000" w:rsidRPr="00000000">
        <w:rPr>
          <w:sz w:val="18"/>
          <w:szCs w:val="18"/>
          <w:rtl w:val="0"/>
        </w:rPr>
        <w:t xml:space="preserve">Pérez-Berbel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 </w:t>
      </w:r>
      <w:r w:rsidDel="00000000" w:rsidR="00000000" w:rsidRPr="00000000">
        <w:rPr>
          <w:sz w:val="18"/>
          <w:szCs w:val="18"/>
          <w:rtl w:val="0"/>
        </w:rPr>
        <w:t xml:space="preserve">Valdés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 </w:t>
      </w:r>
      <w:r w:rsidDel="00000000" w:rsidR="00000000" w:rsidRPr="00000000">
        <w:rPr>
          <w:sz w:val="18"/>
          <w:szCs w:val="18"/>
          <w:rtl w:val="0"/>
        </w:rPr>
        <w:t xml:space="preserve">Marín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 Prognostic value of mean platelet volume in patients with non-ST-elevation acute coronary syndrome. Angiology 2012;63:241-4.</w:t>
      </w:r>
    </w:p>
    <w:p w:rsidR="00000000" w:rsidDel="00000000" w:rsidP="00000000" w:rsidRDefault="00000000" w:rsidRPr="00000000" w14:paraId="000000D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8.0000000000000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Vrsalovic M, Pintaric H, Babic Z, et al. Impact of admission anemia, C-reactive protein and mean platelet volume on short term mortality in patients with acute ST-elevation myocardial infarction treated with primary angioplasty. Clin Biochem 2012; 45:1506-9.</w:t>
      </w:r>
    </w:p>
    <w:p w:rsidR="00000000" w:rsidDel="00000000" w:rsidP="00000000" w:rsidRDefault="00000000" w:rsidRPr="00000000" w14:paraId="000000D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03" w:lineRule="auto"/>
        <w:ind w:left="452" w:right="0"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Choi S-W, Choi D-H, Kim H-W, Ku Y-H, Ha S-I, Park G. </w:t>
      </w:r>
      <w:r w:rsidDel="00000000" w:rsidR="00000000" w:rsidRPr="00000000">
        <w:rPr>
          <w:sz w:val="18"/>
          <w:szCs w:val="18"/>
          <w:rtl w:val="0"/>
        </w:rPr>
        <w:t xml:space="preserve">Clinical outcome prediction from mean platelet volume in patients undergoing percutaneous coronary intervention in Korean cohort: Implications of more simple and useful test than platelet function testing. Platelets 2014;25:322-27.</w:t>
      </w:r>
    </w:p>
    <w:p w:rsidR="00000000" w:rsidDel="00000000" w:rsidP="00000000" w:rsidRDefault="00000000" w:rsidRPr="00000000" w14:paraId="000000D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8.0000000000000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q5sasy" w:id="34"/>
      <w:bookmarkEnd w:id="3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Akgul O, Uyarel H, Pusuroglu H, et al. Prognostic value of elevated mean platelet volume in patients undergoing primary angioplasty for ST-elevation myocardial infarction. Acta Cardiol 2013;68:307-14.</w:t>
      </w:r>
    </w:p>
    <w:p w:rsidR="00000000" w:rsidDel="00000000" w:rsidP="00000000" w:rsidRDefault="00000000" w:rsidRPr="00000000" w14:paraId="000000D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78.00000000000006" w:lineRule="auto"/>
        <w:ind w:left="452" w:right="38"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5b2l0r" w:id="35"/>
      <w:bookmarkEnd w:id="3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Eisen A, Bental T, Assali A, Kornowski R, Lev EI. Mean platelet volume as a predictor for long-term outcome after percutaneous coronary intervention. J Thromb Thrombolysis 2013;36:469-74.</w:t>
      </w:r>
    </w:p>
    <w:p w:rsidR="00000000" w:rsidDel="00000000" w:rsidP="00000000" w:rsidRDefault="00000000" w:rsidRPr="00000000" w14:paraId="000000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0" w:line="204" w:lineRule="auto"/>
        <w:ind w:left="452" w:right="0"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Fabregat-Andrés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Ó</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Cubillos A, </w:t>
      </w:r>
      <w:r w:rsidDel="00000000" w:rsidR="00000000" w:rsidRPr="00000000">
        <w:rPr>
          <w:sz w:val="18"/>
          <w:szCs w:val="18"/>
          <w:rtl w:val="0"/>
        </w:rPr>
        <w:t xml:space="preserve">Ferrando-Beltrán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 et al.</w:t>
      </w:r>
      <w:r w:rsidDel="00000000" w:rsidR="00000000" w:rsidRPr="00000000">
        <w:rPr>
          <w:sz w:val="18"/>
          <w:szCs w:val="18"/>
          <w:rtl w:val="0"/>
        </w:rPr>
        <w:t xml:space="preserve"> Mean platelet volume is associated with infarct size and microvascular obstruction estimated by cardiac magnetic resonance in ST segment elevation myocardial infarction. Blood Coagul Fibrinolysis 2013;24:424-7.</w:t>
      </w:r>
    </w:p>
    <w:p w:rsidR="00000000" w:rsidDel="00000000" w:rsidP="00000000" w:rsidRDefault="00000000" w:rsidRPr="00000000" w14:paraId="000000D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3" w:line="27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4g0dwd" w:id="36"/>
      <w:bookmarkEnd w:id="3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Bergoli LCC, Castanho ES, Gonçalves SC, et al. Volume </w:t>
      </w:r>
      <w:r w:rsidDel="00000000" w:rsidR="00000000" w:rsidRPr="00000000">
        <w:rPr>
          <w:sz w:val="18"/>
          <w:szCs w:val="18"/>
          <w:rtl w:val="0"/>
        </w:rPr>
        <w:t xml:space="preserve">plaquetário médio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como preditor de desfechos cardiovasculares maiores e ﬂuxo coronariano ﬁnal em pacientes submetidos a` intervenção </w:t>
      </w:r>
      <w:r w:rsidDel="00000000" w:rsidR="00000000" w:rsidRPr="00000000">
        <w:rPr>
          <w:sz w:val="18"/>
          <w:szCs w:val="18"/>
          <w:rtl w:val="0"/>
        </w:rPr>
        <w:t xml:space="preserve">coronária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percutânea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primária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Rev Bras Cardiol Invasiva 2014;22:240-4.</w:t>
      </w:r>
    </w:p>
    <w:p w:rsidR="00000000" w:rsidDel="00000000" w:rsidP="00000000" w:rsidRDefault="00000000" w:rsidRPr="00000000" w14:paraId="000000D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52"/>
        </w:tabs>
        <w:spacing w:after="0" w:before="6" w:line="278.00000000000006" w:lineRule="auto"/>
        <w:ind w:left="452" w:right="39"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Lekston A, Hudzik B, Hawranek M, et al. Prognostic signiﬁcance of mean platelet volume in diabetic patients with</w:t>
      </w:r>
      <w:r w:rsidDel="00000000" w:rsidR="00000000" w:rsidRPr="00000000">
        <w:rPr>
          <w:sz w:val="18"/>
          <w:szCs w:val="18"/>
          <w:rtl w:val="0"/>
        </w:rPr>
        <w:t xml:space="preserve"> ST-elevation myocardial infarction. J Diabetes Complicat 2014; 28:652-7.</w:t>
      </w:r>
    </w:p>
    <w:p w:rsidR="00000000" w:rsidDel="00000000" w:rsidP="00000000" w:rsidRDefault="00000000" w:rsidRPr="00000000" w14:paraId="000000E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3ky6rz" w:id="37"/>
      <w:bookmarkEnd w:id="3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Liu Q, Wang T, Chen R, et al. Mean platelet volume predicts left descending artery occlusion in patients with non-ST-elevation myocardial infarction. Platelets 2014;25:246-51.</w:t>
      </w:r>
    </w:p>
    <w:p w:rsidR="00000000" w:rsidDel="00000000" w:rsidP="00000000" w:rsidRDefault="00000000" w:rsidRPr="00000000" w14:paraId="000000E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iq8gzs" w:id="38"/>
      <w:bookmarkEnd w:id="3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Wan Z-F, Zhou D, Xue J-H, et al. Combination of mean platelet volume and the GRACE risk score better predicts future cardiovascular events in patients with acute coronary syndrome. Platelets 2014;25:447-51.</w:t>
      </w:r>
    </w:p>
    <w:p w:rsidR="00000000" w:rsidDel="00000000" w:rsidP="00000000" w:rsidRDefault="00000000" w:rsidRPr="00000000" w14:paraId="000000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Ghaffari S, Pourafkari L, Javadzadegan H, Masoumi N, Jafarabadi MA, Nader ND. Mean platelet volume is a predictor of ST resolution following thrombolysis in acute ST elevation myocardial infarction. Thromb Res 2015;136:101-6.</w:t>
      </w:r>
    </w:p>
    <w:p w:rsidR="00000000" w:rsidDel="00000000" w:rsidP="00000000" w:rsidRDefault="00000000" w:rsidRPr="00000000" w14:paraId="000000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xvir7l" w:id="39"/>
      <w:bookmarkEnd w:id="3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Lai H-M, Xu R, Yang Y-N, et al. Association of mean platelet volume with angiographic thrombus burden and short-term mortality in patients with ST-segment elevation myocardial infarction undergoing primary percutaneous coronary intervention. Cathet Cardiovasc Interv 2015;85:724-33.</w:t>
      </w:r>
    </w:p>
    <w:p w:rsidR="00000000" w:rsidDel="00000000" w:rsidP="00000000" w:rsidRDefault="00000000" w:rsidRPr="00000000" w14:paraId="000000E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1" w:line="278.00000000000006" w:lineRule="auto"/>
        <w:ind w:left="451" w:right="-60"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hv69ve" w:id="40"/>
      <w:bookmarkEnd w:id="4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Lai H-M, Chen Q-J, Yang Y-N, et al. Association of mean platelet volume with impaired myocardial reperfusion and short-term mortality in patients with ST-segment elevation myocardial infarction undergoing primary percutaneous coronary intervention. Blood Coagul Fibrinolysis 2016;27:5-12.</w:t>
      </w:r>
    </w:p>
    <w:p w:rsidR="00000000" w:rsidDel="00000000" w:rsidP="00000000" w:rsidRDefault="00000000" w:rsidRPr="00000000" w14:paraId="000000E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48"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x0gk37" w:id="41"/>
      <w:bookmarkEnd w:id="4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Ranjith MP, DivyaRaj R, Mathew D, George B, Krishnan MN. Mean platelet volume and cardiovascular outcomes in acute myocardial infarction. Heart Asia 2016;8:16-20.</w:t>
      </w:r>
    </w:p>
    <w:p w:rsidR="00000000" w:rsidDel="00000000" w:rsidP="00000000" w:rsidRDefault="00000000" w:rsidRPr="00000000" w14:paraId="000000E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24"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h042r0" w:id="42"/>
      <w:bookmarkEnd w:id="4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Sun X-p., Li B-y., Li J, Zhu W-w, Hua Q. Impact of mean platelet volume on long-term mortality in chinese patients with st-elevation myocardial infarction. Sci Rep 2016;6:21350.</w:t>
      </w:r>
    </w:p>
    <w:p w:rsidR="00000000" w:rsidDel="00000000" w:rsidP="00000000" w:rsidRDefault="00000000" w:rsidRPr="00000000" w14:paraId="000000E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72"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w5ecyt" w:id="43"/>
      <w:bookmarkEnd w:id="4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Wasilewski J, Desperak P, Hawranek M, et al. Prognostic implications of mean platelet volume on short- and long-term outcomes among patients with non-ST-segment elevation myocardial infarction treated with percutaneous coronary intervention: a single-center large observational study. Platelets 2016;27:452-8.</w:t>
      </w:r>
    </w:p>
    <w:p w:rsidR="00000000" w:rsidDel="00000000" w:rsidP="00000000" w:rsidRDefault="00000000" w:rsidRPr="00000000" w14:paraId="000000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Yu T, Dong Y, Sun Z, Sun Z. Comparison of prognostic signiﬁcance of mean platelet volume/platelet count with GRACE for long-term prognosis in patients with non-ST-segment elevation myocardial infarction undergoing percutaneous coronary intervention. Int J Cardiol 2017;228:335-40.</w:t>
      </w:r>
    </w:p>
    <w:p w:rsidR="00000000" w:rsidDel="00000000" w:rsidP="00000000" w:rsidRDefault="00000000" w:rsidRPr="00000000" w14:paraId="000000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baon6m" w:id="44"/>
      <w:bookmarkEnd w:id="4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Gina Y, Sung YJ, Phil CS, et al. Usefulness of serial measurement of the platelet volume indices to predict 30-day mortality in patients with ST segment elevation myocardial infarction. J Korean Soc Emerg Med 2017;28:514-25.</w:t>
      </w:r>
    </w:p>
    <w:p w:rsidR="00000000" w:rsidDel="00000000" w:rsidP="00000000" w:rsidRDefault="00000000" w:rsidRPr="00000000" w14:paraId="000000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6" w:lineRule="auto"/>
        <w:ind w:left="451" w:right="-60"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vac5uf" w:id="45"/>
      <w:bookmarkEnd w:id="4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Adam AM, Ali MA, Shah AA, et al. Efﬁcacy of hematological and coagulation parameters in the diagnosis and prognosis of patients with acute coronary syndrome. Journal Tehran Heart Center 2018;13:115-25.</w:t>
      </w:r>
    </w:p>
    <w:p w:rsidR="00000000" w:rsidDel="00000000" w:rsidP="00000000" w:rsidRDefault="00000000" w:rsidRPr="00000000" w14:paraId="000000E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36.18897637795135"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afmg28" w:id="46"/>
      <w:bookmarkEnd w:id="4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Machado GP, Araujo GND, Carpes CK, et al. Comparison of neutrophil-to-lymphocyte ratio and mean platelet volume in the prediction of adverse events after primary percutaneous coronary intervention in patients with ST-elevation myocardial infarction. Atherosclerosis 2018;274:212-17.</w:t>
      </w:r>
    </w:p>
    <w:p w:rsidR="00000000" w:rsidDel="00000000" w:rsidP="00000000" w:rsidRDefault="00000000" w:rsidRPr="00000000" w14:paraId="000000E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49"/>
          <w:tab w:val="left" w:leader="none" w:pos="451"/>
        </w:tabs>
        <w:spacing w:after="0" w:before="0" w:line="278.00000000000006" w:lineRule="auto"/>
        <w:ind w:left="451" w:right="513"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6840" w:w="11920" w:orient="portrait"/>
          <w:pgMar w:bottom="280" w:top="1060" w:left="740" w:right="720" w:header="653" w:footer="0"/>
          <w:cols w:equalWidth="0" w:num="1">
            <w:col w:space="0" w:w="10445.5"/>
          </w:cols>
        </w:sect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Monteiro </w:t>
      </w:r>
      <w:r w:rsidDel="00000000" w:rsidR="00000000" w:rsidRPr="00000000">
        <w:rPr>
          <w:sz w:val="18"/>
          <w:szCs w:val="18"/>
          <w:rtl w:val="0"/>
        </w:rPr>
        <w:t xml:space="preserve">Júnior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JGM, Torres DOC, Da Silva MCFC, et al. Prognostic value of hematological parameters in patients with</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20" w:orient="portrait"/>
          <w:pgMar w:bottom="280" w:top="920" w:left="740" w:right="720" w:header="653" w:footer="0"/>
        </w:sectPr>
      </w:pPr>
      <w:r w:rsidDel="00000000" w:rsidR="00000000" w:rsidRPr="00000000">
        <w:rPr>
          <w:rtl w:val="0"/>
        </w:rPr>
      </w:r>
    </w:p>
    <w:p w:rsidR="00000000" w:rsidDel="00000000" w:rsidP="00000000" w:rsidRDefault="00000000" w:rsidRPr="00000000" w14:paraId="000000EE">
      <w:pPr>
        <w:spacing w:before="90" w:line="278.00000000000006" w:lineRule="auto"/>
        <w:ind w:left="846" w:right="0" w:firstLine="0"/>
        <w:jc w:val="both"/>
        <w:rPr>
          <w:sz w:val="18"/>
          <w:szCs w:val="18"/>
        </w:rPr>
      </w:pPr>
      <w:bookmarkStart w:colFirst="0" w:colLast="0" w:name="_heading=h.pkwqa1" w:id="47"/>
      <w:bookmarkEnd w:id="47"/>
      <w:r w:rsidDel="00000000" w:rsidR="00000000" w:rsidRPr="00000000">
        <w:rPr>
          <w:sz w:val="18"/>
          <w:szCs w:val="18"/>
          <w:rtl w:val="0"/>
        </w:rPr>
        <w:t xml:space="preserve">acute myocardial infarction: Intrahospital outcomes. PLoS One 2018; 13: e0194897.</w:t>
      </w:r>
    </w:p>
    <w:p w:rsidR="00000000" w:rsidDel="00000000" w:rsidP="00000000" w:rsidRDefault="00000000" w:rsidRPr="00000000" w14:paraId="000000E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9kk8xu" w:id="48"/>
      <w:bookmarkEnd w:id="4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Niu X, Liu G, Huo L, et al. Risk stratiﬁcation based on components of the complete blood count in patients with acute coronary syndrome: a classiﬁcation and regression tree analysis. Sci Rep 2018;8:2838.</w:t>
      </w:r>
    </w:p>
    <w:p w:rsidR="00000000" w:rsidDel="00000000" w:rsidP="00000000" w:rsidRDefault="00000000" w:rsidRPr="00000000" w14:paraId="000000F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Tian C, Song J, He D, Wu J, Sun Z, Sun Z. Predictive value of mean platelet volume/platelet count for prognosis in acute myocardial infarction. Int Heart J 2018;59:286-92.</w:t>
      </w:r>
    </w:p>
    <w:p w:rsidR="00000000" w:rsidDel="00000000" w:rsidP="00000000" w:rsidRDefault="00000000" w:rsidRPr="00000000" w14:paraId="000000F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opuj5n" w:id="49"/>
      <w:bookmarkEnd w:id="4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Chang HY, Hsu LW, Lee CH, et al. Impact of platelet volume on the clinical outcomes of patients with acute coronary syndrome. Acta Cardiol Sin 2019;35:563-70.</w:t>
      </w:r>
    </w:p>
    <w:p w:rsidR="00000000" w:rsidDel="00000000" w:rsidP="00000000" w:rsidRDefault="00000000" w:rsidRPr="00000000" w14:paraId="000000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8pi1tg" w:id="50"/>
      <w:bookmarkEnd w:id="5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Garlobo DLN, Dopico RR, Rivero BS, Lombillo CRP, </w:t>
      </w:r>
      <w:r w:rsidDel="00000000" w:rsidR="00000000" w:rsidRPr="00000000">
        <w:rPr>
          <w:sz w:val="18"/>
          <w:szCs w:val="18"/>
          <w:rtl w:val="0"/>
        </w:rPr>
        <w:t xml:space="preserve">Rodríguez</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LOC, Gómez OM. Mean platelet volume and possible prognostic value in patients with acute myocardial infarction. Rev Cubana Med Mil 2019;48:696-706.</w:t>
      </w:r>
    </w:p>
    <w:p w:rsidR="00000000" w:rsidDel="00000000" w:rsidP="00000000" w:rsidRDefault="00000000" w:rsidRPr="00000000" w14:paraId="000000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846" w:right="1"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nusc19" w:id="51"/>
      <w:bookmarkEnd w:id="5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Chirino Navarta D, Monteros A, Trejo G, et al. Mean platelet volume as prognostic marker in patients with acute coronary syndrome. Rev Argent Cardiol 2015;83:292-8.</w:t>
      </w:r>
    </w:p>
    <w:p w:rsidR="00000000" w:rsidDel="00000000" w:rsidP="00000000" w:rsidRDefault="00000000" w:rsidRPr="00000000" w14:paraId="000000F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846" w:right="1"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302m92" w:id="52"/>
      <w:bookmarkEnd w:id="5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Çanga Y, Emre A, Karatas¸ MB, et al. Mean platelet volume predicts short-term prognosis in young patients with st-segment elevation myocardial infarction. J Cardiovasc Emergencies 2019;5:50-8.</w:t>
      </w:r>
    </w:p>
    <w:p w:rsidR="00000000" w:rsidDel="00000000" w:rsidP="00000000" w:rsidRDefault="00000000" w:rsidRPr="00000000" w14:paraId="000000F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mzq4wv" w:id="53"/>
      <w:bookmarkEnd w:id="5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Niu X, Yang C, Zhang Y, Zhang H, Yao Y. Mean platelet volume on admission improves risk prediction in patients with acute coronary syndromes. Angiology 2015;66:456-63.</w:t>
      </w:r>
    </w:p>
    <w:p w:rsidR="00000000" w:rsidDel="00000000" w:rsidP="00000000" w:rsidRDefault="00000000" w:rsidRPr="00000000" w14:paraId="000000F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250f4o" w:id="54"/>
      <w:bookmarkEnd w:id="5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Nozari Y, Parsa M, Jalali A, et al. Mean platelet volume and major adverse cardiac events following percutaneous coronary intervention. Arch Iran Med 2019;22:198-203.</w:t>
      </w:r>
    </w:p>
    <w:p w:rsidR="00000000" w:rsidDel="00000000" w:rsidP="00000000" w:rsidRDefault="00000000" w:rsidRPr="00000000" w14:paraId="000000F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08" w:lineRule="auto"/>
        <w:ind w:left="846" w:right="0" w:hanging="34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Şatıroğlu Ö</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Durakoğlugil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ME, Uydu HA, et al. The relationship</w:t>
      </w:r>
      <w:r w:rsidDel="00000000" w:rsidR="00000000" w:rsidRPr="00000000">
        <w:rPr>
          <w:sz w:val="18"/>
          <w:szCs w:val="18"/>
          <w:rtl w:val="0"/>
        </w:rPr>
        <w:t xml:space="preserve"> between mean platelet volume and in-hospital mortality in geriatric patients with ST segment elevation myocardial infarction who underwent primary percutaneous coronary intervention. Cardiovasc Innov Appl 2019; 4: 135-41.</w:t>
      </w:r>
    </w:p>
    <w:p w:rsidR="00000000" w:rsidDel="00000000" w:rsidP="00000000" w:rsidRDefault="00000000" w:rsidRPr="00000000" w14:paraId="000000F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4" w:line="278.0000000000000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19y80a" w:id="55"/>
      <w:bookmarkEnd w:id="5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Vogiatzis I, Samaras A, Grigoriadis S, Sdogkos E, Koutsampasopoulos K, Bostanitis I. The mean platelet volume in the prognosis of coronary artery disease severity and risk stratiﬁcation of acute coronary syndromes. Med Arch 2019;73:76.</w:t>
      </w:r>
    </w:p>
    <w:p w:rsidR="00000000" w:rsidDel="00000000" w:rsidP="00000000" w:rsidRDefault="00000000" w:rsidRPr="00000000" w14:paraId="000000F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gf8i83" w:id="56"/>
      <w:bookmarkEnd w:id="5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Chen X, Huang Z, Li G. Predictive value of neutrophil-to-lymphocyte ratio combined with mean platelet volume for nosocomial major adverse cardiovascular events in patients with acute STEMI after PCI. Chin Gen Pract 2020;23:1117-26.</w:t>
      </w:r>
    </w:p>
    <w:p w:rsidR="00000000" w:rsidDel="00000000" w:rsidP="00000000" w:rsidRDefault="00000000" w:rsidRPr="00000000" w14:paraId="000000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46"/>
        </w:tabs>
        <w:spacing w:after="0" w:before="0" w:line="278.00000000000006" w:lineRule="auto"/>
        <w:ind w:left="846" w:right="0" w:hanging="35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Chirino Navarta D, Trejo G, Leonardi M, et al. Association between mean platelet volume and resistance to aspirin and</w:t>
      </w:r>
      <w:r w:rsidDel="00000000" w:rsidR="00000000" w:rsidRPr="00000000">
        <w:rPr>
          <w:sz w:val="18"/>
          <w:szCs w:val="18"/>
          <w:rtl w:val="0"/>
        </w:rPr>
        <w:t xml:space="preserve"> P2Y12 receptor inhibitors in elderly patients with acute coronary syndrome. Rev Argent Cardiol 2019;87:258-64.</w:t>
      </w:r>
    </w:p>
    <w:p w:rsidR="00000000" w:rsidDel="00000000" w:rsidP="00000000" w:rsidRDefault="00000000" w:rsidRPr="00000000" w14:paraId="000000F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fk6b3p" w:id="57"/>
      <w:bookmarkEnd w:id="5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Jagroop IA, Tsiara S, Mikhailidis DP. Mean platelet volume as an indicator of platelet activation: methodological issues. Platelets 2003;14:335-6.</w:t>
      </w:r>
    </w:p>
    <w:p w:rsidR="00000000" w:rsidDel="00000000" w:rsidP="00000000" w:rsidRDefault="00000000" w:rsidRPr="00000000" w14:paraId="000000F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upglbi" w:id="58"/>
      <w:bookmarkEnd w:id="5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Paﬁli K, Penlioglou T, Mikhailidis DP, Papanas N. Mean platelet volume and coronary artery disease. Curr Opin Cardiol 2019;34: 390-8.</w:t>
      </w:r>
    </w:p>
    <w:p w:rsidR="00000000" w:rsidDel="00000000" w:rsidP="00000000" w:rsidRDefault="00000000" w:rsidRPr="00000000" w14:paraId="000000F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ep43zb" w:id="59"/>
      <w:bookmarkEnd w:id="5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Tierney JF, Stewart LA, Ghersi D, Burdett S, Sydes MR. Practical methods for incorporating summary time-to-event data into meta-analysis. Trials 2007;8:16.</w:t>
      </w:r>
    </w:p>
    <w:p w:rsidR="00000000" w:rsidDel="00000000" w:rsidP="00000000" w:rsidRDefault="00000000" w:rsidRPr="00000000" w14:paraId="000000F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tuee74" w:id="60"/>
      <w:bookmarkEnd w:id="6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IntHout J, Ioannidis JP, Borm GF. The hartung-knapp-sidik-jonkman method for random effects meta-analysis is straightforward and considerably outperforms the standard DerSimonian-Laird method. BMC Med Res Methodol 2014; 14: 25.</w:t>
      </w:r>
    </w:p>
    <w:p w:rsidR="00000000" w:rsidDel="00000000" w:rsidP="00000000" w:rsidRDefault="00000000" w:rsidRPr="00000000" w14:paraId="000000F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du1wux" w:id="61"/>
      <w:bookmarkEnd w:id="6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Jackson D, Bowden J, Baker R. How does the DerSimonian and Laird procedure for random effects meta-analysis compare with its more efﬁcient but harder to compute counterparts? J Stat Plann Inference 2010;140:961-70.</w:t>
      </w:r>
    </w:p>
    <w:p w:rsidR="00000000" w:rsidDel="00000000" w:rsidP="00000000" w:rsidRDefault="00000000" w:rsidRPr="00000000" w14:paraId="0000010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szc72q" w:id="62"/>
      <w:bookmarkEnd w:id="6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Collet JP, Thiele H, Barbato E, et al. 2020 ESC guidelines for the management of acute coronary syndromes in patients presenting without persistent ST-segment elevation. Eur Heart J 2021;42: 1289-367.</w:t>
      </w:r>
    </w:p>
    <w:p w:rsidR="00000000" w:rsidDel="00000000" w:rsidP="00000000" w:rsidRDefault="00000000" w:rsidRPr="00000000" w14:paraId="0000010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84mhaj" w:id="63"/>
      <w:bookmarkEnd w:id="6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Roe MT, Halabi AR, Mehta RH, et al. Documented traditional cardiovascular risk factors and mortality in non-st-segment elevation myocardial infarction. Am Heart J 2007; 153:507-14.</w:t>
      </w:r>
    </w:p>
    <w:p w:rsidR="00000000" w:rsidDel="00000000" w:rsidP="00000000" w:rsidRDefault="00000000" w:rsidRPr="00000000" w14:paraId="0000010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3s49zyc" w:id="64"/>
      <w:bookmarkEnd w:id="6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Figtree GA, Vernon ST, Hadziosmanovic N, et al. Mortality in STEMI patients without standard modiﬁable risk factors: a sex- disaggregated analysis of swedeheart registry data. Lancet 2021; 397:1085-94.</w:t>
      </w:r>
    </w:p>
    <w:p w:rsidR="00000000" w:rsidDel="00000000" w:rsidP="00000000" w:rsidRDefault="00000000" w:rsidRPr="00000000" w14:paraId="0000010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79ka65" w:id="65"/>
      <w:bookmarkEnd w:id="6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Garcia-Garcia HM, McFadden EP, Farb A, et al. Standardized end point deﬁnitions for coronary intervention trials: the academic research consortium-2 consensus document. Circulation 2018;137:2635-50.</w:t>
      </w:r>
    </w:p>
    <w:p w:rsidR="00000000" w:rsidDel="00000000" w:rsidP="00000000" w:rsidRDefault="00000000" w:rsidRPr="00000000" w14:paraId="0000010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Akyüz A, Akkoyun DÇ, </w:t>
      </w:r>
      <w:r w:rsidDel="00000000" w:rsidR="00000000" w:rsidRPr="00000000">
        <w:rPr>
          <w:sz w:val="18"/>
          <w:szCs w:val="18"/>
          <w:rtl w:val="0"/>
        </w:rPr>
        <w:t xml:space="preserve">Değirmenci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H, Oran M. Rosuvastatin decreases mean platelet volume in patients with diabetes mellitus. Angiology 2016;67:116-20.</w:t>
      </w:r>
    </w:p>
    <w:p w:rsidR="00000000" w:rsidDel="00000000" w:rsidP="00000000" w:rsidRDefault="00000000" w:rsidRPr="00000000" w14:paraId="0000010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meukdy" w:id="66"/>
      <w:bookmarkEnd w:id="6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Papanas N, Maltezos E. Rosuvastatin and mean platelet volume in diabetes. Angiology 2016;67:113-5.</w:t>
      </w:r>
    </w:p>
    <w:p w:rsidR="00000000" w:rsidDel="00000000" w:rsidP="00000000" w:rsidRDefault="00000000" w:rsidRPr="00000000" w14:paraId="000001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47"/>
          <w:tab w:val="left" w:leader="none" w:pos="549"/>
        </w:tabs>
        <w:spacing w:after="0" w:before="0" w:line="278.00000000000006" w:lineRule="auto"/>
        <w:ind w:left="850.3937007874016" w:right="30" w:hanging="360.00000000000006"/>
        <w:jc w:val="both"/>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6840" w:w="11920" w:orient="portrait"/>
          <w:pgMar w:bottom="280" w:top="1060" w:left="740" w:right="720" w:header="653" w:footer="0"/>
          <w:cols w:equalWidth="0" w:num="1">
            <w:col w:space="0" w:w="10445.5"/>
          </w:cols>
        </w:sect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Lee J-B, Kim G-S, Cho H-N. Statin and ezetimibe combination therapy decreases mean platelet volume compared to statin monotherapy. J Stroke 2017;19:109-10.</w:t>
      </w:r>
    </w:p>
    <w:p w:rsidR="00000000" w:rsidDel="00000000" w:rsidP="00000000" w:rsidRDefault="00000000" w:rsidRPr="00000000" w14:paraId="00000107">
      <w:pPr>
        <w:spacing w:before="67" w:lineRule="auto"/>
        <w:ind w:left="1334" w:right="0" w:hanging="1038"/>
        <w:jc w:val="left"/>
        <w:rPr>
          <w:b w:val="1"/>
          <w:sz w:val="24"/>
          <w:szCs w:val="24"/>
        </w:rPr>
      </w:pPr>
      <w:r w:rsidDel="00000000" w:rsidR="00000000" w:rsidRPr="00000000">
        <w:rPr>
          <w:b w:val="1"/>
          <w:sz w:val="24"/>
          <w:szCs w:val="24"/>
          <w:rtl w:val="0"/>
        </w:rPr>
        <w:t xml:space="preserve">Supplementary Data to the article “The prognostic utility of mean platelet volume in patients with acute coronary syndrome: a systematic review with meta-analyses.”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spacing w:before="0" w:lineRule="auto"/>
        <w:ind w:left="232" w:right="0" w:firstLine="0"/>
        <w:jc w:val="left"/>
        <w:rPr>
          <w:b w:val="1"/>
          <w:sz w:val="24"/>
          <w:szCs w:val="24"/>
        </w:rPr>
      </w:pPr>
      <w:r w:rsidDel="00000000" w:rsidR="00000000" w:rsidRPr="00000000">
        <w:rPr>
          <w:b w:val="1"/>
          <w:sz w:val="24"/>
          <w:szCs w:val="24"/>
          <w:rtl w:val="0"/>
        </w:rPr>
        <w:t xml:space="preserve">Content</w:t>
      </w:r>
    </w:p>
    <w:p w:rsidR="00000000" w:rsidDel="00000000" w:rsidP="00000000" w:rsidRDefault="00000000" w:rsidRPr="00000000" w14:paraId="0000010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3"/>
        </w:tabs>
        <w:spacing w:after="0" w:before="272" w:line="240" w:lineRule="auto"/>
        <w:ind w:left="95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search strategy.</w:t>
      </w:r>
    </w:p>
    <w:p w:rsidR="00000000" w:rsidDel="00000000" w:rsidP="00000000" w:rsidRDefault="00000000" w:rsidRPr="00000000" w14:paraId="0000010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PubMed.</w:t>
      </w:r>
    </w:p>
    <w:p w:rsidR="00000000" w:rsidDel="00000000" w:rsidP="00000000" w:rsidRDefault="00000000" w:rsidRPr="00000000" w14:paraId="0000010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Web of Science.</w:t>
      </w:r>
    </w:p>
    <w:p w:rsidR="00000000" w:rsidDel="00000000" w:rsidP="00000000" w:rsidRDefault="00000000" w:rsidRPr="00000000" w14:paraId="0000010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Scopus.</w:t>
      </w:r>
    </w:p>
    <w:p w:rsidR="00000000" w:rsidDel="00000000" w:rsidP="00000000" w:rsidRDefault="00000000" w:rsidRPr="00000000" w14:paraId="0000010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Cochrane Library.</w:t>
      </w:r>
    </w:p>
    <w:p w:rsidR="00000000" w:rsidDel="00000000" w:rsidP="00000000" w:rsidRDefault="00000000" w:rsidRPr="00000000" w14:paraId="0000010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3"/>
        </w:tabs>
        <w:spacing w:after="0" w:before="0" w:line="240" w:lineRule="auto"/>
        <w:ind w:left="95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Tables.</w:t>
      </w:r>
    </w:p>
    <w:p w:rsidR="00000000" w:rsidDel="00000000" w:rsidP="00000000" w:rsidRDefault="00000000" w:rsidRPr="00000000" w14:paraId="0000011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 1. Additional sources.</w:t>
      </w:r>
    </w:p>
    <w:p w:rsidR="00000000" w:rsidDel="00000000" w:rsidP="00000000" w:rsidRDefault="00000000" w:rsidRPr="00000000" w14:paraId="0000011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 2. Studies that could be potentially included in the meta-analysis.</w:t>
      </w:r>
    </w:p>
    <w:p w:rsidR="00000000" w:rsidDel="00000000" w:rsidP="00000000" w:rsidRDefault="00000000" w:rsidRPr="00000000" w14:paraId="0000011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 3. Baseline features of the included studies.</w:t>
      </w:r>
    </w:p>
    <w:p w:rsidR="00000000" w:rsidDel="00000000" w:rsidP="00000000" w:rsidRDefault="00000000" w:rsidRPr="00000000" w14:paraId="0000011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8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 3. Risk of bias assessment of included studies according to QUIPS (quality in prognostic factor studies) tool.</w:t>
      </w:r>
    </w:p>
    <w:p w:rsidR="00000000" w:rsidDel="00000000" w:rsidP="00000000" w:rsidRDefault="00000000" w:rsidRPr="00000000" w14:paraId="0000011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 5. Leave-one out sensitivity analyses.</w:t>
      </w:r>
    </w:p>
    <w:p w:rsidR="00000000" w:rsidDel="00000000" w:rsidP="00000000" w:rsidRDefault="00000000" w:rsidRPr="00000000" w14:paraId="0000011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23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Table 6. Model characteristics for dose-response relationship between mean platelet volume (MPV) and long-term mortality and major adverse cardiovascular events (MACE).</w:t>
      </w:r>
    </w:p>
    <w:p w:rsidR="00000000" w:rsidDel="00000000" w:rsidP="00000000" w:rsidRDefault="00000000" w:rsidRPr="00000000" w14:paraId="0000011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3"/>
        </w:tabs>
        <w:spacing w:after="0" w:before="0" w:line="240" w:lineRule="auto"/>
        <w:ind w:left="95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Figures.</w:t>
      </w:r>
    </w:p>
    <w:p w:rsidR="00000000" w:rsidDel="00000000" w:rsidP="00000000" w:rsidRDefault="00000000" w:rsidRPr="00000000" w14:paraId="0000011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1" w:line="240" w:lineRule="auto"/>
        <w:ind w:left="1313" w:right="2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 Analyses for long-term mortality with MPV treated as continuous variable and hazard ratio as an effect estimate and confidence intervals (CIs) estimated with Wald-type statistics.</w:t>
      </w:r>
    </w:p>
    <w:p w:rsidR="00000000" w:rsidDel="00000000" w:rsidP="00000000" w:rsidRDefault="00000000" w:rsidRPr="00000000" w14:paraId="0000011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04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 Analyses for long-term mortality with MPV treated as continuous variable and hazard ratio as an effect estimate and CIs based on 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w:t>
      </w:r>
    </w:p>
    <w:p w:rsidR="00000000" w:rsidDel="00000000" w:rsidP="00000000" w:rsidRDefault="00000000" w:rsidRPr="00000000" w14:paraId="0000011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4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3. Subgroup analysis for long-term mortality with MPV treated as continuous variable and hazard ratio as effect estimates.</w:t>
      </w:r>
    </w:p>
    <w:p w:rsidR="00000000" w:rsidDel="00000000" w:rsidP="00000000" w:rsidRDefault="00000000" w:rsidRPr="00000000" w14:paraId="0000011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26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4. Influential case diagnostics for long-term mortality with MPV as a continuous variable and hazard ratio as an effect estimate.</w:t>
      </w:r>
    </w:p>
    <w:p w:rsidR="00000000" w:rsidDel="00000000" w:rsidP="00000000" w:rsidRDefault="00000000" w:rsidRPr="00000000" w14:paraId="0000011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57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5. Additional analyses for long-term mortality with MPV as a continuous variable and hazard ratio as an effect estimate.</w:t>
      </w:r>
    </w:p>
    <w:p w:rsidR="00000000" w:rsidDel="00000000" w:rsidP="00000000" w:rsidRDefault="00000000" w:rsidRPr="00000000" w14:paraId="0000011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6. Analyses for long-term MACE with MPV treated as continuous variable and hazard ratio as an effect estimate and the Knapp and Hartung adjustment.</w:t>
      </w:r>
    </w:p>
    <w:p w:rsidR="00000000" w:rsidDel="00000000" w:rsidP="00000000" w:rsidRDefault="00000000" w:rsidRPr="00000000" w14:paraId="0000011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7. Analyses for long-term MACE with MPV treated as continuous variable and hazard ratio as an effect estimate and Wald-type CIs.</w:t>
      </w:r>
    </w:p>
    <w:p w:rsidR="00000000" w:rsidDel="00000000" w:rsidP="00000000" w:rsidRDefault="00000000" w:rsidRPr="00000000" w14:paraId="0000011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8. Analyses for long-term MACE with MPV treated as continuous variable and hazard ratio as an effect estimate based on t-distribution.</w:t>
      </w:r>
    </w:p>
    <w:p w:rsidR="00000000" w:rsidDel="00000000" w:rsidP="00000000" w:rsidRDefault="00000000" w:rsidRPr="00000000" w14:paraId="0000011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29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9. Subgroup analyses for long-term MACE with MPV treated as continuous variable and hazard ratio as effect estimates.</w:t>
      </w:r>
    </w:p>
    <w:p w:rsidR="00000000" w:rsidDel="00000000" w:rsidP="00000000" w:rsidRDefault="00000000" w:rsidRPr="00000000" w14:paraId="0000012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4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10. Influential case diagnostics for long-term mortality with MPV as a continuous variable and hazard ratio as effect estimates.</w:t>
      </w:r>
    </w:p>
    <w:p w:rsidR="00000000" w:rsidDel="00000000" w:rsidP="00000000" w:rsidRDefault="00000000" w:rsidRPr="00000000" w14:paraId="0000012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1" w:line="240" w:lineRule="auto"/>
        <w:ind w:left="1313" w:right="64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11. Additional analyses for long-term MACE with MPV as a continuous variable and hazard ratio as an effect estimate.</w:t>
      </w:r>
    </w:p>
    <w:p w:rsidR="00000000" w:rsidDel="00000000" w:rsidP="00000000" w:rsidRDefault="00000000" w:rsidRPr="00000000" w14:paraId="0000012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92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12. Analyses for long-term mortality with MPV treated as categorized variable and hazard ratio as an effect estimate.</w:t>
      </w:r>
    </w:p>
    <w:p w:rsidR="00000000" w:rsidDel="00000000" w:rsidP="00000000" w:rsidRDefault="00000000" w:rsidRPr="00000000" w14:paraId="0000012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40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65" w:type="default"/>
          <w:footerReference r:id="rId66" w:type="default"/>
          <w:footerReference r:id="rId67" w:type="even"/>
          <w:type w:val="nextPage"/>
          <w:pgSz w:h="16840" w:w="11920" w:orient="portrait"/>
          <w:pgMar w:bottom="260" w:top="1320" w:left="900" w:right="1020" w:header="0" w:footer="71"/>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13. Analyses for long-term MACE with MPV treated as categorized variable and hazard ratio as an effect estimate and the Knapp and Hartung adjustment.</w:t>
      </w:r>
    </w:p>
    <w:p w:rsidR="00000000" w:rsidDel="00000000" w:rsidP="00000000" w:rsidRDefault="00000000" w:rsidRPr="00000000" w14:paraId="0000012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66" w:line="240" w:lineRule="auto"/>
        <w:ind w:left="1313" w:right="34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14. Analyses for long-term MACE with MPV treated as categorized variable and hazard ratio as an effect estimate and t-distribution based CIs.</w:t>
      </w:r>
    </w:p>
    <w:p w:rsidR="00000000" w:rsidDel="00000000" w:rsidP="00000000" w:rsidRDefault="00000000" w:rsidRPr="00000000" w14:paraId="0000012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10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15. Analyses for long-term MACE with MPV treated as categorized variable and hazard ratio as an effect estimate and Wald-type CIs.</w:t>
      </w:r>
    </w:p>
    <w:p w:rsidR="00000000" w:rsidDel="00000000" w:rsidP="00000000" w:rsidRDefault="00000000" w:rsidRPr="00000000" w14:paraId="0000012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1" w:line="240" w:lineRule="auto"/>
        <w:ind w:left="1313" w:right="17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16. Subgroup analyses for long-term MACE with MPV treated as categorized variable and hazard ratio as effect estimates.</w:t>
      </w:r>
    </w:p>
    <w:p w:rsidR="00000000" w:rsidDel="00000000" w:rsidP="00000000" w:rsidRDefault="00000000" w:rsidRPr="00000000" w14:paraId="0000012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17. Meta-regression analyses with a cut-point value treated as a predictor for long-term MACE and MPV treated as categorized variable and hazard ratio as effect estimates.</w:t>
      </w:r>
    </w:p>
    <w:p w:rsidR="00000000" w:rsidDel="00000000" w:rsidP="00000000" w:rsidRDefault="00000000" w:rsidRPr="00000000" w14:paraId="0000012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4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18. Influential case diagnostics for long-term mortality with MPV as a categorized variable and hazard ratio as an effect estimate.</w:t>
      </w:r>
    </w:p>
    <w:p w:rsidR="00000000" w:rsidDel="00000000" w:rsidP="00000000" w:rsidRDefault="00000000" w:rsidRPr="00000000" w14:paraId="0000012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63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19. Additional analyses for long-term MACE with MPV as a categorical variable and hazard ratio as an effect estimate.</w:t>
      </w:r>
    </w:p>
    <w:p w:rsidR="00000000" w:rsidDel="00000000" w:rsidP="00000000" w:rsidRDefault="00000000" w:rsidRPr="00000000" w14:paraId="0000012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63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20. Analyses for long-term repeated MI with MPV treated as continuous variable and hazard ratio as an effect estimate.</w:t>
      </w:r>
    </w:p>
    <w:p w:rsidR="00000000" w:rsidDel="00000000" w:rsidP="00000000" w:rsidRDefault="00000000" w:rsidRPr="00000000" w14:paraId="0000012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9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21. Analyses for long-term mortality with MPV treated as categorized variable and odds ratio as an effect estimate.</w:t>
      </w:r>
    </w:p>
    <w:p w:rsidR="00000000" w:rsidDel="00000000" w:rsidP="00000000" w:rsidRDefault="00000000" w:rsidRPr="00000000" w14:paraId="0000012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10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22. Analyses for long-term MACE with MPV treated as categorized variable and odds ratio as an effect estimate.</w:t>
      </w:r>
    </w:p>
    <w:p w:rsidR="00000000" w:rsidDel="00000000" w:rsidP="00000000" w:rsidRDefault="00000000" w:rsidRPr="00000000" w14:paraId="0000012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83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23. Analyses for one-month mortality with MPV treated as continuous variable and hazard ratio as an effect estimate.</w:t>
      </w:r>
    </w:p>
    <w:p w:rsidR="00000000" w:rsidDel="00000000" w:rsidP="00000000" w:rsidRDefault="00000000" w:rsidRPr="00000000" w14:paraId="0000012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1" w:line="240" w:lineRule="auto"/>
        <w:ind w:left="1313" w:right="10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24. Analyses for one-month MACE with MPV treated as categorized variable and odds ratio as an effect estimate.</w:t>
      </w:r>
    </w:p>
    <w:p w:rsidR="00000000" w:rsidDel="00000000" w:rsidP="00000000" w:rsidRDefault="00000000" w:rsidRPr="00000000" w14:paraId="0000012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83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25. Analyses for one-month mortality with MPV treated as categorized variable and odds ratio as an effect estimate.</w:t>
      </w:r>
    </w:p>
    <w:p w:rsidR="00000000" w:rsidDel="00000000" w:rsidP="00000000" w:rsidRDefault="00000000" w:rsidRPr="00000000" w14:paraId="0000013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86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26. Analyses for inhospital mortality with MPV treated as categorized variable and odds ratio as an effect estimate.</w:t>
      </w:r>
    </w:p>
    <w:p w:rsidR="00000000" w:rsidDel="00000000" w:rsidP="00000000" w:rsidRDefault="00000000" w:rsidRPr="00000000" w14:paraId="0000013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03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27. Analyses for in-hospital MACE with MPV treated as categorized variable and odds ratio as an effect estimate.</w:t>
      </w:r>
    </w:p>
    <w:p w:rsidR="00000000" w:rsidDel="00000000" w:rsidP="00000000" w:rsidRDefault="00000000" w:rsidRPr="00000000" w14:paraId="0000013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34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28. Subgroup analyses for in-hospital MACE with MPV treated as categorized variable and odds ratio as effect estimates.</w:t>
      </w:r>
    </w:p>
    <w:p w:rsidR="00000000" w:rsidDel="00000000" w:rsidP="00000000" w:rsidRDefault="00000000" w:rsidRPr="00000000" w14:paraId="0000013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2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29. Influential case diagnostics for in-hospital MACE with MPV as a categorised variable and odds ratio as an effect estimate.</w:t>
      </w:r>
    </w:p>
    <w:p w:rsidR="00000000" w:rsidDel="00000000" w:rsidP="00000000" w:rsidRDefault="00000000" w:rsidRPr="00000000" w14:paraId="0000013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49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30. Additional analyses for in-hospital MACE with MPV as a categorical variable and odds ratio as an effect estimate.</w:t>
      </w:r>
    </w:p>
    <w:p w:rsidR="00000000" w:rsidDel="00000000" w:rsidP="00000000" w:rsidRDefault="00000000" w:rsidRPr="00000000" w14:paraId="0000013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13"/>
        </w:tabs>
        <w:spacing w:after="0" w:before="0" w:line="240" w:lineRule="auto"/>
        <w:ind w:left="1313" w:right="11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68" w:type="even"/>
          <w:type w:val="nextPage"/>
          <w:pgSz w:h="16840" w:w="11920" w:orient="portrait"/>
          <w:pgMar w:bottom="260" w:top="1040" w:left="900" w:right="1020" w:header="0"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Supplementary Figure 31. Dose-response relationship between mean platelet volume and long-term mortality.</w:t>
      </w:r>
    </w:p>
    <w:p w:rsidR="00000000" w:rsidDel="00000000" w:rsidP="00000000" w:rsidRDefault="00000000" w:rsidRPr="00000000" w14:paraId="00000136">
      <w:pPr>
        <w:spacing w:before="63" w:lineRule="auto"/>
        <w:ind w:left="116" w:right="1" w:firstLine="0"/>
        <w:jc w:val="center"/>
        <w:rPr>
          <w:b w:val="1"/>
          <w:sz w:val="24"/>
          <w:szCs w:val="24"/>
        </w:rPr>
      </w:pPr>
      <w:r w:rsidDel="00000000" w:rsidR="00000000" w:rsidRPr="00000000">
        <w:rPr>
          <w:b w:val="1"/>
          <w:sz w:val="24"/>
          <w:szCs w:val="24"/>
          <w:rtl w:val="0"/>
        </w:rPr>
        <w:t xml:space="preserve">Supplementary search strategy.</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spacing w:before="0" w:lineRule="auto"/>
        <w:ind w:left="232" w:right="0" w:firstLine="0"/>
        <w:jc w:val="left"/>
        <w:rPr>
          <w:b w:val="1"/>
          <w:sz w:val="24"/>
          <w:szCs w:val="24"/>
        </w:rPr>
      </w:pPr>
      <w:r w:rsidDel="00000000" w:rsidR="00000000" w:rsidRPr="00000000">
        <w:rPr>
          <w:b w:val="1"/>
          <w:sz w:val="24"/>
          <w:szCs w:val="24"/>
          <w:rtl w:val="0"/>
        </w:rPr>
        <w:t xml:space="preserve">Database: PubMed.</w:t>
      </w:r>
    </w:p>
    <w:p w:rsidR="00000000" w:rsidDel="00000000" w:rsidP="00000000" w:rsidRDefault="00000000" w:rsidRPr="00000000" w14:paraId="00000139">
      <w:pPr>
        <w:spacing w:before="0" w:lineRule="auto"/>
        <w:ind w:left="232" w:right="6304" w:firstLine="0"/>
        <w:jc w:val="left"/>
        <w:rPr>
          <w:b w:val="1"/>
          <w:sz w:val="24"/>
          <w:szCs w:val="24"/>
        </w:rPr>
      </w:pPr>
      <w:r w:rsidDel="00000000" w:rsidR="00000000" w:rsidRPr="00000000">
        <w:rPr>
          <w:b w:val="1"/>
          <w:sz w:val="24"/>
          <w:szCs w:val="24"/>
          <w:rtl w:val="0"/>
        </w:rPr>
        <w:t xml:space="preserve">Last search date: 24 May 2021. Number of items: 5230.</w:t>
      </w:r>
    </w:p>
    <w:p w:rsidR="00000000" w:rsidDel="00000000" w:rsidP="00000000" w:rsidRDefault="00000000" w:rsidRPr="00000000" w14:paraId="0000013A">
      <w:pPr>
        <w:spacing w:before="272" w:lineRule="auto"/>
        <w:ind w:left="232" w:right="128" w:firstLine="0"/>
        <w:jc w:val="left"/>
        <w:rPr>
          <w:sz w:val="24"/>
          <w:szCs w:val="24"/>
        </w:rPr>
      </w:pPr>
      <w:r w:rsidDel="00000000" w:rsidR="00000000" w:rsidRPr="00000000">
        <w:rPr>
          <w:sz w:val="24"/>
          <w:szCs w:val="24"/>
          <w:rtl w:val="0"/>
        </w:rPr>
        <w:t xml:space="preserve">#1 – Patient - (("Acute Coronary Syndrome"[MeSH Terms] OR "Coronary Artery Disease"[MeSH Terms] OR "Myocardial Infarction"[MeSH Terms] OR "Percutaneous Coronary Intervention"[MeSH Terms] OR "ST Elevation Myocardial Infarction"[MeSH Terms] OR "Non-ST Elevated Myocardial Infarction"[MeSH Terms] OR "angioplasty, balloon, coronary"[MeSH Terms] OR "Drug-Eluting Stents"[MeSH Terms] OR "Coronary Thrombosis"[MeSH Terms] OR "angina, unstable"[MeSH Terms] OR "angina pectoris, variant"[MeSH Terms] OR "Myocardial Ischemia"[MeSH Terms] OR "Coronary Care Units"[MeSH Terms] OR "Coronary Stenosis"[MeSH Terms] OR "acute coronary syndrom*"[Title/Abstract] OR "coronary artery diseas*"[Title/Abstract] OR "Myocardial Infarction"[Title/Abstract] OR "ischemic heart diseas*"[Title/Abstract] OR "ischaemic heart diseas*"[Title/Abstract] OR "percutaneous coronary intervention*"[Title/Abstract] OR "primary angioplasty"[Title/Abstract] OR "Drug-Eluting Stents"[Title/Abstract] OR "Drug- Eluted Stents"[Title/Abstract] OR "STEMI"[Title/Abstract] OR "unstable angina"[Title/Abstract] OR "bare metal stent*"[Title/Abstract] OR "myocardial infarction with st"[Title/Abstract] OR "myocardial infarction without st"[Title/Abstract] OR "coronary angioplast*"[Title/Abstract] OR "coronary stent*"[Title/Abstract])</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spacing w:before="1" w:lineRule="auto"/>
        <w:ind w:left="232" w:right="143" w:firstLine="0"/>
        <w:jc w:val="left"/>
        <w:rPr>
          <w:sz w:val="24"/>
          <w:szCs w:val="24"/>
        </w:rPr>
      </w:pPr>
      <w:r w:rsidDel="00000000" w:rsidR="00000000" w:rsidRPr="00000000">
        <w:rPr>
          <w:sz w:val="24"/>
          <w:szCs w:val="24"/>
          <w:rtl w:val="0"/>
        </w:rPr>
        <w:t xml:space="preserve">#2 – Exposure - ("Mean Platelet Volume"[MeSH Terms] OR "Blood Platelets"[MeSH Terms] OR "Platelet Count"[MeSH Terms] OR "Blood Cell Count"[MeSH Terms] OR "Thrombocytopenia"[MeSH Terms] OR "Thrombocytosis"[MeSH Terms] OR "Mean Platelet Volume"[Title/Abstract] OR "blood platelet*"[Title/Abstract] OR "platelet count*"[Title/Abstract] OR "platelet volum*"[Title/Abstract] OR "thrombocytopen*"[Title/Abstract] OR "Thrombocytosis"[Title/Abstract] OR "platelet indic*"[Title/Abstract] OR "platelet parameter*"[Title/Abstract] OR "platelet index*"[Title/Abstract] OR "large platelet*"[Title/Abstract] OR "larger platelet*"[Title/Abstract] OR "platelet size"[Title/Abstract] OR "complete blood count*"[Title/Abstract] OR "hematological parameter*"[Title/Abstract] OR "haematological parameter*"[Title/Abstract] OR "hematological marker*"[Title/Abstract] OR "haematological marker*"[Title/Abstract] OR "platelet marker*"[Title/Abstract] OR "hematological indic*"[Title/Abstract] OR "haematological indic*"[Title/Abstract] OR "hematological index*"[Title/Abstract] OR "haematological index*"[Title/Abstract] OR "platelet number*"[Title/Abstract]))</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spacing w:before="0" w:lineRule="auto"/>
        <w:ind w:left="232" w:right="128" w:firstLine="0"/>
        <w:jc w:val="left"/>
        <w:rPr>
          <w:sz w:val="24"/>
          <w:szCs w:val="24"/>
        </w:rPr>
        <w:sectPr>
          <w:headerReference r:id="rId69" w:type="default"/>
          <w:footerReference r:id="rId70" w:type="default"/>
          <w:footerReference r:id="rId71" w:type="even"/>
          <w:type w:val="nextPage"/>
          <w:pgSz w:h="16840" w:w="11920" w:orient="portrait"/>
          <w:pgMar w:bottom="260" w:top="1600" w:left="900" w:right="1020" w:header="0" w:footer="71"/>
          <w:pgNumType w:start="3"/>
        </w:sectPr>
      </w:pPr>
      <w:r w:rsidDel="00000000" w:rsidR="00000000" w:rsidRPr="00000000">
        <w:rPr>
          <w:sz w:val="24"/>
          <w:szCs w:val="24"/>
          <w:rtl w:val="0"/>
        </w:rPr>
        <w:t xml:space="preserve">#3 – Outcome - ("Mortality"[MeSH Terms] OR "Hospital Mortality"[MeSH Terms] OR "Prognosis"[MeSH Terms] OR "Biomarkers"[MeSH Terms] OR "Follow-Up Studies"[MeSH Terms] OR "Kaplan-Meier Estimate"[MeSH Terms] OR "Proportional Hazards Models"[MeSH Terms] OR "Odds Ratio"[MeSH Terms] OR "Predictive Value of Tests"[MeSH Terms] OR "Prospective Studies"[MeSH Terms] OR "Cohort Studies"[MeSH Terms] OR "Risk Assessment"[MeSH Terms] OR "Risk Factors"[MeSH Terms] OR "Heart Disease Risk Factors"[MeSH Terms] OR "Cardiometabolic Risk Factors"[MeSH Terms] OR "ROC Curve"[MeSH Terms] OR "Clinical Decision Rules"[MeSH Terms] OR "Survival Analysis"[MeSH Terms] OR "Heart Arrest"[MeSH Terms] OR "Area Under Curve"[MeSH Terms] OR "Cause of Death"[MeSH Terms] OR "coronary thrombosis/prevention and control"[MeSH Terms] OR "Survival Rate"[MeSH Terms] OR "Coronary Restenosis"[MeSH Terms] OR "long-term prognos*"[Title/Abstract] OR "long-term outcom*"[Title/Abstract] OR "long-term surviv*"[Title/Abstract] OR "long-term adverse outcom*"[Title/Abstract] OR "long term</w:t>
      </w:r>
    </w:p>
    <w:p w:rsidR="00000000" w:rsidDel="00000000" w:rsidP="00000000" w:rsidRDefault="00000000" w:rsidRPr="00000000" w14:paraId="0000013F">
      <w:pPr>
        <w:spacing w:before="66" w:lineRule="auto"/>
        <w:ind w:left="232" w:right="128" w:firstLine="0"/>
        <w:jc w:val="left"/>
        <w:rPr>
          <w:sz w:val="24"/>
          <w:szCs w:val="24"/>
        </w:rPr>
      </w:pPr>
      <w:r w:rsidDel="00000000" w:rsidR="00000000" w:rsidRPr="00000000">
        <w:rPr>
          <w:sz w:val="24"/>
          <w:szCs w:val="24"/>
          <w:rtl w:val="0"/>
        </w:rPr>
        <w:t xml:space="preserve">prognos*"[Title/Abstract] OR "long term outcom*"[Title/Abstract] OR "long term adverse outcom*"[Title/Abstract] OR "long term surviv*"[Title/Abstract] OR "short-term prognos*"[Title/Abstract] OR "short-term outcom*"[Title/Abstract] OR "short-term adverse outcom*"[Title/Abstract] OR "short-term surviv*"[Title/Abstract] OR "short term prognos*"[Title/Abstract] OR "short term outcom*"[Title/Abstract] OR "short term adverse outcom*"[Title/Abstract] OR "short term surviv*"[Title/Abstract] OR "cardiovascular outcom*"[Title/Abstract] OR "cardio-vascular outcom*"[Title/Abstract] OR "cardiac outcom*"[Title/Abstract] OR "cerebral outcom*"[Title/Abstract] OR "cerebrovascular outcom*"[Title/Abstract] OR "thrombotic outcom*"[Title/Abstract] OR "ischemic outcom*"[Title/Abstract] OR "ischaemic outcom*"[Title/Abstract] OR "cardiovascular endpoint*"[Title/Abstract] OR "cardiac endpoint*"[Title/Abstract] OR "cerebrovascular endpoint*"[Title/Abstract] OR "thrombotic endpoint*"[Title/Abstract] OR "ischaemic endpoint*"[Title/Abstract] OR "ischemic endpoint*"[Title/Abstract] OR "cardiovascular end point*"[Title/Abstract] OR "cardiac end point*"[Title/Abstract] OR "cerebrovascular endpoint*"[Title/Abstract] OR "cerebrovascular end point*"[Title/Abstract] OR "ischaemic end point*"[Title/Abstract] OR "ischemic end point*"[Title/Abstract] OR "cardiovascular end- point*"[Title/Abstract] OR "cardiac end-point*"[Title/Abstract] OR "cerebrovascular end- point*"[Title/Abstract] OR "ischaemic end-point*"[Title/Abstract] OR "ischemic end- point*"[Title/Abstract] OR "cardiovascular complication*"[Title/Abstract] OR "cardio-vascular complication*"[Title/Abstract] OR "cardiac complication*"[Title/Abstract] OR "cerebral complication*"[Title/Abstract] OR "cerebrovascular complication*"[Title/Abstract] OR "cerebro- vascular complication*"[Title/Abstract] OR "thrombotic complication*"[Title/Abstract] OR "ischaemic complication*"[Title/Abstract] OR "ischemic complication*"[Title/Abstract] OR "adverse cardiac event*"[Title/Abstract] OR "adverse cardiovascular event*"[Title/Abstract] OR "adverse cardio-vascular event*"[Title/Abstract] OR "major adverse cardiovascular event*"[Title/Abstract] OR MACCE[Title/Abstract] OR "cerebral event"[Title/Abstract] OR "cerebrovascular event"[Title/Abstract] OR "reinfarction"[Title/Abstract] OR "re- infarction"[Title/Abstract] OR "Coronary Restenosis"[Title/Abstract] OR "coronary re- stenosis"[Title/Abstract] OR "stent thrombosis"[Title/Abstract] OR "area under curve*"[Title/Abstract] OR "survival analys*"[Title/Abstract] OR "target vessel revascularization"[Title/Abstract] OR "target vessel revascularisation"[Title/Abstract] OR "target lesion revascularization"[Title/Abstract] OR "target lesion revascularisation"[Title/Abstract] OR "kaplan meir curve*"[Title/Abstract] OR "kaplan meir analys*"[Title/Abstract] OR "kaplan meir surviv*"[Title/Abstract] OR "proportional hazard model*"[Title/Abstract] OR "roc curve*"[Title/Abstract] OR "cardiovascular death"[Title/Abstract] OR "cardio-vascular death"[Title/Abstract] OR "cardiac death"[Title/Abstract] OR "cardiovascular risk"[Title/Abstract] OR "cardio-vascular risk"[Title/Abstract] OR "cerebrovascular risk"[Title/Abstract] OR "cerebro- vascular risk"[Title/Abstract] OR "atherothrombotic risk"[Title/Abstract] OR "thrombotic risk"[Title/Abstract] OR "ischemic risk"[Title/Abstract] OR "ischaemic risk"[Title/Abstract] OR "Mortality"[Title/Abstract])</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spacing w:before="0" w:lineRule="auto"/>
        <w:ind w:left="232" w:right="0" w:firstLine="0"/>
        <w:jc w:val="left"/>
        <w:rPr>
          <w:sz w:val="24"/>
          <w:szCs w:val="24"/>
        </w:rPr>
      </w:pPr>
      <w:r w:rsidDel="00000000" w:rsidR="00000000" w:rsidRPr="00000000">
        <w:rPr>
          <w:sz w:val="24"/>
          <w:szCs w:val="24"/>
          <w:rtl w:val="0"/>
        </w:rPr>
        <w:t xml:space="preserve">#4 - #1 AND #2 AND #3</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spacing w:before="0" w:lineRule="auto"/>
        <w:ind w:left="232" w:right="6578" w:firstLine="0"/>
        <w:jc w:val="left"/>
        <w:rPr>
          <w:b w:val="1"/>
          <w:sz w:val="24"/>
          <w:szCs w:val="24"/>
        </w:rPr>
      </w:pPr>
      <w:r w:rsidDel="00000000" w:rsidR="00000000" w:rsidRPr="00000000">
        <w:rPr>
          <w:b w:val="1"/>
          <w:sz w:val="24"/>
          <w:szCs w:val="24"/>
          <w:rtl w:val="0"/>
        </w:rPr>
        <w:t xml:space="preserve">Database: Web of Science. Last search date: 24 May 2021. Number of items: 6535.</w:t>
      </w:r>
    </w:p>
    <w:p w:rsidR="00000000" w:rsidDel="00000000" w:rsidP="00000000" w:rsidRDefault="00000000" w:rsidRPr="00000000" w14:paraId="00000144">
      <w:pPr>
        <w:spacing w:before="271" w:lineRule="auto"/>
        <w:ind w:left="232" w:right="0" w:firstLine="0"/>
        <w:jc w:val="left"/>
        <w:rPr>
          <w:sz w:val="24"/>
          <w:szCs w:val="24"/>
        </w:rPr>
      </w:pPr>
      <w:r w:rsidDel="00000000" w:rsidR="00000000" w:rsidRPr="00000000">
        <w:rPr>
          <w:sz w:val="24"/>
          <w:szCs w:val="24"/>
          <w:rtl w:val="0"/>
        </w:rPr>
        <w:t xml:space="preserve"># 1 - TOPIC: ((("myocardial infarct*" OR (myocardial NEAR/0 infarction) ) NEAR/2 "st segment*"))</w:t>
      </w:r>
    </w:p>
    <w:p w:rsidR="00000000" w:rsidDel="00000000" w:rsidP="00000000" w:rsidRDefault="00000000" w:rsidRPr="00000000" w14:paraId="00000145">
      <w:pPr>
        <w:spacing w:before="0" w:lineRule="auto"/>
        <w:ind w:left="232" w:right="1796" w:firstLine="0"/>
        <w:jc w:val="left"/>
        <w:rPr>
          <w:sz w:val="24"/>
          <w:szCs w:val="24"/>
        </w:rPr>
        <w:sectPr>
          <w:headerReference r:id="rId72" w:type="even"/>
          <w:type w:val="nextPage"/>
          <w:pgSz w:h="16840" w:w="11920" w:orient="portrait"/>
          <w:pgMar w:bottom="260" w:top="1040" w:left="900" w:right="1020" w:header="0" w:footer="0"/>
        </w:sect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46">
      <w:pPr>
        <w:spacing w:before="66" w:lineRule="auto"/>
        <w:ind w:left="232" w:right="0" w:firstLine="0"/>
        <w:jc w:val="left"/>
        <w:rPr>
          <w:sz w:val="24"/>
          <w:szCs w:val="24"/>
        </w:rPr>
      </w:pPr>
      <w:r w:rsidDel="00000000" w:rsidR="00000000" w:rsidRPr="00000000">
        <w:rPr>
          <w:sz w:val="24"/>
          <w:szCs w:val="24"/>
          <w:rtl w:val="0"/>
        </w:rPr>
        <w:t xml:space="preserve"># 2 - TOPIC: (("myocardial infarct*" OR (myocardial NEAR/0 infarction) ) NEAR/2 eleva*) Databases= WOS, DIIDW, KJD, MEDLINE, RSCI, SCIELO Timespan=All years</w:t>
      </w:r>
    </w:p>
    <w:p w:rsidR="00000000" w:rsidDel="00000000" w:rsidP="00000000" w:rsidRDefault="00000000" w:rsidRPr="00000000" w14:paraId="00000147">
      <w:pPr>
        <w:spacing w:before="0"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spacing w:before="1" w:lineRule="auto"/>
        <w:ind w:left="232" w:right="0" w:firstLine="0"/>
        <w:jc w:val="left"/>
        <w:rPr>
          <w:sz w:val="24"/>
          <w:szCs w:val="24"/>
        </w:rPr>
      </w:pPr>
      <w:r w:rsidDel="00000000" w:rsidR="00000000" w:rsidRPr="00000000">
        <w:rPr>
          <w:sz w:val="24"/>
          <w:szCs w:val="24"/>
          <w:rtl w:val="0"/>
        </w:rPr>
        <w:t xml:space="preserve"># 3 - TOPIC: (STEMI)</w:t>
      </w:r>
    </w:p>
    <w:p w:rsidR="00000000" w:rsidDel="00000000" w:rsidP="00000000" w:rsidRDefault="00000000" w:rsidRPr="00000000" w14:paraId="0000014A">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4B">
      <w:pPr>
        <w:spacing w:before="276" w:lineRule="auto"/>
        <w:ind w:left="232" w:right="1796" w:firstLine="0"/>
        <w:jc w:val="left"/>
        <w:rPr>
          <w:sz w:val="24"/>
          <w:szCs w:val="24"/>
        </w:rPr>
      </w:pPr>
      <w:r w:rsidDel="00000000" w:rsidR="00000000" w:rsidRPr="00000000">
        <w:rPr>
          <w:sz w:val="24"/>
          <w:szCs w:val="24"/>
          <w:rtl w:val="0"/>
        </w:rPr>
        <w:t xml:space="preserve"># 4 - TOPIC: ("myocardial infarct*" OR (myocardial NEAR/0 infarction) ) Databases= WOS, DIIDW, KJD, MEDLINE, RSCI, SCIELO Timespan=All years Search language=Auto</w:t>
      </w:r>
    </w:p>
    <w:p w:rsidR="00000000" w:rsidDel="00000000" w:rsidP="00000000" w:rsidRDefault="00000000" w:rsidRPr="00000000" w14:paraId="0000014C">
      <w:pPr>
        <w:spacing w:before="276" w:lineRule="auto"/>
        <w:ind w:left="232" w:right="0" w:firstLine="0"/>
        <w:jc w:val="left"/>
        <w:rPr>
          <w:sz w:val="24"/>
          <w:szCs w:val="24"/>
        </w:rPr>
      </w:pPr>
      <w:r w:rsidDel="00000000" w:rsidR="00000000" w:rsidRPr="00000000">
        <w:rPr>
          <w:sz w:val="24"/>
          <w:szCs w:val="24"/>
          <w:rtl w:val="0"/>
        </w:rPr>
        <w:t xml:space="preserve"># 5 - TOPIC: ("acute coronar* syndrom*" OR (acute NEAR/1 coronary NEAR/0 syndrome) ) Databases= WOS, DIIDW, KJD, MEDLINE, RSCI, SCIELO Timespan=All years</w:t>
      </w:r>
    </w:p>
    <w:p w:rsidR="00000000" w:rsidDel="00000000" w:rsidP="00000000" w:rsidRDefault="00000000" w:rsidRPr="00000000" w14:paraId="0000014D">
      <w:pPr>
        <w:spacing w:before="0"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spacing w:before="0" w:lineRule="auto"/>
        <w:ind w:left="232" w:right="128" w:firstLine="0"/>
        <w:jc w:val="left"/>
        <w:rPr>
          <w:sz w:val="24"/>
          <w:szCs w:val="24"/>
        </w:rPr>
      </w:pPr>
      <w:r w:rsidDel="00000000" w:rsidR="00000000" w:rsidRPr="00000000">
        <w:rPr>
          <w:sz w:val="24"/>
          <w:szCs w:val="24"/>
          <w:rtl w:val="0"/>
        </w:rPr>
        <w:t xml:space="preserve"># 6 - TOPIC: ("coronar* arter* diseas*" OR (coronary NEAR/0 artery NEAR/0 disease) ) Databases= WOS, DIIDW, KJD, MEDLINE, RSCI, SCIELO Timespan=All years</w:t>
      </w:r>
    </w:p>
    <w:p w:rsidR="00000000" w:rsidDel="00000000" w:rsidP="00000000" w:rsidRDefault="00000000" w:rsidRPr="00000000" w14:paraId="00000150">
      <w:pPr>
        <w:spacing w:before="0"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spacing w:before="0" w:lineRule="auto"/>
        <w:ind w:left="232" w:right="0" w:firstLine="0"/>
        <w:jc w:val="left"/>
        <w:rPr>
          <w:sz w:val="24"/>
          <w:szCs w:val="24"/>
        </w:rPr>
      </w:pPr>
      <w:r w:rsidDel="00000000" w:rsidR="00000000" w:rsidRPr="00000000">
        <w:rPr>
          <w:sz w:val="24"/>
          <w:szCs w:val="24"/>
          <w:rtl w:val="0"/>
        </w:rPr>
        <w:t xml:space="preserve"># 7 - TOPIC: ("isch$emic* heart diseas*" OR (ischemic NEAR/0 heart NEAR/0 disease) ) Databases= WOS, DIIDW, KJD, MEDLINE, RSCI, SCIELO Timespan=All years</w:t>
      </w:r>
    </w:p>
    <w:p w:rsidR="00000000" w:rsidDel="00000000" w:rsidP="00000000" w:rsidRDefault="00000000" w:rsidRPr="00000000" w14:paraId="00000153">
      <w:pPr>
        <w:spacing w:before="1"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54">
      <w:pPr>
        <w:spacing w:before="276" w:lineRule="auto"/>
        <w:ind w:left="232" w:right="0" w:firstLine="0"/>
        <w:jc w:val="left"/>
        <w:rPr>
          <w:sz w:val="24"/>
          <w:szCs w:val="24"/>
        </w:rPr>
      </w:pPr>
      <w:r w:rsidDel="00000000" w:rsidR="00000000" w:rsidRPr="00000000">
        <w:rPr>
          <w:sz w:val="24"/>
          <w:szCs w:val="24"/>
          <w:rtl w:val="0"/>
        </w:rPr>
        <w:t xml:space="preserve"># 8 - TOPIC: ("percutan* coronar* intervention*" OR (percutaneous NEAR/0 coronary NEAR/0 intervention) )</w:t>
      </w:r>
    </w:p>
    <w:p w:rsidR="00000000" w:rsidDel="00000000" w:rsidP="00000000" w:rsidRDefault="00000000" w:rsidRPr="00000000" w14:paraId="00000155">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spacing w:before="0" w:lineRule="auto"/>
        <w:ind w:left="232" w:right="0" w:firstLine="0"/>
        <w:jc w:val="left"/>
        <w:rPr>
          <w:sz w:val="24"/>
          <w:szCs w:val="24"/>
        </w:rPr>
      </w:pPr>
      <w:r w:rsidDel="00000000" w:rsidR="00000000" w:rsidRPr="00000000">
        <w:rPr>
          <w:sz w:val="24"/>
          <w:szCs w:val="24"/>
          <w:rtl w:val="0"/>
        </w:rPr>
        <w:t xml:space="preserve"># 9 - TOPIC: ((Drug-Eluting NEAR/0 Stent) OR "drug-elut* stent*") OR TOPIC: ((*metal* NEAR/0 stent*) OR "bare-metal stent*")</w:t>
      </w:r>
    </w:p>
    <w:p w:rsidR="00000000" w:rsidDel="00000000" w:rsidP="00000000" w:rsidRDefault="00000000" w:rsidRPr="00000000" w14:paraId="00000158">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spacing w:before="0" w:lineRule="auto"/>
        <w:ind w:left="232" w:right="1182" w:firstLine="0"/>
        <w:jc w:val="left"/>
        <w:rPr>
          <w:sz w:val="24"/>
          <w:szCs w:val="24"/>
        </w:rPr>
      </w:pPr>
      <w:r w:rsidDel="00000000" w:rsidR="00000000" w:rsidRPr="00000000">
        <w:rPr>
          <w:sz w:val="24"/>
          <w:szCs w:val="24"/>
          <w:rtl w:val="0"/>
        </w:rPr>
        <w:t xml:space="preserve"># 10 - TOPIC: ((angioplast* NEAR/3 coronar*) OR (coronary NEAR/3 angioplasty) ) Databases= WOS, DIIDW, KJD, MEDLINE, RSCI, SCIELO Timespan=All years Search language=Auto</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spacing w:before="0" w:lineRule="auto"/>
        <w:ind w:left="232" w:right="1796" w:firstLine="0"/>
        <w:jc w:val="left"/>
        <w:rPr>
          <w:sz w:val="24"/>
          <w:szCs w:val="24"/>
        </w:rPr>
      </w:pPr>
      <w:r w:rsidDel="00000000" w:rsidR="00000000" w:rsidRPr="00000000">
        <w:rPr>
          <w:sz w:val="24"/>
          <w:szCs w:val="24"/>
          <w:rtl w:val="0"/>
        </w:rPr>
        <w:t xml:space="preserve"># 11 - TOPIC: ((stent* NEAR/3 coronar*) OR (coronary NEAR/3 stenting) ) Databases= WOS, DIIDW, KJD, MEDLINE, RSCI, SCIELO Timespan=All years Search language=Auto</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spacing w:before="0" w:lineRule="auto"/>
        <w:ind w:left="232" w:right="0" w:firstLine="0"/>
        <w:jc w:val="left"/>
        <w:rPr>
          <w:sz w:val="24"/>
          <w:szCs w:val="24"/>
        </w:rPr>
      </w:pPr>
      <w:r w:rsidDel="00000000" w:rsidR="00000000" w:rsidRPr="00000000">
        <w:rPr>
          <w:sz w:val="24"/>
          <w:szCs w:val="24"/>
          <w:rtl w:val="0"/>
        </w:rPr>
        <w:t xml:space="preserve"># 12 - TOPIC: ("unstable angina" OR (unstable NEAR/0 angina) )</w:t>
      </w:r>
    </w:p>
    <w:p w:rsidR="00000000" w:rsidDel="00000000" w:rsidP="00000000" w:rsidRDefault="00000000" w:rsidRPr="00000000" w14:paraId="0000015F">
      <w:pPr>
        <w:spacing w:before="1"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spacing w:before="0" w:lineRule="auto"/>
        <w:ind w:left="232" w:right="0" w:firstLine="0"/>
        <w:jc w:val="left"/>
        <w:rPr>
          <w:sz w:val="24"/>
          <w:szCs w:val="24"/>
        </w:rPr>
      </w:pPr>
      <w:r w:rsidDel="00000000" w:rsidR="00000000" w:rsidRPr="00000000">
        <w:rPr>
          <w:sz w:val="24"/>
          <w:szCs w:val="24"/>
          <w:rtl w:val="0"/>
        </w:rPr>
        <w:t xml:space="preserve"># 13 - #12 OR #11 OR #10 OR #9 OR #8 OR #7 OR #6 OR #5 OR #4 OR #3 OR #2 OR #1</w:t>
      </w:r>
    </w:p>
    <w:p w:rsidR="00000000" w:rsidDel="00000000" w:rsidP="00000000" w:rsidRDefault="00000000" w:rsidRPr="00000000" w14:paraId="00000162">
      <w:pPr>
        <w:spacing w:before="0" w:lineRule="auto"/>
        <w:ind w:left="232" w:right="1796" w:firstLine="0"/>
        <w:jc w:val="left"/>
        <w:rPr>
          <w:sz w:val="24"/>
          <w:szCs w:val="24"/>
        </w:rPr>
        <w:sectPr>
          <w:headerReference r:id="rId73" w:type="default"/>
          <w:footerReference r:id="rId74" w:type="default"/>
          <w:footerReference r:id="rId75" w:type="even"/>
          <w:type w:val="nextPage"/>
          <w:pgSz w:h="16840" w:w="11920" w:orient="portrait"/>
          <w:pgMar w:bottom="260" w:top="1040" w:left="900" w:right="1020" w:header="0" w:footer="71"/>
          <w:pgNumType w:start="5"/>
        </w:sect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63">
      <w:pPr>
        <w:spacing w:before="66" w:lineRule="auto"/>
        <w:ind w:left="232" w:right="173" w:firstLine="0"/>
        <w:jc w:val="both"/>
        <w:rPr>
          <w:sz w:val="24"/>
          <w:szCs w:val="24"/>
        </w:rPr>
      </w:pPr>
      <w:r w:rsidDel="00000000" w:rsidR="00000000" w:rsidRPr="00000000">
        <w:rPr>
          <w:sz w:val="24"/>
          <w:szCs w:val="24"/>
          <w:rtl w:val="0"/>
        </w:rPr>
        <w:t xml:space="preserve"># 14 - TOPIC: (((platelet* OR thrombocyt*) OR (platelet OR thrombocyte) ) NEAR/2 ((volume OR size OR count* OR number* OR indic* OR parameter* OR index* OR marker*) OR (volume OR size OR count OR number OR indice OR parameter OR index OR marker) ))</w:t>
      </w:r>
    </w:p>
    <w:p w:rsidR="00000000" w:rsidDel="00000000" w:rsidP="00000000" w:rsidRDefault="00000000" w:rsidRPr="00000000" w14:paraId="00000164">
      <w:pPr>
        <w:spacing w:before="1"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65">
      <w:pPr>
        <w:spacing w:before="276" w:lineRule="auto"/>
        <w:ind w:left="232" w:right="308" w:firstLine="0"/>
        <w:jc w:val="left"/>
        <w:rPr>
          <w:sz w:val="24"/>
          <w:szCs w:val="24"/>
        </w:rPr>
      </w:pPr>
      <w:r w:rsidDel="00000000" w:rsidR="00000000" w:rsidRPr="00000000">
        <w:rPr>
          <w:sz w:val="24"/>
          <w:szCs w:val="24"/>
          <w:rtl w:val="0"/>
        </w:rPr>
        <w:t xml:space="preserve"># 15 - TOPIC: (((h$ematol* OR h$emogram*) OR (hematology OR hemogram OR hematological) ) NEAR/2 ((indic* OR parameter* OR index* OR marker*) OR (indice OR parameter OR index OR marker) ))</w:t>
      </w:r>
    </w:p>
    <w:p w:rsidR="00000000" w:rsidDel="00000000" w:rsidP="00000000" w:rsidRDefault="00000000" w:rsidRPr="00000000" w14:paraId="00000166">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67">
      <w:pPr>
        <w:spacing w:before="276" w:lineRule="auto"/>
        <w:ind w:left="232" w:right="1796" w:firstLine="0"/>
        <w:jc w:val="left"/>
        <w:rPr>
          <w:sz w:val="24"/>
          <w:szCs w:val="24"/>
        </w:rPr>
      </w:pPr>
      <w:r w:rsidDel="00000000" w:rsidR="00000000" w:rsidRPr="00000000">
        <w:rPr>
          <w:sz w:val="24"/>
          <w:szCs w:val="24"/>
          <w:rtl w:val="0"/>
        </w:rPr>
        <w:t xml:space="preserve"># 16 - TOPIC: ((blood NEAR/2 platelet) OR (blood NEAR/2 platelet*) ) Databases= WOS, DIIDW, KJD, MEDLINE, RSCI, SCIELO Timespan=All years Search language=Auto</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spacing w:before="0" w:lineRule="auto"/>
        <w:ind w:left="232" w:right="1182" w:firstLine="0"/>
        <w:jc w:val="left"/>
        <w:rPr>
          <w:sz w:val="24"/>
          <w:szCs w:val="24"/>
        </w:rPr>
      </w:pPr>
      <w:r w:rsidDel="00000000" w:rsidR="00000000" w:rsidRPr="00000000">
        <w:rPr>
          <w:sz w:val="24"/>
          <w:szCs w:val="24"/>
          <w:rtl w:val="0"/>
        </w:rPr>
        <w:t xml:space="preserve"># 17 - TOPIC: ("mean platelet volume" OR (mean NEAR/0 platelet NEAR/0 volume) ) Databases= WOS, DIIDW, KJD, MEDLINE, RSCI, SCIELO Timespan=All years Search language=Auto</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spacing w:before="0" w:lineRule="auto"/>
        <w:ind w:left="232" w:right="1796" w:firstLine="0"/>
        <w:jc w:val="left"/>
        <w:rPr>
          <w:sz w:val="24"/>
          <w:szCs w:val="24"/>
        </w:rPr>
      </w:pPr>
      <w:r w:rsidDel="00000000" w:rsidR="00000000" w:rsidRPr="00000000">
        <w:rPr>
          <w:sz w:val="24"/>
          <w:szCs w:val="24"/>
          <w:rtl w:val="0"/>
        </w:rPr>
        <w:t xml:space="preserve"># 18 - TOPIC: ((large NEAR/1 platelet) OR (larg* NEAR/1 platelet*) ) Databases= WOS, DIIDW, KJD, MEDLINE, RSCI, SCIELO Timespan=All years Search language=Auto</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spacing w:before="1" w:lineRule="auto"/>
        <w:ind w:left="232" w:right="128" w:firstLine="0"/>
        <w:jc w:val="left"/>
        <w:rPr>
          <w:sz w:val="24"/>
          <w:szCs w:val="24"/>
        </w:rPr>
      </w:pPr>
      <w:r w:rsidDel="00000000" w:rsidR="00000000" w:rsidRPr="00000000">
        <w:rPr>
          <w:sz w:val="24"/>
          <w:szCs w:val="24"/>
          <w:rtl w:val="0"/>
        </w:rPr>
        <w:t xml:space="preserve"># 19 - TOPIC: ((complet* blood count*) OR (complete NEAR/1 blood NEAR/1 count) ) Databases= WOS, DIIDW, KJD, MEDLINE, RSCI, SCIELO Timespan=All years</w:t>
      </w:r>
    </w:p>
    <w:p w:rsidR="00000000" w:rsidDel="00000000" w:rsidP="00000000" w:rsidRDefault="00000000" w:rsidRPr="00000000" w14:paraId="0000016E">
      <w:pPr>
        <w:spacing w:before="0"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6F">
      <w:pPr>
        <w:spacing w:before="276" w:lineRule="auto"/>
        <w:ind w:left="232" w:right="1796" w:firstLine="0"/>
        <w:jc w:val="left"/>
        <w:rPr>
          <w:sz w:val="24"/>
          <w:szCs w:val="24"/>
        </w:rPr>
      </w:pPr>
      <w:r w:rsidDel="00000000" w:rsidR="00000000" w:rsidRPr="00000000">
        <w:rPr>
          <w:sz w:val="24"/>
          <w:szCs w:val="24"/>
          <w:rtl w:val="0"/>
        </w:rPr>
        <w:t xml:space="preserve"># 20 - TOPIC: (thrombocytop* OR thrombocytopenia OR thrombocytosis) Databases= WOS, DIIDW, KJD, MEDLINE, RSCI, SCIELO Timespan=All years Search language=Auto</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spacing w:before="0" w:lineRule="auto"/>
        <w:ind w:left="232" w:right="0" w:firstLine="0"/>
        <w:jc w:val="left"/>
        <w:rPr>
          <w:sz w:val="24"/>
          <w:szCs w:val="24"/>
        </w:rPr>
      </w:pPr>
      <w:r w:rsidDel="00000000" w:rsidR="00000000" w:rsidRPr="00000000">
        <w:rPr>
          <w:sz w:val="24"/>
          <w:szCs w:val="24"/>
          <w:rtl w:val="0"/>
        </w:rPr>
        <w:t xml:space="preserve"># 21 - #20 OR #19 OR #18 OR #17 OR #16 OR #15 OR #14</w:t>
      </w:r>
    </w:p>
    <w:p w:rsidR="00000000" w:rsidDel="00000000" w:rsidP="00000000" w:rsidRDefault="00000000" w:rsidRPr="00000000" w14:paraId="00000172">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spacing w:before="0" w:lineRule="auto"/>
        <w:ind w:left="232" w:right="0" w:firstLine="0"/>
        <w:jc w:val="left"/>
        <w:rPr>
          <w:sz w:val="24"/>
          <w:szCs w:val="24"/>
        </w:rPr>
      </w:pPr>
      <w:r w:rsidDel="00000000" w:rsidR="00000000" w:rsidRPr="00000000">
        <w:rPr>
          <w:sz w:val="24"/>
          <w:szCs w:val="24"/>
          <w:rtl w:val="0"/>
        </w:rPr>
        <w:t xml:space="preserve"># 22 - TOPIC: ((long-term OR short-term ) NEAR/1 ((prognos* OR outcom* OR surviv*) OR (prognosis OR outcome OR survival) ))</w:t>
      </w:r>
    </w:p>
    <w:p w:rsidR="00000000" w:rsidDel="00000000" w:rsidP="00000000" w:rsidRDefault="00000000" w:rsidRPr="00000000" w14:paraId="00000175">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spacing w:before="0" w:lineRule="auto"/>
        <w:ind w:left="232" w:right="128" w:firstLine="0"/>
        <w:jc w:val="left"/>
        <w:rPr>
          <w:sz w:val="24"/>
          <w:szCs w:val="24"/>
        </w:rPr>
      </w:pPr>
      <w:r w:rsidDel="00000000" w:rsidR="00000000" w:rsidRPr="00000000">
        <w:rPr>
          <w:sz w:val="24"/>
          <w:szCs w:val="24"/>
          <w:rtl w:val="0"/>
        </w:rPr>
        <w:t xml:space="preserve"># 23 - TOPIC: ((cardiovascular OR cardio-vascular OR cardiac OR cerebral OR cerebrovascular OR cerebro-vascular OR atherothromb* OR atherothrombotic OR athero-thromb* OR thromb* OR thrombotic OR isch$emic OR ischemic) NEAR/1 (outcom* OR outcome OR endpoint* OR endpoint OR end-pont* OR end-pont OR complicat* OR complication) )</w:t>
      </w:r>
    </w:p>
    <w:p w:rsidR="00000000" w:rsidDel="00000000" w:rsidP="00000000" w:rsidRDefault="00000000" w:rsidRPr="00000000" w14:paraId="00000178">
      <w:pPr>
        <w:spacing w:before="1"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spacing w:before="0" w:lineRule="auto"/>
        <w:ind w:left="232" w:right="128" w:firstLine="0"/>
        <w:jc w:val="left"/>
        <w:rPr>
          <w:sz w:val="24"/>
          <w:szCs w:val="24"/>
        </w:rPr>
        <w:sectPr>
          <w:headerReference r:id="rId76" w:type="even"/>
          <w:type w:val="nextPage"/>
          <w:pgSz w:h="16840" w:w="11920" w:orient="portrait"/>
          <w:pgMar w:bottom="260" w:top="1040" w:left="900" w:right="1020" w:header="0" w:footer="0"/>
        </w:sectPr>
      </w:pPr>
      <w:r w:rsidDel="00000000" w:rsidR="00000000" w:rsidRPr="00000000">
        <w:rPr>
          <w:sz w:val="24"/>
          <w:szCs w:val="24"/>
          <w:rtl w:val="0"/>
        </w:rPr>
        <w:t xml:space="preserve"># 24 - TOPIC: (adverse NEAR/1 (cardi* OR cardiac OR cardiovascular OR cardio-vascular) NEAR/1 (cerebr* OR cerebral OR cerebrovascular OR cerebro-vascular) NEAR/1 (event* OR event OR outcome OR outcom* OR endpoint* OR endpoint OR end-pont* OR end-point) ) Databases= WOS, DIIDW, KJD, MEDLINE, RSCI, SCIELO Timespan=All years</w:t>
      </w:r>
    </w:p>
    <w:p w:rsidR="00000000" w:rsidDel="00000000" w:rsidP="00000000" w:rsidRDefault="00000000" w:rsidRPr="00000000" w14:paraId="0000017B">
      <w:pPr>
        <w:spacing w:before="66"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spacing w:before="0" w:lineRule="auto"/>
        <w:ind w:left="232" w:right="143" w:firstLine="0"/>
        <w:jc w:val="left"/>
        <w:rPr>
          <w:sz w:val="24"/>
          <w:szCs w:val="24"/>
        </w:rPr>
      </w:pPr>
      <w:r w:rsidDel="00000000" w:rsidR="00000000" w:rsidRPr="00000000">
        <w:rPr>
          <w:sz w:val="24"/>
          <w:szCs w:val="24"/>
          <w:rtl w:val="0"/>
        </w:rPr>
        <w:t xml:space="preserve"># 25 - TOPIC: (adverse NEAR/1 (cardi* OR cardiac OR cardiovascular OR cardio-vascular) NEAR/1 (event* OR event OR outcome OR outcom* OR endpoint* OR endpoint OR end-pont* OR end-point) )</w:t>
      </w:r>
    </w:p>
    <w:p w:rsidR="00000000" w:rsidDel="00000000" w:rsidP="00000000" w:rsidRDefault="00000000" w:rsidRPr="00000000" w14:paraId="0000017E">
      <w:pPr>
        <w:spacing w:before="1"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7F">
      <w:pPr>
        <w:spacing w:before="276" w:lineRule="auto"/>
        <w:ind w:left="232" w:right="0" w:firstLine="0"/>
        <w:jc w:val="left"/>
        <w:rPr>
          <w:sz w:val="24"/>
          <w:szCs w:val="24"/>
        </w:rPr>
      </w:pPr>
      <w:r w:rsidDel="00000000" w:rsidR="00000000" w:rsidRPr="00000000">
        <w:rPr>
          <w:sz w:val="24"/>
          <w:szCs w:val="24"/>
          <w:rtl w:val="0"/>
        </w:rPr>
        <w:t xml:space="preserve"># 26 - TOPIC: (MACCE)</w:t>
      </w:r>
    </w:p>
    <w:p w:rsidR="00000000" w:rsidDel="00000000" w:rsidP="00000000" w:rsidRDefault="00000000" w:rsidRPr="00000000" w14:paraId="00000180">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81">
      <w:pPr>
        <w:spacing w:before="276" w:lineRule="auto"/>
        <w:ind w:left="232" w:right="128" w:firstLine="0"/>
        <w:jc w:val="left"/>
        <w:rPr>
          <w:sz w:val="24"/>
          <w:szCs w:val="24"/>
        </w:rPr>
      </w:pPr>
      <w:r w:rsidDel="00000000" w:rsidR="00000000" w:rsidRPr="00000000">
        <w:rPr>
          <w:sz w:val="24"/>
          <w:szCs w:val="24"/>
          <w:rtl w:val="0"/>
        </w:rPr>
        <w:t xml:space="preserve"># 27 - TOPIC: ((cardiovascular OR cardio-vascular OR cardiac OR cerebral OR cerebrovascular OR cerebro-vascular OR atherothromb* OR atherothrombotic OR athero-thromb* OR thromb* OR thrombotic OR isch$emic OR ischemic) NEAR/2 risk)</w:t>
      </w:r>
    </w:p>
    <w:p w:rsidR="00000000" w:rsidDel="00000000" w:rsidP="00000000" w:rsidRDefault="00000000" w:rsidRPr="00000000" w14:paraId="00000182">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spacing w:before="0" w:lineRule="auto"/>
        <w:ind w:left="232" w:right="0" w:firstLine="0"/>
        <w:jc w:val="left"/>
        <w:rPr>
          <w:sz w:val="24"/>
          <w:szCs w:val="24"/>
        </w:rPr>
      </w:pPr>
      <w:r w:rsidDel="00000000" w:rsidR="00000000" w:rsidRPr="00000000">
        <w:rPr>
          <w:sz w:val="24"/>
          <w:szCs w:val="24"/>
          <w:rtl w:val="0"/>
        </w:rPr>
        <w:t xml:space="preserve"># 28 - TOPIC: (mortality)</w:t>
      </w:r>
    </w:p>
    <w:p w:rsidR="00000000" w:rsidDel="00000000" w:rsidP="00000000" w:rsidRDefault="00000000" w:rsidRPr="00000000" w14:paraId="00000185">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spacing w:before="1" w:lineRule="auto"/>
        <w:ind w:left="232" w:right="128" w:firstLine="0"/>
        <w:jc w:val="left"/>
        <w:rPr>
          <w:sz w:val="24"/>
          <w:szCs w:val="24"/>
        </w:rPr>
      </w:pPr>
      <w:r w:rsidDel="00000000" w:rsidR="00000000" w:rsidRPr="00000000">
        <w:rPr>
          <w:sz w:val="24"/>
          <w:szCs w:val="24"/>
          <w:rtl w:val="0"/>
        </w:rPr>
        <w:t xml:space="preserve"># 29 - TOPIC: ((cardiovascular OR cardio-vascular OR cardiac OR cerebral OR cerebrovascular OR cerebro-vascular OR atherothromb* OR atherothrombotic OR athero-thromb* OR thromb* OR thrombotic OR isch$emic OR ischemic) NEAR/2 death)</w:t>
      </w:r>
    </w:p>
    <w:p w:rsidR="00000000" w:rsidDel="00000000" w:rsidP="00000000" w:rsidRDefault="00000000" w:rsidRPr="00000000" w14:paraId="00000188">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89">
      <w:pPr>
        <w:spacing w:before="276" w:lineRule="auto"/>
        <w:ind w:left="232" w:right="0" w:firstLine="0"/>
        <w:jc w:val="left"/>
        <w:rPr>
          <w:sz w:val="24"/>
          <w:szCs w:val="24"/>
        </w:rPr>
      </w:pPr>
      <w:r w:rsidDel="00000000" w:rsidR="00000000" w:rsidRPr="00000000">
        <w:rPr>
          <w:sz w:val="24"/>
          <w:szCs w:val="24"/>
          <w:rtl w:val="0"/>
        </w:rPr>
        <w:t xml:space="preserve"># 30 - TOPIC: ((proport* OR proportional) NEAR/1 (hazard* OR hazard) NEAR/1 (model* OR model OR analys$s OR analysis) )</w:t>
      </w:r>
    </w:p>
    <w:p w:rsidR="00000000" w:rsidDel="00000000" w:rsidP="00000000" w:rsidRDefault="00000000" w:rsidRPr="00000000" w14:paraId="0000018A">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spacing w:before="0" w:lineRule="auto"/>
        <w:ind w:left="232" w:right="0" w:firstLine="0"/>
        <w:jc w:val="left"/>
        <w:rPr>
          <w:sz w:val="24"/>
          <w:szCs w:val="24"/>
        </w:rPr>
      </w:pPr>
      <w:r w:rsidDel="00000000" w:rsidR="00000000" w:rsidRPr="00000000">
        <w:rPr>
          <w:sz w:val="24"/>
          <w:szCs w:val="24"/>
          <w:rtl w:val="0"/>
        </w:rPr>
        <w:t xml:space="preserve"># 31 - TOPIC: (reinfarction OR re-infarction)</w:t>
      </w:r>
    </w:p>
    <w:p w:rsidR="00000000" w:rsidDel="00000000" w:rsidP="00000000" w:rsidRDefault="00000000" w:rsidRPr="00000000" w14:paraId="0000018D">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spacing w:before="0" w:lineRule="auto"/>
        <w:ind w:left="232" w:right="0" w:firstLine="0"/>
        <w:jc w:val="left"/>
        <w:rPr>
          <w:sz w:val="24"/>
          <w:szCs w:val="24"/>
        </w:rPr>
      </w:pPr>
      <w:r w:rsidDel="00000000" w:rsidR="00000000" w:rsidRPr="00000000">
        <w:rPr>
          <w:sz w:val="24"/>
          <w:szCs w:val="24"/>
          <w:rtl w:val="0"/>
        </w:rPr>
        <w:t xml:space="preserve"># 32 - TOPIC: ((coronar* OR coronary) NEAR/1 (restenos* OR re-stenos* OR restenosis OR re- stenosis) )</w:t>
      </w:r>
    </w:p>
    <w:p w:rsidR="00000000" w:rsidDel="00000000" w:rsidP="00000000" w:rsidRDefault="00000000" w:rsidRPr="00000000" w14:paraId="00000190">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spacing w:before="0" w:lineRule="auto"/>
        <w:ind w:left="232" w:right="1796" w:firstLine="0"/>
        <w:jc w:val="left"/>
        <w:rPr>
          <w:sz w:val="24"/>
          <w:szCs w:val="24"/>
        </w:rPr>
      </w:pPr>
      <w:r w:rsidDel="00000000" w:rsidR="00000000" w:rsidRPr="00000000">
        <w:rPr>
          <w:sz w:val="24"/>
          <w:szCs w:val="24"/>
          <w:rtl w:val="0"/>
        </w:rPr>
        <w:t xml:space="preserve"># 33 - TOPIC: ((stent* OR stent) NEAR/0 (thromb* OR thrombosis) ) Databases= WOS, DIIDW, KJD, MEDLINE, RSCI, SCIELO Timespan=All years Search language=Auto</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spacing w:before="0" w:lineRule="auto"/>
        <w:ind w:left="232" w:right="1182" w:firstLine="0"/>
        <w:jc w:val="left"/>
        <w:rPr>
          <w:sz w:val="24"/>
          <w:szCs w:val="24"/>
        </w:rPr>
      </w:pPr>
      <w:r w:rsidDel="00000000" w:rsidR="00000000" w:rsidRPr="00000000">
        <w:rPr>
          <w:sz w:val="24"/>
          <w:szCs w:val="24"/>
          <w:rtl w:val="0"/>
        </w:rPr>
        <w:t xml:space="preserve"># 34 - TOPIC: (kaplan-meir NEAR/2 (curve* OR analys$s OR curve OR analysis) ) Databases= WOS, DIIDW, KJD, MEDLINE, RSCI, SCIELO Timespan=All years Search language=Auto</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spacing w:before="0" w:lineRule="auto"/>
        <w:ind w:left="232" w:right="0" w:firstLine="0"/>
        <w:jc w:val="left"/>
        <w:rPr>
          <w:sz w:val="24"/>
          <w:szCs w:val="24"/>
        </w:rPr>
        <w:sectPr>
          <w:headerReference r:id="rId77" w:type="default"/>
          <w:footerReference r:id="rId78" w:type="default"/>
          <w:footerReference r:id="rId79" w:type="even"/>
          <w:type w:val="nextPage"/>
          <w:pgSz w:h="16840" w:w="11920" w:orient="portrait"/>
          <w:pgMar w:bottom="260" w:top="1040" w:left="900" w:right="1020" w:header="0" w:footer="71"/>
          <w:pgNumType w:start="7"/>
        </w:sectPr>
      </w:pPr>
      <w:r w:rsidDel="00000000" w:rsidR="00000000" w:rsidRPr="00000000">
        <w:rPr>
          <w:sz w:val="24"/>
          <w:szCs w:val="24"/>
          <w:rtl w:val="0"/>
        </w:rPr>
        <w:t xml:space="preserve"># 35 - TOPIC: ((surviv* OR survival) NEAR/0 (analys$s OR rate* OR analysis OR rate) ) Databases= WOS, DIIDW, KJD, MEDLINE, RSCI, SCIELO Timespan=All years</w:t>
      </w:r>
    </w:p>
    <w:p w:rsidR="00000000" w:rsidDel="00000000" w:rsidP="00000000" w:rsidRDefault="00000000" w:rsidRPr="00000000" w14:paraId="00000197">
      <w:pPr>
        <w:spacing w:before="66" w:lineRule="auto"/>
        <w:ind w:left="232" w:right="0" w:firstLine="0"/>
        <w:jc w:val="left"/>
        <w:rPr>
          <w:sz w:val="24"/>
          <w:szCs w:val="24"/>
        </w:rPr>
      </w:pPr>
      <w:r w:rsidDel="00000000" w:rsidR="00000000" w:rsidRPr="00000000">
        <w:rPr>
          <w:sz w:val="24"/>
          <w:szCs w:val="24"/>
          <w:rtl w:val="0"/>
        </w:rPr>
        <w:t xml:space="preserve">Search language=Auto</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spacing w:before="0" w:lineRule="auto"/>
        <w:ind w:left="232" w:right="0" w:firstLine="0"/>
        <w:jc w:val="left"/>
        <w:rPr>
          <w:sz w:val="24"/>
          <w:szCs w:val="24"/>
        </w:rPr>
      </w:pPr>
      <w:r w:rsidDel="00000000" w:rsidR="00000000" w:rsidRPr="00000000">
        <w:rPr>
          <w:sz w:val="24"/>
          <w:szCs w:val="24"/>
          <w:rtl w:val="0"/>
        </w:rPr>
        <w:t xml:space="preserve"># 36 - TOPIC: ("roc curve*" OR (roc near/0 curve) )</w:t>
      </w:r>
    </w:p>
    <w:p w:rsidR="00000000" w:rsidDel="00000000" w:rsidP="00000000" w:rsidRDefault="00000000" w:rsidRPr="00000000" w14:paraId="0000019A">
      <w:pPr>
        <w:spacing w:before="1"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9B">
      <w:pPr>
        <w:spacing w:before="276" w:lineRule="auto"/>
        <w:ind w:left="232" w:right="1796" w:firstLine="0"/>
        <w:jc w:val="left"/>
        <w:rPr>
          <w:sz w:val="24"/>
          <w:szCs w:val="24"/>
        </w:rPr>
      </w:pPr>
      <w:r w:rsidDel="00000000" w:rsidR="00000000" w:rsidRPr="00000000">
        <w:rPr>
          <w:sz w:val="24"/>
          <w:szCs w:val="24"/>
          <w:rtl w:val="0"/>
        </w:rPr>
        <w:t xml:space="preserve"># 37 - TOPIC: ("area under curve*" OR (area NEAR/0 under NEAR/0 curve) ) Databases= WOS, DIIDW, KJD, MEDLINE, RSCI, SCIELO Timespan=All years Search language=Auto</w:t>
      </w:r>
    </w:p>
    <w:p w:rsidR="00000000" w:rsidDel="00000000" w:rsidP="00000000" w:rsidRDefault="00000000" w:rsidRPr="00000000" w14:paraId="0000019C">
      <w:pPr>
        <w:spacing w:before="276" w:lineRule="auto"/>
        <w:ind w:left="232" w:right="128" w:firstLine="0"/>
        <w:jc w:val="left"/>
        <w:rPr>
          <w:sz w:val="24"/>
          <w:szCs w:val="24"/>
        </w:rPr>
      </w:pPr>
      <w:r w:rsidDel="00000000" w:rsidR="00000000" w:rsidRPr="00000000">
        <w:rPr>
          <w:sz w:val="24"/>
          <w:szCs w:val="24"/>
          <w:rtl w:val="0"/>
        </w:rPr>
        <w:t xml:space="preserve"># 38 - TOPIC: ((revasculari$ation OR re-vasculari$ation OR revascularization OR re- vascularization) NEAR (("target vessel*" OR "target lesion*") OR (target NEAR (vessel OR lesion) )))</w:t>
      </w:r>
    </w:p>
    <w:p w:rsidR="00000000" w:rsidDel="00000000" w:rsidP="00000000" w:rsidRDefault="00000000" w:rsidRPr="00000000" w14:paraId="0000019D">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spacing w:before="0" w:lineRule="auto"/>
        <w:ind w:left="232" w:right="0" w:firstLine="0"/>
        <w:jc w:val="left"/>
        <w:rPr>
          <w:sz w:val="24"/>
          <w:szCs w:val="24"/>
        </w:rPr>
      </w:pPr>
      <w:r w:rsidDel="00000000" w:rsidR="00000000" w:rsidRPr="00000000">
        <w:rPr>
          <w:sz w:val="24"/>
          <w:szCs w:val="24"/>
          <w:rtl w:val="0"/>
        </w:rPr>
        <w:t xml:space="preserve"># 39 - #38 OR #37 OR #36 OR #35 OR #34 OR #33 OR #32 OR #31 OR #30 OR #29</w:t>
      </w:r>
    </w:p>
    <w:p w:rsidR="00000000" w:rsidDel="00000000" w:rsidP="00000000" w:rsidRDefault="00000000" w:rsidRPr="00000000" w14:paraId="000001A0">
      <w:pPr>
        <w:spacing w:before="0" w:lineRule="auto"/>
        <w:ind w:left="232" w:right="0" w:firstLine="0"/>
        <w:jc w:val="left"/>
        <w:rPr>
          <w:sz w:val="24"/>
          <w:szCs w:val="24"/>
        </w:rPr>
      </w:pPr>
      <w:r w:rsidDel="00000000" w:rsidR="00000000" w:rsidRPr="00000000">
        <w:rPr>
          <w:sz w:val="24"/>
          <w:szCs w:val="24"/>
          <w:rtl w:val="0"/>
        </w:rPr>
        <w:t xml:space="preserve">OR #28 OR #27 OR #26 OR #25 OR #24 OR #23 OR #22</w:t>
      </w:r>
    </w:p>
    <w:p w:rsidR="00000000" w:rsidDel="00000000" w:rsidP="00000000" w:rsidRDefault="00000000" w:rsidRPr="00000000" w14:paraId="000001A1">
      <w:pPr>
        <w:spacing w:before="0"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spacing w:before="0" w:lineRule="auto"/>
        <w:ind w:left="232" w:right="0" w:firstLine="0"/>
        <w:jc w:val="left"/>
        <w:rPr>
          <w:sz w:val="24"/>
          <w:szCs w:val="24"/>
        </w:rPr>
      </w:pPr>
      <w:r w:rsidDel="00000000" w:rsidR="00000000" w:rsidRPr="00000000">
        <w:rPr>
          <w:sz w:val="24"/>
          <w:szCs w:val="24"/>
          <w:rtl w:val="0"/>
        </w:rPr>
        <w:t xml:space="preserve"># 40 - #39 AND #21 AND #13</w:t>
      </w:r>
    </w:p>
    <w:p w:rsidR="00000000" w:rsidDel="00000000" w:rsidP="00000000" w:rsidRDefault="00000000" w:rsidRPr="00000000" w14:paraId="000001A4">
      <w:pPr>
        <w:spacing w:before="1" w:lineRule="auto"/>
        <w:ind w:left="232" w:right="1796" w:firstLine="0"/>
        <w:jc w:val="left"/>
        <w:rPr>
          <w:sz w:val="24"/>
          <w:szCs w:val="24"/>
        </w:rPr>
      </w:pPr>
      <w:r w:rsidDel="00000000" w:rsidR="00000000" w:rsidRPr="00000000">
        <w:rPr>
          <w:sz w:val="24"/>
          <w:szCs w:val="24"/>
          <w:rtl w:val="0"/>
        </w:rPr>
        <w:t xml:space="preserve">Databases= WOS, DIIDW, KJD, MEDLINE, RSCI, SCIELO Timespan=All years Search language=Auto</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spacing w:before="0" w:lineRule="auto"/>
        <w:ind w:left="232" w:right="0" w:firstLine="0"/>
        <w:jc w:val="left"/>
        <w:rPr>
          <w:b w:val="1"/>
          <w:sz w:val="24"/>
          <w:szCs w:val="24"/>
        </w:rPr>
      </w:pPr>
      <w:r w:rsidDel="00000000" w:rsidR="00000000" w:rsidRPr="00000000">
        <w:rPr>
          <w:b w:val="1"/>
          <w:sz w:val="24"/>
          <w:szCs w:val="24"/>
          <w:rtl w:val="0"/>
        </w:rPr>
        <w:t xml:space="preserve">Database: Scopus.</w:t>
      </w:r>
    </w:p>
    <w:p w:rsidR="00000000" w:rsidDel="00000000" w:rsidP="00000000" w:rsidRDefault="00000000" w:rsidRPr="00000000" w14:paraId="000001A7">
      <w:pPr>
        <w:spacing w:before="0" w:lineRule="auto"/>
        <w:ind w:left="232" w:right="6304" w:firstLine="0"/>
        <w:jc w:val="left"/>
        <w:rPr>
          <w:b w:val="1"/>
          <w:sz w:val="24"/>
          <w:szCs w:val="24"/>
        </w:rPr>
      </w:pPr>
      <w:r w:rsidDel="00000000" w:rsidR="00000000" w:rsidRPr="00000000">
        <w:rPr>
          <w:b w:val="1"/>
          <w:sz w:val="24"/>
          <w:szCs w:val="24"/>
          <w:rtl w:val="0"/>
        </w:rPr>
        <w:t xml:space="preserve">Last search date: 24 May 2021. Number of items: 4940.</w:t>
      </w:r>
    </w:p>
    <w:p w:rsidR="00000000" w:rsidDel="00000000" w:rsidP="00000000" w:rsidRDefault="00000000" w:rsidRPr="00000000" w14:paraId="000001A8">
      <w:pPr>
        <w:spacing w:before="272" w:lineRule="auto"/>
        <w:ind w:left="232" w:right="0" w:firstLine="0"/>
        <w:jc w:val="left"/>
        <w:rPr>
          <w:sz w:val="24"/>
          <w:szCs w:val="24"/>
        </w:rPr>
      </w:pPr>
      <w:r w:rsidDel="00000000" w:rsidR="00000000" w:rsidRPr="00000000">
        <w:rPr>
          <w:sz w:val="24"/>
          <w:szCs w:val="24"/>
          <w:rtl w:val="0"/>
        </w:rPr>
        <w:t xml:space="preserve">#1 – Patient: (( TITLE-ABS-KEY ( "myocardial infarction" W/2 "st segment" ) ) OR ( TITLE-</w:t>
      </w:r>
    </w:p>
    <w:p w:rsidR="00000000" w:rsidDel="00000000" w:rsidP="00000000" w:rsidRDefault="00000000" w:rsidRPr="00000000" w14:paraId="000001A9">
      <w:pPr>
        <w:spacing w:before="0" w:lineRule="auto"/>
        <w:ind w:left="232" w:right="115" w:firstLine="0"/>
        <w:jc w:val="left"/>
        <w:rPr>
          <w:sz w:val="24"/>
          <w:szCs w:val="24"/>
        </w:rPr>
      </w:pPr>
      <w:r w:rsidDel="00000000" w:rsidR="00000000" w:rsidRPr="00000000">
        <w:rPr>
          <w:sz w:val="24"/>
          <w:szCs w:val="24"/>
          <w:rtl w:val="0"/>
        </w:rPr>
        <w:t xml:space="preserve">ABS-KEY ( "myocardial infarction" W/2 eleva* ) ) OR ( TITLE-ABS-KEY ( stemi ) ) OR ( TITLE- ABS-KEY ( "myocardial infarction" ) ) OR ( TITLE-ABS-KEY ( "acute coronary syndrome" ) ) OR ( TITLE-ABS-KEY ( "coronary artery disease" ) ) OR ( TITLE-ABS-KEY ( "ischemic heart disease" ) ) OR ( TITLE-ABS-KEY ("ischaemic heart disease" ) ) OR ( TITLE-ABS-KEY</w:t>
      </w:r>
    </w:p>
    <w:p w:rsidR="00000000" w:rsidDel="00000000" w:rsidP="00000000" w:rsidRDefault="00000000" w:rsidRPr="00000000" w14:paraId="000001AA">
      <w:pPr>
        <w:spacing w:before="0" w:lineRule="auto"/>
        <w:ind w:left="232" w:right="308" w:firstLine="0"/>
        <w:jc w:val="left"/>
        <w:rPr>
          <w:sz w:val="24"/>
          <w:szCs w:val="24"/>
        </w:rPr>
      </w:pPr>
      <w:r w:rsidDel="00000000" w:rsidR="00000000" w:rsidRPr="00000000">
        <w:rPr>
          <w:sz w:val="24"/>
          <w:szCs w:val="24"/>
          <w:rtl w:val="0"/>
        </w:rPr>
        <w:t xml:space="preserve">( "Percutaneous Coronary Intervention" ) ) OR ( TITLE-ABS-KEY ( "Drug-Eluting Stents" ) ) OR ( TITLE-ABS-KEY ( "metal stent" ) ) OR ( TITLE-ABS-KEY ( angioplasty W/3 coronary ) ) OR ( TITLE-ABS-KEY ( stent W/3 coronary ) ) OR ( TITLE-ABS-KEY ( "unstable angina" )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spacing w:before="0" w:lineRule="auto"/>
        <w:ind w:left="232" w:right="0" w:firstLine="0"/>
        <w:jc w:val="left"/>
        <w:rPr>
          <w:sz w:val="24"/>
          <w:szCs w:val="24"/>
        </w:rPr>
      </w:pPr>
      <w:r w:rsidDel="00000000" w:rsidR="00000000" w:rsidRPr="00000000">
        <w:rPr>
          <w:sz w:val="24"/>
          <w:szCs w:val="24"/>
          <w:rtl w:val="0"/>
        </w:rPr>
        <w:t xml:space="preserve">#2 – Exposure: (( TITLE-ABS-KEY ( ( platelet OR thrombocyte ) W/2 ( volume OR size OR count OR number OR indice OR parameter OR index OR marker ) ) ) OR ( TITLE-ABS-KEY ( "mean platelet volume" ) ) OR ( TITLE-ABS-KEY ( "blood platelet" ) ) OR ( TITLE-ABS-KEY</w:t>
      </w:r>
    </w:p>
    <w:p w:rsidR="00000000" w:rsidDel="00000000" w:rsidP="00000000" w:rsidRDefault="00000000" w:rsidRPr="00000000" w14:paraId="000001AD">
      <w:pPr>
        <w:spacing w:before="0" w:lineRule="auto"/>
        <w:ind w:left="232" w:right="0" w:firstLine="0"/>
        <w:jc w:val="left"/>
        <w:rPr>
          <w:sz w:val="24"/>
          <w:szCs w:val="24"/>
        </w:rPr>
      </w:pPr>
      <w:r w:rsidDel="00000000" w:rsidR="00000000" w:rsidRPr="00000000">
        <w:rPr>
          <w:sz w:val="24"/>
          <w:szCs w:val="24"/>
          <w:rtl w:val="0"/>
        </w:rPr>
        <w:t xml:space="preserve">( ( hematological OR hemogram OR hematology OR haematological OR haemogram ) W/1 ( indice OR parameter OR index OR marker ) ) ) OR ( TITLE-ABS-KEY ( "large platelet" ) ) OR ( TITLE-</w:t>
      </w:r>
    </w:p>
    <w:p w:rsidR="00000000" w:rsidDel="00000000" w:rsidP="00000000" w:rsidRDefault="00000000" w:rsidRPr="00000000" w14:paraId="000001AE">
      <w:pPr>
        <w:spacing w:before="1" w:lineRule="auto"/>
        <w:ind w:left="232" w:right="470" w:firstLine="0"/>
        <w:jc w:val="left"/>
        <w:rPr>
          <w:sz w:val="24"/>
          <w:szCs w:val="24"/>
        </w:rPr>
      </w:pPr>
      <w:r w:rsidDel="00000000" w:rsidR="00000000" w:rsidRPr="00000000">
        <w:rPr>
          <w:sz w:val="24"/>
          <w:szCs w:val="24"/>
          <w:rtl w:val="0"/>
        </w:rPr>
        <w:t xml:space="preserve">ABS-KEY ( "complete blood count" ) ) OR ( TITLE-ABS-KEY ( complete W/1 blood W/1 count ) ) OR ( TITLE-ABS-KEY ( thrombocytopenia OR thrombocytosis OR thrombocytop*)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spacing w:before="0" w:lineRule="auto"/>
        <w:ind w:left="232" w:right="168" w:firstLine="0"/>
        <w:jc w:val="left"/>
        <w:rPr>
          <w:sz w:val="24"/>
          <w:szCs w:val="24"/>
        </w:rPr>
        <w:sectPr>
          <w:headerReference r:id="rId80" w:type="even"/>
          <w:type w:val="nextPage"/>
          <w:pgSz w:h="16840" w:w="11920" w:orient="portrait"/>
          <w:pgMar w:bottom="260" w:top="1040" w:left="900" w:right="1020" w:header="0" w:footer="0"/>
        </w:sectPr>
      </w:pPr>
      <w:r w:rsidDel="00000000" w:rsidR="00000000" w:rsidRPr="00000000">
        <w:rPr>
          <w:sz w:val="24"/>
          <w:szCs w:val="24"/>
          <w:rtl w:val="0"/>
        </w:rPr>
        <w:t xml:space="preserve">#3 – Outcome: ((TITLE-ABS-KEY ((long-term OR short-term ) PRE/1 ( prognosis OR outcome OR survival))) OR (TITLE-ABS-KEY ((cardiovascular OR cardio-vascular OR cardiac OR cerebral OR cerebrovascular OR cerebro-vascular OR atherothrombotic OR athero-thrombotic OR atherothromb* OR athero-thromb* OR thrombotic OR thrombo* OR ischemic OR ischaemic) PRE/1 (outcome OR endpoint OR complication OR end-point OR "end point"))) OR (TITLE-ABS- KEY (adverse PRE/1 (cardiac OR cardiovascular OR cardio-vascular) PRE/1 (cerebral OR</w:t>
      </w:r>
    </w:p>
    <w:p w:rsidR="00000000" w:rsidDel="00000000" w:rsidP="00000000" w:rsidRDefault="00000000" w:rsidRPr="00000000" w14:paraId="000001B1">
      <w:pPr>
        <w:spacing w:before="66" w:lineRule="auto"/>
        <w:ind w:left="232" w:right="168" w:firstLine="0"/>
        <w:jc w:val="left"/>
        <w:rPr>
          <w:sz w:val="24"/>
          <w:szCs w:val="24"/>
        </w:rPr>
      </w:pPr>
      <w:r w:rsidDel="00000000" w:rsidR="00000000" w:rsidRPr="00000000">
        <w:rPr>
          <w:sz w:val="24"/>
          <w:szCs w:val="24"/>
          <w:rtl w:val="0"/>
        </w:rPr>
        <w:t xml:space="preserve">cerebrovascular OR cerebro-vascular) PRE/1 (event OR outcome OR endpoint OR end-point OR "end point"))) OR (TITLE-ABS-KEY (adverse PRE/1 (cardiac OR cardiovascular OR cardio- vascular) PRE/1 (event OR outcome OR endpoint OR end-point))) OR (TITLE-ABS-KEY (MACCE)) OR (TITLE-ABS-KEY ((cardiovascular OR cardio-vascular OR cardiac OR cerebral OR cerebrovascular OR cerebro-vascular OR atherothrombotic OR athero-thrombotic OR atherothromb* OR athero-thromb* OR thrombotic OR thrombo* OR ischemic OR ischaemic) W/2 risk)) OR (TITLE-ABS-KEY (mortality)) OR (TITLE-ABS-KEY ((cardiovascular OR cardio- vascular OR cardiac OR cerebral OR cerebrovascular OR cerebro-vascular OR atherothrombotic OR athero-thrombotic OR atherothromb* OR athero-thromb* OR thrombotic OR thrombo* OR ischemic OR ischaemic) W/2 death)) OR (TITLE-ABS-KEY (proportional PRE/1 hazard PRE/1 (model OR analysis))) OR (TITLE-ABS-KEY (reinfarction)) OR (TITLE-ABS-KEY ("coronary restenosis")) OR (TITLE-ABS-KEY (coronary W/1 restenosis)) OR (TITLE-ABS-KEY (coronary W/1 re-stenosis)) OR (TITLE-ABS-KEY ("stent thrombosis")) OR (TITLE-ABS-KEY (stent W/1 thrombosis)) OR (TITLE-ABS-KEY ("kaplan-meir" PRE/2 (curve OR analysis))) OR (TITLE- ABS-KEY (survival PRE/0 (analysis OR rate))) OR (TITLE-ABS-KEY ("roc curve")) OR (TITLE- ABS-KEY ("area under curve")) OR (TITLE-ABS-KEY (revascularization w/2 ("target vessel" OR "target lesion"))))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spacing w:before="0" w:lineRule="auto"/>
        <w:ind w:left="232" w:right="0" w:firstLine="0"/>
        <w:jc w:val="left"/>
        <w:rPr>
          <w:sz w:val="24"/>
          <w:szCs w:val="24"/>
        </w:rPr>
      </w:pPr>
      <w:r w:rsidDel="00000000" w:rsidR="00000000" w:rsidRPr="00000000">
        <w:rPr>
          <w:sz w:val="24"/>
          <w:szCs w:val="24"/>
          <w:rtl w:val="0"/>
        </w:rPr>
        <w:t xml:space="preserve">#4 - #1 AND #2 AND #3</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spacing w:before="0" w:lineRule="auto"/>
        <w:ind w:left="232" w:right="6304" w:firstLine="0"/>
        <w:jc w:val="left"/>
        <w:rPr>
          <w:b w:val="1"/>
          <w:sz w:val="24"/>
          <w:szCs w:val="24"/>
        </w:rPr>
      </w:pPr>
      <w:r w:rsidDel="00000000" w:rsidR="00000000" w:rsidRPr="00000000">
        <w:rPr>
          <w:b w:val="1"/>
          <w:sz w:val="24"/>
          <w:szCs w:val="24"/>
          <w:rtl w:val="0"/>
        </w:rPr>
        <w:t xml:space="preserve">Database: Cochrane Library. Last search date: 27 June 2021. Number of items: 544.</w:t>
      </w:r>
    </w:p>
    <w:p w:rsidR="00000000" w:rsidDel="00000000" w:rsidP="00000000" w:rsidRDefault="00000000" w:rsidRPr="00000000" w14:paraId="000001B7">
      <w:pPr>
        <w:tabs>
          <w:tab w:val="left" w:leader="none" w:pos="712"/>
          <w:tab w:val="left" w:leader="none" w:pos="6627"/>
          <w:tab w:val="left" w:leader="none" w:pos="6899"/>
          <w:tab w:val="left" w:leader="none" w:pos="7101"/>
        </w:tabs>
        <w:spacing w:before="272" w:lineRule="auto"/>
        <w:ind w:left="232" w:right="2402" w:firstLine="0"/>
        <w:jc w:val="left"/>
        <w:rPr>
          <w:sz w:val="24"/>
          <w:szCs w:val="24"/>
        </w:rPr>
      </w:pPr>
      <w:r w:rsidDel="00000000" w:rsidR="00000000" w:rsidRPr="00000000">
        <w:rPr>
          <w:sz w:val="24"/>
          <w:szCs w:val="24"/>
          <w:rtl w:val="0"/>
        </w:rPr>
        <w:t xml:space="preserve">#1</w:t>
        <w:tab/>
        <w:t xml:space="preserve">MeSH descriptor: [Acute Coronary Syndrome] explode all trees</w:t>
        <w:tab/>
        <w:tab/>
        <w:t xml:space="preserve">2102 #2</w:t>
        <w:tab/>
        <w:t xml:space="preserve">MeSH descriptor: [Coronary Artery Disease] explode all trees</w:t>
        <w:tab/>
        <w:t xml:space="preserve">6696 #3</w:t>
        <w:tab/>
        <w:t xml:space="preserve">MeSH descriptor: [Myocardial Infarction] explode all trees</w:t>
        <w:tab/>
        <w:t xml:space="preserve">11333</w:t>
      </w:r>
    </w:p>
    <w:p w:rsidR="00000000" w:rsidDel="00000000" w:rsidP="00000000" w:rsidRDefault="00000000" w:rsidRPr="00000000" w14:paraId="000001B8">
      <w:pPr>
        <w:tabs>
          <w:tab w:val="left" w:leader="none" w:pos="712"/>
          <w:tab w:val="left" w:leader="none" w:pos="7582"/>
          <w:tab w:val="left" w:leader="none" w:pos="7939"/>
          <w:tab w:val="left" w:leader="none" w:pos="7993"/>
          <w:tab w:val="left" w:leader="none" w:pos="8354"/>
        </w:tabs>
        <w:spacing w:before="0" w:lineRule="auto"/>
        <w:ind w:left="232" w:right="1390" w:firstLine="0"/>
        <w:jc w:val="left"/>
        <w:rPr>
          <w:sz w:val="24"/>
          <w:szCs w:val="24"/>
        </w:rPr>
      </w:pPr>
      <w:r w:rsidDel="00000000" w:rsidR="00000000" w:rsidRPr="00000000">
        <w:rPr>
          <w:sz w:val="24"/>
          <w:szCs w:val="24"/>
          <w:rtl w:val="0"/>
        </w:rPr>
        <w:t xml:space="preserve">#4</w:t>
        <w:tab/>
        <w:t xml:space="preserve">MeSH descriptor: [Percutaneous Coronary Intervention] explode all trees</w:t>
        <w:tab/>
        <w:tab/>
        <w:t xml:space="preserve">5706 #5</w:t>
        <w:tab/>
        <w:t xml:space="preserve">MeSH descriptor: [ST Elevation Myocardial Infarction] explode all trees</w:t>
        <w:tab/>
        <w:t xml:space="preserve">544 #6</w:t>
        <w:tab/>
        <w:t xml:space="preserve">MeSH descriptor: [Non-ST Elevated Myocardial Infarction] explode all trees</w:t>
        <w:tab/>
        <w:t xml:space="preserve">94 #7</w:t>
        <w:tab/>
        <w:t xml:space="preserve">MeSH descriptor: [Angioplasty, Balloon, Coronary] explode all trees</w:t>
        <w:tab/>
        <w:t xml:space="preserve">3517</w:t>
      </w:r>
    </w:p>
    <w:p w:rsidR="00000000" w:rsidDel="00000000" w:rsidP="00000000" w:rsidRDefault="00000000" w:rsidRPr="00000000" w14:paraId="000001B9">
      <w:pPr>
        <w:spacing w:before="0" w:lineRule="auto"/>
        <w:ind w:left="232" w:right="3000" w:firstLine="0"/>
        <w:jc w:val="both"/>
        <w:rPr>
          <w:sz w:val="24"/>
          <w:szCs w:val="24"/>
        </w:rPr>
      </w:pPr>
      <w:r w:rsidDel="00000000" w:rsidR="00000000" w:rsidRPr="00000000">
        <w:rPr>
          <w:sz w:val="24"/>
          <w:szCs w:val="24"/>
          <w:rtl w:val="0"/>
        </w:rPr>
        <w:t xml:space="preserve">#8 MeSH descriptor: [Drug-Eluting Stents] explode all trees 1467 #9 MeSH descriptor: [Coronary Thrombosis] explode all trees 465 #10  MeSH descriptor: [Angina, Unstable] explode all trees  1138</w:t>
      </w:r>
    </w:p>
    <w:p w:rsidR="00000000" w:rsidDel="00000000" w:rsidP="00000000" w:rsidRDefault="00000000" w:rsidRPr="00000000" w14:paraId="000001BA">
      <w:pPr>
        <w:tabs>
          <w:tab w:val="left" w:leader="none" w:pos="823"/>
          <w:tab w:val="left" w:leader="none" w:pos="3689"/>
          <w:tab w:val="left" w:leader="none" w:pos="6400"/>
          <w:tab w:val="left" w:leader="none" w:pos="6633"/>
        </w:tabs>
        <w:spacing w:before="0" w:lineRule="auto"/>
        <w:ind w:left="232" w:right="2728" w:firstLine="0"/>
        <w:jc w:val="left"/>
        <w:rPr>
          <w:sz w:val="24"/>
          <w:szCs w:val="24"/>
        </w:rPr>
      </w:pPr>
      <w:r w:rsidDel="00000000" w:rsidR="00000000" w:rsidRPr="00000000">
        <w:rPr>
          <w:sz w:val="24"/>
          <w:szCs w:val="24"/>
          <w:rtl w:val="0"/>
        </w:rPr>
        <w:t xml:space="preserve">#11</w:t>
        <w:tab/>
        <w:t xml:space="preserve">MeSH descriptor: [Myocardial Ischemia] explode all trees</w:t>
        <w:tab/>
        <w:t xml:space="preserve"> 28851 #12</w:t>
        <w:tab/>
        <w:t xml:space="preserve"> MeSH descriptor: [Coronary Care Units] explode all trees</w:t>
        <w:tab/>
        <w:t xml:space="preserve">145 #13</w:t>
        <w:tab/>
        <w:t xml:space="preserve"> MeSH descriptor: [Coronary Stenosis] explode all trees</w:t>
        <w:tab/>
        <w:t xml:space="preserve">1547 #14</w:t>
        <w:tab/>
        <w:t xml:space="preserve"> "acute coronary syndrome"</w:t>
        <w:tab/>
        <w:t xml:space="preserve">6633</w:t>
      </w:r>
    </w:p>
    <w:p w:rsidR="00000000" w:rsidDel="00000000" w:rsidP="00000000" w:rsidRDefault="00000000" w:rsidRPr="00000000" w14:paraId="000001BB">
      <w:pPr>
        <w:tabs>
          <w:tab w:val="left" w:leader="none" w:pos="833"/>
          <w:tab w:val="left" w:leader="none" w:pos="3490"/>
        </w:tabs>
        <w:spacing w:before="0" w:lineRule="auto"/>
        <w:ind w:left="232" w:right="0" w:firstLine="0"/>
        <w:jc w:val="left"/>
        <w:rPr>
          <w:sz w:val="24"/>
          <w:szCs w:val="24"/>
        </w:rPr>
      </w:pPr>
      <w:r w:rsidDel="00000000" w:rsidR="00000000" w:rsidRPr="00000000">
        <w:rPr>
          <w:sz w:val="24"/>
          <w:szCs w:val="24"/>
          <w:rtl w:val="0"/>
        </w:rPr>
        <w:t xml:space="preserve">#15</w:t>
        <w:tab/>
        <w:t xml:space="preserve">"coronary artery disease"</w:t>
        <w:tab/>
        <w:t xml:space="preserve">18600</w:t>
      </w:r>
    </w:p>
    <w:p w:rsidR="00000000" w:rsidDel="00000000" w:rsidP="00000000" w:rsidRDefault="00000000" w:rsidRPr="00000000" w14:paraId="000001BC">
      <w:pPr>
        <w:tabs>
          <w:tab w:val="left" w:leader="none" w:pos="832"/>
          <w:tab w:val="left" w:leader="none" w:pos="3379"/>
        </w:tabs>
        <w:spacing w:before="0" w:lineRule="auto"/>
        <w:ind w:left="232" w:right="0" w:firstLine="0"/>
        <w:jc w:val="left"/>
        <w:rPr>
          <w:sz w:val="24"/>
          <w:szCs w:val="24"/>
        </w:rPr>
      </w:pPr>
      <w:r w:rsidDel="00000000" w:rsidR="00000000" w:rsidRPr="00000000">
        <w:rPr>
          <w:sz w:val="24"/>
          <w:szCs w:val="24"/>
          <w:rtl w:val="0"/>
        </w:rPr>
        <w:t xml:space="preserve">#16</w:t>
        <w:tab/>
        <w:t xml:space="preserve">"Myocardial Infarction"</w:t>
        <w:tab/>
        <w:t xml:space="preserve">32430</w:t>
      </w:r>
    </w:p>
    <w:p w:rsidR="00000000" w:rsidDel="00000000" w:rsidP="00000000" w:rsidRDefault="00000000" w:rsidRPr="00000000" w14:paraId="000001BD">
      <w:pPr>
        <w:tabs>
          <w:tab w:val="left" w:leader="none" w:pos="832"/>
          <w:tab w:val="left" w:leader="none" w:pos="3411"/>
        </w:tabs>
        <w:spacing w:before="0" w:lineRule="auto"/>
        <w:ind w:left="232" w:right="0" w:firstLine="0"/>
        <w:jc w:val="left"/>
        <w:rPr>
          <w:sz w:val="24"/>
          <w:szCs w:val="24"/>
        </w:rPr>
      </w:pPr>
      <w:r w:rsidDel="00000000" w:rsidR="00000000" w:rsidRPr="00000000">
        <w:rPr>
          <w:sz w:val="24"/>
          <w:szCs w:val="24"/>
          <w:rtl w:val="0"/>
        </w:rPr>
        <w:t xml:space="preserve">#17</w:t>
        <w:tab/>
        <w:t xml:space="preserve">"ischemic heart disease"</w:t>
        <w:tab/>
        <w:t xml:space="preserve">6717</w:t>
      </w:r>
    </w:p>
    <w:p w:rsidR="00000000" w:rsidDel="00000000" w:rsidP="00000000" w:rsidRDefault="00000000" w:rsidRPr="00000000" w14:paraId="000001BE">
      <w:pPr>
        <w:tabs>
          <w:tab w:val="left" w:leader="none" w:pos="832"/>
          <w:tab w:val="left" w:leader="none" w:pos="3517"/>
        </w:tabs>
        <w:spacing w:before="0" w:lineRule="auto"/>
        <w:ind w:left="232" w:right="0" w:firstLine="0"/>
        <w:jc w:val="left"/>
        <w:rPr>
          <w:sz w:val="24"/>
          <w:szCs w:val="24"/>
        </w:rPr>
      </w:pPr>
      <w:r w:rsidDel="00000000" w:rsidR="00000000" w:rsidRPr="00000000">
        <w:rPr>
          <w:sz w:val="24"/>
          <w:szCs w:val="24"/>
          <w:rtl w:val="0"/>
        </w:rPr>
        <w:t xml:space="preserve">#18</w:t>
        <w:tab/>
        <w:t xml:space="preserve">"ischaemic heart disease"</w:t>
        <w:tab/>
        <w:t xml:space="preserve">6718</w:t>
      </w:r>
    </w:p>
    <w:p w:rsidR="00000000" w:rsidDel="00000000" w:rsidP="00000000" w:rsidRDefault="00000000" w:rsidRPr="00000000" w14:paraId="000001BF">
      <w:pPr>
        <w:tabs>
          <w:tab w:val="left" w:leader="none" w:pos="832"/>
          <w:tab w:val="left" w:leader="none" w:pos="4663"/>
        </w:tabs>
        <w:spacing w:before="1" w:lineRule="auto"/>
        <w:ind w:left="232" w:right="0" w:firstLine="0"/>
        <w:jc w:val="left"/>
        <w:rPr>
          <w:sz w:val="24"/>
          <w:szCs w:val="24"/>
        </w:rPr>
      </w:pPr>
      <w:r w:rsidDel="00000000" w:rsidR="00000000" w:rsidRPr="00000000">
        <w:rPr>
          <w:sz w:val="24"/>
          <w:szCs w:val="24"/>
          <w:rtl w:val="0"/>
        </w:rPr>
        <w:t xml:space="preserve">#19</w:t>
        <w:tab/>
        <w:t xml:space="preserve">"percutaneous coronary intervention"</w:t>
        <w:tab/>
        <w:t xml:space="preserve">10654</w:t>
      </w:r>
    </w:p>
    <w:p w:rsidR="00000000" w:rsidDel="00000000" w:rsidP="00000000" w:rsidRDefault="00000000" w:rsidRPr="00000000" w14:paraId="000001C0">
      <w:pPr>
        <w:tabs>
          <w:tab w:val="left" w:leader="none" w:pos="832"/>
          <w:tab w:val="left" w:leader="none" w:pos="3191"/>
        </w:tabs>
        <w:spacing w:before="0" w:lineRule="auto"/>
        <w:ind w:left="232" w:right="0" w:firstLine="0"/>
        <w:jc w:val="left"/>
        <w:rPr>
          <w:sz w:val="24"/>
          <w:szCs w:val="24"/>
        </w:rPr>
      </w:pPr>
      <w:r w:rsidDel="00000000" w:rsidR="00000000" w:rsidRPr="00000000">
        <w:rPr>
          <w:sz w:val="24"/>
          <w:szCs w:val="24"/>
          <w:rtl w:val="0"/>
        </w:rPr>
        <w:t xml:space="preserve">#20</w:t>
        <w:tab/>
        <w:t xml:space="preserve">"primary angioplasty"</w:t>
        <w:tab/>
        <w:t xml:space="preserve">583</w:t>
      </w:r>
    </w:p>
    <w:p w:rsidR="00000000" w:rsidDel="00000000" w:rsidP="00000000" w:rsidRDefault="00000000" w:rsidRPr="00000000" w14:paraId="000001C1">
      <w:pPr>
        <w:tabs>
          <w:tab w:val="left" w:leader="none" w:pos="832"/>
          <w:tab w:val="left" w:leader="none" w:pos="4047"/>
        </w:tabs>
        <w:spacing w:before="0" w:lineRule="auto"/>
        <w:ind w:left="232" w:right="0" w:firstLine="0"/>
        <w:jc w:val="left"/>
        <w:rPr>
          <w:sz w:val="24"/>
          <w:szCs w:val="24"/>
        </w:rPr>
      </w:pPr>
      <w:r w:rsidDel="00000000" w:rsidR="00000000" w:rsidRPr="00000000">
        <w:rPr>
          <w:sz w:val="24"/>
          <w:szCs w:val="24"/>
          <w:rtl w:val="0"/>
        </w:rPr>
        <w:t xml:space="preserve">#21</w:t>
        <w:tab/>
        <w:t xml:space="preserve">"myocardial infarction with st"</w:t>
        <w:tab/>
        <w:t xml:space="preserve">104</w:t>
      </w:r>
    </w:p>
    <w:p w:rsidR="00000000" w:rsidDel="00000000" w:rsidP="00000000" w:rsidRDefault="00000000" w:rsidRPr="00000000" w14:paraId="000001C2">
      <w:pPr>
        <w:tabs>
          <w:tab w:val="left" w:leader="none" w:pos="832"/>
          <w:tab w:val="left" w:leader="none" w:pos="4353"/>
        </w:tabs>
        <w:spacing w:before="0" w:lineRule="auto"/>
        <w:ind w:left="232" w:right="0" w:firstLine="0"/>
        <w:jc w:val="left"/>
        <w:rPr>
          <w:sz w:val="24"/>
          <w:szCs w:val="24"/>
        </w:rPr>
      </w:pPr>
      <w:r w:rsidDel="00000000" w:rsidR="00000000" w:rsidRPr="00000000">
        <w:rPr>
          <w:sz w:val="24"/>
          <w:szCs w:val="24"/>
          <w:rtl w:val="0"/>
        </w:rPr>
        <w:t xml:space="preserve">#22</w:t>
        <w:tab/>
        <w:t xml:space="preserve">"myocardial infarction without st"</w:t>
        <w:tab/>
        <w:t xml:space="preserve">27</w:t>
      </w:r>
    </w:p>
    <w:p w:rsidR="00000000" w:rsidDel="00000000" w:rsidP="00000000" w:rsidRDefault="00000000" w:rsidRPr="00000000" w14:paraId="000001C3">
      <w:pPr>
        <w:tabs>
          <w:tab w:val="left" w:leader="none" w:pos="832"/>
        </w:tabs>
        <w:spacing w:before="0" w:lineRule="auto"/>
        <w:ind w:left="232" w:right="0" w:firstLine="0"/>
        <w:jc w:val="left"/>
        <w:rPr>
          <w:sz w:val="24"/>
          <w:szCs w:val="24"/>
        </w:rPr>
      </w:pPr>
      <w:r w:rsidDel="00000000" w:rsidR="00000000" w:rsidRPr="00000000">
        <w:rPr>
          <w:sz w:val="24"/>
          <w:szCs w:val="24"/>
          <w:rtl w:val="0"/>
        </w:rPr>
        <w:t xml:space="preserve">#23</w:t>
        <w:tab/>
        <w:t xml:space="preserve">#1 OR #2 OR #3 OR #4 OR #5 OR #6 OR #7 OR #8 OR #9 OR #10 OR #11 OR #12 OR #13</w:t>
      </w:r>
    </w:p>
    <w:p w:rsidR="00000000" w:rsidDel="00000000" w:rsidP="00000000" w:rsidRDefault="00000000" w:rsidRPr="00000000" w14:paraId="000001C4">
      <w:pPr>
        <w:spacing w:before="0" w:lineRule="auto"/>
        <w:ind w:left="232" w:right="0" w:firstLine="0"/>
        <w:jc w:val="left"/>
        <w:rPr>
          <w:sz w:val="24"/>
          <w:szCs w:val="24"/>
        </w:rPr>
      </w:pPr>
      <w:r w:rsidDel="00000000" w:rsidR="00000000" w:rsidRPr="00000000">
        <w:rPr>
          <w:sz w:val="24"/>
          <w:szCs w:val="24"/>
          <w:rtl w:val="0"/>
        </w:rPr>
        <w:t xml:space="preserve">OR #14 OR #15 OR #16 OR #17 OR #18 OR #19 OR #20 OR #21 OR #22 (Word variations have</w:t>
      </w:r>
    </w:p>
    <w:p w:rsidR="00000000" w:rsidDel="00000000" w:rsidP="00000000" w:rsidRDefault="00000000" w:rsidRPr="00000000" w14:paraId="000001C5">
      <w:pPr>
        <w:tabs>
          <w:tab w:val="left" w:leader="none" w:pos="1902"/>
        </w:tabs>
        <w:spacing w:before="0" w:lineRule="auto"/>
        <w:ind w:left="232" w:right="0" w:firstLine="0"/>
        <w:jc w:val="left"/>
        <w:rPr>
          <w:sz w:val="24"/>
          <w:szCs w:val="24"/>
        </w:rPr>
      </w:pPr>
      <w:r w:rsidDel="00000000" w:rsidR="00000000" w:rsidRPr="00000000">
        <w:rPr>
          <w:sz w:val="24"/>
          <w:szCs w:val="24"/>
          <w:rtl w:val="0"/>
        </w:rPr>
        <w:t xml:space="preserve">been searched)</w:t>
        <w:tab/>
        <w:t xml:space="preserve">62372</w:t>
      </w:r>
    </w:p>
    <w:p w:rsidR="00000000" w:rsidDel="00000000" w:rsidP="00000000" w:rsidRDefault="00000000" w:rsidRPr="00000000" w14:paraId="000001C6">
      <w:pPr>
        <w:tabs>
          <w:tab w:val="left" w:leader="none" w:pos="832"/>
          <w:tab w:val="left" w:leader="none" w:pos="6093"/>
          <w:tab w:val="left" w:leader="none" w:pos="6760"/>
        </w:tabs>
        <w:spacing w:before="0" w:lineRule="auto"/>
        <w:ind w:left="232" w:right="3103" w:firstLine="0"/>
        <w:jc w:val="left"/>
        <w:rPr>
          <w:sz w:val="24"/>
          <w:szCs w:val="24"/>
        </w:rPr>
        <w:sectPr>
          <w:headerReference r:id="rId81" w:type="default"/>
          <w:footerReference r:id="rId82" w:type="default"/>
          <w:footerReference r:id="rId83" w:type="even"/>
          <w:type w:val="nextPage"/>
          <w:pgSz w:h="16840" w:w="11920" w:orient="portrait"/>
          <w:pgMar w:bottom="260" w:top="1040" w:left="900" w:right="1020" w:header="0" w:footer="71"/>
          <w:pgNumType w:start="9"/>
        </w:sectPr>
      </w:pPr>
      <w:r w:rsidDel="00000000" w:rsidR="00000000" w:rsidRPr="00000000">
        <w:rPr>
          <w:sz w:val="24"/>
          <w:szCs w:val="24"/>
          <w:rtl w:val="0"/>
        </w:rPr>
        <w:t xml:space="preserve">#24</w:t>
        <w:tab/>
        <w:t xml:space="preserve">MeSH descriptor: [Mean Platelet Volume] explode all trees</w:t>
        <w:tab/>
        <w:t xml:space="preserve">8 #25</w:t>
        <w:tab/>
        <w:t xml:space="preserve">MeSH descriptor: [Blood Platelets] explode all trees</w:t>
        <w:tab/>
        <w:t xml:space="preserve">1986</w:t>
      </w:r>
    </w:p>
    <w:p w:rsidR="00000000" w:rsidDel="00000000" w:rsidP="00000000" w:rsidRDefault="00000000" w:rsidRPr="00000000" w14:paraId="000001C7">
      <w:pPr>
        <w:tabs>
          <w:tab w:val="left" w:leader="none" w:pos="832"/>
          <w:tab w:val="left" w:leader="none" w:pos="6002"/>
          <w:tab w:val="left" w:leader="none" w:pos="6326"/>
        </w:tabs>
        <w:spacing w:before="66" w:lineRule="auto"/>
        <w:ind w:left="232" w:right="3177" w:firstLine="0"/>
        <w:jc w:val="left"/>
        <w:rPr>
          <w:sz w:val="24"/>
          <w:szCs w:val="24"/>
        </w:rPr>
      </w:pPr>
      <w:r w:rsidDel="00000000" w:rsidR="00000000" w:rsidRPr="00000000">
        <w:rPr>
          <w:sz w:val="24"/>
          <w:szCs w:val="24"/>
          <w:rtl w:val="0"/>
        </w:rPr>
        <w:t xml:space="preserve">#26</w:t>
        <w:tab/>
        <w:t xml:space="preserve">MeSH descriptor: [Platelet Count] explode all trees</w:t>
        <w:tab/>
        <w:t xml:space="preserve">1264 #27</w:t>
        <w:tab/>
        <w:t xml:space="preserve">MeSH descriptor: [Blood Cell Count] explode all trees</w:t>
        <w:tab/>
        <w:t xml:space="preserve">7248</w:t>
      </w:r>
    </w:p>
    <w:p w:rsidR="00000000" w:rsidDel="00000000" w:rsidP="00000000" w:rsidRDefault="00000000" w:rsidRPr="00000000" w14:paraId="000001C8">
      <w:pPr>
        <w:tabs>
          <w:tab w:val="left" w:leader="none" w:pos="832"/>
          <w:tab w:val="left" w:leader="none" w:pos="3390"/>
          <w:tab w:val="left" w:leader="none" w:pos="6192"/>
          <w:tab w:val="left" w:leader="none" w:pos="6458"/>
        </w:tabs>
        <w:spacing w:before="0" w:lineRule="auto"/>
        <w:ind w:left="232" w:right="3045" w:firstLine="0"/>
        <w:jc w:val="left"/>
        <w:rPr>
          <w:sz w:val="24"/>
          <w:szCs w:val="24"/>
        </w:rPr>
      </w:pPr>
      <w:r w:rsidDel="00000000" w:rsidR="00000000" w:rsidRPr="00000000">
        <w:rPr>
          <w:sz w:val="24"/>
          <w:szCs w:val="24"/>
          <w:rtl w:val="0"/>
        </w:rPr>
        <w:t xml:space="preserve">#28</w:t>
        <w:tab/>
        <w:t xml:space="preserve">MeSH descriptor: [Thrombocytopenia] explode all trees</w:t>
        <w:tab/>
        <w:t xml:space="preserve">1300 #29</w:t>
        <w:tab/>
        <w:t xml:space="preserve">MeSH descriptor: [Thrombocytosis] explode all trees</w:t>
        <w:tab/>
        <w:t xml:space="preserve">110 #30</w:t>
        <w:tab/>
        <w:t xml:space="preserve">"Mean Platelet Volume"</w:t>
        <w:tab/>
        <w:t xml:space="preserve">157</w:t>
      </w:r>
    </w:p>
    <w:p w:rsidR="00000000" w:rsidDel="00000000" w:rsidP="00000000" w:rsidRDefault="00000000" w:rsidRPr="00000000" w14:paraId="000001C9">
      <w:pPr>
        <w:tabs>
          <w:tab w:val="left" w:leader="none" w:pos="832"/>
          <w:tab w:val="left" w:leader="none" w:pos="2581"/>
        </w:tabs>
        <w:spacing w:before="1" w:lineRule="auto"/>
        <w:ind w:left="232" w:right="0" w:firstLine="0"/>
        <w:jc w:val="left"/>
        <w:rPr>
          <w:sz w:val="24"/>
          <w:szCs w:val="24"/>
        </w:rPr>
      </w:pPr>
      <w:r w:rsidDel="00000000" w:rsidR="00000000" w:rsidRPr="00000000">
        <w:rPr>
          <w:sz w:val="24"/>
          <w:szCs w:val="24"/>
          <w:rtl w:val="0"/>
        </w:rPr>
        <w:t xml:space="preserve">#31</w:t>
        <w:tab/>
        <w:t xml:space="preserve">"blood platelet"</w:t>
        <w:tab/>
        <w:t xml:space="preserve">345</w:t>
      </w:r>
    </w:p>
    <w:p w:rsidR="00000000" w:rsidDel="00000000" w:rsidP="00000000" w:rsidRDefault="00000000" w:rsidRPr="00000000" w14:paraId="000001CA">
      <w:pPr>
        <w:tabs>
          <w:tab w:val="left" w:leader="none" w:pos="832"/>
          <w:tab w:val="left" w:leader="none" w:pos="2565"/>
        </w:tabs>
        <w:spacing w:before="0" w:lineRule="auto"/>
        <w:ind w:left="232" w:right="0" w:firstLine="0"/>
        <w:jc w:val="left"/>
        <w:rPr>
          <w:sz w:val="24"/>
          <w:szCs w:val="24"/>
        </w:rPr>
      </w:pPr>
      <w:r w:rsidDel="00000000" w:rsidR="00000000" w:rsidRPr="00000000">
        <w:rPr>
          <w:sz w:val="24"/>
          <w:szCs w:val="24"/>
          <w:rtl w:val="0"/>
        </w:rPr>
        <w:t xml:space="preserve">#32</w:t>
        <w:tab/>
        <w:t xml:space="preserve">"platelet count"</w:t>
        <w:tab/>
        <w:t xml:space="preserve">6881</w:t>
      </w:r>
    </w:p>
    <w:p w:rsidR="00000000" w:rsidDel="00000000" w:rsidP="00000000" w:rsidRDefault="00000000" w:rsidRPr="00000000" w14:paraId="000001CB">
      <w:pPr>
        <w:tabs>
          <w:tab w:val="left" w:leader="none" w:pos="832"/>
          <w:tab w:val="left" w:leader="none" w:pos="2828"/>
        </w:tabs>
        <w:spacing w:before="0" w:lineRule="auto"/>
        <w:ind w:left="232" w:right="0" w:firstLine="0"/>
        <w:jc w:val="left"/>
        <w:rPr>
          <w:sz w:val="24"/>
          <w:szCs w:val="24"/>
        </w:rPr>
      </w:pPr>
      <w:r w:rsidDel="00000000" w:rsidR="00000000" w:rsidRPr="00000000">
        <w:rPr>
          <w:sz w:val="24"/>
          <w:szCs w:val="24"/>
          <w:rtl w:val="0"/>
        </w:rPr>
        <w:t xml:space="preserve">#33</w:t>
        <w:tab/>
        <w:t xml:space="preserve">"Thrombocytosis"</w:t>
        <w:tab/>
        <w:t xml:space="preserve">313</w:t>
      </w:r>
    </w:p>
    <w:p w:rsidR="00000000" w:rsidDel="00000000" w:rsidP="00000000" w:rsidRDefault="00000000" w:rsidRPr="00000000" w14:paraId="000001CC">
      <w:pPr>
        <w:tabs>
          <w:tab w:val="left" w:leader="none" w:pos="832"/>
          <w:tab w:val="left" w:leader="none" w:pos="2991"/>
        </w:tabs>
        <w:spacing w:before="0" w:lineRule="auto"/>
        <w:ind w:left="232" w:right="0" w:firstLine="0"/>
        <w:jc w:val="left"/>
        <w:rPr>
          <w:sz w:val="24"/>
          <w:szCs w:val="24"/>
        </w:rPr>
      </w:pPr>
      <w:r w:rsidDel="00000000" w:rsidR="00000000" w:rsidRPr="00000000">
        <w:rPr>
          <w:sz w:val="24"/>
          <w:szCs w:val="24"/>
          <w:rtl w:val="0"/>
        </w:rPr>
        <w:t xml:space="preserve">#34</w:t>
        <w:tab/>
        <w:t xml:space="preserve">"platelet parameter"</w:t>
        <w:tab/>
        <w:t xml:space="preserve">1</w:t>
      </w:r>
    </w:p>
    <w:p w:rsidR="00000000" w:rsidDel="00000000" w:rsidP="00000000" w:rsidRDefault="00000000" w:rsidRPr="00000000" w14:paraId="000001CD">
      <w:pPr>
        <w:tabs>
          <w:tab w:val="left" w:leader="none" w:pos="832"/>
          <w:tab w:val="left" w:leader="none" w:pos="2565"/>
        </w:tabs>
        <w:spacing w:before="0" w:lineRule="auto"/>
        <w:ind w:left="232" w:right="0" w:firstLine="0"/>
        <w:jc w:val="left"/>
        <w:rPr>
          <w:sz w:val="24"/>
          <w:szCs w:val="24"/>
        </w:rPr>
      </w:pPr>
      <w:r w:rsidDel="00000000" w:rsidR="00000000" w:rsidRPr="00000000">
        <w:rPr>
          <w:sz w:val="24"/>
          <w:szCs w:val="24"/>
          <w:rtl w:val="0"/>
        </w:rPr>
        <w:t xml:space="preserve">#35</w:t>
        <w:tab/>
        <w:t xml:space="preserve">"platelet index"</w:t>
        <w:tab/>
        <w:t xml:space="preserve">23</w:t>
      </w:r>
    </w:p>
    <w:p w:rsidR="00000000" w:rsidDel="00000000" w:rsidP="00000000" w:rsidRDefault="00000000" w:rsidRPr="00000000" w14:paraId="000001CE">
      <w:pPr>
        <w:tabs>
          <w:tab w:val="left" w:leader="none" w:pos="832"/>
          <w:tab w:val="left" w:leader="none" w:pos="2507"/>
        </w:tabs>
        <w:spacing w:before="0" w:lineRule="auto"/>
        <w:ind w:left="232" w:right="0" w:firstLine="0"/>
        <w:jc w:val="left"/>
        <w:rPr>
          <w:sz w:val="24"/>
          <w:szCs w:val="24"/>
        </w:rPr>
      </w:pPr>
      <w:r w:rsidDel="00000000" w:rsidR="00000000" w:rsidRPr="00000000">
        <w:rPr>
          <w:sz w:val="24"/>
          <w:szCs w:val="24"/>
          <w:rtl w:val="0"/>
        </w:rPr>
        <w:t xml:space="preserve">#36</w:t>
        <w:tab/>
        <w:t xml:space="preserve">"large platelet"</w:t>
        <w:tab/>
        <w:t xml:space="preserve">7</w:t>
      </w:r>
    </w:p>
    <w:p w:rsidR="00000000" w:rsidDel="00000000" w:rsidP="00000000" w:rsidRDefault="00000000" w:rsidRPr="00000000" w14:paraId="000001CF">
      <w:pPr>
        <w:tabs>
          <w:tab w:val="left" w:leader="none" w:pos="832"/>
          <w:tab w:val="left" w:leader="none" w:pos="2403"/>
        </w:tabs>
        <w:spacing w:before="0" w:lineRule="auto"/>
        <w:ind w:left="232" w:right="0" w:firstLine="0"/>
        <w:jc w:val="left"/>
        <w:rPr>
          <w:sz w:val="24"/>
          <w:szCs w:val="24"/>
        </w:rPr>
      </w:pPr>
      <w:r w:rsidDel="00000000" w:rsidR="00000000" w:rsidRPr="00000000">
        <w:rPr>
          <w:sz w:val="24"/>
          <w:szCs w:val="24"/>
          <w:rtl w:val="0"/>
        </w:rPr>
        <w:t xml:space="preserve">#37</w:t>
        <w:tab/>
        <w:t xml:space="preserve">"platelet size"</w:t>
        <w:tab/>
        <w:t xml:space="preserve">23</w:t>
      </w:r>
    </w:p>
    <w:p w:rsidR="00000000" w:rsidDel="00000000" w:rsidP="00000000" w:rsidRDefault="00000000" w:rsidRPr="00000000" w14:paraId="000001D0">
      <w:pPr>
        <w:tabs>
          <w:tab w:val="left" w:leader="none" w:pos="832"/>
          <w:tab w:val="left" w:leader="none" w:pos="3346"/>
        </w:tabs>
        <w:spacing w:before="0" w:lineRule="auto"/>
        <w:ind w:left="232" w:right="0" w:firstLine="0"/>
        <w:jc w:val="left"/>
        <w:rPr>
          <w:sz w:val="24"/>
          <w:szCs w:val="24"/>
        </w:rPr>
      </w:pPr>
      <w:r w:rsidDel="00000000" w:rsidR="00000000" w:rsidRPr="00000000">
        <w:rPr>
          <w:sz w:val="24"/>
          <w:szCs w:val="24"/>
          <w:rtl w:val="0"/>
        </w:rPr>
        <w:t xml:space="preserve">#38</w:t>
        <w:tab/>
        <w:t xml:space="preserve">"complete blood count"</w:t>
        <w:tab/>
        <w:t xml:space="preserve">1405</w:t>
      </w:r>
    </w:p>
    <w:p w:rsidR="00000000" w:rsidDel="00000000" w:rsidP="00000000" w:rsidRDefault="00000000" w:rsidRPr="00000000" w14:paraId="000001D1">
      <w:pPr>
        <w:tabs>
          <w:tab w:val="left" w:leader="none" w:pos="832"/>
          <w:tab w:val="left" w:leader="none" w:pos="3644"/>
        </w:tabs>
        <w:spacing w:before="0" w:lineRule="auto"/>
        <w:ind w:left="232" w:right="0" w:firstLine="0"/>
        <w:jc w:val="left"/>
        <w:rPr>
          <w:sz w:val="24"/>
          <w:szCs w:val="24"/>
        </w:rPr>
      </w:pPr>
      <w:r w:rsidDel="00000000" w:rsidR="00000000" w:rsidRPr="00000000">
        <w:rPr>
          <w:sz w:val="24"/>
          <w:szCs w:val="24"/>
          <w:rtl w:val="0"/>
        </w:rPr>
        <w:t xml:space="preserve">#39</w:t>
        <w:tab/>
        <w:t xml:space="preserve">"hematological parameter"</w:t>
        <w:tab/>
        <w:t xml:space="preserve">15</w:t>
      </w:r>
    </w:p>
    <w:p w:rsidR="00000000" w:rsidDel="00000000" w:rsidP="00000000" w:rsidRDefault="00000000" w:rsidRPr="00000000" w14:paraId="000001D2">
      <w:pPr>
        <w:tabs>
          <w:tab w:val="left" w:leader="none" w:pos="833"/>
        </w:tabs>
        <w:spacing w:before="0" w:lineRule="auto"/>
        <w:ind w:left="232" w:right="0" w:firstLine="0"/>
        <w:jc w:val="left"/>
        <w:rPr>
          <w:sz w:val="24"/>
          <w:szCs w:val="24"/>
        </w:rPr>
      </w:pPr>
      <w:r w:rsidDel="00000000" w:rsidR="00000000" w:rsidRPr="00000000">
        <w:rPr>
          <w:sz w:val="24"/>
          <w:szCs w:val="24"/>
          <w:rtl w:val="0"/>
        </w:rPr>
        <w:t xml:space="preserve">#40</w:t>
        <w:tab/>
        <w:t xml:space="preserve">#24 OR #25 OR #26 OR #27 OR #28 OR #29 OR #30 OR #31 OR #32 OR #33 OR #34 OR</w:t>
      </w:r>
    </w:p>
    <w:p w:rsidR="00000000" w:rsidDel="00000000" w:rsidP="00000000" w:rsidRDefault="00000000" w:rsidRPr="00000000" w14:paraId="000001D3">
      <w:pPr>
        <w:tabs>
          <w:tab w:val="left" w:leader="none" w:pos="4086"/>
        </w:tabs>
        <w:spacing w:before="0" w:lineRule="auto"/>
        <w:ind w:left="232" w:right="0" w:firstLine="0"/>
        <w:jc w:val="left"/>
        <w:rPr>
          <w:sz w:val="24"/>
          <w:szCs w:val="24"/>
        </w:rPr>
      </w:pPr>
      <w:r w:rsidDel="00000000" w:rsidR="00000000" w:rsidRPr="00000000">
        <w:rPr>
          <w:sz w:val="24"/>
          <w:szCs w:val="24"/>
          <w:rtl w:val="0"/>
        </w:rPr>
        <w:t xml:space="preserve">#35 OR #36 OR #37 OR #38 OR #39</w:t>
        <w:tab/>
        <w:t xml:space="preserve">16923</w:t>
      </w:r>
    </w:p>
    <w:p w:rsidR="00000000" w:rsidDel="00000000" w:rsidP="00000000" w:rsidRDefault="00000000" w:rsidRPr="00000000" w14:paraId="000001D4">
      <w:pPr>
        <w:tabs>
          <w:tab w:val="left" w:leader="none" w:pos="832"/>
          <w:tab w:val="left" w:leader="none" w:pos="5541"/>
        </w:tabs>
        <w:spacing w:before="0" w:lineRule="auto"/>
        <w:ind w:left="232" w:right="0" w:firstLine="0"/>
        <w:jc w:val="left"/>
        <w:rPr>
          <w:sz w:val="24"/>
          <w:szCs w:val="24"/>
        </w:rPr>
      </w:pPr>
      <w:r w:rsidDel="00000000" w:rsidR="00000000" w:rsidRPr="00000000">
        <w:rPr>
          <w:sz w:val="24"/>
          <w:szCs w:val="24"/>
          <w:rtl w:val="0"/>
        </w:rPr>
        <w:t xml:space="preserve">#41</w:t>
        <w:tab/>
        <w:t xml:space="preserve">MeSH descriptor: [Mortality] explode all trees</w:t>
        <w:tab/>
        <w:t xml:space="preserve">13514</w:t>
      </w:r>
    </w:p>
    <w:p w:rsidR="00000000" w:rsidDel="00000000" w:rsidP="00000000" w:rsidRDefault="00000000" w:rsidRPr="00000000" w14:paraId="000001D5">
      <w:pPr>
        <w:tabs>
          <w:tab w:val="left" w:leader="none" w:pos="832"/>
          <w:tab w:val="left" w:leader="none" w:pos="5580"/>
          <w:tab w:val="left" w:leader="none" w:pos="6412"/>
        </w:tabs>
        <w:spacing w:before="0" w:lineRule="auto"/>
        <w:ind w:left="232" w:right="3091" w:firstLine="0"/>
        <w:jc w:val="left"/>
        <w:rPr>
          <w:sz w:val="24"/>
          <w:szCs w:val="24"/>
        </w:rPr>
      </w:pPr>
      <w:r w:rsidDel="00000000" w:rsidR="00000000" w:rsidRPr="00000000">
        <w:rPr>
          <w:sz w:val="24"/>
          <w:szCs w:val="24"/>
          <w:rtl w:val="0"/>
        </w:rPr>
        <w:t xml:space="preserve">#42</w:t>
        <w:tab/>
        <w:t xml:space="preserve">MeSH descriptor: [Hospital Mortality] explode all trees</w:t>
        <w:tab/>
        <w:t xml:space="preserve">1201 #43</w:t>
        <w:tab/>
        <w:t xml:space="preserve">MeSH descriptor: [Prognosis] explode all trees</w:t>
        <w:tab/>
        <w:t xml:space="preserve">158287</w:t>
      </w:r>
    </w:p>
    <w:p w:rsidR="00000000" w:rsidDel="00000000" w:rsidP="00000000" w:rsidRDefault="00000000" w:rsidRPr="00000000" w14:paraId="000001D6">
      <w:pPr>
        <w:tabs>
          <w:tab w:val="left" w:leader="none" w:pos="832"/>
          <w:tab w:val="left" w:leader="none" w:pos="5752"/>
        </w:tabs>
        <w:spacing w:before="0" w:lineRule="auto"/>
        <w:ind w:left="232" w:right="0" w:firstLine="0"/>
        <w:jc w:val="left"/>
        <w:rPr>
          <w:sz w:val="24"/>
          <w:szCs w:val="24"/>
        </w:rPr>
      </w:pPr>
      <w:r w:rsidDel="00000000" w:rsidR="00000000" w:rsidRPr="00000000">
        <w:rPr>
          <w:sz w:val="24"/>
          <w:szCs w:val="24"/>
          <w:rtl w:val="0"/>
        </w:rPr>
        <w:t xml:space="preserve">#44</w:t>
        <w:tab/>
        <w:t xml:space="preserve">MeSH descriptor: [Biomarkers] explode all trees</w:t>
        <w:tab/>
        <w:t xml:space="preserve">20929</w:t>
      </w:r>
    </w:p>
    <w:p w:rsidR="00000000" w:rsidDel="00000000" w:rsidP="00000000" w:rsidRDefault="00000000" w:rsidRPr="00000000" w14:paraId="000001D7">
      <w:pPr>
        <w:tabs>
          <w:tab w:val="left" w:leader="none" w:pos="832"/>
          <w:tab w:val="left" w:leader="none" w:pos="6455"/>
          <w:tab w:val="left" w:leader="none" w:pos="6883"/>
        </w:tabs>
        <w:spacing w:before="1" w:lineRule="auto"/>
        <w:ind w:left="232" w:right="2620" w:firstLine="0"/>
        <w:jc w:val="left"/>
        <w:rPr>
          <w:sz w:val="24"/>
          <w:szCs w:val="24"/>
        </w:rPr>
      </w:pPr>
      <w:r w:rsidDel="00000000" w:rsidR="00000000" w:rsidRPr="00000000">
        <w:rPr>
          <w:sz w:val="24"/>
          <w:szCs w:val="24"/>
          <w:rtl w:val="0"/>
        </w:rPr>
        <w:t xml:space="preserve">#45</w:t>
        <w:tab/>
        <w:t xml:space="preserve">MeSH descriptor: [Follow-Up Studies] explode all trees</w:t>
        <w:tab/>
        <w:t xml:space="preserve">60052 #46</w:t>
        <w:tab/>
        <w:t xml:space="preserve">MeSH descriptor: [Kaplan-Meier Estimate] explode all trees 5076</w:t>
      </w:r>
    </w:p>
    <w:p w:rsidR="00000000" w:rsidDel="00000000" w:rsidP="00000000" w:rsidRDefault="00000000" w:rsidRPr="00000000" w14:paraId="000001D8">
      <w:pPr>
        <w:tabs>
          <w:tab w:val="left" w:leader="none" w:pos="832"/>
          <w:tab w:val="left" w:leader="none" w:pos="5719"/>
          <w:tab w:val="left" w:leader="none" w:pos="7463"/>
        </w:tabs>
        <w:spacing w:before="0" w:lineRule="auto"/>
        <w:ind w:left="232" w:right="2040" w:firstLine="0"/>
        <w:jc w:val="left"/>
        <w:rPr>
          <w:sz w:val="24"/>
          <w:szCs w:val="24"/>
        </w:rPr>
      </w:pPr>
      <w:r w:rsidDel="00000000" w:rsidR="00000000" w:rsidRPr="00000000">
        <w:rPr>
          <w:sz w:val="24"/>
          <w:szCs w:val="24"/>
          <w:rtl w:val="0"/>
        </w:rPr>
        <w:t xml:space="preserve">#47</w:t>
        <w:tab/>
        <w:t xml:space="preserve">MeSH descriptor: [Proportional Hazards Models] explode all trees 5143 #48</w:t>
        <w:tab/>
        <w:t xml:space="preserve">MeSH descriptor: [Odds Ratio] explode all trees</w:t>
        <w:tab/>
        <w:t xml:space="preserve">2960</w:t>
      </w:r>
    </w:p>
    <w:p w:rsidR="00000000" w:rsidDel="00000000" w:rsidP="00000000" w:rsidRDefault="00000000" w:rsidRPr="00000000" w14:paraId="000001D9">
      <w:pPr>
        <w:tabs>
          <w:tab w:val="left" w:leader="none" w:pos="832"/>
          <w:tab w:val="left" w:leader="none" w:pos="6067"/>
          <w:tab w:val="left" w:leader="none" w:pos="6520"/>
          <w:tab w:val="left" w:leader="none" w:pos="7014"/>
        </w:tabs>
        <w:spacing w:before="0" w:lineRule="auto"/>
        <w:ind w:left="232" w:right="2489" w:firstLine="0"/>
        <w:jc w:val="left"/>
        <w:rPr>
          <w:sz w:val="24"/>
          <w:szCs w:val="24"/>
        </w:rPr>
      </w:pPr>
      <w:r w:rsidDel="00000000" w:rsidR="00000000" w:rsidRPr="00000000">
        <w:rPr>
          <w:sz w:val="24"/>
          <w:szCs w:val="24"/>
          <w:rtl w:val="0"/>
        </w:rPr>
        <w:t xml:space="preserve">#49</w:t>
        <w:tab/>
        <w:t xml:space="preserve">MeSH descriptor: [Predictive Value of Tests] explode all trees</w:t>
        <w:tab/>
        <w:t xml:space="preserve">7068 #50</w:t>
        <w:tab/>
        <w:t xml:space="preserve">MeSH descriptor: [Prospective Studies] explode all trees</w:t>
        <w:tab/>
        <w:t xml:space="preserve">93841 #51</w:t>
        <w:tab/>
        <w:t xml:space="preserve">MeSH descriptor: [Cohort Studies] explode all trees</w:t>
        <w:tab/>
        <w:t xml:space="preserve">151592</w:t>
      </w:r>
    </w:p>
    <w:p w:rsidR="00000000" w:rsidDel="00000000" w:rsidP="00000000" w:rsidRDefault="00000000" w:rsidRPr="00000000" w14:paraId="000001DA">
      <w:pPr>
        <w:tabs>
          <w:tab w:val="left" w:leader="none" w:pos="832"/>
          <w:tab w:val="left" w:leader="none" w:pos="5842"/>
          <w:tab w:val="left" w:leader="none" w:pos="6254"/>
        </w:tabs>
        <w:spacing w:before="0" w:lineRule="auto"/>
        <w:ind w:left="232" w:right="3249" w:firstLine="0"/>
        <w:jc w:val="left"/>
        <w:rPr>
          <w:sz w:val="24"/>
          <w:szCs w:val="24"/>
        </w:rPr>
      </w:pPr>
      <w:r w:rsidDel="00000000" w:rsidR="00000000" w:rsidRPr="00000000">
        <w:rPr>
          <w:sz w:val="24"/>
          <w:szCs w:val="24"/>
          <w:rtl w:val="0"/>
        </w:rPr>
        <w:t xml:space="preserve">#52</w:t>
        <w:tab/>
        <w:t xml:space="preserve">MeSH descriptor: [Risk Assessment] explode all trees</w:t>
        <w:tab/>
        <w:t xml:space="preserve">9039 #53</w:t>
        <w:tab/>
        <w:t xml:space="preserve">MeSH descriptor: [Risk Factors] explode all trees</w:t>
        <w:tab/>
        <w:t xml:space="preserve">24961</w:t>
      </w:r>
    </w:p>
    <w:p w:rsidR="00000000" w:rsidDel="00000000" w:rsidP="00000000" w:rsidRDefault="00000000" w:rsidRPr="00000000" w14:paraId="000001DB">
      <w:pPr>
        <w:tabs>
          <w:tab w:val="left" w:leader="none" w:pos="832"/>
          <w:tab w:val="left" w:leader="none" w:pos="5774"/>
          <w:tab w:val="left" w:leader="none" w:pos="7242"/>
          <w:tab w:val="left" w:leader="none" w:pos="7502"/>
        </w:tabs>
        <w:spacing w:before="0" w:lineRule="auto"/>
        <w:ind w:left="232" w:right="2242" w:firstLine="0"/>
        <w:jc w:val="left"/>
        <w:rPr>
          <w:sz w:val="24"/>
          <w:szCs w:val="24"/>
        </w:rPr>
      </w:pPr>
      <w:r w:rsidDel="00000000" w:rsidR="00000000" w:rsidRPr="00000000">
        <w:rPr>
          <w:sz w:val="24"/>
          <w:szCs w:val="24"/>
          <w:rtl w:val="0"/>
        </w:rPr>
        <w:t xml:space="preserve">#54</w:t>
        <w:tab/>
        <w:t xml:space="preserve">MeSH descriptor: [Heart Disease Risk Factors] explode all trees</w:t>
        <w:tab/>
        <w:t xml:space="preserve">94 #55</w:t>
        <w:tab/>
        <w:t xml:space="preserve">MeSH descriptor: [Cardiometabolic Risk Factors] explode all trees</w:t>
        <w:tab/>
        <w:t xml:space="preserve">28 #56</w:t>
        <w:tab/>
        <w:t xml:space="preserve">MeSH descriptor: [ROC Curve] explode all trees</w:t>
        <w:tab/>
        <w:t xml:space="preserve">1110</w:t>
      </w:r>
    </w:p>
    <w:p w:rsidR="00000000" w:rsidDel="00000000" w:rsidP="00000000" w:rsidRDefault="00000000" w:rsidRPr="00000000" w14:paraId="000001DC">
      <w:pPr>
        <w:tabs>
          <w:tab w:val="left" w:leader="none" w:pos="832"/>
          <w:tab w:val="left" w:leader="none" w:pos="5812"/>
          <w:tab w:val="left" w:leader="none" w:pos="6333"/>
          <w:tab w:val="left" w:leader="none" w:pos="6915"/>
        </w:tabs>
        <w:spacing w:before="0" w:lineRule="auto"/>
        <w:ind w:left="232" w:right="2828" w:firstLine="0"/>
        <w:jc w:val="left"/>
        <w:rPr>
          <w:sz w:val="24"/>
          <w:szCs w:val="24"/>
        </w:rPr>
      </w:pPr>
      <w:r w:rsidDel="00000000" w:rsidR="00000000" w:rsidRPr="00000000">
        <w:rPr>
          <w:sz w:val="24"/>
          <w:szCs w:val="24"/>
          <w:rtl w:val="0"/>
        </w:rPr>
        <w:t xml:space="preserve">#57</w:t>
        <w:tab/>
        <w:t xml:space="preserve">MeSH descriptor: [Clinical Decision Rules] explode all trees</w:t>
        <w:tab/>
        <w:t xml:space="preserve">12 #58</w:t>
        <w:tab/>
        <w:t xml:space="preserve">MeSH descriptor: [Survival Analysis] explode all trees</w:t>
        <w:tab/>
        <w:t xml:space="preserve">21069 #59</w:t>
        <w:tab/>
        <w:t xml:space="preserve">MeSH descriptor: [Heart Arrest] explode all trees</w:t>
        <w:tab/>
        <w:t xml:space="preserve">1998</w:t>
      </w:r>
    </w:p>
    <w:p w:rsidR="00000000" w:rsidDel="00000000" w:rsidP="00000000" w:rsidRDefault="00000000" w:rsidRPr="00000000" w14:paraId="000001DD">
      <w:pPr>
        <w:tabs>
          <w:tab w:val="left" w:leader="none" w:pos="832"/>
          <w:tab w:val="left" w:leader="none" w:pos="5947"/>
          <w:tab w:val="left" w:leader="none" w:pos="6113"/>
          <w:tab w:val="left" w:leader="none" w:pos="6405"/>
        </w:tabs>
        <w:spacing w:before="0" w:lineRule="auto"/>
        <w:ind w:left="232" w:right="3098" w:firstLine="0"/>
        <w:jc w:val="left"/>
        <w:rPr>
          <w:sz w:val="24"/>
          <w:szCs w:val="24"/>
        </w:rPr>
      </w:pPr>
      <w:r w:rsidDel="00000000" w:rsidR="00000000" w:rsidRPr="00000000">
        <w:rPr>
          <w:sz w:val="24"/>
          <w:szCs w:val="24"/>
          <w:rtl w:val="0"/>
        </w:rPr>
        <w:t xml:space="preserve">#60</w:t>
        <w:tab/>
        <w:t xml:space="preserve">MeSH descriptor: [Area Under Curve] explode all trees</w:t>
        <w:tab/>
        <w:t xml:space="preserve">6873 #61</w:t>
        <w:tab/>
        <w:t xml:space="preserve">MeSH descriptor: [Cause of Death] explode all trees</w:t>
        <w:tab/>
        <w:tab/>
        <w:t xml:space="preserve">1707 #62</w:t>
        <w:tab/>
        <w:t xml:space="preserve">MeSH descriptor: [Survival Rate] explode all trees</w:t>
        <w:tab/>
        <w:t xml:space="preserve">10114</w:t>
      </w:r>
    </w:p>
    <w:p w:rsidR="00000000" w:rsidDel="00000000" w:rsidP="00000000" w:rsidRDefault="00000000" w:rsidRPr="00000000" w14:paraId="000001DE">
      <w:pPr>
        <w:tabs>
          <w:tab w:val="left" w:leader="none" w:pos="832"/>
          <w:tab w:val="left" w:leader="none" w:pos="6626"/>
        </w:tabs>
        <w:spacing w:before="0" w:lineRule="auto"/>
        <w:ind w:left="232" w:right="0" w:firstLine="0"/>
        <w:jc w:val="left"/>
        <w:rPr>
          <w:sz w:val="24"/>
          <w:szCs w:val="24"/>
        </w:rPr>
      </w:pPr>
      <w:r w:rsidDel="00000000" w:rsidR="00000000" w:rsidRPr="00000000">
        <w:rPr>
          <w:sz w:val="24"/>
          <w:szCs w:val="24"/>
          <w:rtl w:val="0"/>
        </w:rPr>
        <w:t xml:space="preserve">#63</w:t>
        <w:tab/>
        <w:t xml:space="preserve">MeSH descriptor: [Coronary Restenosis] explode all trees</w:t>
        <w:tab/>
        <w:t xml:space="preserve">960</w:t>
      </w:r>
    </w:p>
    <w:p w:rsidR="00000000" w:rsidDel="00000000" w:rsidP="00000000" w:rsidRDefault="00000000" w:rsidRPr="00000000" w14:paraId="000001DF">
      <w:pPr>
        <w:tabs>
          <w:tab w:val="left" w:leader="none" w:pos="832"/>
          <w:tab w:val="left" w:leader="none" w:pos="8321"/>
        </w:tabs>
        <w:spacing w:before="0" w:lineRule="auto"/>
        <w:ind w:left="232" w:right="0" w:firstLine="0"/>
        <w:jc w:val="left"/>
        <w:rPr>
          <w:sz w:val="24"/>
          <w:szCs w:val="24"/>
        </w:rPr>
      </w:pPr>
      <w:r w:rsidDel="00000000" w:rsidR="00000000" w:rsidRPr="00000000">
        <w:rPr>
          <w:sz w:val="24"/>
          <w:szCs w:val="24"/>
          <w:rtl w:val="0"/>
        </w:rPr>
        <w:t xml:space="preserve">#64</w:t>
        <w:tab/>
        <w:t xml:space="preserve">(long-term OR short-term ) NEAR/1 (prognosis OR outcome OR surviv*)</w:t>
        <w:tab/>
        <w:t xml:space="preserve">9413</w:t>
      </w:r>
    </w:p>
    <w:p w:rsidR="00000000" w:rsidDel="00000000" w:rsidP="00000000" w:rsidRDefault="00000000" w:rsidRPr="00000000" w14:paraId="000001E0">
      <w:pPr>
        <w:spacing w:before="0" w:lineRule="auto"/>
        <w:ind w:left="232" w:right="713" w:firstLine="0"/>
        <w:jc w:val="both"/>
        <w:rPr>
          <w:sz w:val="24"/>
          <w:szCs w:val="24"/>
        </w:rPr>
      </w:pPr>
      <w:r w:rsidDel="00000000" w:rsidR="00000000" w:rsidRPr="00000000">
        <w:rPr>
          <w:sz w:val="24"/>
          <w:szCs w:val="24"/>
          <w:rtl w:val="0"/>
        </w:rPr>
        <w:t xml:space="preserve">#65 (cardiovascular OR cardiac OR cerebral OR cerebrovascular OR atherothrombotic OR thrombotic OR ischemic) NEAR/1 (outcome OR endpoint OR end-pont OR complication) 2493</w:t>
      </w:r>
    </w:p>
    <w:p w:rsidR="00000000" w:rsidDel="00000000" w:rsidP="00000000" w:rsidRDefault="00000000" w:rsidRPr="00000000" w14:paraId="000001E1">
      <w:pPr>
        <w:tabs>
          <w:tab w:val="left" w:leader="none" w:pos="832"/>
          <w:tab w:val="left" w:leader="none" w:pos="8180"/>
        </w:tabs>
        <w:spacing w:before="1" w:lineRule="auto"/>
        <w:ind w:left="232" w:right="459" w:firstLine="0"/>
        <w:jc w:val="left"/>
        <w:rPr>
          <w:sz w:val="24"/>
          <w:szCs w:val="24"/>
        </w:rPr>
      </w:pPr>
      <w:r w:rsidDel="00000000" w:rsidR="00000000" w:rsidRPr="00000000">
        <w:rPr>
          <w:sz w:val="24"/>
          <w:szCs w:val="24"/>
          <w:rtl w:val="0"/>
        </w:rPr>
        <w:t xml:space="preserve">#66</w:t>
        <w:tab/>
        <w:t xml:space="preserve">adverse NEAR/1 (cardi* OR cardiac OR cardiovascular OR cardio-vascular) NEAR/1 (cerebr* OR cerebral OR cerebrovascular OR cerebro-vascular) NEAR/1 (event* OR event OR outcome OR outcom* OR endpoint* OR endpoint OR end-pont* OR end-point)</w:t>
        <w:tab/>
        <w:t xml:space="preserve">33</w:t>
      </w:r>
    </w:p>
    <w:p w:rsidR="00000000" w:rsidDel="00000000" w:rsidP="00000000" w:rsidRDefault="00000000" w:rsidRPr="00000000" w14:paraId="000001E2">
      <w:pPr>
        <w:tabs>
          <w:tab w:val="left" w:leader="none" w:pos="832"/>
          <w:tab w:val="left" w:leader="none" w:pos="1046"/>
        </w:tabs>
        <w:spacing w:before="0" w:lineRule="auto"/>
        <w:ind w:left="232" w:right="470" w:firstLine="0"/>
        <w:jc w:val="left"/>
        <w:rPr>
          <w:sz w:val="24"/>
          <w:szCs w:val="24"/>
        </w:rPr>
      </w:pPr>
      <w:r w:rsidDel="00000000" w:rsidR="00000000" w:rsidRPr="00000000">
        <w:rPr>
          <w:sz w:val="24"/>
          <w:szCs w:val="24"/>
          <w:rtl w:val="0"/>
        </w:rPr>
        <w:t xml:space="preserve">#67</w:t>
        <w:tab/>
        <w:t xml:space="preserve">adverse NEAR/1 (cardi* OR cardiac OR cardiovascular OR cardio-vascular) NEAR/1 (event* OR event OR outcome OR outcom* OR endpoint* OR endpoint OR end-pont* OR end- point)</w:t>
        <w:tab/>
        <w:tab/>
        <w:t xml:space="preserve">5835</w:t>
      </w:r>
    </w:p>
    <w:p w:rsidR="00000000" w:rsidDel="00000000" w:rsidP="00000000" w:rsidRDefault="00000000" w:rsidRPr="00000000" w14:paraId="000001E3">
      <w:pPr>
        <w:spacing w:before="0" w:lineRule="auto"/>
        <w:ind w:left="232" w:right="0" w:firstLine="0"/>
        <w:jc w:val="both"/>
        <w:rPr>
          <w:sz w:val="24"/>
          <w:szCs w:val="24"/>
        </w:rPr>
        <w:sectPr>
          <w:headerReference r:id="rId84" w:type="even"/>
          <w:type w:val="nextPage"/>
          <w:pgSz w:h="16840" w:w="11920" w:orient="portrait"/>
          <w:pgMar w:bottom="260" w:top="1040" w:left="900" w:right="1020" w:header="0" w:footer="0"/>
        </w:sectPr>
      </w:pPr>
      <w:r w:rsidDel="00000000" w:rsidR="00000000" w:rsidRPr="00000000">
        <w:rPr>
          <w:sz w:val="24"/>
          <w:szCs w:val="24"/>
          <w:rtl w:val="0"/>
        </w:rPr>
        <w:t xml:space="preserve">#68  MACCE  487</w:t>
      </w:r>
    </w:p>
    <w:p w:rsidR="00000000" w:rsidDel="00000000" w:rsidP="00000000" w:rsidRDefault="00000000" w:rsidRPr="00000000" w14:paraId="000001E4">
      <w:pPr>
        <w:tabs>
          <w:tab w:val="left" w:leader="none" w:pos="832"/>
          <w:tab w:val="left" w:leader="none" w:pos="3239"/>
        </w:tabs>
        <w:spacing w:before="66" w:lineRule="auto"/>
        <w:ind w:left="232" w:right="139" w:firstLine="0"/>
        <w:jc w:val="left"/>
        <w:rPr>
          <w:sz w:val="24"/>
          <w:szCs w:val="24"/>
        </w:rPr>
      </w:pPr>
      <w:r w:rsidDel="00000000" w:rsidR="00000000" w:rsidRPr="00000000">
        <w:rPr>
          <w:sz w:val="24"/>
          <w:szCs w:val="24"/>
          <w:rtl w:val="0"/>
        </w:rPr>
        <w:t xml:space="preserve">#69</w:t>
        <w:tab/>
        <w:t xml:space="preserve">(cardiovascular OR cardio-vascular OR cardiac OR cerebral OR cerebrovascular OR cerebro- vascular OR atherothromb* OR atherothrombotic OR athero-thromb* OR thromb* OR thrombotic OR ischemic) NEAR/2 risk</w:t>
        <w:tab/>
        <w:t xml:space="preserve">27633</w:t>
      </w:r>
    </w:p>
    <w:p w:rsidR="00000000" w:rsidDel="00000000" w:rsidP="00000000" w:rsidRDefault="00000000" w:rsidRPr="00000000" w14:paraId="000001E5">
      <w:pPr>
        <w:tabs>
          <w:tab w:val="left" w:leader="none" w:pos="832"/>
          <w:tab w:val="left" w:leader="none" w:pos="3456"/>
        </w:tabs>
        <w:spacing w:before="1" w:lineRule="auto"/>
        <w:ind w:left="232" w:right="139" w:firstLine="0"/>
        <w:jc w:val="left"/>
        <w:rPr>
          <w:sz w:val="24"/>
          <w:szCs w:val="24"/>
        </w:rPr>
      </w:pPr>
      <w:r w:rsidDel="00000000" w:rsidR="00000000" w:rsidRPr="00000000">
        <w:rPr>
          <w:sz w:val="24"/>
          <w:szCs w:val="24"/>
          <w:rtl w:val="0"/>
        </w:rPr>
        <w:t xml:space="preserve">#70</w:t>
        <w:tab/>
        <w:t xml:space="preserve">(cardiovascular OR cardio-vascular OR cardiac OR cerebral OR cerebrovascular OR cerebro- vascular OR atherothromb* OR atherothrombotic OR athero-thromb* OR thromb* OR thrombotic OR ischemic) NEAR/2 death</w:t>
        <w:tab/>
        <w:t xml:space="preserve">9437</w:t>
      </w:r>
    </w:p>
    <w:p w:rsidR="00000000" w:rsidDel="00000000" w:rsidP="00000000" w:rsidRDefault="00000000" w:rsidRPr="00000000" w14:paraId="000001E6">
      <w:pPr>
        <w:tabs>
          <w:tab w:val="left" w:leader="none" w:pos="832"/>
          <w:tab w:val="left" w:leader="none" w:pos="7209"/>
        </w:tabs>
        <w:spacing w:before="0" w:lineRule="auto"/>
        <w:ind w:left="232" w:right="0" w:firstLine="0"/>
        <w:jc w:val="left"/>
        <w:rPr>
          <w:sz w:val="24"/>
          <w:szCs w:val="24"/>
        </w:rPr>
      </w:pPr>
      <w:r w:rsidDel="00000000" w:rsidR="00000000" w:rsidRPr="00000000">
        <w:rPr>
          <w:sz w:val="24"/>
          <w:szCs w:val="24"/>
          <w:rtl w:val="0"/>
        </w:rPr>
        <w:t xml:space="preserve">#71</w:t>
        <w:tab/>
        <w:t xml:space="preserve">revascularization NEAR ("target vessel*" OR "target lesion*")</w:t>
        <w:tab/>
        <w:t xml:space="preserve">2906</w:t>
      </w:r>
    </w:p>
    <w:p w:rsidR="00000000" w:rsidDel="00000000" w:rsidP="00000000" w:rsidRDefault="00000000" w:rsidRPr="00000000" w14:paraId="000001E7">
      <w:pPr>
        <w:tabs>
          <w:tab w:val="left" w:leader="none" w:pos="832"/>
        </w:tabs>
        <w:spacing w:before="0" w:lineRule="auto"/>
        <w:ind w:left="232" w:right="0" w:firstLine="0"/>
        <w:jc w:val="left"/>
        <w:rPr>
          <w:sz w:val="24"/>
          <w:szCs w:val="24"/>
        </w:rPr>
      </w:pPr>
      <w:r w:rsidDel="00000000" w:rsidR="00000000" w:rsidRPr="00000000">
        <w:rPr>
          <w:sz w:val="24"/>
          <w:szCs w:val="24"/>
          <w:rtl w:val="0"/>
        </w:rPr>
        <w:t xml:space="preserve">#72</w:t>
        <w:tab/>
        <w:t xml:space="preserve">#41 OR #42 OR #43 OR #44 OR #45 OR #46 OR #47 OR #48 OR #49 OR #50 OR #51 OR</w:t>
      </w:r>
    </w:p>
    <w:p w:rsidR="00000000" w:rsidDel="00000000" w:rsidP="00000000" w:rsidRDefault="00000000" w:rsidRPr="00000000" w14:paraId="000001E8">
      <w:pPr>
        <w:spacing w:before="0" w:lineRule="auto"/>
        <w:ind w:left="232" w:right="0" w:firstLine="0"/>
        <w:jc w:val="left"/>
        <w:rPr>
          <w:sz w:val="24"/>
          <w:szCs w:val="24"/>
        </w:rPr>
      </w:pPr>
      <w:r w:rsidDel="00000000" w:rsidR="00000000" w:rsidRPr="00000000">
        <w:rPr>
          <w:sz w:val="24"/>
          <w:szCs w:val="24"/>
          <w:rtl w:val="0"/>
        </w:rPr>
        <w:t xml:space="preserve">#52 OR #53 OR #54 OR #55 OR #56 OR #57 OR #58 OR #59 OR #60 OR #61 OR #62 OR #63</w:t>
      </w:r>
    </w:p>
    <w:p w:rsidR="00000000" w:rsidDel="00000000" w:rsidP="00000000" w:rsidRDefault="00000000" w:rsidRPr="00000000" w14:paraId="000001E9">
      <w:pPr>
        <w:tabs>
          <w:tab w:val="left" w:leader="none" w:pos="6920"/>
        </w:tabs>
        <w:spacing w:before="0" w:lineRule="auto"/>
        <w:ind w:left="232" w:right="0" w:firstLine="0"/>
        <w:jc w:val="left"/>
        <w:rPr>
          <w:sz w:val="24"/>
          <w:szCs w:val="24"/>
        </w:rPr>
      </w:pPr>
      <w:r w:rsidDel="00000000" w:rsidR="00000000" w:rsidRPr="00000000">
        <w:rPr>
          <w:sz w:val="24"/>
          <w:szCs w:val="24"/>
          <w:rtl w:val="0"/>
        </w:rPr>
        <w:t xml:space="preserve">OR #64 OR #65 OR #66 OR #67 OR #68 OR #69 OR #70 OR #71</w:t>
        <w:tab/>
        <w:t xml:space="preserve">320077</w:t>
      </w:r>
    </w:p>
    <w:p w:rsidR="00000000" w:rsidDel="00000000" w:rsidP="00000000" w:rsidRDefault="00000000" w:rsidRPr="00000000" w14:paraId="000001EA">
      <w:pPr>
        <w:tabs>
          <w:tab w:val="left" w:leader="none" w:pos="832"/>
          <w:tab w:val="left" w:leader="none" w:pos="3405"/>
        </w:tabs>
        <w:spacing w:before="0" w:lineRule="auto"/>
        <w:ind w:left="232" w:right="0" w:firstLine="0"/>
        <w:jc w:val="left"/>
        <w:rPr>
          <w:sz w:val="24"/>
          <w:szCs w:val="24"/>
        </w:rPr>
      </w:pPr>
      <w:r w:rsidDel="00000000" w:rsidR="00000000" w:rsidRPr="00000000">
        <w:rPr>
          <w:sz w:val="24"/>
          <w:szCs w:val="24"/>
          <w:rtl w:val="0"/>
        </w:rPr>
        <w:t xml:space="preserve">#73</w:t>
        <w:tab/>
        <w:t xml:space="preserve">#23 AND #40 AND #72</w:t>
        <w:tab/>
        <w:t xml:space="preserve">544</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spacing w:before="1" w:line="274" w:lineRule="auto"/>
        <w:ind w:left="116" w:right="0" w:firstLine="0"/>
        <w:jc w:val="center"/>
        <w:rPr>
          <w:b w:val="1"/>
          <w:sz w:val="24"/>
          <w:szCs w:val="24"/>
        </w:rPr>
      </w:pPr>
      <w:r w:rsidDel="00000000" w:rsidR="00000000" w:rsidRPr="00000000">
        <w:rPr>
          <w:b w:val="1"/>
          <w:sz w:val="24"/>
          <w:szCs w:val="24"/>
          <w:rtl w:val="0"/>
        </w:rPr>
        <w:t xml:space="preserve">Supplementary Tables.</w:t>
      </w:r>
    </w:p>
    <w:p w:rsidR="00000000" w:rsidDel="00000000" w:rsidP="00000000" w:rsidRDefault="00000000" w:rsidRPr="00000000" w14:paraId="000001EE">
      <w:pPr>
        <w:spacing w:before="0" w:line="274" w:lineRule="auto"/>
        <w:ind w:left="232" w:right="0" w:firstLine="0"/>
        <w:jc w:val="left"/>
        <w:rPr>
          <w:sz w:val="24"/>
          <w:szCs w:val="24"/>
        </w:rPr>
      </w:pPr>
      <w:r w:rsidDel="00000000" w:rsidR="00000000" w:rsidRPr="00000000">
        <w:rPr>
          <w:b w:val="1"/>
          <w:sz w:val="24"/>
          <w:szCs w:val="24"/>
          <w:rtl w:val="0"/>
        </w:rPr>
        <w:t xml:space="preserve">Supplementary Table 1. </w:t>
      </w:r>
      <w:r w:rsidDel="00000000" w:rsidR="00000000" w:rsidRPr="00000000">
        <w:rPr>
          <w:sz w:val="24"/>
          <w:szCs w:val="24"/>
          <w:rtl w:val="0"/>
        </w:rPr>
        <w:t xml:space="preserve">Additional sources.</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618.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4"/>
        <w:gridCol w:w="1340"/>
        <w:gridCol w:w="2041"/>
        <w:gridCol w:w="1143"/>
        <w:tblGridChange w:id="0">
          <w:tblGrid>
            <w:gridCol w:w="5094"/>
            <w:gridCol w:w="1340"/>
            <w:gridCol w:w="2041"/>
            <w:gridCol w:w="1143"/>
          </w:tblGrid>
        </w:tblGridChange>
      </w:tblGrid>
      <w:tr>
        <w:trPr>
          <w:cantSplit w:val="0"/>
          <w:trHeight w:val="551" w:hRule="atLeast"/>
          <w:tblHeader w:val="0"/>
        </w:trPr>
        <w:tc>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search</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p>
        </w:tc>
        <w:tc>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Search strategy</w:t>
            </w:r>
          </w:p>
        </w:tc>
        <w:tc>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results</w:t>
            </w:r>
          </w:p>
        </w:tc>
      </w:tr>
      <w:tr>
        <w:trPr>
          <w:cantSplit w:val="0"/>
          <w:trHeight w:val="438" w:hRule="atLeast"/>
          <w:tblHeader w:val="0"/>
        </w:trPr>
        <w:tc>
          <w:tcPr>
            <w:gridSpan w:val="4"/>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Registries</w:t>
            </w:r>
          </w:p>
        </w:tc>
      </w:tr>
      <w:tr>
        <w:trPr>
          <w:cantSplit w:val="0"/>
          <w:trHeight w:val="3313" w:hRule="atLeast"/>
          <w:tblHeader w:val="0"/>
        </w:trPr>
        <w:tc>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ClinicalTrials.gov, </w:t>
            </w:r>
            <w:hyperlink r:id="rId8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https://clinicaltrials.gov/</w:t>
              </w:r>
            </w:hyperlink>
            <w:r w:rsidDel="00000000" w:rsidR="00000000" w:rsidRPr="00000000">
              <w:rPr>
                <w:rtl w:val="0"/>
              </w:rPr>
            </w:r>
          </w:p>
        </w:tc>
        <w:tc>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26/06/2021</w:t>
            </w:r>
          </w:p>
        </w:tc>
        <w:tc>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 OR "Platelet Size" OR "Large Platelet" OR "Platelet Volume") AND ("Acute Coronary Syndrome" OR "Myocardial Infarction" OR "Unstable</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angina")</w:t>
            </w:r>
          </w:p>
        </w:tc>
        <w:tc>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rHeight w:val="827" w:hRule="atLeast"/>
          <w:tblHeader w:val="0"/>
        </w:trPr>
        <w:tc>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Australian New Zealand Clinical Trials Registry,</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https://www.anzctr.org.au/</w:t>
              </w:r>
            </w:hyperlink>
            <w:r w:rsidDel="00000000" w:rsidR="00000000" w:rsidRPr="00000000">
              <w:rPr>
                <w:rtl w:val="0"/>
              </w:rPr>
            </w:r>
          </w:p>
        </w:tc>
        <w:tc>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26/06/2021</w:t>
            </w:r>
          </w:p>
        </w:tc>
        <w:tc>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AND “Coronary Artery</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disease”</w:t>
            </w:r>
          </w:p>
        </w:tc>
        <w:tc>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827" w:hRule="atLeast"/>
          <w:tblHeader w:val="0"/>
        </w:trPr>
        <w:tc>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Chinese Clinical Trial Registry, </w:t>
            </w:r>
            <w:hyperlink r:id="rId8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http://www.chictr.org.cn/abouten.aspx</w:t>
              </w:r>
            </w:hyperlink>
            <w:r w:rsidDel="00000000" w:rsidR="00000000" w:rsidRPr="00000000">
              <w:rPr>
                <w:rtl w:val="0"/>
              </w:rPr>
            </w:r>
          </w:p>
        </w:tc>
        <w:tc>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26/06/2021</w:t>
            </w:r>
          </w:p>
        </w:tc>
        <w:tc>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6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Filter: cohort studies</w:t>
            </w:r>
          </w:p>
        </w:tc>
        <w:tc>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rHeight w:val="829" w:hRule="atLeast"/>
          <w:tblHeader w:val="0"/>
        </w:trPr>
        <w:tc>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European Union Clinical Trials Register, </w:t>
            </w:r>
            <w:hyperlink r:id="rId8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https://www.clinicaltrialsregister.eu/</w:t>
              </w:r>
            </w:hyperlink>
            <w:r w:rsidDel="00000000" w:rsidR="00000000" w:rsidRPr="00000000">
              <w:rPr>
                <w:rtl w:val="0"/>
              </w:rPr>
            </w:r>
          </w:p>
        </w:tc>
        <w:tc>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AND "acute coronary</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syndrome"</w:t>
            </w:r>
          </w:p>
        </w:tc>
        <w:tc>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r>
      <w:tr>
        <w:trPr>
          <w:cantSplit w:val="0"/>
          <w:trHeight w:val="1655" w:hRule="atLeast"/>
          <w:tblHeader w:val="0"/>
        </w:trPr>
        <w:tc>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German Clinical Trial Registry, </w:t>
            </w:r>
            <w:hyperlink r:id="rId8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https://www.drks.de/</w:t>
              </w:r>
            </w:hyperlink>
            <w:r w:rsidDel="00000000" w:rsidR="00000000" w:rsidRPr="00000000">
              <w:rPr>
                <w:rtl w:val="0"/>
              </w:rPr>
            </w:r>
          </w:p>
        </w:tc>
        <w:tc>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AND "Acute coronary syndrome" Platelet AND</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8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Myocardial infarction</w:t>
            </w:r>
          </w:p>
        </w:tc>
        <w:tc>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r>
      <w:tr>
        <w:trPr>
          <w:cantSplit w:val="0"/>
          <w:trHeight w:val="827" w:hRule="atLeast"/>
          <w:tblHeader w:val="0"/>
        </w:trPr>
        <w:tc>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Japan Primary Registries Network, </w:t>
            </w:r>
            <w:hyperlink r:id="rId9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https://rctportal.niph.go.jp/</w:t>
              </w:r>
            </w:hyperlink>
            <w:r w:rsidDel="00000000" w:rsidR="00000000" w:rsidRPr="00000000">
              <w:rPr>
                <w:rtl w:val="0"/>
              </w:rPr>
            </w:r>
          </w:p>
        </w:tc>
        <w:tc>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myocardial</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infarction AND platelet</w:t>
            </w:r>
          </w:p>
        </w:tc>
        <w:tc>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53" w:hRule="atLeast"/>
          <w:tblHeader w:val="0"/>
        </w:trPr>
        <w:tc>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Clinical Research Information Service, Republic</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Korea,</w:t>
            </w:r>
          </w:p>
        </w:tc>
        <w:tc>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Filter:</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disease of the</w:t>
            </w:r>
          </w:p>
        </w:tc>
        <w:tc>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r>
    </w:tbl>
    <w:p w:rsidR="00000000" w:rsidDel="00000000" w:rsidP="00000000" w:rsidRDefault="00000000" w:rsidRPr="00000000" w14:paraId="0000021E">
      <w:pPr>
        <w:spacing w:after="0" w:line="270" w:lineRule="auto"/>
        <w:ind w:firstLine="0"/>
        <w:rPr>
          <w:sz w:val="24"/>
          <w:szCs w:val="24"/>
        </w:rPr>
        <w:sectPr>
          <w:headerReference r:id="rId91" w:type="default"/>
          <w:footerReference r:id="rId92" w:type="default"/>
          <w:footerReference r:id="rId93" w:type="even"/>
          <w:type w:val="nextPage"/>
          <w:pgSz w:h="16840" w:w="11920" w:orient="portrait"/>
          <w:pgMar w:bottom="260" w:top="1040" w:left="900" w:right="1020" w:header="0" w:footer="71"/>
          <w:pgNumType w:start="11"/>
        </w:sect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
        <w:tblW w:w="9618.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4"/>
        <w:gridCol w:w="1340"/>
        <w:gridCol w:w="2041"/>
        <w:gridCol w:w="1143"/>
        <w:tblGridChange w:id="0">
          <w:tblGrid>
            <w:gridCol w:w="5094"/>
            <w:gridCol w:w="1340"/>
            <w:gridCol w:w="2041"/>
            <w:gridCol w:w="1143"/>
          </w:tblGrid>
        </w:tblGridChange>
      </w:tblGrid>
      <w:tr>
        <w:trPr>
          <w:cantSplit w:val="0"/>
          <w:trHeight w:val="277" w:hRule="atLeast"/>
          <w:tblHeader w:val="0"/>
        </w:trPr>
        <w:tc>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https://cris.nih.go.kr/cris/</w:t>
              </w:r>
            </w:hyperlink>
            <w:r w:rsidDel="00000000" w:rsidR="00000000" w:rsidRPr="00000000">
              <w:rPr>
                <w:rtl w:val="0"/>
              </w:rPr>
            </w:r>
          </w:p>
        </w:tc>
        <w:tc>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circulatory system</w:t>
            </w:r>
          </w:p>
        </w:tc>
        <w:tc>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655" w:hRule="atLeast"/>
          <w:tblHeader w:val="0"/>
        </w:trPr>
        <w:tc>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Iranian Registry of Clinical Trials, </w:t>
            </w:r>
            <w:hyperlink r:id="rId9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https://www.irct.ir/</w:t>
              </w:r>
            </w:hyperlink>
            <w:r w:rsidDel="00000000" w:rsidR="00000000" w:rsidRPr="00000000">
              <w:rPr>
                <w:rtl w:val="0"/>
              </w:rPr>
            </w:r>
          </w:p>
        </w:tc>
        <w:tc>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AND "acute coronary syndrome (platelet) AND</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"myocardial infarction"</w:t>
            </w:r>
          </w:p>
        </w:tc>
        <w:tc>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r>
      <w:tr>
        <w:trPr>
          <w:cantSplit w:val="0"/>
          <w:trHeight w:val="1379" w:hRule="atLeast"/>
          <w:tblHeader w:val="0"/>
        </w:trPr>
        <w:tc>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Peruvian Clinical Trial Registry, </w:t>
            </w:r>
            <w:hyperlink r:id="rId9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https://ensayosclinicos-repec.ins.gob.pe/en/</w:t>
              </w:r>
            </w:hyperlink>
            <w:r w:rsidDel="00000000" w:rsidR="00000000" w:rsidRPr="00000000">
              <w:rPr>
                <w:rtl w:val="0"/>
              </w:rPr>
            </w:r>
          </w:p>
        </w:tc>
        <w:tc>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3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 cardiology “myocardial infarction” “acute coronary</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syndrome”</w:t>
            </w:r>
          </w:p>
        </w:tc>
        <w:tc>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rHeight w:val="1934" w:hRule="atLeast"/>
          <w:tblHeader w:val="0"/>
        </w:trPr>
        <w:tc>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Brazilian Registry of Clinical Trials, </w:t>
            </w:r>
            <w:hyperlink r:id="rId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http://www.ensaiosclinicos.gov.br/</w:t>
              </w:r>
            </w:hyperlink>
            <w:r w:rsidDel="00000000" w:rsidR="00000000" w:rsidRPr="00000000">
              <w:rPr>
                <w:rtl w:val="0"/>
              </w:rPr>
            </w:r>
          </w:p>
        </w:tc>
        <w:tc>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AND myocardial infarction; platelet AND acute coronary syndrome</w:t>
            </w:r>
          </w:p>
        </w:tc>
        <w:tc>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827" w:hRule="atLeast"/>
          <w:tblHeader w:val="0"/>
        </w:trPr>
        <w:tc>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Clinical Trials Registry-India, </w:t>
            </w:r>
            <w:hyperlink r:id="rId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https://ctri.icmr.org.in/</w:t>
              </w:r>
            </w:hyperlink>
            <w:r w:rsidDel="00000000" w:rsidR="00000000" w:rsidRPr="00000000">
              <w:rPr>
                <w:rtl w:val="0"/>
              </w:rPr>
            </w:r>
          </w:p>
        </w:tc>
        <w:tc>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acute coronary syndrome</w:t>
            </w:r>
          </w:p>
        </w:tc>
        <w:tc>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r>
      <w:tr>
        <w:trPr>
          <w:cantSplit w:val="0"/>
          <w:trHeight w:val="827" w:hRule="atLeast"/>
          <w:tblHeader w:val="0"/>
        </w:trPr>
        <w:tc>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Standard Randomised Controlled Trial Number registry,</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https://www.isrctn.com/</w:t>
              </w:r>
            </w:hyperlink>
            <w:r w:rsidDel="00000000" w:rsidR="00000000" w:rsidRPr="00000000">
              <w:rPr>
                <w:rtl w:val="0"/>
              </w:rPr>
            </w:r>
          </w:p>
        </w:tc>
        <w:tc>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27/06/2021</w:t>
            </w:r>
          </w:p>
        </w:tc>
        <w:tc>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 Circulatory System</w:t>
            </w:r>
          </w:p>
        </w:tc>
        <w:tc>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r>
      <w:tr>
        <w:trPr>
          <w:cantSplit w:val="0"/>
          <w:trHeight w:val="440" w:hRule="atLeast"/>
          <w:tblHeader w:val="0"/>
        </w:trPr>
        <w:tc>
          <w:tcPr>
            <w:gridSpan w:val="4"/>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Journal websites</w:t>
            </w:r>
          </w:p>
        </w:tc>
      </w:tr>
      <w:tr>
        <w:trPr>
          <w:cantSplit w:val="0"/>
          <w:trHeight w:val="6900" w:hRule="atLeast"/>
          <w:tblHeader w:val="0"/>
        </w:trPr>
        <w:tc>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and Francis journals, </w:t>
            </w:r>
            <w:hyperlink r:id="rId1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https://www.tandfonline.com/</w:t>
              </w:r>
            </w:hyperlink>
            <w:r w:rsidDel="00000000" w:rsidR="00000000" w:rsidRPr="00000000">
              <w:rPr>
                <w:rtl w:val="0"/>
              </w:rPr>
            </w:r>
          </w:p>
        </w:tc>
        <w:tc>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28/06/2021</w:t>
            </w:r>
          </w:p>
        </w:tc>
        <w:tc>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"mean platelet volume"] AND [All: "acute coronary syndrome"] Journals: </w:t>
            </w:r>
            <w:hyperlink r:id="rId10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Platelets (48)</w:t>
              </w:r>
            </w:hyperlink>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5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Acta Cardiologica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Scandinavian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Cardiovascular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Journal (5)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 Review of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Hematology (4)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Journal of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Neuroscience (3)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Acta Clinica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Belgica (2)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Annals of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Medicine (2)</w:t>
              </w:r>
            </w:hyperlink>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Biomarkers (2)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 Opinion 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Pharmacotherapy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r w:rsidDel="00000000" w:rsidR="00000000" w:rsidRPr="00000000">
              <w:rPr>
                <w:rtl w:val="0"/>
              </w:rPr>
            </w:r>
          </w:p>
        </w:tc>
        <w:tc>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p>
        </w:tc>
      </w:tr>
    </w:tbl>
    <w:p w:rsidR="00000000" w:rsidDel="00000000" w:rsidP="00000000" w:rsidRDefault="00000000" w:rsidRPr="00000000" w14:paraId="00000247">
      <w:pPr>
        <w:spacing w:after="0" w:line="268" w:lineRule="auto"/>
        <w:ind w:firstLine="0"/>
        <w:rPr>
          <w:sz w:val="24"/>
          <w:szCs w:val="24"/>
        </w:rPr>
        <w:sectPr>
          <w:headerReference r:id="rId120" w:type="even"/>
          <w:type w:val="nextPage"/>
          <w:pgSz w:h="16840" w:w="11920" w:orient="portrait"/>
          <w:pgMar w:bottom="260" w:top="1100" w:left="900" w:right="1020" w:header="0" w:footer="0"/>
        </w:sect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3"/>
        <w:tblW w:w="9618.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4"/>
        <w:gridCol w:w="1340"/>
        <w:gridCol w:w="2041"/>
        <w:gridCol w:w="1143"/>
        <w:tblGridChange w:id="0">
          <w:tblGrid>
            <w:gridCol w:w="5094"/>
            <w:gridCol w:w="1340"/>
            <w:gridCol w:w="2041"/>
            <w:gridCol w:w="1143"/>
          </w:tblGrid>
        </w:tblGridChange>
      </w:tblGrid>
      <w:tr>
        <w:trPr>
          <w:cantSplit w:val="0"/>
          <w:trHeight w:val="829" w:hRule="atLeast"/>
          <w:tblHeader w:val="0"/>
        </w:trPr>
        <w:tc>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 Review of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Cardiovascular</w:t>
              </w:r>
            </w:hyperlink>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Therapy (2)</w:t>
              </w:r>
            </w:hyperlink>
            <w:r w:rsidDel="00000000" w:rsidR="00000000" w:rsidRPr="00000000">
              <w:rPr>
                <w:rtl w:val="0"/>
              </w:rPr>
            </w:r>
          </w:p>
        </w:tc>
        <w:tc>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3" w:hRule="atLeast"/>
          <w:tblHeader w:val="0"/>
        </w:trPr>
        <w:tc>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 journals, </w:t>
            </w:r>
            <w:hyperlink r:id="rId1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https://www.nature.com/</w:t>
              </w:r>
            </w:hyperlink>
            <w:r w:rsidDel="00000000" w:rsidR="00000000" w:rsidRPr="00000000">
              <w:rPr>
                <w:rtl w:val="0"/>
              </w:rPr>
            </w:r>
          </w:p>
        </w:tc>
        <w:tc>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20/06/2021</w:t>
            </w:r>
          </w:p>
        </w:tc>
        <w:tc>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 AND "acute coronary syndrome"</w:t>
            </w:r>
          </w:p>
        </w:tc>
        <w:tc>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rPr>
          <w:cantSplit w:val="0"/>
          <w:trHeight w:val="1931" w:hRule="atLeast"/>
          <w:tblHeader w:val="0"/>
        </w:trPr>
        <w:tc>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PLOS ONE journal, </w:t>
            </w:r>
            <w:hyperlink r:id="rId1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https://journals.plos.org/plosone/</w:t>
              </w:r>
            </w:hyperlink>
            <w:r w:rsidDel="00000000" w:rsidR="00000000" w:rsidRPr="00000000">
              <w:rPr>
                <w:rtl w:val="0"/>
              </w:rPr>
            </w:r>
          </w:p>
        </w:tc>
        <w:tc>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28/06/2021</w:t>
            </w:r>
          </w:p>
        </w:tc>
        <w:tc>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(title:""mean platelet volume"") AND title:""acute coronary syndrome"" filters: PLOS</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w:t>
            </w:r>
          </w:p>
        </w:tc>
        <w:tc>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100 sorted by relevance</w:t>
            </w:r>
          </w:p>
        </w:tc>
      </w:tr>
      <w:tr>
        <w:trPr>
          <w:cantSplit w:val="0"/>
          <w:trHeight w:val="1934" w:hRule="atLeast"/>
          <w:tblHeader w:val="0"/>
        </w:trPr>
        <w:tc>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Angiology Journal, </w:t>
            </w:r>
            <w:hyperlink r:id="rId1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https://journals.sagepub.com/</w:t>
              </w:r>
            </w:hyperlink>
            <w:r w:rsidDel="00000000" w:rsidR="00000000" w:rsidRPr="00000000">
              <w:rPr>
                <w:rtl w:val="0"/>
              </w:rPr>
            </w:r>
          </w:p>
        </w:tc>
        <w:tc>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28/06/2021</w:t>
            </w:r>
          </w:p>
        </w:tc>
        <w:tc>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Filters: Angiology, Research Article, Cardiology and Cardiovascular Medicine</w:t>
            </w:r>
          </w:p>
        </w:tc>
        <w:tc>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w:t>
            </w:r>
          </w:p>
        </w:tc>
      </w:tr>
      <w:tr>
        <w:trPr>
          <w:cantSplit w:val="0"/>
          <w:trHeight w:val="1103" w:hRule="atLeast"/>
          <w:tblHeader w:val="0"/>
        </w:trPr>
        <w:tc>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American Journal of Cardiology, </w:t>
            </w:r>
            <w:hyperlink r:id="rId1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https://www.ajconline.org/</w:t>
              </w:r>
            </w:hyperlink>
            <w:r w:rsidDel="00000000" w:rsidR="00000000" w:rsidRPr="00000000">
              <w:rPr>
                <w:rtl w:val="0"/>
              </w:rPr>
            </w:r>
          </w:p>
        </w:tc>
        <w:tc>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28/06/2021</w:t>
            </w:r>
          </w:p>
        </w:tc>
        <w:tc>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Filters: Research Article</w:t>
            </w:r>
          </w:p>
        </w:tc>
        <w:tc>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r>
      <w:tr>
        <w:trPr>
          <w:cantSplit w:val="0"/>
          <w:trHeight w:val="1102" w:hRule="atLeast"/>
          <w:tblHeader w:val="0"/>
        </w:trPr>
        <w:tc>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Atherosclerosis, </w:t>
            </w:r>
            <w:hyperlink r:id="rId1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https://www.atherosclerosis-journal.com/</w:t>
              </w:r>
            </w:hyperlink>
            <w:r w:rsidDel="00000000" w:rsidR="00000000" w:rsidRPr="00000000">
              <w:rPr>
                <w:rtl w:val="0"/>
              </w:rPr>
            </w:r>
          </w:p>
        </w:tc>
        <w:tc>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29/06/2021</w:t>
            </w:r>
          </w:p>
        </w:tc>
        <w:tc>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Filters: Research Article</w:t>
            </w:r>
          </w:p>
        </w:tc>
        <w:tc>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r>
      <w:tr>
        <w:trPr>
          <w:cantSplit w:val="0"/>
          <w:trHeight w:val="1104" w:hRule="atLeast"/>
          <w:tblHeader w:val="0"/>
        </w:trPr>
        <w:tc>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International Journal of Cardiology, </w:t>
            </w:r>
            <w:hyperlink r:id="rId1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https://www.internationaljournalofcardiology.com/</w:t>
              </w:r>
            </w:hyperlink>
            <w:r w:rsidDel="00000000" w:rsidR="00000000" w:rsidRPr="00000000">
              <w:rPr>
                <w:rtl w:val="0"/>
              </w:rPr>
            </w:r>
          </w:p>
        </w:tc>
        <w:tc>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29/06/2021</w:t>
            </w:r>
          </w:p>
        </w:tc>
        <w:tc>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Filters: Research Article</w:t>
            </w:r>
          </w:p>
        </w:tc>
        <w:tc>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r>
      <w:tr>
        <w:trPr>
          <w:cantSplit w:val="0"/>
          <w:trHeight w:val="1379" w:hRule="atLeast"/>
          <w:tblHeader w:val="0"/>
        </w:trPr>
        <w:tc>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Coagulation and Fibrinolysis, </w:t>
            </w:r>
            <w:hyperlink r:id="rId1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https://journals.lww.com/bloodcoagulation/</w:t>
              </w:r>
            </w:hyperlink>
            <w:r w:rsidDel="00000000" w:rsidR="00000000" w:rsidRPr="00000000">
              <w:rPr>
                <w:rtl w:val="0"/>
              </w:rPr>
            </w:r>
          </w:p>
        </w:tc>
        <w:tc>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29/06/2021</w:t>
            </w:r>
          </w:p>
        </w:tc>
        <w:tc>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 AND "acute coronary syndrome"</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Filters: Articles</w:t>
            </w:r>
          </w:p>
        </w:tc>
        <w:tc>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rHeight w:val="1103" w:hRule="atLeast"/>
          <w:tblHeader w:val="0"/>
        </w:trPr>
        <w:tc>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Journals of American College of Cardiology, </w:t>
            </w:r>
            <w:hyperlink r:id="rId1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https://www.jacc.org</w:t>
              </w:r>
            </w:hyperlink>
            <w:r w:rsidDel="00000000" w:rsidR="00000000" w:rsidRPr="00000000">
              <w:rPr>
                <w:rtl w:val="0"/>
              </w:rPr>
            </w:r>
          </w:p>
        </w:tc>
        <w:tc>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29/06/2021</w:t>
            </w:r>
          </w:p>
        </w:tc>
        <w:tc>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 Filters: Original</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w:t>
            </w:r>
          </w:p>
        </w:tc>
        <w:tc>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rPr>
          <w:cantSplit w:val="0"/>
          <w:trHeight w:val="2485" w:hRule="atLeast"/>
          <w:tblHeader w:val="0"/>
        </w:trPr>
        <w:tc>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Springer journals, </w:t>
            </w:r>
            <w:hyperlink r:id="rId1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https://link.springer.com/</w:t>
              </w:r>
            </w:hyperlink>
            <w:r w:rsidDel="00000000" w:rsidR="00000000" w:rsidRPr="00000000">
              <w:rPr>
                <w:rtl w:val="0"/>
              </w:rPr>
            </w:r>
          </w:p>
        </w:tc>
        <w:tc>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29/06/2021</w:t>
            </w:r>
          </w:p>
        </w:tc>
        <w:tc>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8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acute AND coronary AND syndrome AND "mean platelet volume" Filters: Article, Medicine and</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3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Health, Cardiology</w:t>
            </w:r>
          </w:p>
        </w:tc>
        <w:tc>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tc>
      </w:tr>
    </w:tbl>
    <w:p w:rsidR="00000000" w:rsidDel="00000000" w:rsidP="00000000" w:rsidRDefault="00000000" w:rsidRPr="00000000" w14:paraId="0000027A">
      <w:pPr>
        <w:spacing w:after="0" w:line="268" w:lineRule="auto"/>
        <w:ind w:firstLine="0"/>
        <w:rPr>
          <w:sz w:val="24"/>
          <w:szCs w:val="24"/>
        </w:rPr>
        <w:sectPr>
          <w:headerReference r:id="rId133" w:type="default"/>
          <w:footerReference r:id="rId134" w:type="default"/>
          <w:footerReference r:id="rId135" w:type="even"/>
          <w:type w:val="nextPage"/>
          <w:pgSz w:h="16840" w:w="11920" w:orient="portrait"/>
          <w:pgMar w:bottom="260" w:top="1100" w:left="900" w:right="1020" w:header="0" w:footer="71"/>
          <w:pgNumType w:start="13"/>
        </w:sect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4"/>
        <w:tblW w:w="9618.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4"/>
        <w:gridCol w:w="1340"/>
        <w:gridCol w:w="2041"/>
        <w:gridCol w:w="1143"/>
        <w:tblGridChange w:id="0">
          <w:tblGrid>
            <w:gridCol w:w="5094"/>
            <w:gridCol w:w="1340"/>
            <w:gridCol w:w="2041"/>
            <w:gridCol w:w="1143"/>
          </w:tblGrid>
        </w:tblGridChange>
      </w:tblGrid>
      <w:tr>
        <w:trPr>
          <w:cantSplit w:val="0"/>
          <w:trHeight w:val="1106" w:hRule="atLeast"/>
          <w:tblHeader w:val="0"/>
        </w:trPr>
        <w:tc>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Thrombosis Research, </w:t>
            </w:r>
            <w:hyperlink r:id="rId1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https://www.thrombosisresearch.com</w:t>
              </w:r>
            </w:hyperlink>
            <w:r w:rsidDel="00000000" w:rsidR="00000000" w:rsidRPr="00000000">
              <w:rPr>
                <w:rtl w:val="0"/>
              </w:rPr>
            </w:r>
          </w:p>
        </w:tc>
        <w:tc>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29/06/2021</w:t>
            </w:r>
          </w:p>
        </w:tc>
        <w:tc>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Filters: Research Article</w:t>
            </w:r>
          </w:p>
        </w:tc>
        <w:tc>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w:t>
            </w:r>
          </w:p>
        </w:tc>
      </w:tr>
      <w:tr>
        <w:trPr>
          <w:cantSplit w:val="0"/>
          <w:trHeight w:val="438" w:hRule="atLeast"/>
          <w:tblHeader w:val="0"/>
        </w:trPr>
        <w:tc>
          <w:tcPr>
            <w:gridSpan w:val="4"/>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sources</w:t>
            </w:r>
          </w:p>
        </w:tc>
      </w:tr>
      <w:tr>
        <w:trPr>
          <w:cantSplit w:val="0"/>
          <w:trHeight w:val="1933" w:hRule="atLeast"/>
          <w:tblHeader w:val="0"/>
        </w:trPr>
        <w:tc>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Biomed Explorer, </w:t>
            </w:r>
            <w:hyperlink r:id="rId1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https://sites.research.google/biomedexplorer/</w:t>
              </w:r>
            </w:hyperlink>
            <w:r w:rsidDel="00000000" w:rsidR="00000000" w:rsidRPr="00000000">
              <w:rPr>
                <w:rtl w:val="0"/>
              </w:rPr>
            </w:r>
          </w:p>
        </w:tc>
        <w:tc>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22/06/2021</w:t>
            </w:r>
          </w:p>
        </w:tc>
        <w:tc>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prognostic role of mean platelet volume in acute coronary syndrome?”</w:t>
            </w:r>
          </w:p>
        </w:tc>
        <w:tc>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0"/>
          <w:trHeight w:val="1931" w:hRule="atLeast"/>
          <w:tblHeader w:val="0"/>
        </w:trPr>
        <w:tc>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Dimensions, </w:t>
            </w:r>
            <w:hyperlink r:id="rId1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https://app.dimensions.ai/</w:t>
              </w:r>
            </w:hyperlink>
            <w:r w:rsidDel="00000000" w:rsidR="00000000" w:rsidRPr="00000000">
              <w:rPr>
                <w:rtl w:val="0"/>
              </w:rPr>
            </w:r>
          </w:p>
        </w:tc>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20/06/2021</w:t>
            </w:r>
          </w:p>
        </w:tc>
        <w:tc>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 search:</w:t>
            </w:r>
          </w:p>
          <w:p w:rsidR="00000000" w:rsidDel="00000000" w:rsidP="00000000" w:rsidRDefault="00000000" w:rsidRPr="00000000" w14:paraId="0000028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335" w:right="25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 of Taglieri et al.’s study,</w:t>
            </w:r>
          </w:p>
          <w:p w:rsidR="00000000" w:rsidDel="00000000" w:rsidP="00000000" w:rsidRDefault="00000000" w:rsidRPr="00000000" w14:paraId="0000028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335" w:right="3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 of Osuna et al.’s study.</w:t>
            </w:r>
          </w:p>
        </w:tc>
        <w:tc>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500 sorted by relevance</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500 sorted by relevance</w:t>
            </w:r>
          </w:p>
        </w:tc>
      </w:tr>
      <w:tr>
        <w:trPr>
          <w:cantSplit w:val="0"/>
          <w:trHeight w:val="3863" w:hRule="atLeast"/>
          <w:tblHeader w:val="0"/>
        </w:trPr>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Conferences from the European Society of Cardiology,</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https://esc365.escardio.org/</w:t>
              </w:r>
            </w:hyperlink>
            <w:r w:rsidDel="00000000" w:rsidR="00000000" w:rsidRPr="00000000">
              <w:rPr>
                <w:rtl w:val="0"/>
              </w:rPr>
            </w:r>
          </w:p>
        </w:tc>
        <w:tc>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28/06/2021</w:t>
            </w:r>
          </w:p>
        </w:tc>
        <w:tc>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 Filters: Topic - coronary artery disease, acute coronary</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syndromes, acute cardiac care, interventional cardiology and cardiovascular surgery, preventive</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cardiology</w:t>
            </w:r>
          </w:p>
        </w:tc>
        <w:tc>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r>
      <w:tr>
        <w:trPr>
          <w:cantSplit w:val="0"/>
          <w:trHeight w:val="1103" w:hRule="atLeast"/>
          <w:tblHeader w:val="0"/>
        </w:trPr>
        <w:tc>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Transcatheter Cardiovascular Therapeutics web- portal,</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https://www.tctmd.com/see-all/conference</w:t>
              </w:r>
            </w:hyperlink>
            <w:r w:rsidDel="00000000" w:rsidR="00000000" w:rsidRPr="00000000">
              <w:rPr>
                <w:rtl w:val="0"/>
              </w:rPr>
            </w:r>
          </w:p>
        </w:tc>
        <w:tc>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28/06/2021</w:t>
            </w:r>
          </w:p>
        </w:tc>
        <w:tc>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platelet volume"</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 all conferences</w:t>
            </w:r>
          </w:p>
        </w:tc>
        <w:tc>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1105" w:hRule="atLeast"/>
          <w:tblHeader w:val="0"/>
        </w:trPr>
        <w:tc>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CoCites tool, </w:t>
            </w:r>
            <w:hyperlink r:id="rId1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https://www.cocites.com/</w:t>
              </w:r>
            </w:hyperlink>
            <w:r w:rsidDel="00000000" w:rsidR="00000000" w:rsidRPr="00000000">
              <w:rPr>
                <w:rtl w:val="0"/>
              </w:rPr>
            </w:r>
          </w:p>
        </w:tc>
        <w:tc>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20/06/2021</w:t>
            </w:r>
          </w:p>
        </w:tc>
        <w:tc>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CoCites plugin for web browsers were used for</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PubMed search.</w:t>
            </w:r>
          </w:p>
        </w:tc>
        <w:tc>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1294</w:t>
            </w:r>
          </w:p>
        </w:tc>
      </w:tr>
    </w:tbl>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spacing w:before="0" w:lineRule="auto"/>
        <w:ind w:left="232" w:right="0" w:firstLine="0"/>
        <w:jc w:val="left"/>
        <w:rPr>
          <w:sz w:val="24"/>
          <w:szCs w:val="24"/>
        </w:rPr>
      </w:pPr>
      <w:r w:rsidDel="00000000" w:rsidR="00000000" w:rsidRPr="00000000">
        <w:rPr>
          <w:b w:val="1"/>
          <w:sz w:val="24"/>
          <w:szCs w:val="24"/>
          <w:rtl w:val="0"/>
        </w:rPr>
        <w:t xml:space="preserve">Supplementary Table 2. </w:t>
      </w:r>
      <w:r w:rsidDel="00000000" w:rsidR="00000000" w:rsidRPr="00000000">
        <w:rPr>
          <w:sz w:val="24"/>
          <w:szCs w:val="24"/>
          <w:rtl w:val="0"/>
        </w:rPr>
        <w:t xml:space="preserve">Studies that could be potentially included in the meta-analysis.</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32.0" w:type="dxa"/>
        <w:jc w:val="left"/>
        <w:tblInd w:w="24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87"/>
        <w:gridCol w:w="3798"/>
        <w:gridCol w:w="4247"/>
        <w:tblGridChange w:id="0">
          <w:tblGrid>
            <w:gridCol w:w="1587"/>
            <w:gridCol w:w="3798"/>
            <w:gridCol w:w="4247"/>
          </w:tblGrid>
        </w:tblGridChange>
      </w:tblGrid>
      <w:tr>
        <w:trPr>
          <w:cantSplit w:val="0"/>
          <w:trHeight w:val="551" w:hRule="atLeast"/>
          <w:tblHeader w:val="0"/>
        </w:trPr>
        <w:tc>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w:t>
            </w:r>
          </w:p>
        </w:tc>
        <w:tc>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Citation</w:t>
            </w:r>
          </w:p>
        </w:tc>
        <w:tc>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Reasons for exclusion</w:t>
            </w:r>
          </w:p>
        </w:tc>
      </w:tr>
      <w:tr>
        <w:trPr>
          <w:cantSplit w:val="0"/>
          <w:trHeight w:val="1491" w:hRule="atLeast"/>
          <w:tblHeader w:val="0"/>
        </w:trPr>
        <w:tc>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 AM, 2018</w:t>
            </w:r>
          </w:p>
        </w:tc>
        <w:tc>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 AM, Rizvi AH, Haq A, et al. Prognostic value of blood count parameters in patients with acute</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coronary syndrome. Indian Heart</w:t>
            </w:r>
          </w:p>
        </w:tc>
        <w:tc>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bl>
    <w:p w:rsidR="00000000" w:rsidDel="00000000" w:rsidP="00000000" w:rsidRDefault="00000000" w:rsidRPr="00000000" w14:paraId="000002AE">
      <w:pPr>
        <w:spacing w:after="0" w:lineRule="auto"/>
        <w:ind w:firstLine="0"/>
        <w:rPr>
          <w:sz w:val="24"/>
          <w:szCs w:val="24"/>
        </w:rPr>
        <w:sectPr>
          <w:headerReference r:id="rId142" w:type="even"/>
          <w:type w:val="nextPage"/>
          <w:pgSz w:h="16840" w:w="11920" w:orient="portrait"/>
          <w:pgMar w:bottom="260" w:top="1100" w:left="900" w:right="1020" w:header="0" w:footer="0"/>
        </w:sect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6"/>
        <w:tblW w:w="9632.0" w:type="dxa"/>
        <w:jc w:val="left"/>
        <w:tblInd w:w="24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87"/>
        <w:gridCol w:w="3798"/>
        <w:gridCol w:w="4247"/>
        <w:tblGridChange w:id="0">
          <w:tblGrid>
            <w:gridCol w:w="1587"/>
            <w:gridCol w:w="3798"/>
            <w:gridCol w:w="4247"/>
          </w:tblGrid>
        </w:tblGridChange>
      </w:tblGrid>
      <w:tr>
        <w:trPr>
          <w:cantSplit w:val="0"/>
          <w:trHeight w:val="373" w:hRule="atLeast"/>
          <w:tblHeader w:val="0"/>
        </w:trPr>
        <w:tc>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Journal. 2018;70:233-40.</w:t>
            </w:r>
          </w:p>
        </w:tc>
        <w:tc>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864" w:hRule="atLeast"/>
          <w:tblHeader w:val="0"/>
        </w:trPr>
        <w:tc>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65" w:right="1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Ayca B, 2015</w:t>
            </w:r>
          </w:p>
        </w:tc>
        <w:tc>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Ayça B, Akin F, Çelik Ö, et al. Platelet to lymphocyte ratio as a prognostic marker in primary percutaneous coronary intervention.</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Platelets. 2015;26:638-44.</w:t>
            </w:r>
          </w:p>
        </w:tc>
        <w:tc>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608" w:hRule="atLeast"/>
          <w:tblHeader w:val="0"/>
        </w:trPr>
        <w:tc>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6" w:right="1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Azab B, 2012</w:t>
            </w:r>
          </w:p>
        </w:tc>
        <w:tc>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Azab B, Shah N, Akerman M, McGinn JTJ. Value of platelet/lymphocyte ratio as a predictor of all-cause mortality after non-ST-elevation myocardial infarction. J Thromb Thrombolysis.</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2012;34:326-34.</w:t>
            </w:r>
          </w:p>
        </w:tc>
        <w:tc>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979" w:hRule="atLeast"/>
          <w:tblHeader w:val="0"/>
        </w:trPr>
        <w:tc>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9" w:right="1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Bolat I, 2016</w:t>
            </w:r>
          </w:p>
        </w:tc>
        <w:tc>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Bolat I, Akgul O, Cakmak HA, et al. The prognostic value of admission mean platelet volume to platelet count ratio in patients with ST- segment elevation myocardial infarction undergoing primary percutaneous coronary intervention.</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Kardiol Pol. 2016;74:346-55.</w:t>
            </w:r>
          </w:p>
        </w:tc>
        <w:tc>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980" w:hRule="atLeast"/>
          <w:tblHeader w:val="0"/>
        </w:trPr>
        <w:tc>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67" w:right="1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Celik T, 2015</w:t>
            </w:r>
          </w:p>
        </w:tc>
        <w:tc>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Celik T, Kaya MG, Akpek M, et al. Predictive value of admission platelet volume indices for in- hospital major adverse cardiovascular events in acute ST- segment elevation myocardial infarction. Angiology. 2015;66:155-</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tc>
        <w:tc>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980" w:hRule="atLeast"/>
          <w:tblHeader w:val="0"/>
        </w:trPr>
        <w:tc>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326" w:lineRule="auto"/>
              <w:ind w:left="107" w:right="60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Cicek G, 2015</w:t>
            </w:r>
          </w:p>
        </w:tc>
        <w:tc>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Cicek G, Kundi H, Bozbay M, Yayla C, Uyarel H. The relationship between admission monocyte HDL- C ratio with short-term and long- term mortality among STEMI patients treated with successful primary PCI. Coron Artery Dis.</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2016;27:176-84.</w:t>
            </w:r>
          </w:p>
        </w:tc>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553" w:hRule="atLeast"/>
          <w:tblHeader w:val="0"/>
        </w:trPr>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0" w:right="16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Delgado JR,</w:t>
            </w:r>
          </w:p>
        </w:tc>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Delgado JR , Gordillo M , Rebaza</w:t>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peer-reviewed full-text article was</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found.</w:t>
            </w:r>
          </w:p>
        </w:tc>
      </w:tr>
    </w:tbl>
    <w:p w:rsidR="00000000" w:rsidDel="00000000" w:rsidP="00000000" w:rsidRDefault="00000000" w:rsidRPr="00000000" w14:paraId="000002CB">
      <w:pPr>
        <w:spacing w:after="0" w:line="264" w:lineRule="auto"/>
        <w:ind w:firstLine="0"/>
        <w:rPr>
          <w:sz w:val="24"/>
          <w:szCs w:val="24"/>
        </w:rPr>
        <w:sectPr>
          <w:headerReference r:id="rId143" w:type="default"/>
          <w:footerReference r:id="rId144" w:type="default"/>
          <w:footerReference r:id="rId145" w:type="even"/>
          <w:type w:val="nextPage"/>
          <w:pgSz w:h="16840" w:w="11920" w:orient="portrait"/>
          <w:pgMar w:bottom="260" w:top="1100" w:left="900" w:right="1020" w:header="0" w:footer="71"/>
          <w:pgNumType w:start="15"/>
        </w:sect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7"/>
        <w:tblW w:w="9632.0" w:type="dxa"/>
        <w:jc w:val="left"/>
        <w:tblInd w:w="24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87"/>
        <w:gridCol w:w="3798"/>
        <w:gridCol w:w="4247"/>
        <w:tblGridChange w:id="0">
          <w:tblGrid>
            <w:gridCol w:w="1587"/>
            <w:gridCol w:w="3798"/>
            <w:gridCol w:w="4247"/>
          </w:tblGrid>
        </w:tblGridChange>
      </w:tblGrid>
      <w:tr>
        <w:trPr>
          <w:cantSplit w:val="0"/>
          <w:trHeight w:val="2608" w:hRule="atLeast"/>
          <w:tblHeader w:val="0"/>
        </w:trPr>
        <w:tc>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w:t>
            </w:r>
          </w:p>
        </w:tc>
        <w:tc>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CP , Pereda CM , Espinoza D . Mean platelet volume as a risk factor for death reinfarction and heart failure in acute T segment elevation myocardial infarction. European Heart Journal: Acute Cardiovascular</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 ( 2015 ) 4 ( Suppl 5 ), S123</w:t>
            </w:r>
          </w:p>
        </w:tc>
        <w:tc>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5" w:hRule="atLeast"/>
          <w:tblHeader w:val="0"/>
        </w:trPr>
        <w:tc>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4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Emre AR, 2020</w:t>
            </w:r>
          </w:p>
        </w:tc>
        <w:tc>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Emre AR, Yasar KA, Atakan Y, Orhan C, Murathan K. Relationship between White Blood Count to Mean Platelet Volume Ratio and Clinical Outcomes and Severity of Coronary Artery Disease in Patients Undergoing Primary Percutaneous Coronary Intervention. Cardiovasc</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 2020;2020:9625181.</w:t>
            </w:r>
          </w:p>
        </w:tc>
        <w:tc>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980" w:hRule="atLeast"/>
          <w:tblHeader w:val="0"/>
        </w:trPr>
        <w:tc>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326" w:lineRule="auto"/>
              <w:ind w:left="107" w:right="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Lazareva I, 2019</w:t>
            </w:r>
          </w:p>
        </w:tc>
        <w:tc>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Lazareva I, Medvedeva E, Gelis L, Rousskikh I, Shibeka N. Predictors of the risk of recurrent cardiovascular events in patients with unstable angina with conservative treatment strategy.</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European Heart Journal ( 2019 ) 40</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9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Supplement ), 3415</w:t>
            </w:r>
          </w:p>
        </w:tc>
        <w:tc>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peer-reviewed full-text article was not found.</w:t>
            </w:r>
          </w:p>
        </w:tc>
      </w:tr>
      <w:tr>
        <w:trPr>
          <w:cantSplit w:val="0"/>
          <w:trHeight w:val="2607" w:hRule="atLeast"/>
          <w:tblHeader w:val="0"/>
        </w:trPr>
        <w:tc>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4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Oncel RC, 2015</w:t>
            </w:r>
          </w:p>
        </w:tc>
        <w:tc>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Oncel RC, Ucar M, Karakas MS, et al. Relation of neutrophil-to- lymphocyte ratio with GRACE risk score to in-hospital cardiac events in patients with ST-segment elevated myocardial infarction. Clin Appl</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Thromb Hemost. 2015;21:383-88.</w:t>
            </w:r>
          </w:p>
        </w:tc>
        <w:tc>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1864" w:hRule="atLeast"/>
          <w:tblHeader w:val="0"/>
        </w:trPr>
        <w:tc>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Pires M, 2020</w:t>
            </w:r>
          </w:p>
        </w:tc>
        <w:tc>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Pires M, Goncalves ML, Santos JM, et al. Mean platelet volume in the prediction of in-hospital complications in acute coronary</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syndromes. HFA Discoveries 2020.</w:t>
            </w:r>
          </w:p>
        </w:tc>
        <w:tc>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37"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peer-reviewed full-text article was not found.</w:t>
            </w:r>
          </w:p>
        </w:tc>
      </w:tr>
      <w:tr>
        <w:trPr>
          <w:cantSplit w:val="0"/>
          <w:trHeight w:val="827" w:hRule="atLeast"/>
          <w:tblHeader w:val="0"/>
        </w:trPr>
        <w:tc>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3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Psarakis G, 2021</w:t>
            </w:r>
          </w:p>
        </w:tc>
        <w:tc>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Psarakis G, Farmakis I, Zafeiropoulos S, et al. Predictive</w:t>
            </w:r>
          </w:p>
        </w:tc>
        <w:tc>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peer-reviewed full-text article was not found. MPV at discharge was</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presented.</w:t>
            </w:r>
          </w:p>
        </w:tc>
      </w:tr>
    </w:tbl>
    <w:p w:rsidR="00000000" w:rsidDel="00000000" w:rsidP="00000000" w:rsidRDefault="00000000" w:rsidRPr="00000000" w14:paraId="000002E6">
      <w:pPr>
        <w:spacing w:after="0" w:line="264" w:lineRule="auto"/>
        <w:ind w:firstLine="0"/>
        <w:rPr>
          <w:sz w:val="24"/>
          <w:szCs w:val="24"/>
        </w:rPr>
        <w:sectPr>
          <w:headerReference r:id="rId146" w:type="even"/>
          <w:type w:val="nextPage"/>
          <w:pgSz w:h="16840" w:w="11920" w:orient="portrait"/>
          <w:pgMar w:bottom="260" w:top="1100" w:left="900" w:right="1020" w:header="0" w:footer="0"/>
        </w:sect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8"/>
        <w:tblW w:w="9632.0" w:type="dxa"/>
        <w:jc w:val="left"/>
        <w:tblInd w:w="24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87"/>
        <w:gridCol w:w="3798"/>
        <w:gridCol w:w="4247"/>
        <w:tblGridChange w:id="0">
          <w:tblGrid>
            <w:gridCol w:w="1587"/>
            <w:gridCol w:w="3798"/>
            <w:gridCol w:w="4247"/>
          </w:tblGrid>
        </w:tblGridChange>
      </w:tblGrid>
      <w:tr>
        <w:trPr>
          <w:cantSplit w:val="0"/>
          <w:trHeight w:val="2236" w:hRule="atLeast"/>
          <w:tblHeader w:val="0"/>
        </w:trPr>
        <w:tc>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 of platelet indices on hospital admission and discharge in the long- term prognosis of acute coronary syndrome: Platelets do count.</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European Journal of Preventive</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Cardiology. 2021;28(Supplement 1).</w:t>
            </w:r>
          </w:p>
        </w:tc>
        <w:tc>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0" w:hRule="atLeast"/>
          <w:tblHeader w:val="0"/>
        </w:trPr>
        <w:tc>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5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Sigirci S, 2021</w:t>
            </w:r>
          </w:p>
        </w:tc>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Sigirci S, Ser ÖS, Keskin K, Yildiz SS, Gurdal A, Kilickesmez KO. Comparing the Prognostic Value of Hematological Indices in Patients With ST Segment Elevation Myocardial Infarction: “A Head to Head” Analysis. Angiology.</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2021;72:348-54.</w:t>
            </w:r>
          </w:p>
        </w:tc>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235" w:hRule="atLeast"/>
          <w:tblHeader w:val="0"/>
        </w:trPr>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6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 X-P, 2017</w:t>
            </w:r>
          </w:p>
        </w:tc>
        <w:tc>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1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 XP, Li J, Zhu WW, et al. Impact of Platelet-to-Lymphocyte Ratio on Clinical Outcomes in Patients With ST-Segment Elevation Myocardial Infarction. Angiology. 2017;68:346-</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tc>
        <w:tc>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2980" w:hRule="atLeast"/>
          <w:tblHeader w:val="0"/>
        </w:trPr>
        <w:tc>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0" w:right="1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 T, 2018</w:t>
            </w:r>
          </w:p>
        </w:tc>
        <w:tc>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2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 T, Isgandarov K, Yilmaz AS, Vasi I, Moghanchızadeh SH, Mutlu</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Predictors of new-onset atrial fibrillation in elderly patients with acute coronary syndrome undergoing percutaneous coronary intervention. Aging Clin Exp Res. 2018;30:1475-</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r>
        <w:trPr>
          <w:cantSplit w:val="0"/>
          <w:trHeight w:val="3354" w:hRule="atLeast"/>
          <w:tblHeader w:val="0"/>
        </w:trPr>
        <w:tc>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62" w:right="1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L, 2018</w:t>
            </w:r>
          </w:p>
        </w:tc>
        <w:tc>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324" w:lineRule="auto"/>
              <w:ind w:left="107" w:right="3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L, Wang H, Zhang Y, Han T, Wang W. The Prognostic Value of Lipoprotein-Associated Phospholipase A(2) in the Long- Term Care of Patients With Acute Coronary Syndrome Undergoing Percutaneous Coronary Intervention. Clin Appl Thromb</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Hemost. 2018;24:822-27.</w:t>
            </w:r>
          </w:p>
        </w:tc>
        <w:tc>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unknown from the available report whether MPV was treated as a categorical or continuous variable.</w:t>
            </w:r>
          </w:p>
        </w:tc>
      </w:tr>
    </w:tbl>
    <w:p w:rsidR="00000000" w:rsidDel="00000000" w:rsidP="00000000" w:rsidRDefault="00000000" w:rsidRPr="00000000" w14:paraId="000002FE">
      <w:pPr>
        <w:spacing w:before="9" w:lineRule="auto"/>
        <w:ind w:left="232" w:right="0" w:firstLine="0"/>
        <w:jc w:val="left"/>
        <w:rPr>
          <w:sz w:val="24"/>
          <w:szCs w:val="24"/>
        </w:rPr>
        <w:sectPr>
          <w:headerReference r:id="rId147" w:type="default"/>
          <w:footerReference r:id="rId148" w:type="default"/>
          <w:footerReference r:id="rId149" w:type="even"/>
          <w:type w:val="nextPage"/>
          <w:pgSz w:h="16840" w:w="11920" w:orient="portrait"/>
          <w:pgMar w:bottom="260" w:top="1100" w:left="900" w:right="1020" w:header="0" w:footer="71"/>
          <w:pgNumType w:start="17"/>
        </w:sectPr>
      </w:pPr>
      <w:r w:rsidDel="00000000" w:rsidR="00000000" w:rsidRPr="00000000">
        <w:rPr>
          <w:sz w:val="24"/>
          <w:szCs w:val="24"/>
          <w:rtl w:val="0"/>
        </w:rPr>
        <w:t xml:space="preserve">Abbreviations: MPV, mean platelet volume.</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headerReference r:id="rId150" w:type="even"/>
          <w:type w:val="nextPage"/>
          <w:pgSz w:h="16840" w:w="11920" w:orient="portrait"/>
          <w:pgMar w:bottom="260" w:top="1920" w:left="900" w:right="1020" w:header="0" w:footer="0"/>
        </w:sectPr>
      </w:pPr>
      <w:r w:rsidDel="00000000" w:rsidR="00000000" w:rsidRPr="00000000">
        <w:rPr>
          <w:rtl w:val="0"/>
        </w:rPr>
      </w:r>
    </w:p>
    <w:p w:rsidR="00000000" w:rsidDel="00000000" w:rsidP="00000000" w:rsidRDefault="00000000" w:rsidRPr="00000000" w14:paraId="00000300">
      <w:pPr>
        <w:spacing w:before="118" w:lineRule="auto"/>
        <w:ind w:left="232" w:right="0" w:firstLine="0"/>
        <w:jc w:val="left"/>
        <w:rPr>
          <w:sz w:val="24"/>
          <w:szCs w:val="24"/>
        </w:rPr>
      </w:pPr>
      <w:r w:rsidDel="00000000" w:rsidR="00000000" w:rsidRPr="00000000">
        <w:rPr>
          <w:b w:val="1"/>
          <w:sz w:val="24"/>
          <w:szCs w:val="24"/>
          <w:rtl w:val="0"/>
        </w:rPr>
        <w:t xml:space="preserve">Supplementary Table 3. </w:t>
      </w:r>
      <w:r w:rsidDel="00000000" w:rsidR="00000000" w:rsidRPr="00000000">
        <w:rPr>
          <w:sz w:val="24"/>
          <w:szCs w:val="24"/>
          <w:rtl w:val="0"/>
        </w:rPr>
        <w:t xml:space="preserve">Baseline features of the included studies.</w:t>
      </w:r>
      <w:r w:rsidDel="00000000" w:rsidR="00000000" w:rsidRPr="00000000">
        <w:rPr>
          <w:sz w:val="24"/>
          <w:szCs w:val="24"/>
          <w:vertAlign w:val="superscript"/>
          <w:rtl w:val="0"/>
        </w:rPr>
        <w:t xml:space="preserve">a</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14780.999999999996"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68"/>
        <w:gridCol w:w="664"/>
        <w:gridCol w:w="806"/>
        <w:gridCol w:w="854"/>
        <w:gridCol w:w="915"/>
        <w:gridCol w:w="806"/>
        <w:gridCol w:w="1072"/>
        <w:gridCol w:w="914"/>
        <w:gridCol w:w="912"/>
        <w:gridCol w:w="806"/>
        <w:gridCol w:w="808"/>
        <w:gridCol w:w="806"/>
        <w:gridCol w:w="912"/>
        <w:gridCol w:w="808"/>
        <w:gridCol w:w="911"/>
        <w:gridCol w:w="911"/>
        <w:gridCol w:w="808"/>
        <w:tblGridChange w:id="0">
          <w:tblGrid>
            <w:gridCol w:w="1068"/>
            <w:gridCol w:w="664"/>
            <w:gridCol w:w="806"/>
            <w:gridCol w:w="854"/>
            <w:gridCol w:w="915"/>
            <w:gridCol w:w="806"/>
            <w:gridCol w:w="1072"/>
            <w:gridCol w:w="914"/>
            <w:gridCol w:w="912"/>
            <w:gridCol w:w="806"/>
            <w:gridCol w:w="808"/>
            <w:gridCol w:w="806"/>
            <w:gridCol w:w="912"/>
            <w:gridCol w:w="808"/>
            <w:gridCol w:w="911"/>
            <w:gridCol w:w="911"/>
            <w:gridCol w:w="808"/>
          </w:tblGrid>
        </w:tblGridChange>
      </w:tblGrid>
      <w:tr>
        <w:trPr>
          <w:cantSplit w:val="0"/>
          <w:trHeight w:val="1588" w:hRule="atLeast"/>
          <w:tblHeader w:val="0"/>
        </w:trPr>
        <w:tc>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1" w:right="186" w:firstLine="1.0000000000000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 year</w:t>
            </w:r>
          </w:p>
        </w:tc>
        <w:tc>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1" w:right="120" w:hanging="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Osu na, 199</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7" w:right="13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Huczek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2005</w:t>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Esteve z- </w:t>
            </w:r>
            <w:r w:rsidDel="00000000" w:rsidR="00000000" w:rsidRPr="00000000">
              <w:rPr>
                <w:sz w:val="24"/>
                <w:szCs w:val="24"/>
                <w:rtl w:val="0"/>
              </w:rPr>
              <w:t xml:space="preserve">Loureiro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w:t>
            </w:r>
          </w:p>
        </w:tc>
        <w:tc>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17" w:right="122" w:hanging="7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Vakili, 2009</w:t>
            </w:r>
          </w:p>
        </w:tc>
        <w:tc>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2" w:right="9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Akpe k, 2011</w:t>
            </w:r>
          </w:p>
        </w:tc>
        <w:tc>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4" w:right="106" w:hanging="3.0000000000000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Goncalves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b</w:t>
            </w:r>
            <w:r w:rsidDel="00000000" w:rsidR="00000000" w:rsidRPr="00000000">
              <w:rPr>
                <w:rtl w:val="0"/>
              </w:rPr>
            </w:r>
          </w:p>
        </w:tc>
        <w:tc>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94"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Taglier i, 2011</w:t>
            </w:r>
          </w:p>
        </w:tc>
        <w:tc>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Tekbas</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2011</w:t>
            </w:r>
          </w:p>
        </w:tc>
        <w:tc>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7" w:right="12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Doga n, 2012</w:t>
            </w:r>
          </w:p>
        </w:tc>
        <w:tc>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5" w:right="129" w:hanging="1.999999999999993"/>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Lopez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Cuenca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2012</w:t>
            </w:r>
          </w:p>
        </w:tc>
        <w:tc>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 w:right="131" w:hanging="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Vrsalovic, 2012</w:t>
            </w:r>
          </w:p>
        </w:tc>
        <w:tc>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2" w:right="145" w:firstLine="13.9999999999999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Choi, 2013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b</w:t>
            </w:r>
            <w:r w:rsidDel="00000000" w:rsidR="00000000" w:rsidRPr="00000000">
              <w:rPr>
                <w:rtl w:val="0"/>
              </w:rPr>
            </w:r>
          </w:p>
        </w:tc>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9"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Akgu l, 2013</w:t>
            </w:r>
          </w:p>
        </w:tc>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130" w:hanging="56.00000000000001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Eisen, 2013</w:t>
            </w:r>
          </w:p>
        </w:tc>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Fabreg at- Andre as, 2013</w:t>
            </w:r>
          </w:p>
        </w:tc>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7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Bergo li, 2014</w:t>
            </w:r>
          </w:p>
        </w:tc>
      </w:tr>
      <w:tr>
        <w:trPr>
          <w:cantSplit w:val="0"/>
          <w:trHeight w:val="558" w:hRule="atLeast"/>
          <w:tblHeader w:val="0"/>
        </w:trPr>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Country</w:t>
            </w:r>
          </w:p>
        </w:tc>
        <w:tc>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Spai</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6"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1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Polan</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12" w:right="1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Spain</w:t>
            </w:r>
          </w:p>
        </w:tc>
        <w:tc>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Iran</w:t>
            </w:r>
          </w:p>
        </w:tc>
        <w:tc>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Turke</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12" w:right="9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p>
        </w:tc>
        <w:tc>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Australia</w:t>
            </w: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Italy</w:t>
            </w:r>
          </w:p>
        </w:tc>
        <w:tc>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Turkey</w:t>
            </w:r>
          </w:p>
        </w:tc>
        <w:tc>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Turke</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12"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p>
        </w:tc>
        <w:tc>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Spain</w:t>
            </w:r>
          </w:p>
        </w:tc>
        <w:tc>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Croat</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12" w:right="9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w:t>
            </w:r>
          </w:p>
        </w:tc>
        <w:tc>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Korea</w:t>
            </w:r>
          </w:p>
        </w:tc>
        <w:tc>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3" w:right="7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Turke</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39"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p>
        </w:tc>
        <w:tc>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Israel</w:t>
            </w:r>
          </w:p>
        </w:tc>
        <w:tc>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Spain</w:t>
            </w:r>
          </w:p>
        </w:tc>
        <w:tc>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Brazil</w:t>
            </w:r>
          </w:p>
        </w:tc>
      </w:tr>
      <w:tr>
        <w:trPr>
          <w:cantSplit w:val="0"/>
          <w:trHeight w:val="1103" w:hRule="atLeast"/>
          <w:tblHeader w:val="0"/>
        </w:trPr>
        <w:tc>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design</w:t>
            </w:r>
          </w:p>
        </w:tc>
        <w:tc>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1"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 w:right="103" w:firstLine="30.99999999999999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94" w:firstLine="33.0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0"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0" w:right="1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91" w:firstLine="33.0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 w:right="91" w:firstLine="32.9999999999999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 w:right="95"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 w:right="97"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97"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87" w:firstLine="33.0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 w:right="95"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87" w:firstLine="32.9999999999999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 w:right="84" w:firstLine="33.0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 w:right="92" w:firstLine="11.99999999999999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r>
      <w:tr>
        <w:trPr>
          <w:cantSplit w:val="0"/>
          <w:trHeight w:val="846" w:hRule="atLeast"/>
          <w:tblHeader w:val="0"/>
        </w:trPr>
        <w:tc>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up, months</w:t>
            </w:r>
          </w:p>
        </w:tc>
        <w:tc>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 w:right="102" w:firstLine="80.9999999999999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sz w:val="24"/>
                <w:szCs w:val="24"/>
                <w:rtl w:val="0"/>
              </w:rPr>
              <w:t xml:space="preserve">hospital</w:t>
            </w:r>
            <w:r w:rsidDel="00000000" w:rsidR="00000000" w:rsidRPr="00000000">
              <w:rPr>
                <w:rtl w:val="0"/>
              </w:rPr>
            </w:r>
          </w:p>
        </w:tc>
        <w:tc>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1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sz w:val="24"/>
                <w:szCs w:val="24"/>
                <w:rtl w:val="0"/>
              </w:rPr>
              <w:t xml:space="preserve">hospital</w:t>
            </w:r>
            <w:r w:rsidDel="00000000" w:rsidR="00000000" w:rsidRPr="00000000">
              <w:rPr>
                <w:rtl w:val="0"/>
              </w:rPr>
            </w:r>
          </w:p>
        </w:tc>
        <w:tc>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92" w:firstLine="0.999999999999996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sz w:val="24"/>
                <w:szCs w:val="24"/>
                <w:rtl w:val="0"/>
              </w:rPr>
              <w:t xml:space="preserve">hospital</w:t>
            </w:r>
            <w:r w:rsidDel="00000000" w:rsidR="00000000" w:rsidRPr="00000000">
              <w:rPr>
                <w:rtl w:val="0"/>
              </w:rPr>
            </w:r>
          </w:p>
        </w:tc>
        <w:tc>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w:t>
            </w:r>
          </w:p>
        </w:tc>
        <w:tc>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9"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c>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632" w:hRule="atLeast"/>
          <w:tblHeader w:val="0"/>
        </w:trPr>
        <w:tc>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size, n</w:t>
            </w:r>
          </w:p>
        </w:tc>
        <w:tc>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1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388</w:t>
            </w:r>
          </w:p>
        </w:tc>
        <w:tc>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617</w:t>
            </w:r>
          </w:p>
        </w:tc>
        <w:tc>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w:t>
            </w:r>
          </w:p>
        </w:tc>
        <w:tc>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20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289</w:t>
            </w:r>
          </w:p>
        </w:tc>
        <w:tc>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1102</w:t>
            </w:r>
          </w:p>
        </w:tc>
        <w:tc>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1041</w:t>
            </w:r>
          </w:p>
        </w:tc>
        <w:tc>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429</w:t>
            </w:r>
          </w:p>
        </w:tc>
        <w:tc>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344</w:t>
            </w:r>
          </w:p>
        </w:tc>
        <w:tc>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329</w:t>
            </w:r>
          </w:p>
        </w:tc>
        <w:tc>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543</w:t>
            </w:r>
          </w:p>
        </w:tc>
        <w:tc>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w:t>
            </w:r>
          </w:p>
        </w:tc>
        <w:tc>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495</w:t>
            </w:r>
          </w:p>
        </w:tc>
        <w:tc>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4961</w:t>
            </w:r>
          </w:p>
        </w:tc>
        <w:tc>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p>
        </w:tc>
        <w:tc>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w:t>
            </w:r>
          </w:p>
        </w:tc>
      </w:tr>
      <w:tr>
        <w:trPr>
          <w:cantSplit w:val="0"/>
          <w:trHeight w:val="1382" w:hRule="atLeast"/>
          <w:tblHeader w:val="0"/>
        </w:trPr>
        <w:tc>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Diagnosis</w:t>
            </w:r>
            <w:r w:rsidDel="00000000" w:rsidR="00000000" w:rsidRPr="00000000">
              <w:rPr>
                <w:rtl w:val="0"/>
              </w:rPr>
            </w:r>
          </w:p>
        </w:tc>
        <w:tc>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1" w:right="101"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08" w:firstLine="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 w:right="1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104" w:firstLine="6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236" w:firstLine="16.00000000000001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ACS, 100%</w:t>
            </w:r>
          </w:p>
        </w:tc>
        <w:tc>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156" w:firstLine="23.9999999999999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 ACS, 100%</w:t>
            </w:r>
          </w:p>
        </w:tc>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 w:right="10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65%; NSTE MI</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7" w:right="131" w:firstLine="23.9999999999999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 EMI 37%, UA</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c>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 w:right="102" w:firstLine="24.00000000000000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 ACS, 100%</w:t>
            </w:r>
          </w:p>
        </w:tc>
        <w:tc>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 w:right="101" w:firstLine="64.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2" w:right="151" w:firstLine="13.9999999999999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ACS, 100%</w:t>
            </w:r>
          </w:p>
        </w:tc>
        <w:tc>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100" w:firstLine="63.9999999999999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1" w:right="151" w:firstLine="13.9999999999999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ACS, 100%</w:t>
            </w:r>
          </w:p>
        </w:tc>
        <w:tc>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 w:right="1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97" w:firstLine="6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r>
      <w:tr>
        <w:trPr>
          <w:cantSplit w:val="0"/>
          <w:trHeight w:val="1694" w:hRule="atLeast"/>
          <w:tblHeader w:val="0"/>
        </w:trPr>
        <w:tc>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age, years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c</w:t>
            </w:r>
            <w:r w:rsidDel="00000000" w:rsidR="00000000" w:rsidRPr="00000000">
              <w:rPr>
                <w:rtl w:val="0"/>
              </w:rPr>
            </w:r>
          </w:p>
        </w:tc>
        <w:tc>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60±1</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63±12</w:t>
            </w:r>
          </w:p>
        </w:tc>
        <w:tc>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56±11.</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58±1</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9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62.8±11.</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61.9±1</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61.9±</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67.3±</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tc>
        <w:tc>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67.8</w:t>
            </w:r>
          </w:p>
        </w:tc>
        <w:tc>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65.4±1</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55.6±</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w:t>
            </w:r>
          </w:p>
        </w:tc>
        <w:tc>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67.1±1</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59.5±1</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p>
        </w:tc>
      </w:tr>
      <w:tr>
        <w:trPr>
          <w:cantSplit w:val="0"/>
          <w:trHeight w:val="560" w:hRule="atLeast"/>
          <w:tblHeader w:val="0"/>
        </w:trPr>
        <w:tc>
          <w:tcPr/>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Males,</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72.2</w:t>
            </w:r>
          </w:p>
        </w:tc>
        <w:tc>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c>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78.8</w:t>
            </w:r>
          </w:p>
        </w:tc>
        <w:tc>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6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72.8</w:t>
            </w:r>
          </w:p>
        </w:tc>
        <w:tc>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74.2</w:t>
            </w:r>
          </w:p>
        </w:tc>
        <w:tc>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70.4</w:t>
            </w:r>
          </w:p>
        </w:tc>
        <w:tc>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69.6</w:t>
            </w:r>
          </w:p>
        </w:tc>
        <w:tc>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c>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63.4</w:t>
            </w:r>
          </w:p>
        </w:tc>
        <w:tc>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66.8</w:t>
            </w:r>
          </w:p>
        </w:tc>
        <w:tc>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1"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80.2</w:t>
            </w:r>
          </w:p>
        </w:tc>
        <w:tc>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75.5</w:t>
            </w:r>
          </w:p>
        </w:tc>
        <w:tc>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80.2</w:t>
            </w:r>
          </w:p>
        </w:tc>
        <w:tc>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66.3</w:t>
            </w:r>
          </w:p>
        </w:tc>
      </w:tr>
    </w:tbl>
    <w:p w:rsidR="00000000" w:rsidDel="00000000" w:rsidP="00000000" w:rsidRDefault="00000000" w:rsidRPr="00000000" w14:paraId="000003A9">
      <w:pPr>
        <w:spacing w:after="0" w:line="270" w:lineRule="auto"/>
        <w:ind w:firstLine="0"/>
        <w:jc w:val="center"/>
        <w:rPr>
          <w:sz w:val="24"/>
          <w:szCs w:val="24"/>
        </w:rPr>
        <w:sectPr>
          <w:headerReference r:id="rId151" w:type="default"/>
          <w:footerReference r:id="rId152" w:type="default"/>
          <w:footerReference r:id="rId153" w:type="even"/>
          <w:type w:val="nextPage"/>
          <w:pgSz w:h="11920" w:w="16840" w:orient="landscape"/>
          <w:pgMar w:bottom="260" w:top="1000" w:left="900" w:right="900" w:header="0" w:footer="71"/>
          <w:pgNumType w:start="19"/>
        </w:sect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0"/>
        <w:tblW w:w="14780.999999999996"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68"/>
        <w:gridCol w:w="664"/>
        <w:gridCol w:w="806"/>
        <w:gridCol w:w="854"/>
        <w:gridCol w:w="915"/>
        <w:gridCol w:w="806"/>
        <w:gridCol w:w="1072"/>
        <w:gridCol w:w="914"/>
        <w:gridCol w:w="912"/>
        <w:gridCol w:w="806"/>
        <w:gridCol w:w="808"/>
        <w:gridCol w:w="806"/>
        <w:gridCol w:w="912"/>
        <w:gridCol w:w="808"/>
        <w:gridCol w:w="911"/>
        <w:gridCol w:w="911"/>
        <w:gridCol w:w="808"/>
        <w:tblGridChange w:id="0">
          <w:tblGrid>
            <w:gridCol w:w="1068"/>
            <w:gridCol w:w="664"/>
            <w:gridCol w:w="806"/>
            <w:gridCol w:w="854"/>
            <w:gridCol w:w="915"/>
            <w:gridCol w:w="806"/>
            <w:gridCol w:w="1072"/>
            <w:gridCol w:w="914"/>
            <w:gridCol w:w="912"/>
            <w:gridCol w:w="806"/>
            <w:gridCol w:w="808"/>
            <w:gridCol w:w="806"/>
            <w:gridCol w:w="912"/>
            <w:gridCol w:w="808"/>
            <w:gridCol w:w="911"/>
            <w:gridCol w:w="911"/>
            <w:gridCol w:w="808"/>
          </w:tblGrid>
        </w:tblGridChange>
      </w:tblGrid>
      <w:tr>
        <w:trPr>
          <w:cantSplit w:val="0"/>
          <w:trHeight w:val="844" w:hRule="atLeast"/>
          <w:tblHeader w:val="0"/>
        </w:trPr>
        <w:tc>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Hypertension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43.5</w:t>
            </w:r>
          </w:p>
        </w:tc>
        <w:tc>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62.6</w:t>
            </w:r>
          </w:p>
        </w:tc>
        <w:tc>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9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37.5</w:t>
            </w:r>
          </w:p>
        </w:tc>
        <w:tc>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31.5</w:t>
            </w:r>
          </w:p>
        </w:tc>
        <w:tc>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44.7</w:t>
            </w:r>
          </w:p>
        </w:tc>
        <w:tc>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60.2</w:t>
            </w:r>
          </w:p>
        </w:tc>
        <w:tc>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79.7</w:t>
            </w:r>
          </w:p>
        </w:tc>
        <w:tc>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43.4</w:t>
            </w:r>
          </w:p>
        </w:tc>
        <w:tc>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49.1</w:t>
            </w:r>
          </w:p>
        </w:tc>
        <w:tc>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69.4</w:t>
            </w:r>
          </w:p>
        </w:tc>
        <w:tc>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7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58.4</w:t>
            </w:r>
          </w:p>
        </w:tc>
        <w:tc>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54.8</w:t>
            </w:r>
          </w:p>
        </w:tc>
        <w:tc>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1"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34.3</w:t>
            </w:r>
          </w:p>
        </w:tc>
        <w:tc>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70.5</w:t>
            </w:r>
          </w:p>
        </w:tc>
        <w:tc>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59.2</w:t>
            </w:r>
          </w:p>
        </w:tc>
        <w:tc>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61.3</w:t>
            </w:r>
          </w:p>
        </w:tc>
      </w:tr>
      <w:tr>
        <w:trPr>
          <w:cantSplit w:val="0"/>
          <w:trHeight w:val="846" w:hRule="atLeast"/>
          <w:tblHeader w:val="0"/>
        </w:trPr>
        <w:tc>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Diabetes mellitus,</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w:t>
            </w:r>
          </w:p>
        </w:tc>
        <w:tc>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c>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19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w:t>
            </w:r>
          </w:p>
        </w:tc>
        <w:tc>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22.7</w:t>
            </w:r>
          </w:p>
        </w:tc>
        <w:tc>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9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28.3</w:t>
            </w:r>
          </w:p>
        </w:tc>
        <w:tc>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27.9</w:t>
            </w:r>
          </w:p>
        </w:tc>
        <w:tc>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w:t>
            </w:r>
          </w:p>
        </w:tc>
        <w:tc>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52.2</w:t>
            </w:r>
          </w:p>
        </w:tc>
        <w:tc>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34.1</w:t>
            </w:r>
          </w:p>
        </w:tc>
        <w:tc>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40.6</w:t>
            </w:r>
          </w:p>
        </w:tc>
        <w:tc>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17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27.4</w:t>
            </w:r>
          </w:p>
        </w:tc>
        <w:tc>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32.7</w:t>
            </w:r>
          </w:p>
        </w:tc>
        <w:tc>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1"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w:t>
            </w:r>
          </w:p>
        </w:tc>
        <w:tc>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38.7</w:t>
            </w:r>
          </w:p>
        </w:tc>
        <w:tc>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37.9</w:t>
            </w:r>
          </w:p>
        </w:tc>
        <w:tc>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w:t>
            </w:r>
          </w:p>
        </w:tc>
      </w:tr>
      <w:tr>
        <w:trPr>
          <w:cantSplit w:val="0"/>
          <w:trHeight w:val="844" w:hRule="atLeast"/>
          <w:tblHeader w:val="0"/>
        </w:trPr>
        <w:tc>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Dyslipidemia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1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9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33.5</w:t>
            </w:r>
          </w:p>
        </w:tc>
        <w:tc>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36.9</w:t>
            </w:r>
          </w:p>
        </w:tc>
        <w:tc>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71.5</w:t>
            </w:r>
          </w:p>
        </w:tc>
        <w:tc>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56.7</w:t>
            </w:r>
          </w:p>
        </w:tc>
        <w:tc>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w:t>
            </w:r>
          </w:p>
        </w:tc>
        <w:tc>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55.7</w:t>
            </w:r>
          </w:p>
        </w:tc>
        <w:tc>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7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w:t>
            </w:r>
          </w:p>
        </w:tc>
        <w:tc>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tc>
        <w:tc>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27" w:hRule="atLeast"/>
          <w:tblHeader w:val="0"/>
        </w:trPr>
        <w:tc>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Smokin g, %</w:t>
            </w:r>
          </w:p>
        </w:tc>
        <w:tc>
          <w:tcPr/>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55.2</w:t>
            </w:r>
          </w:p>
        </w:tc>
        <w:tc>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55.2</w:t>
            </w:r>
          </w:p>
        </w:tc>
        <w:tc>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47.8</w:t>
            </w:r>
          </w:p>
        </w:tc>
        <w:tc>
          <w:tcPr/>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w:t>
            </w:r>
          </w:p>
        </w:tc>
        <w:tc>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15.9</w:t>
            </w:r>
          </w:p>
        </w:tc>
        <w:tc>
          <w:tcPr/>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43.5</w:t>
            </w:r>
          </w:p>
        </w:tc>
        <w:tc>
          <w:tcPr/>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43.4</w:t>
            </w:r>
          </w:p>
        </w:tc>
        <w:tc>
          <w:tcPr/>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44.9</w:t>
            </w:r>
          </w:p>
        </w:tc>
        <w:tc>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c>
          <w:tcPr/>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7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52.3</w:t>
            </w:r>
          </w:p>
        </w:tc>
        <w:tc>
          <w:tcPr/>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c>
          <w:tcPr/>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40.5</w:t>
            </w:r>
          </w:p>
        </w:tc>
        <w:tc>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0" w:right="9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55.5</w:t>
            </w:r>
          </w:p>
        </w:tc>
        <w:tc>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68.4</w:t>
            </w:r>
          </w:p>
        </w:tc>
      </w:tr>
      <w:tr>
        <w:trPr>
          <w:cantSplit w:val="0"/>
          <w:trHeight w:val="846" w:hRule="atLeast"/>
          <w:tblHeader w:val="0"/>
        </w:trPr>
        <w:tc>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Previous MI, %</w:t>
            </w:r>
          </w:p>
        </w:tc>
        <w:tc>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36.3</w:t>
            </w:r>
          </w:p>
        </w:tc>
        <w:tc>
          <w:tcPr/>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w:t>
            </w:r>
          </w:p>
        </w:tc>
        <w:tc>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tc>
        <w:tc>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24.7</w:t>
            </w:r>
          </w:p>
        </w:tc>
        <w:tc>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38.5</w:t>
            </w:r>
          </w:p>
        </w:tc>
        <w:tc>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tc>
        <w:tc>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w:t>
            </w:r>
          </w:p>
        </w:tc>
        <w:tc>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1" w:right="1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w:t>
            </w:r>
          </w:p>
        </w:tc>
        <w:tc>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2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r>
      <w:tr>
        <w:trPr>
          <w:cantSplit w:val="0"/>
          <w:trHeight w:val="1103" w:hRule="atLeast"/>
          <w:tblHeader w:val="0"/>
        </w:trPr>
        <w:tc>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history of</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 %</w:t>
            </w:r>
          </w:p>
        </w:tc>
        <w:tc>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tc>
        <w:tc>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w:t>
            </w:r>
          </w:p>
        </w:tc>
        <w:tc>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w:t>
            </w:r>
          </w:p>
        </w:tc>
        <w:tc>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p>
        </w:tc>
        <w:tc>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4" w:hRule="atLeast"/>
          <w:tblHeader w:val="0"/>
        </w:trPr>
        <w:tc>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History of</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PCI, %</w:t>
            </w:r>
          </w:p>
        </w:tc>
        <w:tc>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w:t>
            </w:r>
          </w:p>
        </w:tc>
        <w:tc>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22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w:t>
            </w:r>
          </w:p>
        </w:tc>
      </w:tr>
      <w:tr>
        <w:trPr>
          <w:cantSplit w:val="0"/>
          <w:trHeight w:val="561" w:hRule="atLeast"/>
          <w:tblHeader w:val="0"/>
        </w:trPr>
        <w:tc>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BMI,</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7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27.8</w:t>
            </w:r>
          </w:p>
        </w:tc>
        <w:tc>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4" w:hRule="atLeast"/>
          <w:tblHeader w:val="0"/>
        </w:trPr>
        <w:tc>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Baseline SBP,</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mmHg</w:t>
            </w:r>
          </w:p>
        </w:tc>
        <w:tc>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129.3</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w:t>
            </w:r>
          </w:p>
        </w:tc>
        <w:tc>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119.7±</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2" w:right="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124.9±</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p>
        </w:tc>
        <w:tc>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134.8</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±58.5</w:t>
            </w:r>
          </w:p>
        </w:tc>
        <w:tc>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4" w:hRule="atLeast"/>
          <w:tblHeader w:val="0"/>
        </w:trPr>
        <w:tc>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Glucose, mg/dl</w:t>
            </w:r>
          </w:p>
        </w:tc>
        <w:tc>
          <w:tcPr/>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176.5</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±97.1</w:t>
            </w:r>
          </w:p>
        </w:tc>
        <w:tc>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147.7±</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77.7</w:t>
            </w:r>
          </w:p>
        </w:tc>
        <w:tc>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168.9</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±83.3</w:t>
            </w:r>
          </w:p>
        </w:tc>
        <w:tc>
          <w:tcPr/>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112.5±</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6" w:hRule="atLeast"/>
          <w:tblHeader w:val="0"/>
        </w:trPr>
        <w:tc>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Cholesterol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mg/dl</w:t>
            </w:r>
          </w:p>
        </w:tc>
        <w:tc>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190.8</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179.5</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9" w:right="1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196.4</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±46.8</w:t>
            </w:r>
          </w:p>
        </w:tc>
        <w:tc>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166.2±</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47A">
      <w:pPr>
        <w:spacing w:after="0" w:line="270" w:lineRule="auto"/>
        <w:ind w:firstLine="0"/>
        <w:jc w:val="center"/>
        <w:rPr>
          <w:sz w:val="24"/>
          <w:szCs w:val="24"/>
        </w:rPr>
        <w:sectPr>
          <w:headerReference r:id="rId154" w:type="even"/>
          <w:type w:val="nextPage"/>
          <w:pgSz w:h="11920" w:w="16840" w:orient="landscape"/>
          <w:pgMar w:bottom="260" w:top="1100" w:left="900" w:right="900" w:header="0" w:footer="0"/>
        </w:sect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1"/>
        <w:tblW w:w="14780.999999999996"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68"/>
        <w:gridCol w:w="664"/>
        <w:gridCol w:w="806"/>
        <w:gridCol w:w="854"/>
        <w:gridCol w:w="915"/>
        <w:gridCol w:w="806"/>
        <w:gridCol w:w="1072"/>
        <w:gridCol w:w="914"/>
        <w:gridCol w:w="912"/>
        <w:gridCol w:w="806"/>
        <w:gridCol w:w="808"/>
        <w:gridCol w:w="806"/>
        <w:gridCol w:w="912"/>
        <w:gridCol w:w="808"/>
        <w:gridCol w:w="911"/>
        <w:gridCol w:w="911"/>
        <w:gridCol w:w="808"/>
        <w:tblGridChange w:id="0">
          <w:tblGrid>
            <w:gridCol w:w="1068"/>
            <w:gridCol w:w="664"/>
            <w:gridCol w:w="806"/>
            <w:gridCol w:w="854"/>
            <w:gridCol w:w="915"/>
            <w:gridCol w:w="806"/>
            <w:gridCol w:w="1072"/>
            <w:gridCol w:w="914"/>
            <w:gridCol w:w="912"/>
            <w:gridCol w:w="806"/>
            <w:gridCol w:w="808"/>
            <w:gridCol w:w="806"/>
            <w:gridCol w:w="912"/>
            <w:gridCol w:w="808"/>
            <w:gridCol w:w="911"/>
            <w:gridCol w:w="911"/>
            <w:gridCol w:w="808"/>
          </w:tblGrid>
        </w:tblGridChange>
      </w:tblGrid>
      <w:tr>
        <w:trPr>
          <w:cantSplit w:val="0"/>
          <w:trHeight w:val="561" w:hRule="atLeast"/>
          <w:tblHeader w:val="0"/>
        </w:trPr>
        <w:tc>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LDL-C,</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27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119.8</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±39.1</w:t>
            </w:r>
          </w:p>
        </w:tc>
        <w:tc>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9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117.9</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±32.8</w:t>
            </w:r>
          </w:p>
        </w:tc>
        <w:tc>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9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4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131.6</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±36.7</w:t>
            </w:r>
          </w:p>
        </w:tc>
        <w:tc>
          <w:tcPr/>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9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113.9±</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3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3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68" w:hRule="atLeast"/>
          <w:tblHeader w:val="0"/>
        </w:trPr>
        <w:tc>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HDL-C,</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7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47.7±</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p>
        </w:tc>
        <w:tc>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39.0±</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113.3</w:t>
            </w:r>
          </w:p>
        </w:tc>
        <w:tc>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4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40.9±</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37.2±</w:t>
            </w:r>
          </w:p>
        </w:tc>
        <w:tc>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3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268" w:hRule="atLeast"/>
          <w:tblHeader w:val="0"/>
        </w:trPr>
        <w:tc>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Fasting </w:t>
            </w:r>
            <w:r w:rsidDel="00000000" w:rsidR="00000000" w:rsidRPr="00000000">
              <w:rPr>
                <w:sz w:val="24"/>
                <w:szCs w:val="24"/>
                <w:rtl w:val="0"/>
              </w:rPr>
              <w:t xml:space="preserve">triglycerides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7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9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±60.8</w:t>
            </w:r>
          </w:p>
        </w:tc>
        <w:tc>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4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128.3</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3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271" w:hRule="atLeast"/>
          <w:tblHeader w:val="0"/>
        </w:trPr>
        <w:tc>
          <w:tcPr/>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Creatinine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mg/dl</w:t>
            </w:r>
          </w:p>
        </w:tc>
        <w:tc>
          <w:tcPr/>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0" w:right="27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0" w:right="3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0.98</w:t>
            </w:r>
          </w:p>
        </w:tc>
        <w:tc>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0" w:right="39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0" w:right="34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1.14±0.7</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w:t>
            </w:r>
          </w:p>
        </w:tc>
        <w:tc>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1.16±0</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0.95</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(0.80-</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w:t>
            </w:r>
          </w:p>
        </w:tc>
        <w:tc>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w:t>
            </w:r>
          </w:p>
        </w:tc>
        <w:tc>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0.9±0</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1.05±0</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0.9±0.</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952" w:hRule="atLeast"/>
          <w:tblHeader w:val="0"/>
        </w:trPr>
        <w:tc>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WBC,</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7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tc>
        <w:tc>
          <w:tcPr/>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w:t>
            </w:r>
          </w:p>
        </w:tc>
        <w:tc>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11.8±4</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w:t>
            </w:r>
          </w:p>
        </w:tc>
        <w:tc>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tc>
        <w:tc>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9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3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950" w:hRule="atLeast"/>
          <w:tblHeader w:val="0"/>
        </w:trPr>
        <w:tc>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Hemoglobin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w:t>
            </w:r>
          </w:p>
        </w:tc>
        <w:tc>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144.1</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138.2±1</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c>
          <w:tcPr/>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w:t>
            </w:r>
          </w:p>
        </w:tc>
        <w:tc>
          <w:tcPr/>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13.3±1</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134.3</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133±2</w:t>
            </w:r>
          </w:p>
        </w:tc>
        <w:tc>
          <w:tcPr/>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135±1</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137±1</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952" w:hRule="atLeast"/>
          <w:tblHeader w:val="0"/>
        </w:trPr>
        <w:tc>
          <w:tcPr/>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107" w:right="3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257.5</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243.7</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±65.8</w:t>
            </w:r>
          </w:p>
        </w:tc>
        <w:tc>
          <w:tcPr/>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247±74.</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299)</w:t>
            </w:r>
          </w:p>
        </w:tc>
        <w:tc>
          <w:tcPr/>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277.7±</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85.3</w:t>
            </w:r>
          </w:p>
        </w:tc>
        <w:tc>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265</w:t>
            </w:r>
          </w:p>
        </w:tc>
        <w:tc>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w:t>
            </w:r>
          </w:p>
        </w:tc>
        <w:tc>
          <w:tcPr/>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246.5</w:t>
            </w:r>
          </w:p>
        </w:tc>
        <w:tc>
          <w:tcPr/>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252±7</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257±</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71.4</w:t>
            </w:r>
          </w:p>
        </w:tc>
        <w:tc>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243.7±</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71.1</w:t>
            </w:r>
          </w:p>
        </w:tc>
        <w:tc>
          <w:tcPr/>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233±6</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952" w:hRule="atLeast"/>
          <w:tblHeader w:val="0"/>
        </w:trPr>
        <w:tc>
          <w:tcPr/>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fl</w:t>
            </w:r>
          </w:p>
        </w:tc>
        <w:tc>
          <w:tcPr/>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w:t>
            </w:r>
          </w:p>
        </w:tc>
        <w:tc>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9.55±0</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w:t>
            </w:r>
          </w:p>
        </w:tc>
        <w:tc>
          <w:tcPr/>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8.7±1.3</w:t>
            </w:r>
          </w:p>
        </w:tc>
        <w:tc>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10.4±2</w:t>
            </w:r>
          </w:p>
        </w:tc>
        <w:tc>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w:t>
            </w:r>
          </w:p>
        </w:tc>
        <w:tc>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8.61±0</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8.4±1</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8.55±1</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635" w:hRule="atLeast"/>
          <w:tblHeader w:val="0"/>
        </w:trPr>
        <w:tc>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 %</w:t>
            </w:r>
          </w:p>
        </w:tc>
        <w:tc>
          <w:tcPr/>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57±14</w:t>
            </w:r>
          </w:p>
        </w:tc>
        <w:tc>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48.4±</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w:t>
            </w:r>
          </w:p>
        </w:tc>
        <w:tc>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50.3±9</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53.4</w:t>
            </w:r>
          </w:p>
        </w:tc>
        <w:tc>
          <w:tcPr/>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53.7</w:t>
            </w:r>
          </w:p>
        </w:tc>
        <w:tc>
          <w:tcPr/>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58.8±1</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52.1±1</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60" w:hRule="atLeast"/>
          <w:tblHeader w:val="0"/>
        </w:trPr>
        <w:tc>
          <w:tcPr/>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PCI, %</w:t>
            </w:r>
          </w:p>
        </w:tc>
        <w:tc>
          <w:tcPr/>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321"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68.4</w:t>
            </w:r>
          </w:p>
        </w:tc>
        <w:tc>
          <w:tcPr/>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61.3</w:t>
            </w:r>
          </w:p>
        </w:tc>
        <w:tc>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56A">
      <w:pPr>
        <w:spacing w:after="0" w:line="270" w:lineRule="auto"/>
        <w:ind w:firstLine="0"/>
        <w:rPr>
          <w:sz w:val="24"/>
          <w:szCs w:val="24"/>
        </w:rPr>
        <w:sectPr>
          <w:headerReference r:id="rId155" w:type="default"/>
          <w:footerReference r:id="rId156" w:type="default"/>
          <w:footerReference r:id="rId157" w:type="even"/>
          <w:type w:val="nextPage"/>
          <w:pgSz w:h="11920" w:w="16840" w:orient="landscape"/>
          <w:pgMar w:bottom="260" w:top="1100" w:left="900" w:right="900" w:header="0" w:footer="71"/>
          <w:pgNumType w:start="21"/>
        </w:sect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2"/>
        <w:tblW w:w="14780.999999999996"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68"/>
        <w:gridCol w:w="664"/>
        <w:gridCol w:w="806"/>
        <w:gridCol w:w="854"/>
        <w:gridCol w:w="915"/>
        <w:gridCol w:w="806"/>
        <w:gridCol w:w="1072"/>
        <w:gridCol w:w="914"/>
        <w:gridCol w:w="912"/>
        <w:gridCol w:w="806"/>
        <w:gridCol w:w="808"/>
        <w:gridCol w:w="806"/>
        <w:gridCol w:w="912"/>
        <w:gridCol w:w="808"/>
        <w:gridCol w:w="911"/>
        <w:gridCol w:w="911"/>
        <w:gridCol w:w="808"/>
        <w:tblGridChange w:id="0">
          <w:tblGrid>
            <w:gridCol w:w="1068"/>
            <w:gridCol w:w="664"/>
            <w:gridCol w:w="806"/>
            <w:gridCol w:w="854"/>
            <w:gridCol w:w="915"/>
            <w:gridCol w:w="806"/>
            <w:gridCol w:w="1072"/>
            <w:gridCol w:w="914"/>
            <w:gridCol w:w="912"/>
            <w:gridCol w:w="806"/>
            <w:gridCol w:w="808"/>
            <w:gridCol w:w="806"/>
            <w:gridCol w:w="912"/>
            <w:gridCol w:w="808"/>
            <w:gridCol w:w="911"/>
            <w:gridCol w:w="911"/>
            <w:gridCol w:w="808"/>
          </w:tblGrid>
        </w:tblGridChange>
      </w:tblGrid>
      <w:tr>
        <w:trPr>
          <w:cantSplit w:val="0"/>
          <w:trHeight w:val="844" w:hRule="atLeast"/>
          <w:tblHeader w:val="0"/>
        </w:trPr>
        <w:tc>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7" w:right="1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Anterior MI, %</w:t>
            </w:r>
          </w:p>
        </w:tc>
        <w:tc>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43.8</w:t>
            </w:r>
          </w:p>
        </w:tc>
        <w:tc>
          <w:tcPr/>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65.1</w:t>
            </w:r>
          </w:p>
        </w:tc>
        <w:tc>
          <w:tcPr/>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40.7</w:t>
            </w:r>
          </w:p>
        </w:tc>
        <w:tc>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44.4</w:t>
            </w:r>
          </w:p>
        </w:tc>
        <w:tc>
          <w:tcPr/>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40.3</w:t>
            </w:r>
          </w:p>
        </w:tc>
        <w:tc>
          <w:tcPr/>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47.3</w:t>
            </w:r>
          </w:p>
        </w:tc>
      </w:tr>
      <w:tr>
        <w:trPr>
          <w:cantSplit w:val="0"/>
          <w:trHeight w:val="635" w:hRule="atLeast"/>
          <w:tblHeader w:val="0"/>
        </w:trPr>
        <w:tc>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MVD,</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22.7</w:t>
            </w:r>
          </w:p>
        </w:tc>
        <w:tc>
          <w:tcPr/>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c>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51.9</w:t>
            </w:r>
          </w:p>
        </w:tc>
        <w:tc>
          <w:tcPr/>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56.1</w:t>
            </w:r>
          </w:p>
        </w:tc>
        <w:tc>
          <w:tcPr/>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45.6</w:t>
            </w:r>
          </w:p>
        </w:tc>
        <w:tc>
          <w:tcPr/>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51.8</w:t>
            </w:r>
          </w:p>
        </w:tc>
        <w:tc>
          <w:tcPr/>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635" w:hRule="atLeast"/>
          <w:tblHeader w:val="0"/>
        </w:trPr>
        <w:tc>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GPI</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w:t>
            </w:r>
          </w:p>
        </w:tc>
        <w:tc>
          <w:tcPr/>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52.1</w:t>
            </w:r>
          </w:p>
        </w:tc>
        <w:tc>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tc>
        <w:tc>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w:t>
            </w:r>
          </w:p>
        </w:tc>
        <w:tc>
          <w:tcPr/>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w:t>
            </w:r>
          </w:p>
        </w:tc>
        <w:tc>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33.3</w:t>
            </w:r>
          </w:p>
        </w:tc>
        <w:tc>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r>
    </w:tbl>
    <w:p w:rsidR="00000000" w:rsidDel="00000000" w:rsidP="00000000" w:rsidRDefault="00000000" w:rsidRPr="00000000" w14:paraId="000005A1">
      <w:pPr>
        <w:spacing w:before="233" w:lineRule="auto"/>
        <w:ind w:left="232" w:right="0" w:firstLine="0"/>
        <w:jc w:val="left"/>
        <w:rPr>
          <w:sz w:val="24"/>
          <w:szCs w:val="24"/>
        </w:rPr>
      </w:pPr>
      <w:r w:rsidDel="00000000" w:rsidR="00000000" w:rsidRPr="00000000">
        <w:rPr>
          <w:b w:val="1"/>
          <w:sz w:val="24"/>
          <w:szCs w:val="24"/>
          <w:rtl w:val="0"/>
        </w:rPr>
        <w:t xml:space="preserve">(Continued) Supplementary Table 3. </w:t>
      </w:r>
      <w:r w:rsidDel="00000000" w:rsidR="00000000" w:rsidRPr="00000000">
        <w:rPr>
          <w:sz w:val="24"/>
          <w:szCs w:val="24"/>
          <w:rtl w:val="0"/>
        </w:rPr>
        <w:t xml:space="preserve">Baseline features of the included studies.</w:t>
      </w:r>
      <w:r w:rsidDel="00000000" w:rsidR="00000000" w:rsidRPr="00000000">
        <w:rPr>
          <w:sz w:val="24"/>
          <w:szCs w:val="24"/>
          <w:vertAlign w:val="superscript"/>
          <w:rtl w:val="0"/>
        </w:rPr>
        <w:t xml:space="preserve">a</w:t>
      </w: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14794.000000000004"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71"/>
        <w:gridCol w:w="912"/>
        <w:gridCol w:w="809"/>
        <w:gridCol w:w="857"/>
        <w:gridCol w:w="810"/>
        <w:gridCol w:w="915"/>
        <w:gridCol w:w="807"/>
        <w:gridCol w:w="809"/>
        <w:gridCol w:w="809"/>
        <w:gridCol w:w="912"/>
        <w:gridCol w:w="914"/>
        <w:gridCol w:w="914"/>
        <w:gridCol w:w="915"/>
        <w:gridCol w:w="809"/>
        <w:gridCol w:w="807"/>
        <w:gridCol w:w="809"/>
        <w:gridCol w:w="915"/>
        <w:tblGridChange w:id="0">
          <w:tblGrid>
            <w:gridCol w:w="1071"/>
            <w:gridCol w:w="912"/>
            <w:gridCol w:w="809"/>
            <w:gridCol w:w="857"/>
            <w:gridCol w:w="810"/>
            <w:gridCol w:w="915"/>
            <w:gridCol w:w="807"/>
            <w:gridCol w:w="809"/>
            <w:gridCol w:w="809"/>
            <w:gridCol w:w="912"/>
            <w:gridCol w:w="914"/>
            <w:gridCol w:w="914"/>
            <w:gridCol w:w="915"/>
            <w:gridCol w:w="809"/>
            <w:gridCol w:w="807"/>
            <w:gridCol w:w="809"/>
            <w:gridCol w:w="915"/>
          </w:tblGrid>
        </w:tblGridChange>
      </w:tblGrid>
      <w:tr>
        <w:trPr>
          <w:cantSplit w:val="0"/>
          <w:trHeight w:val="1588" w:hRule="atLeast"/>
          <w:tblHeader w:val="0"/>
        </w:trPr>
        <w:tc>
          <w:tcPr/>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 year</w:t>
            </w:r>
          </w:p>
        </w:tc>
        <w:tc>
          <w:tcPr/>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3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Leksto n, 2014</w:t>
            </w:r>
          </w:p>
        </w:tc>
        <w:tc>
          <w:tcPr/>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7" w:right="2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Liu, 2014</w:t>
            </w:r>
          </w:p>
        </w:tc>
        <w:tc>
          <w:tcPr/>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7" w:right="23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Wan, 2014</w:t>
            </w:r>
          </w:p>
        </w:tc>
        <w:tc>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Ghaff ari, 2015</w:t>
            </w:r>
          </w:p>
        </w:tc>
        <w:tc>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4" w:right="3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 2015</w:t>
            </w:r>
          </w:p>
        </w:tc>
        <w:tc>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 ta, 2015</w:t>
            </w:r>
          </w:p>
        </w:tc>
        <w:tc>
          <w:tcPr/>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5" w:right="20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 2016</w:t>
            </w:r>
          </w:p>
        </w:tc>
        <w:tc>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2"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Ranjit h, 2016</w:t>
            </w:r>
          </w:p>
        </w:tc>
        <w:tc>
          <w:tcPr/>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2" w:right="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 2016</w:t>
            </w:r>
          </w:p>
        </w:tc>
        <w:tc>
          <w:tcPr/>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Wasile wski, 2016</w:t>
            </w:r>
          </w:p>
        </w:tc>
        <w:tc>
          <w:tcPr/>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Tongto ng Yu, 2017</w:t>
            </w:r>
          </w:p>
        </w:tc>
        <w:tc>
          <w:tcPr/>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3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Gina Yu, 2017</w:t>
            </w:r>
          </w:p>
        </w:tc>
        <w:tc>
          <w:tcPr/>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106" w:right="2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w:t>
            </w:r>
          </w:p>
        </w:tc>
        <w:tc>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1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Mach ado, 2018</w:t>
            </w:r>
          </w:p>
        </w:tc>
        <w:tc>
          <w:tcPr/>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 eiro Júnior</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2018</w:t>
            </w:r>
          </w:p>
        </w:tc>
        <w:tc>
          <w:tcPr/>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5" w:right="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Niu, 2018</w:t>
            </w:r>
          </w:p>
        </w:tc>
      </w:tr>
      <w:tr>
        <w:trPr>
          <w:cantSplit w:val="0"/>
          <w:trHeight w:val="633" w:hRule="atLeast"/>
          <w:tblHeader w:val="0"/>
        </w:trPr>
        <w:tc>
          <w:tcPr/>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Country</w:t>
            </w:r>
          </w:p>
        </w:tc>
        <w:tc>
          <w:tcPr/>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Poland</w:t>
            </w:r>
          </w:p>
        </w:tc>
        <w:tc>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Iran</w:t>
            </w:r>
          </w:p>
        </w:tc>
        <w:tc>
          <w:tcPr/>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Arge</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ntina</w:t>
            </w:r>
          </w:p>
        </w:tc>
        <w:tc>
          <w:tcPr/>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India</w:t>
            </w:r>
          </w:p>
        </w:tc>
        <w:tc>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Poland</w:t>
            </w:r>
          </w:p>
        </w:tc>
        <w:tc>
          <w:tcPr/>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Pakist</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t>
            </w:r>
          </w:p>
        </w:tc>
        <w:tc>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Brazil</w:t>
            </w:r>
          </w:p>
        </w:tc>
        <w:tc>
          <w:tcPr/>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Brazil</w:t>
            </w:r>
          </w:p>
        </w:tc>
        <w:tc>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r>
      <w:tr>
        <w:trPr>
          <w:cantSplit w:val="0"/>
          <w:trHeight w:val="1588" w:hRule="atLeast"/>
          <w:tblHeader w:val="0"/>
        </w:trPr>
        <w:tc>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3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design</w:t>
            </w:r>
          </w:p>
        </w:tc>
        <w:tc>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4"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2"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2" w:right="1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1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cohort</w:t>
            </w:r>
            <w:r w:rsidDel="00000000" w:rsidR="00000000" w:rsidRPr="00000000">
              <w:rPr>
                <w:rtl w:val="0"/>
              </w:rPr>
            </w:r>
          </w:p>
        </w:tc>
        <w:tc>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tl w:val="0"/>
              </w:rPr>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cohort</w:t>
            </w:r>
          </w:p>
        </w:tc>
      </w:tr>
      <w:tr>
        <w:trPr>
          <w:cantSplit w:val="0"/>
          <w:trHeight w:val="952" w:hRule="atLeast"/>
          <w:tblHeader w:val="0"/>
        </w:trPr>
        <w:tc>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8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up,</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months</w:t>
            </w:r>
          </w:p>
        </w:tc>
        <w:tc>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sz w:val="24"/>
                <w:szCs w:val="24"/>
                <w:rtl w:val="0"/>
              </w:rPr>
              <w:t xml:space="preserve">hospital</w:t>
            </w:r>
            <w:r w:rsidDel="00000000" w:rsidR="00000000" w:rsidRPr="00000000">
              <w:rPr>
                <w:rtl w:val="0"/>
              </w:rPr>
            </w:r>
          </w:p>
        </w:tc>
        <w:tc>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c>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w:t>
            </w:r>
          </w:p>
        </w:tc>
        <w:tc>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56.9</w:t>
            </w:r>
          </w:p>
        </w:tc>
        <w:tc>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sz w:val="24"/>
                <w:szCs w:val="24"/>
                <w:rtl w:val="0"/>
              </w:rPr>
              <w:t xml:space="preserve">hospital</w:t>
            </w:r>
            <w:r w:rsidDel="00000000" w:rsidR="00000000" w:rsidRPr="00000000">
              <w:rPr>
                <w:rtl w:val="0"/>
              </w:rPr>
            </w:r>
          </w:p>
        </w:tc>
        <w:tc>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sz w:val="24"/>
                <w:szCs w:val="24"/>
                <w:rtl w:val="0"/>
              </w:rPr>
              <w:t xml:space="preserve">hospital</w:t>
            </w:r>
            <w:r w:rsidDel="00000000" w:rsidR="00000000" w:rsidRPr="00000000">
              <w:rPr>
                <w:rtl w:val="0"/>
              </w:rPr>
            </w:r>
          </w:p>
        </w:tc>
        <w:tc>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635" w:hRule="atLeast"/>
          <w:tblHeader w:val="0"/>
        </w:trPr>
        <w:tc>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size, n</w:t>
            </w:r>
          </w:p>
        </w:tc>
        <w:tc>
          <w:tcPr/>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1557</w:t>
            </w:r>
          </w:p>
        </w:tc>
        <w:tc>
          <w:tcPr/>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tc>
        <w:tc>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286</w:t>
            </w:r>
          </w:p>
        </w:tc>
        <w:tc>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w:t>
            </w:r>
          </w:p>
        </w:tc>
        <w:tc>
          <w:tcPr/>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649</w:t>
            </w:r>
          </w:p>
        </w:tc>
        <w:tc>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w:t>
            </w:r>
          </w:p>
        </w:tc>
        <w:tc>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453</w:t>
            </w:r>
          </w:p>
        </w:tc>
        <w:tc>
          <w:tcPr/>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1206</w:t>
            </w:r>
          </w:p>
        </w:tc>
        <w:tc>
          <w:tcPr/>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1836</w:t>
            </w:r>
          </w:p>
        </w:tc>
        <w:tc>
          <w:tcPr/>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1001</w:t>
            </w:r>
          </w:p>
        </w:tc>
        <w:tc>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887</w:t>
            </w:r>
          </w:p>
        </w:tc>
        <w:tc>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608</w:t>
            </w:r>
          </w:p>
        </w:tc>
        <w:tc>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w:t>
            </w:r>
          </w:p>
        </w:tc>
        <w:tc>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625</w:t>
            </w:r>
          </w:p>
        </w:tc>
        <w:tc>
          <w:tcPr/>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466</w:t>
            </w:r>
          </w:p>
        </w:tc>
        <w:tc>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2693</w:t>
            </w:r>
          </w:p>
        </w:tc>
      </w:tr>
    </w:tbl>
    <w:p w:rsidR="00000000" w:rsidDel="00000000" w:rsidP="00000000" w:rsidRDefault="00000000" w:rsidRPr="00000000" w14:paraId="00000602">
      <w:pPr>
        <w:spacing w:after="0" w:line="270" w:lineRule="auto"/>
        <w:ind w:firstLine="0"/>
        <w:rPr>
          <w:sz w:val="24"/>
          <w:szCs w:val="24"/>
        </w:rPr>
        <w:sectPr>
          <w:headerReference r:id="rId158" w:type="even"/>
          <w:type w:val="nextPage"/>
          <w:pgSz w:h="11920" w:w="16840" w:orient="landscape"/>
          <w:pgMar w:bottom="260" w:top="1100" w:left="900" w:right="900" w:header="0" w:footer="0"/>
        </w:sect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4"/>
        <w:tblW w:w="14794.000000000004"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71"/>
        <w:gridCol w:w="912"/>
        <w:gridCol w:w="809"/>
        <w:gridCol w:w="857"/>
        <w:gridCol w:w="810"/>
        <w:gridCol w:w="915"/>
        <w:gridCol w:w="807"/>
        <w:gridCol w:w="809"/>
        <w:gridCol w:w="809"/>
        <w:gridCol w:w="912"/>
        <w:gridCol w:w="914"/>
        <w:gridCol w:w="914"/>
        <w:gridCol w:w="915"/>
        <w:gridCol w:w="809"/>
        <w:gridCol w:w="807"/>
        <w:gridCol w:w="809"/>
        <w:gridCol w:w="915"/>
        <w:tblGridChange w:id="0">
          <w:tblGrid>
            <w:gridCol w:w="1071"/>
            <w:gridCol w:w="912"/>
            <w:gridCol w:w="809"/>
            <w:gridCol w:w="857"/>
            <w:gridCol w:w="810"/>
            <w:gridCol w:w="915"/>
            <w:gridCol w:w="807"/>
            <w:gridCol w:w="809"/>
            <w:gridCol w:w="809"/>
            <w:gridCol w:w="912"/>
            <w:gridCol w:w="914"/>
            <w:gridCol w:w="914"/>
            <w:gridCol w:w="915"/>
            <w:gridCol w:w="809"/>
            <w:gridCol w:w="807"/>
            <w:gridCol w:w="809"/>
            <w:gridCol w:w="915"/>
          </w:tblGrid>
        </w:tblGridChange>
      </w:tblGrid>
      <w:tr>
        <w:trPr>
          <w:cantSplit w:val="0"/>
          <w:trHeight w:val="3175" w:hRule="atLeast"/>
          <w:tblHeader w:val="0"/>
        </w:trPr>
        <w:tc>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7"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Diagnosis</w:t>
            </w:r>
            <w:r w:rsidDel="00000000" w:rsidR="00000000" w:rsidRPr="00000000">
              <w:rPr>
                <w:rtl w:val="0"/>
              </w:rPr>
            </w:r>
          </w:p>
        </w:tc>
        <w:tc>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4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2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 EMI, 100%</w:t>
            </w:r>
          </w:p>
        </w:tc>
        <w:tc>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ACS</w:t>
            </w:r>
          </w:p>
        </w:tc>
        <w:tc>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4" w:right="1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1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22%; NST EMI, 26.8</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2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UA 51.2</w:t>
            </w:r>
          </w:p>
        </w:tc>
        <w:tc>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2" w:right="1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66.09</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2" w:right="1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NST EMI, 33.91</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2" w:right="1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NSTE MI, 100%</w:t>
            </w:r>
          </w:p>
        </w:tc>
        <w:tc>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NSTE MI, 100%</w:t>
            </w:r>
          </w:p>
        </w:tc>
        <w:tc>
          <w:tcPr/>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1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100%</w:t>
            </w:r>
          </w:p>
        </w:tc>
        <w:tc>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25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39.6</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1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NST EMI, 26.4</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6" w:right="33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UA</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3" w:right="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 100%</w:t>
            </w:r>
          </w:p>
        </w:tc>
        <w:tc>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05" w:right="2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 MI,</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 NST EMI, 30%</w:t>
            </w:r>
          </w:p>
        </w:tc>
        <w:tc>
          <w:tcPr/>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5" w:right="1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 I, 49.43; NST- ACS, 50.57</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952" w:hRule="atLeast"/>
          <w:tblHeader w:val="0"/>
        </w:trPr>
        <w:tc>
          <w:tcPr/>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3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age,</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c</w:t>
            </w:r>
            <w:r w:rsidDel="00000000" w:rsidR="00000000" w:rsidRPr="00000000">
              <w:rPr>
                <w:rtl w:val="0"/>
              </w:rPr>
            </w:r>
          </w:p>
        </w:tc>
        <w:tc>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61.9±9</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66.8±</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p>
        </w:tc>
        <w:tc>
          <w:tcPr/>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59.4±</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60±1</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59.1±1</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74±7</w:t>
            </w:r>
          </w:p>
        </w:tc>
        <w:tc>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56.2±</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p>
        </w:tc>
        <w:tc>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56±1</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61.1±1</w:t>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64.7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tc>
        <w:tc>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62.5±1</w: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62.7±1</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55.1±</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tc>
        <w:tc>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64.2±</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p>
        </w:tc>
        <w:tc>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61.1±1</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rHeight w:val="632" w:hRule="atLeast"/>
          <w:tblHeader w:val="0"/>
        </w:trPr>
        <w:tc>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Males,</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67.6</w:t>
            </w:r>
          </w:p>
        </w:tc>
        <w:tc>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65.8</w:t>
            </w:r>
          </w:p>
        </w:tc>
        <w:tc>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61.2</w:t>
            </w:r>
          </w:p>
        </w:tc>
        <w:tc>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82.2</w:t>
            </w:r>
          </w:p>
        </w:tc>
        <w:tc>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82.3</w:t>
            </w:r>
          </w:p>
        </w:tc>
        <w:tc>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56.4</w:t>
            </w:r>
          </w:p>
        </w:tc>
        <w:tc>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84.5</w:t>
            </w:r>
          </w:p>
        </w:tc>
        <w:tc>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77.4</w:t>
            </w:r>
          </w:p>
        </w:tc>
        <w:tc>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71.3</w:t>
            </w:r>
          </w:p>
        </w:tc>
        <w:tc>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66.6</w:t>
            </w:r>
          </w:p>
        </w:tc>
        <w:tc>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67.3</w:t>
            </w:r>
          </w:p>
        </w:tc>
        <w:tc>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79.1</w:t>
            </w:r>
          </w:p>
        </w:tc>
        <w:tc>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65.2</w:t>
            </w:r>
          </w:p>
        </w:tc>
        <w:tc>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67.5</w:t>
            </w:r>
          </w:p>
        </w:tc>
        <w:tc>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61.6</w:t>
            </w:r>
          </w:p>
        </w:tc>
        <w:tc>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75.8</w:t>
            </w:r>
          </w:p>
        </w:tc>
      </w:tr>
      <w:tr>
        <w:trPr>
          <w:cantSplit w:val="0"/>
          <w:trHeight w:val="847" w:hRule="atLeast"/>
          <w:tblHeader w:val="0"/>
        </w:trPr>
        <w:tc>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Hypertension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63.8</w:t>
            </w:r>
          </w:p>
        </w:tc>
        <w:tc>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41.9</w:t>
            </w:r>
          </w:p>
        </w:tc>
        <w:tc>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37.7</w:t>
            </w:r>
          </w:p>
        </w:tc>
        <w:tc>
          <w:tcPr/>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45.8</w:t>
            </w:r>
          </w:p>
        </w:tc>
        <w:tc>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81.6</w:t>
            </w:r>
          </w:p>
        </w:tc>
        <w:tc>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41.5</w:t>
            </w:r>
          </w:p>
        </w:tc>
        <w:tc>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34.7</w:t>
            </w:r>
          </w:p>
        </w:tc>
        <w:tc>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57.9</w:t>
            </w:r>
          </w:p>
        </w:tc>
        <w:tc>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65.3</w:t>
            </w:r>
          </w:p>
        </w:tc>
        <w:tc>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w:t>
            </w:r>
          </w:p>
        </w:tc>
        <w:tc>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49.7</w:t>
            </w:r>
          </w:p>
        </w:tc>
        <w:tc>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70.4</w:t>
            </w:r>
          </w:p>
        </w:tc>
        <w:tc>
          <w:tcPr/>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tc>
        <w:tc>
          <w:tcPr/>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71.9</w:t>
            </w:r>
          </w:p>
        </w:tc>
        <w:tc>
          <w:tcPr/>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47.4</w:t>
            </w:r>
          </w:p>
        </w:tc>
      </w:tr>
      <w:tr>
        <w:trPr>
          <w:cantSplit w:val="0"/>
          <w:trHeight w:val="952" w:hRule="atLeast"/>
          <w:tblHeader w:val="0"/>
        </w:trPr>
        <w:tc>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0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Diabetes mellitus,</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34.6</w:t>
            </w:r>
          </w:p>
        </w:tc>
        <w:tc>
          <w:tcPr/>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w:t>
            </w:r>
          </w:p>
        </w:tc>
        <w:tc>
          <w:tcPr/>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p>
        </w:tc>
        <w:tc>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32.5</w:t>
            </w:r>
          </w:p>
        </w:tc>
        <w:tc>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w:t>
            </w:r>
          </w:p>
        </w:tc>
        <w:tc>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tc>
        <w:tc>
          <w:tcPr/>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27.9</w:t>
            </w:r>
          </w:p>
        </w:tc>
        <w:tc>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w:t>
            </w:r>
          </w:p>
        </w:tc>
        <w:tc>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35.8</w:t>
            </w:r>
          </w:p>
        </w:tc>
        <w:tc>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w:t>
            </w:r>
          </w:p>
        </w:tc>
        <w:tc>
          <w:tcPr/>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37.1</w:t>
            </w:r>
          </w:p>
        </w:tc>
        <w:tc>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20.8</w:t>
            </w:r>
          </w:p>
        </w:tc>
      </w:tr>
      <w:tr>
        <w:trPr>
          <w:cantSplit w:val="0"/>
          <w:trHeight w:val="844" w:hRule="atLeast"/>
          <w:tblHeader w:val="0"/>
        </w:trPr>
        <w:tc>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Dyslipidemia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w:t>
            </w:r>
          </w:p>
        </w:tc>
        <w:tc>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w:t>
            </w:r>
          </w:p>
        </w:tc>
        <w:tc>
          <w:tcPr/>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58.8</w:t>
            </w:r>
          </w:p>
        </w:tc>
        <w:tc>
          <w:tcPr/>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23.6</w:t>
            </w:r>
          </w:p>
        </w:tc>
        <w:tc>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55.9</w:t>
            </w:r>
          </w:p>
        </w:tc>
        <w:tc>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w:t>
            </w:r>
          </w:p>
        </w:tc>
        <w:tc>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c>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38.2</w:t>
            </w:r>
          </w:p>
        </w:tc>
        <w:tc>
          <w:tcPr/>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70.8</w:t>
            </w:r>
          </w:p>
        </w:tc>
      </w:tr>
      <w:tr>
        <w:trPr>
          <w:cantSplit w:val="0"/>
          <w:trHeight w:val="636" w:hRule="atLeast"/>
          <w:tblHeader w:val="0"/>
        </w:trPr>
        <w:tc>
          <w:tcPr/>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Smokin</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w:t>
            </w:r>
          </w:p>
        </w:tc>
        <w:tc>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36.9</w:t>
            </w:r>
          </w:p>
        </w:tc>
        <w:tc>
          <w:tcPr/>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46.8</w:t>
            </w:r>
          </w:p>
        </w:tc>
        <w:tc>
          <w:tcPr/>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40.8</w:t>
            </w:r>
          </w:p>
        </w:tc>
        <w:tc>
          <w:tcPr/>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30.7</w:t>
            </w:r>
          </w:p>
        </w:tc>
        <w:tc>
          <w:tcPr/>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29.8</w:t>
            </w:r>
          </w:p>
        </w:tc>
        <w:tc>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w:t>
            </w:r>
          </w:p>
        </w:tc>
        <w:tc>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p>
        </w:tc>
        <w:tc>
          <w:tcPr/>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48.8</w:t>
            </w:r>
          </w:p>
        </w:tc>
        <w:tc>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29.2</w:t>
            </w:r>
          </w:p>
        </w:tc>
        <w:tc>
          <w:tcPr/>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w:t>
            </w:r>
          </w:p>
        </w:tc>
        <w:tc>
          <w:tcPr/>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41.6</w:t>
            </w:r>
          </w:p>
        </w:tc>
        <w:tc>
          <w:tcPr/>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50.4</w:t>
            </w:r>
          </w:p>
        </w:tc>
      </w:tr>
      <w:tr>
        <w:trPr>
          <w:cantSplit w:val="0"/>
          <w:trHeight w:val="844" w:hRule="atLeast"/>
          <w:tblHeader w:val="0"/>
        </w:trPr>
        <w:tc>
          <w:tcPr/>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0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Previous MI, %</w:t>
            </w:r>
          </w:p>
        </w:tc>
        <w:tc>
          <w:tcPr/>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28.3</w:t>
            </w:r>
          </w:p>
        </w:tc>
        <w:tc>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20.8</w:t>
            </w:r>
          </w:p>
        </w:tc>
        <w:tc>
          <w:tcPr/>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c>
          <w:tcPr/>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34.7</w:t>
            </w:r>
          </w:p>
        </w:tc>
        <w:tc>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r>
    </w:tbl>
    <w:p w:rsidR="00000000" w:rsidDel="00000000" w:rsidP="00000000" w:rsidRDefault="00000000" w:rsidRPr="00000000" w14:paraId="000006A7">
      <w:pPr>
        <w:spacing w:after="0" w:line="270" w:lineRule="auto"/>
        <w:ind w:firstLine="0"/>
        <w:rPr>
          <w:sz w:val="24"/>
          <w:szCs w:val="24"/>
        </w:rPr>
        <w:sectPr>
          <w:headerReference r:id="rId159" w:type="default"/>
          <w:footerReference r:id="rId160" w:type="default"/>
          <w:footerReference r:id="rId161" w:type="even"/>
          <w:type w:val="nextPage"/>
          <w:pgSz w:h="11920" w:w="16840" w:orient="landscape"/>
          <w:pgMar w:bottom="260" w:top="1100" w:left="900" w:right="900" w:header="0" w:footer="71"/>
          <w:pgNumType w:start="23"/>
        </w:sectPr>
      </w:pPr>
      <w:r w:rsidDel="00000000" w:rsidR="00000000" w:rsidRPr="00000000">
        <w:rPr>
          <w:rtl w:val="0"/>
        </w:rPr>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5"/>
        <w:tblW w:w="14794.000000000004"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71"/>
        <w:gridCol w:w="912"/>
        <w:gridCol w:w="809"/>
        <w:gridCol w:w="857"/>
        <w:gridCol w:w="810"/>
        <w:gridCol w:w="915"/>
        <w:gridCol w:w="807"/>
        <w:gridCol w:w="809"/>
        <w:gridCol w:w="809"/>
        <w:gridCol w:w="912"/>
        <w:gridCol w:w="914"/>
        <w:gridCol w:w="914"/>
        <w:gridCol w:w="915"/>
        <w:gridCol w:w="809"/>
        <w:gridCol w:w="807"/>
        <w:gridCol w:w="809"/>
        <w:gridCol w:w="915"/>
        <w:tblGridChange w:id="0">
          <w:tblGrid>
            <w:gridCol w:w="1071"/>
            <w:gridCol w:w="912"/>
            <w:gridCol w:w="809"/>
            <w:gridCol w:w="857"/>
            <w:gridCol w:w="810"/>
            <w:gridCol w:w="915"/>
            <w:gridCol w:w="807"/>
            <w:gridCol w:w="809"/>
            <w:gridCol w:w="809"/>
            <w:gridCol w:w="912"/>
            <w:gridCol w:w="914"/>
            <w:gridCol w:w="914"/>
            <w:gridCol w:w="915"/>
            <w:gridCol w:w="809"/>
            <w:gridCol w:w="807"/>
            <w:gridCol w:w="809"/>
            <w:gridCol w:w="915"/>
          </w:tblGrid>
        </w:tblGridChange>
      </w:tblGrid>
      <w:tr>
        <w:trPr>
          <w:cantSplit w:val="0"/>
          <w:trHeight w:val="1269" w:hRule="atLeast"/>
          <w:tblHeader w:val="0"/>
        </w:trPr>
        <w:tc>
          <w:tcPr/>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2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history of</w:t>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 %</w:t>
            </w:r>
          </w:p>
        </w:tc>
        <w:tc>
          <w:tcPr/>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c>
          <w:tcPr/>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w:t>
            </w:r>
          </w:p>
        </w:tc>
        <w:tc>
          <w:tcPr/>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24.6</w:t>
            </w:r>
          </w:p>
        </w:tc>
        <w:tc>
          <w:tcPr/>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47.2</w:t>
            </w:r>
          </w:p>
        </w:tc>
        <w:tc>
          <w:tcPr/>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952" w:hRule="atLeast"/>
          <w:tblHeader w:val="0"/>
        </w:trPr>
        <w:tc>
          <w:tcPr/>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2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History of</w:t>
            </w:r>
          </w:p>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PCI, %</w:t>
            </w:r>
          </w:p>
        </w:tc>
        <w:tc>
          <w:tcPr/>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w:t>
            </w:r>
          </w:p>
        </w:tc>
        <w:tc>
          <w:tcPr/>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w:t>
            </w:r>
          </w:p>
        </w:tc>
        <w:tc>
          <w:tcPr/>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c>
          <w:tcPr/>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p>
        </w:tc>
        <w:tc>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w:t>
            </w:r>
          </w:p>
        </w:tc>
        <w:tc>
          <w:tcPr/>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7" w:hRule="atLeast"/>
          <w:tblHeader w:val="0"/>
        </w:trPr>
        <w:tc>
          <w:tcPr/>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BMI,</w:t>
            </w:r>
          </w:p>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kg/m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26±1.9</w:t>
            </w:r>
          </w:p>
        </w:tc>
        <w:tc>
          <w:tcPr/>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25.8±3</w:t>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w:t>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28.6±4</w:t>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27.32</w:t>
            </w:r>
          </w:p>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±8.68</w:t>
            </w:r>
          </w:p>
        </w:tc>
        <w:tc>
          <w:tcPr/>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24.1±2</w:t>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952" w:hRule="atLeast"/>
          <w:tblHeader w:val="0"/>
        </w:trPr>
        <w:tc>
          <w:tcPr/>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Baseline SBP,</w:t>
            </w:r>
          </w:p>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mmHg</w:t>
            </w:r>
          </w:p>
        </w:tc>
        <w:tc>
          <w:tcPr/>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120.4</w:t>
            </w:r>
          </w:p>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E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121.3±</w:t>
            </w:r>
          </w:p>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w:t>
            </w:r>
          </w:p>
          <w:p w:rsidR="00000000" w:rsidDel="00000000" w:rsidP="00000000" w:rsidRDefault="00000000" w:rsidRPr="00000000" w14:paraId="000006E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6E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121.1</w:t>
            </w:r>
          </w:p>
          <w:p w:rsidR="00000000" w:rsidDel="00000000" w:rsidP="00000000" w:rsidRDefault="00000000" w:rsidRPr="00000000" w14:paraId="000006F0">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w:t>
            </w:r>
          </w:p>
        </w:tc>
        <w:tc>
          <w:tcPr/>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F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150.8±</w:t>
            </w:r>
          </w:p>
          <w:p w:rsidR="00000000" w:rsidDel="00000000" w:rsidP="00000000" w:rsidRDefault="00000000" w:rsidRPr="00000000" w14:paraId="000006F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28.7</w:t>
            </w:r>
          </w:p>
        </w:tc>
        <w:tc>
          <w:tcPr/>
          <w:p w:rsidR="00000000" w:rsidDel="00000000" w:rsidP="00000000" w:rsidRDefault="00000000" w:rsidRPr="00000000" w14:paraId="000006F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137.3±</w:t>
            </w:r>
          </w:p>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23.4</w:t>
            </w:r>
          </w:p>
        </w:tc>
        <w:tc>
          <w:tcPr/>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127±3</w:t>
            </w:r>
          </w:p>
          <w:p w:rsidR="00000000" w:rsidDel="00000000" w:rsidP="00000000" w:rsidRDefault="00000000" w:rsidRPr="00000000" w14:paraId="000006F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129.4</w:t>
            </w:r>
          </w:p>
          <w:p w:rsidR="00000000" w:rsidDel="00000000" w:rsidP="00000000" w:rsidRDefault="00000000" w:rsidRPr="00000000" w14:paraId="000006F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±29.4</w:t>
            </w:r>
          </w:p>
        </w:tc>
        <w:tc>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6F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124.1±</w:t>
            </w:r>
          </w:p>
          <w:p w:rsidR="00000000" w:rsidDel="00000000" w:rsidP="00000000" w:rsidRDefault="00000000" w:rsidRPr="00000000" w14:paraId="000006F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w:t>
            </w:r>
          </w:p>
        </w:tc>
      </w:tr>
      <w:tr>
        <w:trPr>
          <w:cantSplit w:val="0"/>
          <w:trHeight w:val="844" w:hRule="atLeast"/>
          <w:tblHeader w:val="0"/>
        </w:trPr>
        <w:tc>
          <w:tcPr/>
          <w:p w:rsidR="00000000" w:rsidDel="00000000" w:rsidP="00000000" w:rsidRDefault="00000000" w:rsidRPr="00000000" w14:paraId="000006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Glucose, mg/dl</w:t>
            </w:r>
          </w:p>
        </w:tc>
        <w:tc>
          <w:tcPr/>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156.8±</w:t>
            </w:r>
          </w:p>
          <w:p w:rsidR="00000000" w:rsidDel="00000000" w:rsidP="00000000" w:rsidRDefault="00000000" w:rsidRPr="00000000" w14:paraId="00000701">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c>
          <w:tcPr/>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102.7</w:t>
            </w:r>
          </w:p>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±39.6</w:t>
            </w:r>
          </w:p>
        </w:tc>
        <w:tc>
          <w:tcPr/>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w:t>
            </w:r>
          </w:p>
          <w:p w:rsidR="00000000" w:rsidDel="00000000" w:rsidP="00000000" w:rsidRDefault="00000000" w:rsidRPr="00000000" w14:paraId="0000070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p w:rsidR="00000000" w:rsidDel="00000000" w:rsidP="00000000" w:rsidRDefault="00000000" w:rsidRPr="00000000" w14:paraId="0000070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113.5±</w:t>
            </w:r>
          </w:p>
          <w:p w:rsidR="00000000" w:rsidDel="00000000" w:rsidP="00000000" w:rsidRDefault="00000000" w:rsidRPr="00000000" w14:paraId="0000070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42.3</w:t>
            </w:r>
          </w:p>
        </w:tc>
        <w:tc>
          <w:tcPr/>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100.9</w:t>
            </w:r>
          </w:p>
          <w:p w:rsidR="00000000" w:rsidDel="00000000" w:rsidP="00000000" w:rsidRDefault="00000000" w:rsidRPr="00000000" w14:paraId="0000070B">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±31.5</w:t>
            </w:r>
          </w:p>
        </w:tc>
        <w:tc>
          <w:tcPr/>
          <w:p w:rsidR="00000000" w:rsidDel="00000000" w:rsidP="00000000" w:rsidRDefault="00000000" w:rsidRPr="00000000" w14:paraId="0000070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105.6±</w:t>
            </w:r>
          </w:p>
          <w:p w:rsidR="00000000" w:rsidDel="00000000" w:rsidP="00000000" w:rsidRDefault="00000000" w:rsidRPr="00000000" w14:paraId="0000070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116.4</w:t>
            </w:r>
          </w:p>
        </w:tc>
        <w:tc>
          <w:tcPr/>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113.8±</w:t>
            </w:r>
          </w:p>
          <w:p w:rsidR="00000000" w:rsidDel="00000000" w:rsidP="00000000" w:rsidRDefault="00000000" w:rsidRPr="00000000" w14:paraId="0000071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39.2</w:t>
            </w:r>
          </w:p>
        </w:tc>
      </w:tr>
      <w:tr>
        <w:trPr>
          <w:cantSplit w:val="0"/>
          <w:trHeight w:val="952" w:hRule="atLeast"/>
          <w:tblHeader w:val="0"/>
        </w:trPr>
        <w:tc>
          <w:tcPr/>
          <w:p w:rsidR="00000000" w:rsidDel="00000000" w:rsidP="00000000" w:rsidRDefault="00000000" w:rsidRPr="00000000" w14:paraId="000007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Cholesterol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71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231.7</w:t>
            </w:r>
          </w:p>
        </w:tc>
        <w:tc>
          <w:tcPr/>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150.2</w:t>
            </w:r>
          </w:p>
          <w:p w:rsidR="00000000" w:rsidDel="00000000" w:rsidP="00000000" w:rsidRDefault="00000000" w:rsidRPr="00000000" w14:paraId="0000071C">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±27.6</w:t>
            </w:r>
          </w:p>
        </w:tc>
        <w:tc>
          <w:tcPr/>
          <w:p w:rsidR="00000000" w:rsidDel="00000000" w:rsidP="00000000" w:rsidRDefault="00000000" w:rsidRPr="00000000" w14:paraId="0000071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1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183.4±</w:t>
            </w:r>
          </w:p>
          <w:p w:rsidR="00000000" w:rsidDel="00000000" w:rsidP="00000000" w:rsidRDefault="00000000" w:rsidRPr="00000000" w14:paraId="0000071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37.1</w:t>
            </w:r>
          </w:p>
        </w:tc>
        <w:tc>
          <w:tcPr/>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184.6</w:t>
            </w:r>
          </w:p>
          <w:p w:rsidR="00000000" w:rsidDel="00000000" w:rsidP="00000000" w:rsidRDefault="00000000" w:rsidRPr="00000000" w14:paraId="00000722">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±32.8</w:t>
            </w:r>
          </w:p>
        </w:tc>
        <w:tc>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185.5</w:t>
            </w:r>
          </w:p>
          <w:p w:rsidR="00000000" w:rsidDel="00000000" w:rsidP="00000000" w:rsidRDefault="00000000" w:rsidRPr="00000000" w14:paraId="00000724">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±45.4</w:t>
            </w:r>
          </w:p>
        </w:tc>
        <w:tc>
          <w:tcPr/>
          <w:p w:rsidR="00000000" w:rsidDel="00000000" w:rsidP="00000000" w:rsidRDefault="00000000" w:rsidRPr="00000000" w14:paraId="0000072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172.2±</w:t>
            </w:r>
          </w:p>
          <w:p w:rsidR="00000000" w:rsidDel="00000000" w:rsidP="00000000" w:rsidRDefault="00000000" w:rsidRPr="00000000" w14:paraId="0000072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952" w:hRule="atLeast"/>
          <w:tblHeader w:val="0"/>
        </w:trPr>
        <w:tc>
          <w:tcPr/>
          <w:p w:rsidR="00000000" w:rsidDel="00000000" w:rsidP="00000000" w:rsidRDefault="00000000" w:rsidRPr="00000000" w14:paraId="0000072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LDL-C,</w:t>
            </w:r>
          </w:p>
          <w:p w:rsidR="00000000" w:rsidDel="00000000" w:rsidP="00000000" w:rsidRDefault="00000000" w:rsidRPr="00000000" w14:paraId="0000072F">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73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146.7</w:t>
            </w:r>
          </w:p>
        </w:tc>
        <w:tc>
          <w:tcPr/>
          <w:p w:rsidR="00000000" w:rsidDel="00000000" w:rsidP="00000000" w:rsidRDefault="00000000" w:rsidRPr="00000000" w14:paraId="0000073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107.4</w:t>
            </w:r>
          </w:p>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8±39.</w:t>
            </w:r>
          </w:p>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101.2±</w:t>
            </w:r>
          </w:p>
          <w:p w:rsidR="00000000" w:rsidDel="00000000" w:rsidP="00000000" w:rsidRDefault="00000000" w:rsidRPr="00000000" w14:paraId="00000737">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33.2</w:t>
            </w:r>
          </w:p>
        </w:tc>
        <w:tc>
          <w:tcPr/>
          <w:p w:rsidR="00000000" w:rsidDel="00000000" w:rsidP="00000000" w:rsidRDefault="00000000" w:rsidRPr="00000000" w14:paraId="0000073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3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102.3</w:t>
            </w:r>
          </w:p>
          <w:p w:rsidR="00000000" w:rsidDel="00000000" w:rsidP="00000000" w:rsidRDefault="00000000" w:rsidRPr="00000000" w14:paraId="0000073A">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119.7</w:t>
            </w:r>
          </w:p>
          <w:p w:rsidR="00000000" w:rsidDel="00000000" w:rsidP="00000000" w:rsidRDefault="00000000" w:rsidRPr="00000000" w14:paraId="0000073C">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±54.3</w:t>
            </w:r>
          </w:p>
        </w:tc>
        <w:tc>
          <w:tcPr/>
          <w:p w:rsidR="00000000" w:rsidDel="00000000" w:rsidP="00000000" w:rsidRDefault="00000000" w:rsidRPr="00000000" w14:paraId="0000073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94.2±1</w:t>
            </w:r>
          </w:p>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97.7±3</w:t>
            </w:r>
          </w:p>
          <w:p w:rsidR="00000000" w:rsidDel="00000000" w:rsidP="00000000" w:rsidRDefault="00000000" w:rsidRPr="00000000" w14:paraId="0000074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r>
      <w:tr>
        <w:trPr>
          <w:cantSplit w:val="0"/>
          <w:trHeight w:val="635" w:hRule="atLeast"/>
          <w:tblHeader w:val="0"/>
        </w:trPr>
        <w:tc>
          <w:tcPr/>
          <w:p w:rsidR="00000000" w:rsidDel="00000000" w:rsidP="00000000" w:rsidRDefault="00000000" w:rsidRPr="00000000" w14:paraId="0000074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HDL-C,</w:t>
            </w:r>
          </w:p>
          <w:p w:rsidR="00000000" w:rsidDel="00000000" w:rsidP="00000000" w:rsidRDefault="00000000" w:rsidRPr="00000000" w14:paraId="00000748">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54.1</w:t>
            </w:r>
          </w:p>
        </w:tc>
        <w:tc>
          <w:tcPr/>
          <w:p w:rsidR="00000000" w:rsidDel="00000000" w:rsidP="00000000" w:rsidRDefault="00000000" w:rsidRPr="00000000" w14:paraId="0000074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33.6±</w:t>
            </w:r>
          </w:p>
          <w:p w:rsidR="00000000" w:rsidDel="00000000" w:rsidP="00000000" w:rsidRDefault="00000000" w:rsidRPr="00000000" w14:paraId="0000074C">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4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4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5"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43.2±2</w:t>
            </w:r>
          </w:p>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75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w:t>
            </w:r>
          </w:p>
          <w:p w:rsidR="00000000" w:rsidDel="00000000" w:rsidP="00000000" w:rsidRDefault="00000000" w:rsidRPr="00000000" w14:paraId="000007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p w:rsidR="00000000" w:rsidDel="00000000" w:rsidP="00000000" w:rsidRDefault="00000000" w:rsidRPr="00000000" w14:paraId="0000075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3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39.8±0</w:t>
            </w:r>
          </w:p>
          <w:p w:rsidR="00000000" w:rsidDel="00000000" w:rsidP="00000000" w:rsidRDefault="00000000" w:rsidRPr="00000000" w14:paraId="000007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5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01"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103" w:hRule="atLeast"/>
          <w:tblHeader w:val="0"/>
        </w:trPr>
        <w:tc>
          <w:tcPr/>
          <w:p w:rsidR="00000000" w:rsidDel="00000000" w:rsidP="00000000" w:rsidRDefault="00000000" w:rsidRPr="00000000" w14:paraId="000007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3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Fasting </w:t>
            </w:r>
            <w:r w:rsidDel="00000000" w:rsidR="00000000" w:rsidRPr="00000000">
              <w:rPr>
                <w:sz w:val="24"/>
                <w:szCs w:val="24"/>
                <w:rtl w:val="0"/>
              </w:rPr>
              <w:t xml:space="preserve">triglyceride</w:t>
            </w:r>
            <w:r w:rsidDel="00000000" w:rsidR="00000000" w:rsidRPr="00000000">
              <w:rPr>
                <w:rtl w:val="0"/>
              </w:rPr>
            </w:r>
          </w:p>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ides, mg/dl</w:t>
            </w:r>
          </w:p>
        </w:tc>
        <w:tc>
          <w:tcPr/>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123.9</w:t>
            </w:r>
          </w:p>
        </w:tc>
        <w:tc>
          <w:tcPr/>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131.9</w:t>
            </w:r>
          </w:p>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±71.3</w:t>
            </w:r>
          </w:p>
        </w:tc>
        <w:tc>
          <w:tcPr/>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144.3±</w:t>
            </w:r>
          </w:p>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80.5</w:t>
            </w:r>
          </w:p>
        </w:tc>
        <w:tc>
          <w:tcPr/>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6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150.4</w:t>
            </w:r>
          </w:p>
          <w:p w:rsidR="00000000" w:rsidDel="00000000" w:rsidP="00000000" w:rsidRDefault="00000000" w:rsidRPr="00000000" w14:paraId="000007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±64.6</w:t>
            </w:r>
          </w:p>
        </w:tc>
        <w:tc>
          <w:tcPr/>
          <w:p w:rsidR="00000000" w:rsidDel="00000000" w:rsidP="00000000" w:rsidRDefault="00000000" w:rsidRPr="00000000" w14:paraId="0000076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116.0</w:t>
            </w:r>
          </w:p>
          <w:p w:rsidR="00000000" w:rsidDel="00000000" w:rsidP="00000000" w:rsidRDefault="00000000" w:rsidRPr="00000000" w14:paraId="000007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±44.8</w:t>
            </w:r>
          </w:p>
        </w:tc>
        <w:tc>
          <w:tcPr/>
          <w:p w:rsidR="00000000" w:rsidDel="00000000" w:rsidP="00000000" w:rsidRDefault="00000000" w:rsidRPr="00000000" w14:paraId="0000076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3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167.2±</w:t>
            </w:r>
          </w:p>
          <w:p w:rsidR="00000000" w:rsidDel="00000000" w:rsidP="00000000" w:rsidRDefault="00000000" w:rsidRPr="00000000" w14:paraId="000007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c>
          <w:tcPr/>
          <w:p w:rsidR="00000000" w:rsidDel="00000000" w:rsidP="00000000" w:rsidRDefault="00000000" w:rsidRPr="00000000" w14:paraId="0000076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6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01"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6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115.9±</w:t>
            </w:r>
          </w:p>
          <w:p w:rsidR="00000000" w:rsidDel="00000000" w:rsidP="00000000" w:rsidRDefault="00000000" w:rsidRPr="00000000" w14:paraId="000007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132.3</w:t>
            </w:r>
          </w:p>
        </w:tc>
        <w:tc>
          <w:tcPr/>
          <w:p w:rsidR="00000000" w:rsidDel="00000000" w:rsidP="00000000" w:rsidRDefault="00000000" w:rsidRPr="00000000" w14:paraId="0000077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7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7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7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4" w:hRule="atLeast"/>
          <w:tblHeader w:val="0"/>
        </w:trPr>
        <w:tc>
          <w:tcPr/>
          <w:p w:rsidR="00000000" w:rsidDel="00000000" w:rsidP="00000000" w:rsidRDefault="00000000" w:rsidRPr="00000000" w14:paraId="000007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Creatinine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mg/dl</w:t>
            </w:r>
          </w:p>
        </w:tc>
        <w:tc>
          <w:tcPr/>
          <w:p w:rsidR="00000000" w:rsidDel="00000000" w:rsidP="00000000" w:rsidRDefault="00000000" w:rsidRPr="00000000" w14:paraId="0000077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w:t>
            </w:r>
          </w:p>
        </w:tc>
        <w:tc>
          <w:tcPr/>
          <w:p w:rsidR="00000000" w:rsidDel="00000000" w:rsidP="00000000" w:rsidRDefault="00000000" w:rsidRPr="00000000" w14:paraId="0000077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7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7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p w:rsidR="00000000" w:rsidDel="00000000" w:rsidP="00000000" w:rsidRDefault="00000000" w:rsidRPr="00000000" w14:paraId="000007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7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7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7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77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tc>
        <w:tc>
          <w:tcPr/>
          <w:p w:rsidR="00000000" w:rsidDel="00000000" w:rsidP="00000000" w:rsidRDefault="00000000" w:rsidRPr="00000000" w14:paraId="0000077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p w:rsidR="00000000" w:rsidDel="00000000" w:rsidP="00000000" w:rsidRDefault="00000000" w:rsidRPr="00000000" w14:paraId="000007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8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0.85±1</w:t>
            </w:r>
          </w:p>
          <w:p w:rsidR="00000000" w:rsidDel="00000000" w:rsidP="00000000" w:rsidRDefault="00000000" w:rsidRPr="00000000" w14:paraId="000007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78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tc>
        <w:tc>
          <w:tcPr/>
          <w:p w:rsidR="00000000" w:rsidDel="00000000" w:rsidP="00000000" w:rsidRDefault="00000000" w:rsidRPr="00000000" w14:paraId="0000078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1.04±0</w:t>
            </w:r>
          </w:p>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78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8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7"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0.99±0</w:t>
            </w:r>
          </w:p>
          <w:p w:rsidR="00000000" w:rsidDel="00000000" w:rsidP="00000000" w:rsidRDefault="00000000" w:rsidRPr="00000000" w14:paraId="000007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bl>
    <w:p w:rsidR="00000000" w:rsidDel="00000000" w:rsidP="00000000" w:rsidRDefault="00000000" w:rsidRPr="00000000" w14:paraId="0000078D">
      <w:pPr>
        <w:spacing w:after="0" w:lineRule="auto"/>
        <w:ind w:firstLine="0"/>
        <w:jc w:val="center"/>
        <w:rPr>
          <w:sz w:val="24"/>
          <w:szCs w:val="24"/>
        </w:rPr>
        <w:sectPr>
          <w:headerReference r:id="rId162" w:type="even"/>
          <w:type w:val="nextPage"/>
          <w:pgSz w:h="11920" w:w="16840" w:orient="landscape"/>
          <w:pgMar w:bottom="260" w:top="1100" w:left="900" w:right="900" w:header="0" w:footer="0"/>
        </w:sect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6"/>
        <w:tblW w:w="14794.000000000004"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71"/>
        <w:gridCol w:w="912"/>
        <w:gridCol w:w="809"/>
        <w:gridCol w:w="857"/>
        <w:gridCol w:w="810"/>
        <w:gridCol w:w="915"/>
        <w:gridCol w:w="807"/>
        <w:gridCol w:w="809"/>
        <w:gridCol w:w="809"/>
        <w:gridCol w:w="912"/>
        <w:gridCol w:w="914"/>
        <w:gridCol w:w="914"/>
        <w:gridCol w:w="915"/>
        <w:gridCol w:w="809"/>
        <w:gridCol w:w="807"/>
        <w:gridCol w:w="809"/>
        <w:gridCol w:w="915"/>
        <w:tblGridChange w:id="0">
          <w:tblGrid>
            <w:gridCol w:w="1071"/>
            <w:gridCol w:w="912"/>
            <w:gridCol w:w="809"/>
            <w:gridCol w:w="857"/>
            <w:gridCol w:w="810"/>
            <w:gridCol w:w="915"/>
            <w:gridCol w:w="807"/>
            <w:gridCol w:w="809"/>
            <w:gridCol w:w="809"/>
            <w:gridCol w:w="912"/>
            <w:gridCol w:w="914"/>
            <w:gridCol w:w="914"/>
            <w:gridCol w:w="915"/>
            <w:gridCol w:w="809"/>
            <w:gridCol w:w="807"/>
            <w:gridCol w:w="809"/>
            <w:gridCol w:w="915"/>
          </w:tblGrid>
        </w:tblGridChange>
      </w:tblGrid>
      <w:tr>
        <w:trPr>
          <w:cantSplit w:val="0"/>
          <w:trHeight w:val="844" w:hRule="atLeast"/>
          <w:tblHeader w:val="0"/>
        </w:trPr>
        <w:tc>
          <w:tcPr/>
          <w:p w:rsidR="00000000" w:rsidDel="00000000" w:rsidP="00000000" w:rsidRDefault="00000000" w:rsidRPr="00000000" w14:paraId="0000078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WBC,</w:t>
            </w:r>
          </w:p>
          <w:p w:rsidR="00000000" w:rsidDel="00000000" w:rsidP="00000000" w:rsidRDefault="00000000" w:rsidRPr="00000000" w14:paraId="000007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79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11.9±5</w:t>
            </w:r>
          </w:p>
        </w:tc>
        <w:tc>
          <w:tcPr/>
          <w:p w:rsidR="00000000" w:rsidDel="00000000" w:rsidP="00000000" w:rsidRDefault="00000000" w:rsidRPr="00000000" w14:paraId="0000079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p w:rsidR="00000000" w:rsidDel="00000000" w:rsidP="00000000" w:rsidRDefault="00000000" w:rsidRPr="00000000" w14:paraId="000007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79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9.7±2.</w:t>
            </w:r>
          </w:p>
          <w:p w:rsidR="00000000" w:rsidDel="00000000" w:rsidP="00000000" w:rsidRDefault="00000000" w:rsidRPr="00000000" w14:paraId="000007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9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8.85±</w:t>
            </w:r>
          </w:p>
          <w:p w:rsidR="00000000" w:rsidDel="00000000" w:rsidP="00000000" w:rsidRDefault="00000000" w:rsidRPr="00000000" w14:paraId="000007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p>
        </w:tc>
        <w:tc>
          <w:tcPr/>
          <w:p w:rsidR="00000000" w:rsidDel="00000000" w:rsidP="00000000" w:rsidRDefault="00000000" w:rsidRPr="00000000" w14:paraId="0000079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p w:rsidR="00000000" w:rsidDel="00000000" w:rsidP="00000000" w:rsidRDefault="00000000" w:rsidRPr="00000000" w14:paraId="000007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c>
          <w:tcPr/>
          <w:p w:rsidR="00000000" w:rsidDel="00000000" w:rsidP="00000000" w:rsidRDefault="00000000" w:rsidRPr="00000000" w14:paraId="0000079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9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3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6.6±2</w:t>
            </w:r>
          </w:p>
        </w:tc>
        <w:tc>
          <w:tcPr/>
          <w:p w:rsidR="00000000" w:rsidDel="00000000" w:rsidP="00000000" w:rsidRDefault="00000000" w:rsidRPr="00000000" w14:paraId="0000079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w:t>
            </w:r>
          </w:p>
        </w:tc>
        <w:tc>
          <w:tcPr/>
          <w:p w:rsidR="00000000" w:rsidDel="00000000" w:rsidP="00000000" w:rsidRDefault="00000000" w:rsidRPr="00000000" w14:paraId="0000079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7.6±2.</w:t>
            </w:r>
          </w:p>
          <w:p w:rsidR="00000000" w:rsidDel="00000000" w:rsidP="00000000" w:rsidRDefault="00000000" w:rsidRPr="00000000" w14:paraId="000007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A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11.6±4</w:t>
            </w:r>
          </w:p>
        </w:tc>
        <w:tc>
          <w:tcPr/>
          <w:p w:rsidR="00000000" w:rsidDel="00000000" w:rsidP="00000000" w:rsidRDefault="00000000" w:rsidRPr="00000000" w14:paraId="000007A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p w:rsidR="00000000" w:rsidDel="00000000" w:rsidP="00000000" w:rsidRDefault="00000000" w:rsidRPr="00000000" w14:paraId="000007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7A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A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p w:rsidR="00000000" w:rsidDel="00000000" w:rsidP="00000000" w:rsidRDefault="00000000" w:rsidRPr="00000000" w14:paraId="000007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p>
          <w:p w:rsidR="00000000" w:rsidDel="00000000" w:rsidP="00000000" w:rsidRDefault="00000000" w:rsidRPr="00000000" w14:paraId="000007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p>
        </w:tc>
        <w:tc>
          <w:tcPr/>
          <w:p w:rsidR="00000000" w:rsidDel="00000000" w:rsidP="00000000" w:rsidRDefault="00000000" w:rsidRPr="00000000" w14:paraId="000007A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7.7±2.</w:t>
            </w:r>
          </w:p>
          <w:p w:rsidR="00000000" w:rsidDel="00000000" w:rsidP="00000000" w:rsidRDefault="00000000" w:rsidRPr="00000000" w14:paraId="000007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846" w:hRule="atLeast"/>
          <w:tblHeader w:val="0"/>
        </w:trPr>
        <w:tc>
          <w:tcPr/>
          <w:p w:rsidR="00000000" w:rsidDel="00000000" w:rsidP="00000000" w:rsidRDefault="00000000" w:rsidRPr="00000000" w14:paraId="000007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Hemoglobin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w:t>
            </w:r>
          </w:p>
        </w:tc>
        <w:tc>
          <w:tcPr/>
          <w:p w:rsidR="00000000" w:rsidDel="00000000" w:rsidP="00000000" w:rsidRDefault="00000000" w:rsidRPr="00000000" w14:paraId="000007A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144.6±</w:t>
            </w:r>
          </w:p>
          <w:p w:rsidR="00000000" w:rsidDel="00000000" w:rsidP="00000000" w:rsidRDefault="00000000" w:rsidRPr="00000000" w14:paraId="000007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13.9</w:t>
            </w:r>
          </w:p>
        </w:tc>
        <w:tc>
          <w:tcPr/>
          <w:p w:rsidR="00000000" w:rsidDel="00000000" w:rsidP="00000000" w:rsidRDefault="00000000" w:rsidRPr="00000000" w14:paraId="000007A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A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A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B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138±1</w:t>
            </w:r>
          </w:p>
          <w:p w:rsidR="00000000" w:rsidDel="00000000" w:rsidP="00000000" w:rsidRDefault="00000000" w:rsidRPr="00000000" w14:paraId="000007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7B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B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138.2</w:t>
            </w:r>
          </w:p>
          <w:p w:rsidR="00000000" w:rsidDel="00000000" w:rsidP="00000000" w:rsidRDefault="00000000" w:rsidRPr="00000000" w14:paraId="000007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p w:rsidR="00000000" w:rsidDel="00000000" w:rsidP="00000000" w:rsidRDefault="00000000" w:rsidRPr="00000000" w14:paraId="000007B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B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137.7±</w:t>
            </w:r>
          </w:p>
          <w:p w:rsidR="00000000" w:rsidDel="00000000" w:rsidP="00000000" w:rsidRDefault="00000000" w:rsidRPr="00000000" w14:paraId="000007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w:t>
            </w:r>
          </w:p>
        </w:tc>
        <w:tc>
          <w:tcPr/>
          <w:p w:rsidR="00000000" w:rsidDel="00000000" w:rsidP="00000000" w:rsidRDefault="00000000" w:rsidRPr="00000000" w14:paraId="000007B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136.6±</w:t>
            </w:r>
          </w:p>
          <w:p w:rsidR="00000000" w:rsidDel="00000000" w:rsidP="00000000" w:rsidRDefault="00000000" w:rsidRPr="00000000" w14:paraId="000007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w:t>
            </w:r>
          </w:p>
        </w:tc>
        <w:tc>
          <w:tcPr/>
          <w:p w:rsidR="00000000" w:rsidDel="00000000" w:rsidP="00000000" w:rsidRDefault="00000000" w:rsidRPr="00000000" w14:paraId="000007B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133±1</w:t>
            </w:r>
          </w:p>
          <w:p w:rsidR="00000000" w:rsidDel="00000000" w:rsidP="00000000" w:rsidRDefault="00000000" w:rsidRPr="00000000" w14:paraId="000007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p w:rsidR="00000000" w:rsidDel="00000000" w:rsidP="00000000" w:rsidRDefault="00000000" w:rsidRPr="00000000" w14:paraId="000007B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9"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143.6±</w:t>
            </w:r>
          </w:p>
          <w:p w:rsidR="00000000" w:rsidDel="00000000" w:rsidP="00000000" w:rsidRDefault="00000000" w:rsidRPr="00000000" w14:paraId="000007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B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124.8</w:t>
            </w:r>
          </w:p>
          <w:p w:rsidR="00000000" w:rsidDel="00000000" w:rsidP="00000000" w:rsidRDefault="00000000" w:rsidRPr="00000000" w14:paraId="000007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7C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C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p>
          <w:p w:rsidR="00000000" w:rsidDel="00000000" w:rsidP="00000000" w:rsidRDefault="00000000" w:rsidRPr="00000000" w14:paraId="000007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C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147.8±</w:t>
            </w:r>
          </w:p>
          <w:p w:rsidR="00000000" w:rsidDel="00000000" w:rsidP="00000000" w:rsidRDefault="00000000" w:rsidRPr="00000000" w14:paraId="000007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w:t>
            </w:r>
          </w:p>
        </w:tc>
      </w:tr>
      <w:tr>
        <w:trPr>
          <w:cantSplit w:val="0"/>
          <w:trHeight w:val="1103" w:hRule="atLeast"/>
          <w:tblHeader w:val="0"/>
        </w:trPr>
        <w:tc>
          <w:tcPr/>
          <w:p w:rsidR="00000000" w:rsidDel="00000000" w:rsidP="00000000" w:rsidRDefault="00000000" w:rsidRPr="00000000" w14:paraId="000007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count,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7C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207±6</w:t>
            </w:r>
          </w:p>
          <w:p w:rsidR="00000000" w:rsidDel="00000000" w:rsidP="00000000" w:rsidRDefault="00000000" w:rsidRPr="00000000" w14:paraId="000007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tc>
        <w:tc>
          <w:tcPr/>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194.8</w:t>
            </w:r>
          </w:p>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±56.3</w:t>
            </w:r>
          </w:p>
        </w:tc>
        <w:tc>
          <w:tcPr/>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C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242.7</w:t>
            </w:r>
          </w:p>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±56.8</w:t>
            </w:r>
          </w:p>
        </w:tc>
        <w:tc>
          <w:tcPr/>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211.7±</w:t>
            </w:r>
          </w:p>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52.1</w:t>
            </w:r>
          </w:p>
        </w:tc>
        <w:tc>
          <w:tcPr/>
          <w:p w:rsidR="00000000" w:rsidDel="00000000" w:rsidP="00000000" w:rsidRDefault="00000000" w:rsidRPr="00000000" w14:paraId="000007C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w:t>
            </w:r>
          </w:p>
          <w:p w:rsidR="00000000" w:rsidDel="00000000" w:rsidP="00000000" w:rsidRDefault="00000000" w:rsidRPr="00000000" w14:paraId="000007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p w:rsidR="00000000" w:rsidDel="00000000" w:rsidP="00000000" w:rsidRDefault="00000000" w:rsidRPr="00000000" w14:paraId="000007D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220.8</w:t>
            </w:r>
          </w:p>
          <w:p w:rsidR="00000000" w:rsidDel="00000000" w:rsidP="00000000" w:rsidRDefault="00000000" w:rsidRPr="00000000" w14:paraId="000007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±65.5</w:t>
            </w:r>
          </w:p>
        </w:tc>
        <w:tc>
          <w:tcPr/>
          <w:p w:rsidR="00000000" w:rsidDel="00000000" w:rsidP="00000000" w:rsidRDefault="00000000" w:rsidRPr="00000000" w14:paraId="000007D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238.5</w:t>
            </w:r>
          </w:p>
          <w:p w:rsidR="00000000" w:rsidDel="00000000" w:rsidP="00000000" w:rsidRDefault="00000000" w:rsidRPr="00000000" w14:paraId="000007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±65.7</w:t>
            </w:r>
          </w:p>
        </w:tc>
        <w:tc>
          <w:tcPr/>
          <w:p w:rsidR="00000000" w:rsidDel="00000000" w:rsidP="00000000" w:rsidRDefault="00000000" w:rsidRPr="00000000" w14:paraId="000007D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223.3±</w:t>
            </w:r>
          </w:p>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66.7</w:t>
            </w:r>
          </w:p>
        </w:tc>
        <w:tc>
          <w:tcPr/>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D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w:t>
            </w:r>
          </w:p>
          <w:p w:rsidR="00000000" w:rsidDel="00000000" w:rsidP="00000000" w:rsidRDefault="00000000" w:rsidRPr="00000000" w14:paraId="000007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56.3</w:t>
            </w:r>
          </w:p>
        </w:tc>
        <w:tc>
          <w:tcPr/>
          <w:p w:rsidR="00000000" w:rsidDel="00000000" w:rsidP="00000000" w:rsidRDefault="00000000" w:rsidRPr="00000000" w14:paraId="000007D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246±7</w:t>
            </w:r>
          </w:p>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7D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259.7</w:t>
            </w:r>
          </w:p>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±65.6</w:t>
            </w:r>
          </w:p>
        </w:tc>
        <w:tc>
          <w:tcPr/>
          <w:p w:rsidR="00000000" w:rsidDel="00000000" w:rsidP="00000000" w:rsidRDefault="00000000" w:rsidRPr="00000000" w14:paraId="000007D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D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w:t>
            </w:r>
          </w:p>
          <w:p w:rsidR="00000000" w:rsidDel="00000000" w:rsidP="00000000" w:rsidRDefault="00000000" w:rsidRPr="00000000" w14:paraId="000007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w:t>
            </w:r>
          </w:p>
          <w:p w:rsidR="00000000" w:rsidDel="00000000" w:rsidP="00000000" w:rsidRDefault="00000000" w:rsidRPr="00000000" w14:paraId="000007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7E2">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278)</w:t>
            </w:r>
          </w:p>
        </w:tc>
        <w:tc>
          <w:tcPr/>
          <w:p w:rsidR="00000000" w:rsidDel="00000000" w:rsidP="00000000" w:rsidRDefault="00000000" w:rsidRPr="00000000" w14:paraId="000007E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177.7±</w:t>
            </w:r>
          </w:p>
          <w:p w:rsidR="00000000" w:rsidDel="00000000" w:rsidP="00000000" w:rsidRDefault="00000000" w:rsidRPr="00000000" w14:paraId="000007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60.2</w:t>
            </w:r>
          </w:p>
        </w:tc>
      </w:tr>
      <w:tr>
        <w:trPr>
          <w:cantSplit w:val="0"/>
          <w:trHeight w:val="844" w:hRule="atLeast"/>
          <w:tblHeader w:val="0"/>
        </w:trPr>
        <w:tc>
          <w:tcPr/>
          <w:p w:rsidR="00000000" w:rsidDel="00000000" w:rsidP="00000000" w:rsidRDefault="00000000" w:rsidRPr="00000000" w14:paraId="000007E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64"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fl</w:t>
            </w:r>
          </w:p>
        </w:tc>
        <w:tc>
          <w:tcPr/>
          <w:p w:rsidR="00000000" w:rsidDel="00000000" w:rsidP="00000000" w:rsidRDefault="00000000" w:rsidRPr="00000000" w14:paraId="000007E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w:t>
            </w:r>
          </w:p>
        </w:tc>
        <w:tc>
          <w:tcPr/>
          <w:p w:rsidR="00000000" w:rsidDel="00000000" w:rsidP="00000000" w:rsidRDefault="00000000" w:rsidRPr="00000000" w14:paraId="000007E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9.5±1</w:t>
            </w:r>
          </w:p>
          <w:p w:rsidR="00000000" w:rsidDel="00000000" w:rsidP="00000000" w:rsidRDefault="00000000" w:rsidRPr="00000000" w14:paraId="000007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7E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p>
          <w:p w:rsidR="00000000" w:rsidDel="00000000" w:rsidP="00000000" w:rsidRDefault="00000000" w:rsidRPr="00000000" w14:paraId="000007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7E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8.2±1</w:t>
            </w:r>
          </w:p>
          <w:p w:rsidR="00000000" w:rsidDel="00000000" w:rsidP="00000000" w:rsidRDefault="00000000" w:rsidRPr="00000000" w14:paraId="000007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E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5"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w:t>
            </w:r>
          </w:p>
          <w:p w:rsidR="00000000" w:rsidDel="00000000" w:rsidP="00000000" w:rsidRDefault="00000000" w:rsidRPr="00000000" w14:paraId="000007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E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w:t>
            </w:r>
          </w:p>
          <w:p w:rsidR="00000000" w:rsidDel="00000000" w:rsidP="00000000" w:rsidRDefault="00000000" w:rsidRPr="00000000" w14:paraId="000007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p w:rsidR="00000000" w:rsidDel="00000000" w:rsidP="00000000" w:rsidRDefault="00000000" w:rsidRPr="00000000" w14:paraId="000007F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9.8±0</w:t>
            </w:r>
          </w:p>
          <w:p w:rsidR="00000000" w:rsidDel="00000000" w:rsidP="00000000" w:rsidRDefault="00000000" w:rsidRPr="00000000" w14:paraId="000007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7F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9.2±1</w:t>
            </w:r>
          </w:p>
          <w:p w:rsidR="00000000" w:rsidDel="00000000" w:rsidP="00000000" w:rsidRDefault="00000000" w:rsidRPr="00000000" w14:paraId="000007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7F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3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11±2.2</w:t>
            </w:r>
          </w:p>
        </w:tc>
        <w:tc>
          <w:tcPr/>
          <w:p w:rsidR="00000000" w:rsidDel="00000000" w:rsidP="00000000" w:rsidRDefault="00000000" w:rsidRPr="00000000" w14:paraId="000007F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11±1.1</w:t>
            </w:r>
          </w:p>
        </w:tc>
        <w:tc>
          <w:tcPr/>
          <w:p w:rsidR="00000000" w:rsidDel="00000000" w:rsidP="00000000" w:rsidRDefault="00000000" w:rsidRPr="00000000" w14:paraId="000007F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9.4±1.</w:t>
            </w:r>
          </w:p>
          <w:p w:rsidR="00000000" w:rsidDel="00000000" w:rsidP="00000000" w:rsidRDefault="00000000" w:rsidRPr="00000000" w14:paraId="000007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7F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7F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w:t>
            </w:r>
          </w:p>
          <w:p w:rsidR="00000000" w:rsidDel="00000000" w:rsidP="00000000" w:rsidRDefault="00000000" w:rsidRPr="00000000" w14:paraId="000007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7F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p w:rsidR="00000000" w:rsidDel="00000000" w:rsidP="00000000" w:rsidRDefault="00000000" w:rsidRPr="00000000" w14:paraId="000007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7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w:t>
            </w:r>
          </w:p>
        </w:tc>
        <w:tc>
          <w:tcPr/>
          <w:p w:rsidR="00000000" w:rsidDel="00000000" w:rsidP="00000000" w:rsidRDefault="00000000" w:rsidRPr="00000000" w14:paraId="000007F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w:t>
            </w:r>
          </w:p>
          <w:p w:rsidR="00000000" w:rsidDel="00000000" w:rsidP="00000000" w:rsidRDefault="00000000" w:rsidRPr="00000000" w14:paraId="000008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w:t>
            </w:r>
          </w:p>
        </w:tc>
        <w:tc>
          <w:tcPr/>
          <w:p w:rsidR="00000000" w:rsidDel="00000000" w:rsidP="00000000" w:rsidRDefault="00000000" w:rsidRPr="00000000" w14:paraId="0000080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7"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11.6±1</w:t>
            </w:r>
          </w:p>
          <w:p w:rsidR="00000000" w:rsidDel="00000000" w:rsidP="00000000" w:rsidRDefault="00000000" w:rsidRPr="00000000" w14:paraId="000008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561" w:hRule="atLeast"/>
          <w:tblHeader w:val="0"/>
        </w:trPr>
        <w:tc>
          <w:tcPr/>
          <w:p w:rsidR="00000000" w:rsidDel="00000000" w:rsidP="00000000" w:rsidRDefault="00000000" w:rsidRPr="00000000" w14:paraId="0000080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 %</w:t>
            </w:r>
          </w:p>
        </w:tc>
        <w:tc>
          <w:tcPr/>
          <w:p w:rsidR="00000000" w:rsidDel="00000000" w:rsidP="00000000" w:rsidRDefault="00000000" w:rsidRPr="00000000" w14:paraId="0000080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44.6</w:t>
            </w:r>
          </w:p>
        </w:tc>
        <w:tc>
          <w:tcPr/>
          <w:p w:rsidR="00000000" w:rsidDel="00000000" w:rsidP="00000000" w:rsidRDefault="00000000" w:rsidRPr="00000000" w14:paraId="0000080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58.6±</w:t>
            </w:r>
          </w:p>
          <w:p w:rsidR="00000000" w:rsidDel="00000000" w:rsidP="00000000" w:rsidRDefault="00000000" w:rsidRPr="00000000" w14:paraId="00000806">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2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59.7±</w:t>
            </w:r>
          </w:p>
          <w:p w:rsidR="00000000" w:rsidDel="00000000" w:rsidP="00000000" w:rsidRDefault="00000000" w:rsidRPr="00000000" w14:paraId="00000808">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80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0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5"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50.8±5</w:t>
            </w:r>
          </w:p>
          <w:p w:rsidR="00000000" w:rsidDel="00000000" w:rsidP="00000000" w:rsidRDefault="00000000" w:rsidRPr="00000000" w14:paraId="0000080B">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80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0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49.6±</w:t>
            </w:r>
          </w:p>
          <w:p w:rsidR="00000000" w:rsidDel="00000000" w:rsidP="00000000" w:rsidRDefault="00000000" w:rsidRPr="00000000" w14:paraId="0000080E">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4"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w:t>
            </w:r>
          </w:p>
          <w:p w:rsidR="00000000" w:rsidDel="00000000" w:rsidP="00000000" w:rsidRDefault="00000000" w:rsidRPr="00000000" w14:paraId="00000810">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tc>
        <w:tc>
          <w:tcPr/>
          <w:p w:rsidR="00000000" w:rsidDel="00000000" w:rsidP="00000000" w:rsidRDefault="00000000" w:rsidRPr="00000000" w14:paraId="0000081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1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43.9±1</w:t>
            </w:r>
          </w:p>
          <w:p w:rsidR="00000000" w:rsidDel="00000000" w:rsidP="00000000" w:rsidRDefault="00000000" w:rsidRPr="00000000" w14:paraId="00000813">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23" w:right="1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81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57.1±1</w:t>
            </w:r>
          </w:p>
          <w:p w:rsidR="00000000" w:rsidDel="00000000" w:rsidP="00000000" w:rsidRDefault="00000000" w:rsidRPr="00000000" w14:paraId="00000815">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23"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81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9"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44.6±1</w:t>
            </w:r>
          </w:p>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46±1</w:t>
            </w:r>
          </w:p>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2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81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1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1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7" w:right="9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55.4±6</w:t>
            </w:r>
          </w:p>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58" w:hRule="atLeast"/>
          <w:tblHeader w:val="0"/>
        </w:trPr>
        <w:tc>
          <w:tcPr/>
          <w:p w:rsidR="00000000" w:rsidDel="00000000" w:rsidP="00000000" w:rsidRDefault="00000000" w:rsidRPr="00000000" w14:paraId="0000081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PCI, %</w:t>
            </w:r>
          </w:p>
        </w:tc>
        <w:tc>
          <w:tcPr/>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2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2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2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48.7</w:t>
            </w:r>
          </w:p>
        </w:tc>
        <w:tc>
          <w:tcPr/>
          <w:p w:rsidR="00000000" w:rsidDel="00000000" w:rsidP="00000000" w:rsidRDefault="00000000" w:rsidRPr="00000000" w14:paraId="0000082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47.2</w:t>
            </w:r>
          </w:p>
        </w:tc>
        <w:tc>
          <w:tcPr/>
          <w:p w:rsidR="00000000" w:rsidDel="00000000" w:rsidP="00000000" w:rsidRDefault="00000000" w:rsidRPr="00000000" w14:paraId="0000082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82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84.2</w:t>
            </w:r>
          </w:p>
        </w:tc>
        <w:tc>
          <w:tcPr/>
          <w:p w:rsidR="00000000" w:rsidDel="00000000" w:rsidP="00000000" w:rsidRDefault="00000000" w:rsidRPr="00000000" w14:paraId="0000082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82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48.5</w:t>
            </w:r>
          </w:p>
        </w:tc>
        <w:tc>
          <w:tcPr/>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7" w:hRule="atLeast"/>
          <w:tblHeader w:val="0"/>
        </w:trPr>
        <w:tc>
          <w:tcPr/>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Anterior MI, %</w:t>
            </w:r>
          </w:p>
        </w:tc>
        <w:tc>
          <w:tcPr/>
          <w:p w:rsidR="00000000" w:rsidDel="00000000" w:rsidP="00000000" w:rsidRDefault="00000000" w:rsidRPr="00000000" w14:paraId="000008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w:t>
            </w:r>
          </w:p>
        </w:tc>
        <w:tc>
          <w:tcPr/>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71.7</w:t>
            </w:r>
          </w:p>
        </w:tc>
        <w:tc>
          <w:tcPr/>
          <w:p w:rsidR="00000000" w:rsidDel="00000000" w:rsidP="00000000" w:rsidRDefault="00000000" w:rsidRPr="00000000" w14:paraId="0000083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52.7</w:t>
            </w:r>
          </w:p>
        </w:tc>
        <w:tc>
          <w:tcPr/>
          <w:p w:rsidR="00000000" w:rsidDel="00000000" w:rsidP="00000000" w:rsidRDefault="00000000" w:rsidRPr="00000000" w14:paraId="0000083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47.2</w:t>
            </w:r>
          </w:p>
        </w:tc>
        <w:tc>
          <w:tcPr/>
          <w:p w:rsidR="00000000" w:rsidDel="00000000" w:rsidP="00000000" w:rsidRDefault="00000000" w:rsidRPr="00000000" w14:paraId="0000083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44.8</w:t>
            </w:r>
          </w:p>
        </w:tc>
        <w:tc>
          <w:tcPr/>
          <w:p w:rsidR="00000000" w:rsidDel="00000000" w:rsidP="00000000" w:rsidRDefault="00000000" w:rsidRPr="00000000" w14:paraId="0000083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3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58" w:hRule="atLeast"/>
          <w:tblHeader w:val="0"/>
        </w:trPr>
        <w:tc>
          <w:tcPr/>
          <w:p w:rsidR="00000000" w:rsidDel="00000000" w:rsidP="00000000" w:rsidRDefault="00000000" w:rsidRPr="00000000" w14:paraId="0000084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MVD,</w:t>
            </w:r>
          </w:p>
          <w:p w:rsidR="00000000" w:rsidDel="00000000" w:rsidP="00000000" w:rsidRDefault="00000000" w:rsidRPr="00000000" w14:paraId="00000841">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44.4</w:t>
            </w:r>
          </w:p>
        </w:tc>
        <w:tc>
          <w:tcPr/>
          <w:p w:rsidR="00000000" w:rsidDel="00000000" w:rsidP="00000000" w:rsidRDefault="00000000" w:rsidRPr="00000000" w14:paraId="0000084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47.4</w:t>
            </w:r>
          </w:p>
        </w:tc>
        <w:tc>
          <w:tcPr/>
          <w:p w:rsidR="00000000" w:rsidDel="00000000" w:rsidP="00000000" w:rsidRDefault="00000000" w:rsidRPr="00000000" w14:paraId="0000084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71.3</w:t>
            </w:r>
          </w:p>
        </w:tc>
        <w:tc>
          <w:tcPr/>
          <w:p w:rsidR="00000000" w:rsidDel="00000000" w:rsidP="00000000" w:rsidRDefault="00000000" w:rsidRPr="00000000" w14:paraId="0000084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41.9</w:t>
            </w:r>
          </w:p>
        </w:tc>
        <w:tc>
          <w:tcPr/>
          <w:p w:rsidR="00000000" w:rsidDel="00000000" w:rsidP="00000000" w:rsidRDefault="00000000" w:rsidRPr="00000000" w14:paraId="0000084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68.4</w:t>
            </w:r>
          </w:p>
        </w:tc>
        <w:tc>
          <w:tcPr/>
          <w:p w:rsidR="00000000" w:rsidDel="00000000" w:rsidP="00000000" w:rsidRDefault="00000000" w:rsidRPr="00000000" w14:paraId="0000084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3" w:right="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4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67.6</w:t>
            </w:r>
          </w:p>
        </w:tc>
        <w:tc>
          <w:tcPr/>
          <w:p w:rsidR="00000000" w:rsidDel="00000000" w:rsidP="00000000" w:rsidRDefault="00000000" w:rsidRPr="00000000" w14:paraId="0000084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60" w:hRule="atLeast"/>
          <w:tblHeader w:val="0"/>
        </w:trPr>
        <w:tc>
          <w:tcPr/>
          <w:p w:rsidR="00000000" w:rsidDel="00000000" w:rsidP="00000000" w:rsidRDefault="00000000" w:rsidRPr="00000000" w14:paraId="0000085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GPI</w:t>
            </w:r>
          </w:p>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w:t>
            </w:r>
          </w:p>
        </w:tc>
        <w:tc>
          <w:tcPr/>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42.7</w:t>
            </w:r>
          </w:p>
        </w:tc>
        <w:tc>
          <w:tcPr/>
          <w:p w:rsidR="00000000" w:rsidDel="00000000" w:rsidP="00000000" w:rsidRDefault="00000000" w:rsidRPr="00000000" w14:paraId="0000085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43.7</w:t>
            </w:r>
          </w:p>
        </w:tc>
        <w:tc>
          <w:tcPr/>
          <w:p w:rsidR="00000000" w:rsidDel="00000000" w:rsidP="00000000" w:rsidRDefault="00000000" w:rsidRPr="00000000" w14:paraId="0000085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34" w:right="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w:t>
            </w:r>
          </w:p>
        </w:tc>
        <w:tc>
          <w:tcPr/>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3" w:right="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25.5</w:t>
            </w:r>
          </w:p>
        </w:tc>
        <w:tc>
          <w:tcPr/>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6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6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6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864">
      <w:pPr>
        <w:spacing w:before="236" w:lineRule="auto"/>
        <w:ind w:left="232" w:right="0" w:firstLine="0"/>
        <w:jc w:val="left"/>
        <w:rPr>
          <w:b w:val="1"/>
          <w:sz w:val="24"/>
          <w:szCs w:val="24"/>
        </w:rPr>
      </w:pPr>
      <w:r w:rsidDel="00000000" w:rsidR="00000000" w:rsidRPr="00000000">
        <w:rPr>
          <w:b w:val="1"/>
          <w:sz w:val="24"/>
          <w:szCs w:val="24"/>
          <w:rtl w:val="0"/>
        </w:rPr>
        <w:t xml:space="preserve">(Continued) Supplementary Table 3. </w:t>
      </w:r>
      <w:r w:rsidDel="00000000" w:rsidR="00000000" w:rsidRPr="00000000">
        <w:rPr>
          <w:sz w:val="24"/>
          <w:szCs w:val="24"/>
          <w:rtl w:val="0"/>
        </w:rPr>
        <w:t xml:space="preserve">Baseline features of the included studies.</w:t>
      </w:r>
      <w:r w:rsidDel="00000000" w:rsidR="00000000" w:rsidRPr="00000000">
        <w:rPr>
          <w:b w:val="1"/>
          <w:sz w:val="24"/>
          <w:szCs w:val="24"/>
          <w:vertAlign w:val="superscript"/>
          <w:rtl w:val="0"/>
        </w:rPr>
        <w:t xml:space="preserve">a</w:t>
      </w:r>
      <w:r w:rsidDel="00000000" w:rsidR="00000000" w:rsidRPr="00000000">
        <w:rPr>
          <w:rtl w:val="0"/>
        </w:rPr>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17"/>
        <w:tblW w:w="14795.0"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92"/>
        <w:gridCol w:w="1502"/>
        <w:gridCol w:w="1503"/>
        <w:gridCol w:w="1306"/>
        <w:gridCol w:w="1042"/>
        <w:gridCol w:w="1309"/>
        <w:gridCol w:w="1501"/>
        <w:gridCol w:w="1504"/>
        <w:gridCol w:w="1503"/>
        <w:gridCol w:w="1633"/>
        <w:tblGridChange w:id="0">
          <w:tblGrid>
            <w:gridCol w:w="1992"/>
            <w:gridCol w:w="1502"/>
            <w:gridCol w:w="1503"/>
            <w:gridCol w:w="1306"/>
            <w:gridCol w:w="1042"/>
            <w:gridCol w:w="1309"/>
            <w:gridCol w:w="1501"/>
            <w:gridCol w:w="1504"/>
            <w:gridCol w:w="1503"/>
            <w:gridCol w:w="1633"/>
          </w:tblGrid>
        </w:tblGridChange>
      </w:tblGrid>
      <w:tr>
        <w:trPr>
          <w:cantSplit w:val="0"/>
          <w:trHeight w:val="921" w:hRule="atLeast"/>
          <w:tblHeader w:val="0"/>
        </w:trPr>
        <w:tc>
          <w:tcPr/>
          <w:p w:rsidR="00000000" w:rsidDel="00000000" w:rsidP="00000000" w:rsidRDefault="00000000" w:rsidRPr="00000000" w14:paraId="0000086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 year</w:t>
            </w:r>
          </w:p>
        </w:tc>
        <w:tc>
          <w:tcPr/>
          <w:p w:rsidR="00000000" w:rsidDel="00000000" w:rsidP="00000000" w:rsidRDefault="00000000" w:rsidRPr="00000000" w14:paraId="0000086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Tian, 2018</w:t>
            </w:r>
          </w:p>
        </w:tc>
        <w:tc>
          <w:tcPr/>
          <w:p w:rsidR="00000000" w:rsidDel="00000000" w:rsidP="00000000" w:rsidRDefault="00000000" w:rsidRPr="00000000" w14:paraId="0000086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Canga, 2019</w:t>
            </w:r>
          </w:p>
        </w:tc>
        <w:tc>
          <w:tcPr/>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10" w:right="287" w:hanging="101.0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 2019</w:t>
            </w:r>
          </w:p>
        </w:tc>
        <w:tc>
          <w:tcPr/>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Garlobo</w:t>
            </w:r>
          </w:p>
          <w:p w:rsidR="00000000" w:rsidDel="00000000" w:rsidP="00000000" w:rsidRDefault="00000000" w:rsidRPr="00000000" w14:paraId="000008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w:t>
            </w:r>
          </w:p>
        </w:tc>
        <w:tc>
          <w:tcPr/>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12" w:right="226" w:hanging="16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Navarta, 2019</w:t>
            </w:r>
          </w:p>
        </w:tc>
        <w:tc>
          <w:tcPr/>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Nozari, 2019</w:t>
            </w:r>
          </w:p>
        </w:tc>
        <w:tc>
          <w:tcPr/>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9" w:right="0" w:hanging="2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Satıroglu, 2019</w:t>
            </w:r>
          </w:p>
        </w:tc>
        <w:tc>
          <w:tcPr/>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8" w:right="256" w:hanging="23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Vogiatzis, 2019</w:t>
            </w:r>
          </w:p>
        </w:tc>
        <w:tc>
          <w:tcPr/>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Xinsen, 2020</w:t>
            </w:r>
          </w:p>
        </w:tc>
      </w:tr>
      <w:tr>
        <w:trPr>
          <w:cantSplit w:val="0"/>
          <w:trHeight w:val="561" w:hRule="atLeast"/>
          <w:tblHeader w:val="0"/>
        </w:trPr>
        <w:tc>
          <w:tcPr/>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Country</w:t>
            </w:r>
          </w:p>
        </w:tc>
        <w:tc>
          <w:tcPr/>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c>
          <w:tcPr/>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Turkey</w:t>
            </w:r>
          </w:p>
        </w:tc>
        <w:tc>
          <w:tcPr/>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Taiwan</w:t>
            </w:r>
          </w:p>
        </w:tc>
        <w:tc>
          <w:tcPr/>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Cuba</w:t>
            </w:r>
          </w:p>
        </w:tc>
        <w:tc>
          <w:tcPr/>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Argentina</w:t>
            </w:r>
          </w:p>
        </w:tc>
        <w:tc>
          <w:tcPr/>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Iran</w:t>
            </w:r>
          </w:p>
        </w:tc>
        <w:tc>
          <w:tcPr/>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Turkey</w:t>
            </w:r>
          </w:p>
        </w:tc>
        <w:tc>
          <w:tcPr/>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4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Greece</w:t>
            </w:r>
          </w:p>
        </w:tc>
        <w:tc>
          <w:tcPr/>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China</w:t>
            </w:r>
          </w:p>
        </w:tc>
      </w:tr>
    </w:tbl>
    <w:p w:rsidR="00000000" w:rsidDel="00000000" w:rsidP="00000000" w:rsidRDefault="00000000" w:rsidRPr="00000000" w14:paraId="0000087C">
      <w:pPr>
        <w:spacing w:after="0" w:line="268" w:lineRule="auto"/>
        <w:ind w:firstLine="0"/>
        <w:jc w:val="center"/>
        <w:rPr>
          <w:sz w:val="24"/>
          <w:szCs w:val="24"/>
        </w:rPr>
        <w:sectPr>
          <w:headerReference r:id="rId163" w:type="default"/>
          <w:footerReference r:id="rId164" w:type="default"/>
          <w:footerReference r:id="rId165" w:type="even"/>
          <w:type w:val="nextPage"/>
          <w:pgSz w:h="11920" w:w="16840" w:orient="landscape"/>
          <w:pgMar w:bottom="260" w:top="1100" w:left="900" w:right="900" w:header="0" w:footer="71"/>
          <w:pgNumType w:start="25"/>
        </w:sect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18"/>
        <w:tblW w:w="14795.0"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92"/>
        <w:gridCol w:w="1502"/>
        <w:gridCol w:w="1503"/>
        <w:gridCol w:w="1306"/>
        <w:gridCol w:w="1042"/>
        <w:gridCol w:w="1309"/>
        <w:gridCol w:w="1501"/>
        <w:gridCol w:w="1504"/>
        <w:gridCol w:w="1503"/>
        <w:gridCol w:w="1633"/>
        <w:tblGridChange w:id="0">
          <w:tblGrid>
            <w:gridCol w:w="1992"/>
            <w:gridCol w:w="1502"/>
            <w:gridCol w:w="1503"/>
            <w:gridCol w:w="1306"/>
            <w:gridCol w:w="1042"/>
            <w:gridCol w:w="1309"/>
            <w:gridCol w:w="1501"/>
            <w:gridCol w:w="1504"/>
            <w:gridCol w:w="1503"/>
            <w:gridCol w:w="1633"/>
          </w:tblGrid>
        </w:tblGridChange>
      </w:tblGrid>
      <w:tr>
        <w:trPr>
          <w:cantSplit w:val="0"/>
          <w:trHeight w:val="844" w:hRule="atLeast"/>
          <w:tblHeader w:val="0"/>
        </w:trPr>
        <w:tc>
          <w:tcPr/>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design</w:t>
            </w:r>
          </w:p>
        </w:tc>
        <w:tc>
          <w:tcPr/>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67" w:hanging="21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71" w:hanging="21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2" w:right="67" w:hanging="1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88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4" w:right="68" w:hanging="11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6" w:right="70" w:hanging="21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8" w:right="71" w:hanging="21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71" w:hanging="21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Retrospective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cohort</w:t>
            </w:r>
          </w:p>
        </w:tc>
        <w:tc>
          <w:tcPr>
            <w:tcBorders>
              <w:right w:color="000000" w:space="0" w:sz="0" w:val="nil"/>
            </w:tcBorders>
          </w:tcPr>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5" w:right="0" w:hanging="35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Retrospective cohort</w:t>
            </w:r>
          </w:p>
        </w:tc>
      </w:tr>
      <w:tr>
        <w:trPr>
          <w:cantSplit w:val="0"/>
          <w:trHeight w:val="561" w:hRule="atLeast"/>
          <w:tblHeader w:val="0"/>
        </w:trPr>
        <w:tc>
          <w:tcPr/>
          <w:p w:rsidR="00000000" w:rsidDel="00000000" w:rsidP="00000000" w:rsidRDefault="00000000" w:rsidRPr="00000000" w14:paraId="0000088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Follow-up,</w:t>
            </w:r>
          </w:p>
          <w:p w:rsidR="00000000" w:rsidDel="00000000" w:rsidP="00000000" w:rsidRDefault="00000000" w:rsidRPr="00000000" w14:paraId="00000889">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months</w:t>
            </w:r>
          </w:p>
        </w:tc>
        <w:tc>
          <w:tcPr/>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28.8</w:t>
            </w:r>
          </w:p>
        </w:tc>
        <w:tc>
          <w:tcPr/>
          <w:p w:rsidR="00000000" w:rsidDel="00000000" w:rsidP="00000000" w:rsidRDefault="00000000" w:rsidRPr="00000000" w14:paraId="0000088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w:t>
            </w:r>
          </w:p>
          <w:p w:rsidR="00000000" w:rsidDel="00000000" w:rsidP="00000000" w:rsidRDefault="00000000" w:rsidRPr="00000000" w14:paraId="0000088E">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99" w:right="8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hospital</w:t>
            </w:r>
          </w:p>
        </w:tc>
        <w:tc>
          <w:tcPr/>
          <w:p w:rsidR="00000000" w:rsidDel="00000000" w:rsidP="00000000" w:rsidRDefault="00000000" w:rsidRPr="00000000" w14:paraId="0000088F">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c>
          <w:tcPr/>
          <w:p w:rsidR="00000000" w:rsidDel="00000000" w:rsidP="00000000" w:rsidRDefault="00000000" w:rsidRPr="00000000" w14:paraId="00000890">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89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in-hospital</w:t>
            </w:r>
          </w:p>
        </w:tc>
        <w:tc>
          <w:tcPr/>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in-hospital</w:t>
            </w:r>
          </w:p>
        </w:tc>
        <w:tc>
          <w:tcPr/>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in-hospital</w:t>
            </w:r>
          </w:p>
        </w:tc>
      </w:tr>
      <w:tr>
        <w:trPr>
          <w:cantSplit w:val="0"/>
          <w:trHeight w:val="561" w:hRule="atLeast"/>
          <w:tblHeader w:val="0"/>
        </w:trPr>
        <w:tc>
          <w:tcPr/>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size, n</w:t>
            </w:r>
          </w:p>
        </w:tc>
        <w:tc>
          <w:tcPr/>
          <w:p w:rsidR="00000000" w:rsidDel="00000000" w:rsidP="00000000" w:rsidRDefault="00000000" w:rsidRPr="00000000" w14:paraId="0000089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1215</w:t>
            </w:r>
          </w:p>
        </w:tc>
        <w:tc>
          <w:tcPr/>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349</w:t>
            </w:r>
          </w:p>
        </w:tc>
        <w:tc>
          <w:tcPr/>
          <w:p w:rsidR="00000000" w:rsidDel="00000000" w:rsidP="00000000" w:rsidRDefault="00000000" w:rsidRPr="00000000" w14:paraId="0000089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1094</w:t>
            </w:r>
          </w:p>
        </w:tc>
        <w:tc>
          <w:tcPr/>
          <w:p w:rsidR="00000000" w:rsidDel="00000000" w:rsidP="00000000" w:rsidRDefault="00000000" w:rsidRPr="00000000" w14:paraId="0000089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2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188</w:t>
            </w:r>
          </w:p>
        </w:tc>
        <w:tc>
          <w:tcPr/>
          <w:p w:rsidR="00000000" w:rsidDel="00000000" w:rsidP="00000000" w:rsidRDefault="00000000" w:rsidRPr="00000000" w14:paraId="0000089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w:t>
            </w:r>
          </w:p>
        </w:tc>
        <w:tc>
          <w:tcPr/>
          <w:p w:rsidR="00000000" w:rsidDel="00000000" w:rsidP="00000000" w:rsidRDefault="00000000" w:rsidRPr="00000000" w14:paraId="0000089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4199</w:t>
            </w:r>
          </w:p>
        </w:tc>
        <w:tc>
          <w:tcPr/>
          <w:p w:rsidR="00000000" w:rsidDel="00000000" w:rsidP="00000000" w:rsidRDefault="00000000" w:rsidRPr="00000000" w14:paraId="0000089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c>
          <w:tcPr/>
          <w:p w:rsidR="00000000" w:rsidDel="00000000" w:rsidP="00000000" w:rsidRDefault="00000000" w:rsidRPr="00000000" w14:paraId="0000089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tc>
        <w:tc>
          <w:tcPr/>
          <w:p w:rsidR="00000000" w:rsidDel="00000000" w:rsidP="00000000" w:rsidRDefault="00000000" w:rsidRPr="00000000" w14:paraId="0000089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516</w:t>
            </w:r>
          </w:p>
        </w:tc>
      </w:tr>
      <w:tr>
        <w:trPr>
          <w:cantSplit w:val="0"/>
          <w:trHeight w:val="1699" w:hRule="atLeast"/>
          <w:tblHeader w:val="0"/>
        </w:trPr>
        <w:tc>
          <w:tcPr/>
          <w:p w:rsidR="00000000" w:rsidDel="00000000" w:rsidP="00000000" w:rsidRDefault="00000000" w:rsidRPr="00000000" w14:paraId="0000089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Diagnosis</w:t>
            </w:r>
          </w:p>
        </w:tc>
        <w:tc>
          <w:tcPr/>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0" w:right="337" w:hanging="107.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100%</w:t>
            </w:r>
          </w:p>
        </w:tc>
        <w:tc>
          <w:tcPr/>
          <w:p w:rsidR="00000000" w:rsidDel="00000000" w:rsidP="00000000" w:rsidRDefault="00000000" w:rsidRPr="00000000" w14:paraId="000008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0" w:right="338" w:hanging="107.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100%</w:t>
            </w:r>
          </w:p>
        </w:tc>
        <w:tc>
          <w:tcPr/>
          <w:p w:rsidR="00000000" w:rsidDel="00000000" w:rsidP="00000000" w:rsidRDefault="00000000" w:rsidRPr="00000000" w14:paraId="000008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5" w:right="163" w:hanging="1.0000000000000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27.25%; NSTEMI, 44.52%; UA, 28.23%</w:t>
            </w:r>
          </w:p>
        </w:tc>
        <w:tc>
          <w:tcPr/>
          <w:p w:rsidR="00000000" w:rsidDel="00000000" w:rsidP="00000000" w:rsidRDefault="00000000" w:rsidRPr="00000000" w14:paraId="000008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Acute MI, 100%</w:t>
            </w:r>
          </w:p>
        </w:tc>
        <w:tc>
          <w:tcPr/>
          <w:p w:rsidR="00000000" w:rsidDel="00000000" w:rsidP="00000000" w:rsidRDefault="00000000" w:rsidRPr="00000000" w14:paraId="000008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4" w:right="118" w:hanging="3.00000000000000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20.51%; NST-ACS, 79.49%</w:t>
            </w:r>
          </w:p>
        </w:tc>
        <w:tc>
          <w:tcPr/>
          <w:p w:rsidR="00000000" w:rsidDel="00000000" w:rsidP="00000000" w:rsidRDefault="00000000" w:rsidRPr="00000000" w14:paraId="000008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7" w:right="217"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NST-ACS, 100%</w:t>
            </w:r>
          </w:p>
        </w:tc>
        <w:tc>
          <w:tcPr/>
          <w:p w:rsidR="00000000" w:rsidDel="00000000" w:rsidP="00000000" w:rsidRDefault="00000000" w:rsidRPr="00000000" w14:paraId="000008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8" w:right="316"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 100%</w:t>
            </w:r>
          </w:p>
        </w:tc>
        <w:tc>
          <w:tcPr/>
          <w:p w:rsidR="00000000" w:rsidDel="00000000" w:rsidP="00000000" w:rsidRDefault="00000000" w:rsidRPr="00000000" w14:paraId="000008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 w:right="161" w:hanging="1.0000000000000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32.7%; NSTEMI, 29.8%; UA,</w:t>
            </w:r>
          </w:p>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 w:right="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37.5%</w:t>
            </w:r>
          </w:p>
        </w:tc>
        <w:tc>
          <w:tcPr>
            <w:tcBorders>
              <w:right w:color="000000" w:space="0" w:sz="0" w:val="nil"/>
            </w:tcBorders>
          </w:tcPr>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STEMI, 100%</w:t>
            </w:r>
          </w:p>
        </w:tc>
      </w:tr>
      <w:tr>
        <w:trPr>
          <w:cantSplit w:val="0"/>
          <w:trHeight w:val="604" w:hRule="atLeast"/>
          <w:tblHeader w:val="0"/>
        </w:trPr>
        <w:tc>
          <w:tcPr/>
          <w:p w:rsidR="00000000" w:rsidDel="00000000" w:rsidP="00000000" w:rsidRDefault="00000000" w:rsidRPr="00000000" w14:paraId="000008A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age, years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c</w:t>
            </w:r>
            <w:r w:rsidDel="00000000" w:rsidR="00000000" w:rsidRPr="00000000">
              <w:rPr>
                <w:rtl w:val="0"/>
              </w:rPr>
            </w:r>
          </w:p>
        </w:tc>
        <w:tc>
          <w:tcPr/>
          <w:p w:rsidR="00000000" w:rsidDel="00000000" w:rsidP="00000000" w:rsidRDefault="00000000" w:rsidRPr="00000000" w14:paraId="000008A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61.5±12.4</w:t>
            </w:r>
          </w:p>
        </w:tc>
        <w:tc>
          <w:tcPr/>
          <w:p w:rsidR="00000000" w:rsidDel="00000000" w:rsidP="00000000" w:rsidRDefault="00000000" w:rsidRPr="00000000" w14:paraId="000008A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36.4±3.6</w:t>
            </w:r>
          </w:p>
        </w:tc>
        <w:tc>
          <w:tcPr/>
          <w:p w:rsidR="00000000" w:rsidDel="00000000" w:rsidP="00000000" w:rsidRDefault="00000000" w:rsidRPr="00000000" w14:paraId="000008A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69±13</w:t>
            </w:r>
          </w:p>
        </w:tc>
        <w:tc>
          <w:tcPr/>
          <w:p w:rsidR="00000000" w:rsidDel="00000000" w:rsidP="00000000" w:rsidRDefault="00000000" w:rsidRPr="00000000" w14:paraId="000008A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A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74±7</w:t>
            </w:r>
          </w:p>
        </w:tc>
        <w:tc>
          <w:tcPr/>
          <w:p w:rsidR="00000000" w:rsidDel="00000000" w:rsidP="00000000" w:rsidRDefault="00000000" w:rsidRPr="00000000" w14:paraId="000008A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59.9±10.3</w:t>
            </w:r>
          </w:p>
        </w:tc>
        <w:tc>
          <w:tcPr/>
          <w:p w:rsidR="00000000" w:rsidDel="00000000" w:rsidP="00000000" w:rsidRDefault="00000000" w:rsidRPr="00000000" w14:paraId="000008B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78.5±4.7</w:t>
            </w:r>
          </w:p>
        </w:tc>
        <w:tc>
          <w:tcPr/>
          <w:p w:rsidR="00000000" w:rsidDel="00000000" w:rsidP="00000000" w:rsidRDefault="00000000" w:rsidRPr="00000000" w14:paraId="000008B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64.2±11.1</w:t>
            </w:r>
          </w:p>
        </w:tc>
        <w:tc>
          <w:tcPr/>
          <w:p w:rsidR="00000000" w:rsidDel="00000000" w:rsidP="00000000" w:rsidRDefault="00000000" w:rsidRPr="00000000" w14:paraId="000008B2">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65.4±8.6</w:t>
            </w:r>
          </w:p>
        </w:tc>
      </w:tr>
      <w:tr>
        <w:trPr>
          <w:cantSplit w:val="0"/>
          <w:trHeight w:val="560" w:hRule="atLeast"/>
          <w:tblHeader w:val="0"/>
        </w:trPr>
        <w:tc>
          <w:tcPr/>
          <w:p w:rsidR="00000000" w:rsidDel="00000000" w:rsidP="00000000" w:rsidRDefault="00000000" w:rsidRPr="00000000" w14:paraId="000008B3">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Males, %</w:t>
            </w:r>
          </w:p>
        </w:tc>
        <w:tc>
          <w:tcPr/>
          <w:p w:rsidR="00000000" w:rsidDel="00000000" w:rsidP="00000000" w:rsidRDefault="00000000" w:rsidRPr="00000000" w14:paraId="000008B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73.9</w:t>
            </w:r>
          </w:p>
        </w:tc>
        <w:tc>
          <w:tcPr/>
          <w:p w:rsidR="00000000" w:rsidDel="00000000" w:rsidP="00000000" w:rsidRDefault="00000000" w:rsidRPr="00000000" w14:paraId="000008B5">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p w:rsidR="00000000" w:rsidDel="00000000" w:rsidP="00000000" w:rsidRDefault="00000000" w:rsidRPr="00000000" w14:paraId="000008B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71.1</w:t>
            </w:r>
          </w:p>
        </w:tc>
        <w:tc>
          <w:tcPr/>
          <w:p w:rsidR="00000000" w:rsidDel="00000000" w:rsidP="00000000" w:rsidRDefault="00000000" w:rsidRPr="00000000" w14:paraId="000008B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29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69.7</w:t>
            </w:r>
          </w:p>
        </w:tc>
        <w:tc>
          <w:tcPr/>
          <w:p w:rsidR="00000000" w:rsidDel="00000000" w:rsidP="00000000" w:rsidRDefault="00000000" w:rsidRPr="00000000" w14:paraId="000008B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tc>
        <w:tc>
          <w:tcPr/>
          <w:p w:rsidR="00000000" w:rsidDel="00000000" w:rsidP="00000000" w:rsidRDefault="00000000" w:rsidRPr="00000000" w14:paraId="000008B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65.7</w:t>
            </w:r>
          </w:p>
        </w:tc>
        <w:tc>
          <w:tcPr/>
          <w:p w:rsidR="00000000" w:rsidDel="00000000" w:rsidP="00000000" w:rsidRDefault="00000000" w:rsidRPr="00000000" w14:paraId="000008B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tc>
        <w:tc>
          <w:tcPr/>
          <w:p w:rsidR="00000000" w:rsidDel="00000000" w:rsidP="00000000" w:rsidRDefault="00000000" w:rsidRPr="00000000" w14:paraId="000008B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p w:rsidR="00000000" w:rsidDel="00000000" w:rsidP="00000000" w:rsidRDefault="00000000" w:rsidRPr="00000000" w14:paraId="000008B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57.6</w:t>
            </w:r>
          </w:p>
        </w:tc>
      </w:tr>
      <w:tr>
        <w:trPr>
          <w:cantSplit w:val="0"/>
          <w:trHeight w:val="561" w:hRule="atLeast"/>
          <w:tblHeader w:val="0"/>
        </w:trPr>
        <w:tc>
          <w:tcPr/>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Hypertension, %</w:t>
            </w:r>
          </w:p>
        </w:tc>
        <w:tc>
          <w:tcPr/>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48.6</w:t>
            </w:r>
          </w:p>
        </w:tc>
        <w:tc>
          <w:tcPr/>
          <w:p w:rsidR="00000000" w:rsidDel="00000000" w:rsidP="00000000" w:rsidRDefault="00000000" w:rsidRPr="00000000" w14:paraId="000008B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8C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68.3</w:t>
            </w:r>
          </w:p>
        </w:tc>
        <w:tc>
          <w:tcPr/>
          <w:p w:rsidR="00000000" w:rsidDel="00000000" w:rsidP="00000000" w:rsidRDefault="00000000" w:rsidRPr="00000000" w14:paraId="000008C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29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80.9</w:t>
            </w:r>
          </w:p>
        </w:tc>
        <w:tc>
          <w:tcPr/>
          <w:p w:rsidR="00000000" w:rsidDel="00000000" w:rsidP="00000000" w:rsidRDefault="00000000" w:rsidRPr="00000000" w14:paraId="000008C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8C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59.8</w:t>
            </w:r>
          </w:p>
        </w:tc>
        <w:tc>
          <w:tcPr/>
          <w:p w:rsidR="00000000" w:rsidDel="00000000" w:rsidP="00000000" w:rsidRDefault="00000000" w:rsidRPr="00000000" w14:paraId="000008C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55.2</w:t>
            </w:r>
          </w:p>
        </w:tc>
        <w:tc>
          <w:tcPr/>
          <w:p w:rsidR="00000000" w:rsidDel="00000000" w:rsidP="00000000" w:rsidRDefault="00000000" w:rsidRPr="00000000" w14:paraId="000008C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C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61.8</w:t>
            </w:r>
          </w:p>
        </w:tc>
      </w:tr>
      <w:tr>
        <w:trPr>
          <w:cantSplit w:val="0"/>
          <w:trHeight w:val="844" w:hRule="atLeast"/>
          <w:tblHeader w:val="0"/>
        </w:trPr>
        <w:tc>
          <w:tcPr/>
          <w:p w:rsidR="00000000" w:rsidDel="00000000" w:rsidP="00000000" w:rsidRDefault="00000000" w:rsidRPr="00000000" w14:paraId="000008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Diabetes mellitus, %</w:t>
            </w:r>
          </w:p>
        </w:tc>
        <w:tc>
          <w:tcPr/>
          <w:p w:rsidR="00000000" w:rsidDel="00000000" w:rsidP="00000000" w:rsidRDefault="00000000" w:rsidRPr="00000000" w14:paraId="000008C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32.3</w:t>
            </w:r>
          </w:p>
        </w:tc>
        <w:tc>
          <w:tcPr/>
          <w:p w:rsidR="00000000" w:rsidDel="00000000" w:rsidP="00000000" w:rsidRDefault="00000000" w:rsidRPr="00000000" w14:paraId="000008C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w:t>
            </w:r>
          </w:p>
        </w:tc>
        <w:tc>
          <w:tcPr/>
          <w:p w:rsidR="00000000" w:rsidDel="00000000" w:rsidP="00000000" w:rsidRDefault="00000000" w:rsidRPr="00000000" w14:paraId="000008C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51.4</w:t>
            </w:r>
          </w:p>
        </w:tc>
        <w:tc>
          <w:tcPr/>
          <w:p w:rsidR="00000000" w:rsidDel="00000000" w:rsidP="00000000" w:rsidRDefault="00000000" w:rsidRPr="00000000" w14:paraId="000008C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29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w:t>
            </w:r>
          </w:p>
        </w:tc>
        <w:tc>
          <w:tcPr/>
          <w:p w:rsidR="00000000" w:rsidDel="00000000" w:rsidP="00000000" w:rsidRDefault="00000000" w:rsidRPr="00000000" w14:paraId="000008C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26.7</w:t>
            </w:r>
          </w:p>
        </w:tc>
        <w:tc>
          <w:tcPr/>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32.6</w:t>
            </w:r>
          </w:p>
        </w:tc>
        <w:tc>
          <w:tcPr/>
          <w:p w:rsidR="00000000" w:rsidDel="00000000" w:rsidP="00000000" w:rsidRDefault="00000000" w:rsidRPr="00000000" w14:paraId="000008C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38.7</w:t>
            </w:r>
          </w:p>
        </w:tc>
        <w:tc>
          <w:tcPr/>
          <w:p w:rsidR="00000000" w:rsidDel="00000000" w:rsidP="00000000" w:rsidRDefault="00000000" w:rsidRPr="00000000" w14:paraId="000008C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D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49.6</w:t>
            </w:r>
          </w:p>
        </w:tc>
      </w:tr>
      <w:tr>
        <w:trPr>
          <w:cantSplit w:val="0"/>
          <w:trHeight w:val="561" w:hRule="atLeast"/>
          <w:tblHeader w:val="0"/>
        </w:trPr>
        <w:tc>
          <w:tcPr/>
          <w:p w:rsidR="00000000" w:rsidDel="00000000" w:rsidP="00000000" w:rsidRDefault="00000000" w:rsidRPr="00000000" w14:paraId="000008D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Dyslipidemia, %</w:t>
            </w:r>
          </w:p>
        </w:tc>
        <w:tc>
          <w:tcPr/>
          <w:p w:rsidR="00000000" w:rsidDel="00000000" w:rsidP="00000000" w:rsidRDefault="00000000" w:rsidRPr="00000000" w14:paraId="000008D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c>
          <w:tcPr/>
          <w:p w:rsidR="00000000" w:rsidDel="00000000" w:rsidP="00000000" w:rsidRDefault="00000000" w:rsidRPr="00000000" w14:paraId="000008D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tc>
        <w:tc>
          <w:tcPr/>
          <w:p w:rsidR="00000000" w:rsidDel="00000000" w:rsidP="00000000" w:rsidRDefault="00000000" w:rsidRPr="00000000" w14:paraId="000008D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53.4</w:t>
            </w:r>
          </w:p>
        </w:tc>
        <w:tc>
          <w:tcPr/>
          <w:p w:rsidR="00000000" w:rsidDel="00000000" w:rsidP="00000000" w:rsidRDefault="00000000" w:rsidRPr="00000000" w14:paraId="000008D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35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8D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56.9</w:t>
            </w:r>
          </w:p>
        </w:tc>
        <w:tc>
          <w:tcPr/>
          <w:p w:rsidR="00000000" w:rsidDel="00000000" w:rsidP="00000000" w:rsidRDefault="00000000" w:rsidRPr="00000000" w14:paraId="000008D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68.7</w:t>
            </w:r>
          </w:p>
        </w:tc>
        <w:tc>
          <w:tcPr/>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44.8</w:t>
            </w:r>
          </w:p>
        </w:tc>
        <w:tc>
          <w:tcPr/>
          <w:p w:rsidR="00000000" w:rsidDel="00000000" w:rsidP="00000000" w:rsidRDefault="00000000" w:rsidRPr="00000000" w14:paraId="000008D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D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r>
      <w:tr>
        <w:trPr>
          <w:cantSplit w:val="0"/>
          <w:trHeight w:val="558" w:hRule="atLeast"/>
          <w:tblHeader w:val="0"/>
        </w:trPr>
        <w:tc>
          <w:tcPr/>
          <w:p w:rsidR="00000000" w:rsidDel="00000000" w:rsidP="00000000" w:rsidRDefault="00000000" w:rsidRPr="00000000" w14:paraId="000008D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Smoking, %</w:t>
            </w:r>
          </w:p>
        </w:tc>
        <w:tc>
          <w:tcPr/>
          <w:p w:rsidR="00000000" w:rsidDel="00000000" w:rsidP="00000000" w:rsidRDefault="00000000" w:rsidRPr="00000000" w14:paraId="000008D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56.6</w:t>
            </w:r>
          </w:p>
        </w:tc>
        <w:tc>
          <w:tcPr/>
          <w:p w:rsidR="00000000" w:rsidDel="00000000" w:rsidP="00000000" w:rsidRDefault="00000000" w:rsidRPr="00000000" w14:paraId="000008D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81.7</w:t>
            </w:r>
          </w:p>
        </w:tc>
        <w:tc>
          <w:tcPr/>
          <w:p w:rsidR="00000000" w:rsidDel="00000000" w:rsidP="00000000" w:rsidRDefault="00000000" w:rsidRPr="00000000" w14:paraId="000008D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28.7</w:t>
            </w:r>
          </w:p>
        </w:tc>
        <w:tc>
          <w:tcPr/>
          <w:p w:rsidR="00000000" w:rsidDel="00000000" w:rsidP="00000000" w:rsidRDefault="00000000" w:rsidRPr="00000000" w14:paraId="000008D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29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58.5</w:t>
            </w:r>
          </w:p>
        </w:tc>
        <w:tc>
          <w:tcPr/>
          <w:p w:rsidR="00000000" w:rsidDel="00000000" w:rsidP="00000000" w:rsidRDefault="00000000" w:rsidRPr="00000000" w14:paraId="000008E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20.5</w:t>
            </w:r>
          </w:p>
        </w:tc>
        <w:tc>
          <w:tcPr/>
          <w:p w:rsidR="00000000" w:rsidDel="00000000" w:rsidP="00000000" w:rsidRDefault="00000000" w:rsidRPr="00000000" w14:paraId="000008E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w:t>
            </w:r>
          </w:p>
        </w:tc>
        <w:tc>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52.7</w:t>
            </w:r>
          </w:p>
        </w:tc>
      </w:tr>
      <w:tr>
        <w:trPr>
          <w:cantSplit w:val="0"/>
          <w:trHeight w:val="561" w:hRule="atLeast"/>
          <w:tblHeader w:val="0"/>
        </w:trPr>
        <w:tc>
          <w:tcPr/>
          <w:p w:rsidR="00000000" w:rsidDel="00000000" w:rsidP="00000000" w:rsidRDefault="00000000" w:rsidRPr="00000000" w14:paraId="000008E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Previous MI, %</w:t>
            </w:r>
          </w:p>
        </w:tc>
        <w:tc>
          <w:tcPr/>
          <w:p w:rsidR="00000000" w:rsidDel="00000000" w:rsidP="00000000" w:rsidRDefault="00000000" w:rsidRPr="00000000" w14:paraId="000008E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p w:rsidR="00000000" w:rsidDel="00000000" w:rsidP="00000000" w:rsidRDefault="00000000" w:rsidRPr="00000000" w14:paraId="000008E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w:t>
            </w:r>
          </w:p>
        </w:tc>
        <w:tc>
          <w:tcPr/>
          <w:p w:rsidR="00000000" w:rsidDel="00000000" w:rsidP="00000000" w:rsidRDefault="00000000" w:rsidRPr="00000000" w14:paraId="000008E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E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4" w:hRule="atLeast"/>
          <w:tblHeader w:val="0"/>
        </w:trPr>
        <w:tc>
          <w:tcPr/>
          <w:p w:rsidR="00000000" w:rsidDel="00000000" w:rsidP="00000000" w:rsidRDefault="00000000" w:rsidRPr="00000000" w14:paraId="000008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history of CAD, %</w:t>
            </w:r>
          </w:p>
        </w:tc>
        <w:tc>
          <w:tcPr/>
          <w:p w:rsidR="00000000" w:rsidDel="00000000" w:rsidP="00000000" w:rsidRDefault="00000000" w:rsidRPr="00000000" w14:paraId="000008F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8F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w:t>
            </w:r>
          </w:p>
        </w:tc>
        <w:tc>
          <w:tcPr/>
          <w:p w:rsidR="00000000" w:rsidDel="00000000" w:rsidP="00000000" w:rsidRDefault="00000000" w:rsidRPr="00000000" w14:paraId="000008F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1" w:hRule="atLeast"/>
          <w:tblHeader w:val="0"/>
        </w:trPr>
        <w:tc>
          <w:tcPr/>
          <w:p w:rsidR="00000000" w:rsidDel="00000000" w:rsidP="00000000" w:rsidRDefault="00000000" w:rsidRPr="00000000" w14:paraId="000008F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History of PCI, %</w:t>
            </w:r>
          </w:p>
        </w:tc>
        <w:tc>
          <w:tcPr/>
          <w:p w:rsidR="00000000" w:rsidDel="00000000" w:rsidP="00000000" w:rsidRDefault="00000000" w:rsidRPr="00000000" w14:paraId="000008F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8F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8F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w:t>
            </w:r>
          </w:p>
        </w:tc>
        <w:tc>
          <w:tcPr/>
          <w:p w:rsidR="00000000" w:rsidDel="00000000" w:rsidP="00000000" w:rsidRDefault="00000000" w:rsidRPr="00000000" w14:paraId="000008F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9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903">
      <w:pPr>
        <w:spacing w:after="0" w:line="268" w:lineRule="auto"/>
        <w:ind w:firstLine="0"/>
        <w:rPr>
          <w:sz w:val="24"/>
          <w:szCs w:val="24"/>
        </w:rPr>
        <w:sectPr>
          <w:headerReference r:id="rId166" w:type="even"/>
          <w:type w:val="nextPage"/>
          <w:pgSz w:h="11920" w:w="16840" w:orient="landscape"/>
          <w:pgMar w:bottom="260" w:top="1100" w:left="900" w:right="900" w:header="0" w:footer="0"/>
        </w:sectPr>
      </w:pPr>
      <w:r w:rsidDel="00000000" w:rsidR="00000000" w:rsidRPr="00000000">
        <w:rPr>
          <w:rtl w:val="0"/>
        </w:rPr>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19"/>
        <w:tblW w:w="14795.0"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92"/>
        <w:gridCol w:w="1502"/>
        <w:gridCol w:w="1503"/>
        <w:gridCol w:w="1306"/>
        <w:gridCol w:w="1042"/>
        <w:gridCol w:w="1309"/>
        <w:gridCol w:w="1501"/>
        <w:gridCol w:w="1504"/>
        <w:gridCol w:w="1503"/>
        <w:gridCol w:w="1633"/>
        <w:tblGridChange w:id="0">
          <w:tblGrid>
            <w:gridCol w:w="1992"/>
            <w:gridCol w:w="1502"/>
            <w:gridCol w:w="1503"/>
            <w:gridCol w:w="1306"/>
            <w:gridCol w:w="1042"/>
            <w:gridCol w:w="1309"/>
            <w:gridCol w:w="1501"/>
            <w:gridCol w:w="1504"/>
            <w:gridCol w:w="1503"/>
            <w:gridCol w:w="1633"/>
          </w:tblGrid>
        </w:tblGridChange>
      </w:tblGrid>
      <w:tr>
        <w:trPr>
          <w:cantSplit w:val="0"/>
          <w:trHeight w:val="561" w:hRule="atLeast"/>
          <w:tblHeader w:val="0"/>
        </w:trPr>
        <w:tc>
          <w:tcPr/>
          <w:p w:rsidR="00000000" w:rsidDel="00000000" w:rsidP="00000000" w:rsidRDefault="00000000" w:rsidRPr="00000000" w14:paraId="0000090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BMI, kg/m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p w:rsidR="00000000" w:rsidDel="00000000" w:rsidP="00000000" w:rsidRDefault="00000000" w:rsidRPr="00000000" w14:paraId="0000090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w:t>
            </w:r>
          </w:p>
        </w:tc>
        <w:tc>
          <w:tcPr/>
          <w:p w:rsidR="00000000" w:rsidDel="00000000" w:rsidP="00000000" w:rsidRDefault="00000000" w:rsidRPr="00000000" w14:paraId="0000090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28±4.5</w:t>
            </w:r>
          </w:p>
        </w:tc>
        <w:tc>
          <w:tcPr/>
          <w:p w:rsidR="00000000" w:rsidDel="00000000" w:rsidP="00000000" w:rsidRDefault="00000000" w:rsidRPr="00000000" w14:paraId="0000090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0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44" w:hRule="atLeast"/>
          <w:tblHeader w:val="0"/>
        </w:trPr>
        <w:tc>
          <w:tcPr/>
          <w:p w:rsidR="00000000" w:rsidDel="00000000" w:rsidP="00000000" w:rsidRDefault="00000000" w:rsidRPr="00000000" w14:paraId="000009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Baseline SBP, mmHg</w:t>
            </w:r>
          </w:p>
        </w:tc>
        <w:tc>
          <w:tcPr/>
          <w:p w:rsidR="00000000" w:rsidDel="00000000" w:rsidP="00000000" w:rsidRDefault="00000000" w:rsidRPr="00000000" w14:paraId="0000091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128±22</w:t>
            </w:r>
          </w:p>
        </w:tc>
        <w:tc>
          <w:tcPr/>
          <w:p w:rsidR="00000000" w:rsidDel="00000000" w:rsidP="00000000" w:rsidRDefault="00000000" w:rsidRPr="00000000" w14:paraId="0000091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127.6 ±17.7</w:t>
            </w:r>
          </w:p>
        </w:tc>
        <w:tc>
          <w:tcPr/>
          <w:p w:rsidR="00000000" w:rsidDel="00000000" w:rsidP="00000000" w:rsidRDefault="00000000" w:rsidRPr="00000000" w14:paraId="0000091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125.2±19.1</w:t>
            </w:r>
          </w:p>
        </w:tc>
      </w:tr>
      <w:tr>
        <w:trPr>
          <w:cantSplit w:val="0"/>
          <w:trHeight w:val="844" w:hRule="atLeast"/>
          <w:tblHeader w:val="0"/>
        </w:trPr>
        <w:tc>
          <w:tcPr/>
          <w:p w:rsidR="00000000" w:rsidDel="00000000" w:rsidP="00000000" w:rsidRDefault="00000000" w:rsidRPr="00000000" w14:paraId="0000091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Glucose, mg/dl</w:t>
            </w:r>
          </w:p>
        </w:tc>
        <w:tc>
          <w:tcPr/>
          <w:p w:rsidR="00000000" w:rsidDel="00000000" w:rsidP="00000000" w:rsidRDefault="00000000" w:rsidRPr="00000000" w14:paraId="0000091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128.8 ± 60.4</w:t>
            </w:r>
          </w:p>
        </w:tc>
        <w:tc>
          <w:tcPr/>
          <w:p w:rsidR="00000000" w:rsidDel="00000000" w:rsidP="00000000" w:rsidRDefault="00000000" w:rsidRPr="00000000" w14:paraId="0000091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1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129.6±36.6</w:t>
            </w:r>
          </w:p>
        </w:tc>
        <w:tc>
          <w:tcPr/>
          <w:p w:rsidR="00000000" w:rsidDel="00000000" w:rsidP="00000000" w:rsidRDefault="00000000" w:rsidRPr="00000000" w14:paraId="0000091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103.0 (91.0,</w:t>
            </w:r>
          </w:p>
          <w:p w:rsidR="00000000" w:rsidDel="00000000" w:rsidP="00000000" w:rsidRDefault="00000000" w:rsidRPr="00000000" w14:paraId="000009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132.0)</w:t>
            </w:r>
          </w:p>
        </w:tc>
        <w:tc>
          <w:tcPr/>
          <w:p w:rsidR="00000000" w:rsidDel="00000000" w:rsidP="00000000" w:rsidRDefault="00000000" w:rsidRPr="00000000" w14:paraId="0000092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117.3±48.4</w:t>
            </w:r>
          </w:p>
        </w:tc>
        <w:tc>
          <w:tcPr/>
          <w:p w:rsidR="00000000" w:rsidDel="00000000" w:rsidP="00000000" w:rsidRDefault="00000000" w:rsidRPr="00000000" w14:paraId="0000092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98.2±39.1</w:t>
            </w:r>
          </w:p>
        </w:tc>
      </w:tr>
      <w:tr>
        <w:trPr>
          <w:cantSplit w:val="0"/>
          <w:trHeight w:val="561" w:hRule="atLeast"/>
          <w:tblHeader w:val="0"/>
        </w:trPr>
        <w:tc>
          <w:tcPr/>
          <w:p w:rsidR="00000000" w:rsidDel="00000000" w:rsidP="00000000" w:rsidRDefault="00000000" w:rsidRPr="00000000" w14:paraId="0000092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Cholesterol,</w:t>
            </w:r>
          </w:p>
          <w:p w:rsidR="00000000" w:rsidDel="00000000" w:rsidP="00000000" w:rsidRDefault="00000000" w:rsidRPr="00000000" w14:paraId="00000925">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mg/dl</w:t>
            </w:r>
          </w:p>
        </w:tc>
        <w:tc>
          <w:tcPr/>
          <w:p w:rsidR="00000000" w:rsidDel="00000000" w:rsidP="00000000" w:rsidRDefault="00000000" w:rsidRPr="00000000" w14:paraId="0000092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2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184.4±51.8</w:t>
            </w:r>
          </w:p>
        </w:tc>
        <w:tc>
          <w:tcPr/>
          <w:p w:rsidR="00000000" w:rsidDel="00000000" w:rsidP="00000000" w:rsidRDefault="00000000" w:rsidRPr="00000000" w14:paraId="00000928">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2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2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2B">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173.9 ± 47.1</w:t>
            </w:r>
          </w:p>
        </w:tc>
        <w:tc>
          <w:tcPr/>
          <w:p w:rsidR="00000000" w:rsidDel="00000000" w:rsidP="00000000" w:rsidRDefault="00000000" w:rsidRPr="00000000" w14:paraId="0000092C">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176.5±41.4</w:t>
            </w:r>
          </w:p>
        </w:tc>
        <w:tc>
          <w:tcPr/>
          <w:p w:rsidR="00000000" w:rsidDel="00000000" w:rsidP="00000000" w:rsidRDefault="00000000" w:rsidRPr="00000000" w14:paraId="0000092D">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2E">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162.21±44.08</w:t>
            </w:r>
          </w:p>
        </w:tc>
      </w:tr>
      <w:tr>
        <w:trPr>
          <w:cantSplit w:val="0"/>
          <w:trHeight w:val="844" w:hRule="atLeast"/>
          <w:tblHeader w:val="0"/>
        </w:trPr>
        <w:tc>
          <w:tcPr/>
          <w:p w:rsidR="00000000" w:rsidDel="00000000" w:rsidP="00000000" w:rsidRDefault="00000000" w:rsidRPr="00000000" w14:paraId="0000092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LDL-C, mg/dl</w:t>
            </w:r>
          </w:p>
        </w:tc>
        <w:tc>
          <w:tcPr/>
          <w:p w:rsidR="00000000" w:rsidDel="00000000" w:rsidP="00000000" w:rsidRDefault="00000000" w:rsidRPr="00000000" w14:paraId="0000093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114.9± 42.8</w:t>
            </w:r>
          </w:p>
        </w:tc>
        <w:tc>
          <w:tcPr/>
          <w:p w:rsidR="00000000" w:rsidDel="00000000" w:rsidP="00000000" w:rsidRDefault="00000000" w:rsidRPr="00000000" w14:paraId="0000093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112±41</w:t>
            </w:r>
          </w:p>
        </w:tc>
        <w:tc>
          <w:tcPr/>
          <w:p w:rsidR="00000000" w:rsidDel="00000000" w:rsidP="00000000" w:rsidRDefault="00000000" w:rsidRPr="00000000" w14:paraId="0000093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102.0 (78.5,</w:t>
            </w:r>
          </w:p>
          <w:p w:rsidR="00000000" w:rsidDel="00000000" w:rsidP="00000000" w:rsidRDefault="00000000" w:rsidRPr="00000000" w14:paraId="000009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131.0)</w:t>
            </w:r>
          </w:p>
        </w:tc>
        <w:tc>
          <w:tcPr/>
          <w:p w:rsidR="00000000" w:rsidDel="00000000" w:rsidP="00000000" w:rsidRDefault="00000000" w:rsidRPr="00000000" w14:paraId="0000093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111±35.6</w:t>
            </w:r>
          </w:p>
        </w:tc>
        <w:tc>
          <w:tcPr/>
          <w:p w:rsidR="00000000" w:rsidDel="00000000" w:rsidP="00000000" w:rsidRDefault="00000000" w:rsidRPr="00000000" w14:paraId="0000093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5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96.53</w:t>
            </w:r>
          </w:p>
        </w:tc>
      </w:tr>
      <w:tr>
        <w:trPr>
          <w:cantSplit w:val="0"/>
          <w:trHeight w:val="561" w:hRule="atLeast"/>
          <w:tblHeader w:val="0"/>
        </w:trPr>
        <w:tc>
          <w:tcPr/>
          <w:p w:rsidR="00000000" w:rsidDel="00000000" w:rsidP="00000000" w:rsidRDefault="00000000" w:rsidRPr="00000000" w14:paraId="0000093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HDL-C, mg/dl</w:t>
            </w:r>
          </w:p>
        </w:tc>
        <w:tc>
          <w:tcPr/>
          <w:p w:rsidR="00000000" w:rsidDel="00000000" w:rsidP="00000000" w:rsidRDefault="00000000" w:rsidRPr="00000000" w14:paraId="0000093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 ± 8.5</w:t>
            </w:r>
          </w:p>
        </w:tc>
        <w:tc>
          <w:tcPr/>
          <w:p w:rsidR="00000000" w:rsidDel="00000000" w:rsidP="00000000" w:rsidRDefault="00000000" w:rsidRPr="00000000" w14:paraId="0000093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3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40.9±10.8</w:t>
            </w:r>
          </w:p>
        </w:tc>
        <w:tc>
          <w:tcPr/>
          <w:p w:rsidR="00000000" w:rsidDel="00000000" w:rsidP="00000000" w:rsidRDefault="00000000" w:rsidRPr="00000000" w14:paraId="0000094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39.2±9.3</w:t>
            </w:r>
          </w:p>
        </w:tc>
        <w:tc>
          <w:tcPr/>
          <w:p w:rsidR="00000000" w:rsidDel="00000000" w:rsidP="00000000" w:rsidRDefault="00000000" w:rsidRPr="00000000" w14:paraId="0000094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5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37.45</w:t>
            </w:r>
          </w:p>
        </w:tc>
      </w:tr>
      <w:tr>
        <w:trPr>
          <w:cantSplit w:val="0"/>
          <w:trHeight w:val="844" w:hRule="atLeast"/>
          <w:tblHeader w:val="0"/>
        </w:trPr>
        <w:tc>
          <w:tcPr/>
          <w:p w:rsidR="00000000" w:rsidDel="00000000" w:rsidP="00000000" w:rsidRDefault="00000000" w:rsidRPr="00000000" w14:paraId="000009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Fasting triglycerides,mg/d l</w:t>
            </w:r>
          </w:p>
        </w:tc>
        <w:tc>
          <w:tcPr/>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 106.0</w:t>
            </w:r>
          </w:p>
        </w:tc>
        <w:tc>
          <w:tcPr/>
          <w:p w:rsidR="00000000" w:rsidDel="00000000" w:rsidP="00000000" w:rsidRDefault="00000000" w:rsidRPr="00000000" w14:paraId="0000094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147.0 (106.5,</w:t>
            </w:r>
          </w:p>
          <w:p w:rsidR="00000000" w:rsidDel="00000000" w:rsidP="00000000" w:rsidRDefault="00000000" w:rsidRPr="00000000" w14:paraId="000009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209.0)</w:t>
            </w:r>
          </w:p>
        </w:tc>
        <w:tc>
          <w:tcPr/>
          <w:p w:rsidR="00000000" w:rsidDel="00000000" w:rsidP="00000000" w:rsidRDefault="00000000" w:rsidRPr="00000000" w14:paraId="0000094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111.2±50.6</w:t>
            </w:r>
          </w:p>
        </w:tc>
        <w:tc>
          <w:tcPr/>
          <w:p w:rsidR="00000000" w:rsidDel="00000000" w:rsidP="00000000" w:rsidRDefault="00000000" w:rsidRPr="00000000" w14:paraId="0000094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4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162.57±106.8</w:t>
            </w:r>
          </w:p>
          <w:p w:rsidR="00000000" w:rsidDel="00000000" w:rsidP="00000000" w:rsidRDefault="00000000" w:rsidRPr="00000000" w14:paraId="000009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561" w:hRule="atLeast"/>
          <w:tblHeader w:val="0"/>
        </w:trPr>
        <w:tc>
          <w:tcPr/>
          <w:p w:rsidR="00000000" w:rsidDel="00000000" w:rsidP="00000000" w:rsidRDefault="00000000" w:rsidRPr="00000000" w14:paraId="0000095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Creatinine, mg/dl</w:t>
            </w:r>
          </w:p>
        </w:tc>
        <w:tc>
          <w:tcPr/>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0.96±0.54</w:t>
            </w:r>
          </w:p>
        </w:tc>
        <w:tc>
          <w:tcPr/>
          <w:p w:rsidR="00000000" w:rsidDel="00000000" w:rsidP="00000000" w:rsidRDefault="00000000" w:rsidRPr="00000000" w14:paraId="0000095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0.83 ± 0.29</w:t>
            </w:r>
          </w:p>
        </w:tc>
        <w:tc>
          <w:tcPr/>
          <w:p w:rsidR="00000000" w:rsidDel="00000000" w:rsidP="00000000" w:rsidRDefault="00000000" w:rsidRPr="00000000" w14:paraId="0000095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2.13±2.5</w:t>
            </w:r>
          </w:p>
        </w:tc>
        <w:tc>
          <w:tcPr/>
          <w:p w:rsidR="00000000" w:rsidDel="00000000" w:rsidP="00000000" w:rsidRDefault="00000000" w:rsidRPr="00000000" w14:paraId="0000095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5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1.06±0.6</w:t>
            </w:r>
          </w:p>
        </w:tc>
        <w:tc>
          <w:tcPr/>
          <w:p w:rsidR="00000000" w:rsidDel="00000000" w:rsidP="00000000" w:rsidRDefault="00000000" w:rsidRPr="00000000" w14:paraId="0000095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 (0.8, 1.1)</w:t>
            </w:r>
          </w:p>
        </w:tc>
        <w:tc>
          <w:tcPr/>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0.9±0.3</w:t>
            </w:r>
          </w:p>
        </w:tc>
        <w:tc>
          <w:tcPr/>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1.0±0.3</w:t>
            </w:r>
          </w:p>
        </w:tc>
        <w:tc>
          <w:tcPr/>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0.83±0.46</w:t>
            </w:r>
          </w:p>
        </w:tc>
      </w:tr>
      <w:tr>
        <w:trPr>
          <w:cantSplit w:val="0"/>
          <w:trHeight w:val="604" w:hRule="atLeast"/>
          <w:tblHeader w:val="0"/>
        </w:trPr>
        <w:tc>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WBC,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9.5±3.2</w:t>
            </w:r>
          </w:p>
        </w:tc>
        <w:tc>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 ± 3.7</w:t>
            </w:r>
          </w:p>
        </w:tc>
        <w:tc>
          <w:tcPr/>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 4.8</w:t>
            </w:r>
          </w:p>
        </w:tc>
        <w:tc>
          <w:tcPr/>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8.3±3.1</w:t>
            </w:r>
          </w:p>
        </w:tc>
        <w:tc>
          <w:tcPr/>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9.9±3.7</w:t>
            </w:r>
          </w:p>
        </w:tc>
        <w:tc>
          <w:tcPr/>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61" w:hRule="atLeast"/>
          <w:tblHeader w:val="0"/>
        </w:trPr>
        <w:tc>
          <w:tcPr/>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Hemoglobin, g/l</w:t>
            </w:r>
          </w:p>
        </w:tc>
        <w:tc>
          <w:tcPr/>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135.2±17.8</w:t>
            </w:r>
          </w:p>
        </w:tc>
        <w:tc>
          <w:tcPr/>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128±25</w:t>
            </w:r>
          </w:p>
        </w:tc>
        <w:tc>
          <w:tcPr/>
          <w:p w:rsidR="00000000" w:rsidDel="00000000" w:rsidP="00000000" w:rsidRDefault="00000000" w:rsidRPr="00000000" w14:paraId="0000096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 ± 17</w:t>
            </w:r>
          </w:p>
        </w:tc>
        <w:tc>
          <w:tcPr/>
          <w:p w:rsidR="00000000" w:rsidDel="00000000" w:rsidP="00000000" w:rsidRDefault="00000000" w:rsidRPr="00000000" w14:paraId="0000096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131.5±16.9</w:t>
            </w:r>
          </w:p>
        </w:tc>
        <w:tc>
          <w:tcPr/>
          <w:p w:rsidR="00000000" w:rsidDel="00000000" w:rsidP="00000000" w:rsidRDefault="00000000" w:rsidRPr="00000000" w14:paraId="0000096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604" w:hRule="atLeast"/>
          <w:tblHeader w:val="0"/>
        </w:trPr>
        <w:tc>
          <w:tcPr/>
          <w:p w:rsidR="00000000" w:rsidDel="00000000" w:rsidP="00000000" w:rsidRDefault="00000000" w:rsidRPr="00000000" w14:paraId="000009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4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Platelet count,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6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203.1±56.3</w:t>
            </w:r>
          </w:p>
        </w:tc>
        <w:tc>
          <w:tcPr/>
          <w:p w:rsidR="00000000" w:rsidDel="00000000" w:rsidP="00000000" w:rsidRDefault="00000000" w:rsidRPr="00000000" w14:paraId="0000097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244.3±65.1</w:t>
            </w:r>
          </w:p>
        </w:tc>
        <w:tc>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217±75</w:t>
            </w:r>
          </w:p>
        </w:tc>
        <w:tc>
          <w:tcPr/>
          <w:p w:rsidR="00000000" w:rsidDel="00000000" w:rsidP="00000000" w:rsidRDefault="00000000" w:rsidRPr="00000000" w14:paraId="0000097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7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207±45.7</w:t>
            </w:r>
          </w:p>
        </w:tc>
        <w:tc>
          <w:tcPr/>
          <w:p w:rsidR="00000000" w:rsidDel="00000000" w:rsidP="00000000" w:rsidRDefault="00000000" w:rsidRPr="00000000" w14:paraId="0000097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7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241±65</w:t>
            </w:r>
          </w:p>
        </w:tc>
        <w:tc>
          <w:tcPr/>
          <w:p w:rsidR="00000000" w:rsidDel="00000000" w:rsidP="00000000" w:rsidRDefault="00000000" w:rsidRPr="00000000" w14:paraId="0000097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1" w:hRule="atLeast"/>
          <w:tblHeader w:val="0"/>
        </w:trPr>
        <w:tc>
          <w:tcPr/>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fl</w:t>
            </w:r>
          </w:p>
        </w:tc>
        <w:tc>
          <w:tcPr/>
          <w:p w:rsidR="00000000" w:rsidDel="00000000" w:rsidP="00000000" w:rsidRDefault="00000000" w:rsidRPr="00000000" w14:paraId="0000097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9.5±1.6</w:t>
            </w:r>
          </w:p>
        </w:tc>
        <w:tc>
          <w:tcPr/>
          <w:p w:rsidR="00000000" w:rsidDel="00000000" w:rsidP="00000000" w:rsidRDefault="00000000" w:rsidRPr="00000000" w14:paraId="0000097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8.0±1.2</w:t>
            </w:r>
          </w:p>
        </w:tc>
        <w:tc>
          <w:tcPr/>
          <w:p w:rsidR="00000000" w:rsidDel="00000000" w:rsidP="00000000" w:rsidRDefault="00000000" w:rsidRPr="00000000" w14:paraId="0000097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8.6±1.1</w:t>
            </w:r>
          </w:p>
        </w:tc>
        <w:tc>
          <w:tcPr/>
          <w:p w:rsidR="00000000" w:rsidDel="00000000" w:rsidP="00000000" w:rsidRDefault="00000000" w:rsidRPr="00000000" w14:paraId="0000097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7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10.5±0.5</w:t>
            </w:r>
          </w:p>
        </w:tc>
        <w:tc>
          <w:tcPr/>
          <w:p w:rsidR="00000000" w:rsidDel="00000000" w:rsidP="00000000" w:rsidRDefault="00000000" w:rsidRPr="00000000" w14:paraId="0000097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7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8.2±1.3</w:t>
            </w:r>
          </w:p>
        </w:tc>
        <w:tc>
          <w:tcPr/>
          <w:p w:rsidR="00000000" w:rsidDel="00000000" w:rsidP="00000000" w:rsidRDefault="00000000" w:rsidRPr="00000000" w14:paraId="0000098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10.7±1.2</w:t>
            </w:r>
          </w:p>
        </w:tc>
        <w:tc>
          <w:tcPr/>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10.7±0.91</w:t>
            </w:r>
          </w:p>
        </w:tc>
      </w:tr>
      <w:tr>
        <w:trPr>
          <w:cantSplit w:val="0"/>
          <w:trHeight w:val="558" w:hRule="atLeast"/>
          <w:tblHeader w:val="0"/>
        </w:trPr>
        <w:tc>
          <w:tcPr/>
          <w:p w:rsidR="00000000" w:rsidDel="00000000" w:rsidP="00000000" w:rsidRDefault="00000000" w:rsidRPr="00000000" w14:paraId="0000098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 %</w:t>
            </w:r>
          </w:p>
        </w:tc>
        <w:tc>
          <w:tcPr/>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54.9±9.4</w:t>
            </w:r>
          </w:p>
        </w:tc>
        <w:tc>
          <w:tcPr/>
          <w:p w:rsidR="00000000" w:rsidDel="00000000" w:rsidP="00000000" w:rsidRDefault="00000000" w:rsidRPr="00000000" w14:paraId="0000098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47.4±9.9</w:t>
            </w:r>
          </w:p>
        </w:tc>
        <w:tc>
          <w:tcPr/>
          <w:p w:rsidR="00000000" w:rsidDel="00000000" w:rsidP="00000000" w:rsidRDefault="00000000" w:rsidRPr="00000000" w14:paraId="0000098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8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0" w:right="46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50.6±9.2</w:t>
            </w:r>
          </w:p>
        </w:tc>
        <w:tc>
          <w:tcPr/>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8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8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49.8± 9.5</w:t>
            </w:r>
          </w:p>
        </w:tc>
      </w:tr>
      <w:tr>
        <w:trPr>
          <w:cantSplit w:val="0"/>
          <w:trHeight w:val="560" w:hRule="atLeast"/>
          <w:tblHeader w:val="0"/>
        </w:trPr>
        <w:tc>
          <w:tcPr/>
          <w:p w:rsidR="00000000" w:rsidDel="00000000" w:rsidP="00000000" w:rsidRDefault="00000000" w:rsidRPr="00000000" w14:paraId="0000098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PCI, %</w:t>
            </w:r>
          </w:p>
        </w:tc>
        <w:tc>
          <w:tcPr/>
          <w:p w:rsidR="00000000" w:rsidDel="00000000" w:rsidP="00000000" w:rsidRDefault="00000000" w:rsidRPr="00000000" w14:paraId="0000098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98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98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99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99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996">
      <w:pPr>
        <w:spacing w:after="0" w:line="268" w:lineRule="auto"/>
        <w:ind w:firstLine="0"/>
        <w:rPr>
          <w:sz w:val="24"/>
          <w:szCs w:val="24"/>
        </w:rPr>
        <w:sectPr>
          <w:headerReference r:id="rId167" w:type="default"/>
          <w:footerReference r:id="rId168" w:type="default"/>
          <w:footerReference r:id="rId169" w:type="even"/>
          <w:type w:val="nextPage"/>
          <w:pgSz w:h="11920" w:w="16840" w:orient="landscape"/>
          <w:pgMar w:bottom="260" w:top="1100" w:left="900" w:right="900" w:header="0" w:footer="71"/>
          <w:pgNumType w:start="27"/>
        </w:sectPr>
      </w:pPr>
      <w:r w:rsidDel="00000000" w:rsidR="00000000" w:rsidRPr="00000000">
        <w:rPr>
          <w:rtl w:val="0"/>
        </w:rPr>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20"/>
        <w:tblW w:w="14795.0" w:type="dxa"/>
        <w:jc w:val="left"/>
        <w:tblInd w:w="13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92"/>
        <w:gridCol w:w="1502"/>
        <w:gridCol w:w="1503"/>
        <w:gridCol w:w="1306"/>
        <w:gridCol w:w="1042"/>
        <w:gridCol w:w="1309"/>
        <w:gridCol w:w="1501"/>
        <w:gridCol w:w="1504"/>
        <w:gridCol w:w="1503"/>
        <w:gridCol w:w="1633"/>
        <w:tblGridChange w:id="0">
          <w:tblGrid>
            <w:gridCol w:w="1992"/>
            <w:gridCol w:w="1502"/>
            <w:gridCol w:w="1503"/>
            <w:gridCol w:w="1306"/>
            <w:gridCol w:w="1042"/>
            <w:gridCol w:w="1309"/>
            <w:gridCol w:w="1501"/>
            <w:gridCol w:w="1504"/>
            <w:gridCol w:w="1503"/>
            <w:gridCol w:w="1633"/>
          </w:tblGrid>
        </w:tblGridChange>
      </w:tblGrid>
      <w:tr>
        <w:trPr>
          <w:cantSplit w:val="0"/>
          <w:trHeight w:val="561" w:hRule="atLeast"/>
          <w:tblHeader w:val="0"/>
        </w:trPr>
        <w:tc>
          <w:tcPr/>
          <w:p w:rsidR="00000000" w:rsidDel="00000000" w:rsidP="00000000" w:rsidRDefault="00000000" w:rsidRPr="00000000" w14:paraId="0000099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Anterior MI, %</w:t>
            </w:r>
          </w:p>
        </w:tc>
        <w:tc>
          <w:tcPr/>
          <w:p w:rsidR="00000000" w:rsidDel="00000000" w:rsidP="00000000" w:rsidRDefault="00000000" w:rsidRPr="00000000" w14:paraId="0000099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w:t>
            </w:r>
          </w:p>
        </w:tc>
        <w:tc>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57.9</w:t>
            </w:r>
          </w:p>
        </w:tc>
        <w:tc>
          <w:tcPr/>
          <w:p w:rsidR="00000000" w:rsidDel="00000000" w:rsidP="00000000" w:rsidRDefault="00000000" w:rsidRPr="00000000" w14:paraId="0000099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53.1</w:t>
            </w:r>
          </w:p>
        </w:tc>
        <w:tc>
          <w:tcPr/>
          <w:p w:rsidR="00000000" w:rsidDel="00000000" w:rsidP="00000000" w:rsidRDefault="00000000" w:rsidRPr="00000000" w14:paraId="000009A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8" w:hRule="atLeast"/>
          <w:tblHeader w:val="0"/>
        </w:trPr>
        <w:tc>
          <w:tcPr/>
          <w:p w:rsidR="00000000" w:rsidDel="00000000" w:rsidP="00000000" w:rsidRDefault="00000000" w:rsidRPr="00000000" w14:paraId="000009A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MVD, %</w:t>
            </w:r>
          </w:p>
        </w:tc>
        <w:tc>
          <w:tcPr/>
          <w:p w:rsidR="00000000" w:rsidDel="00000000" w:rsidP="00000000" w:rsidRDefault="00000000" w:rsidRPr="00000000" w14:paraId="000009A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29.2</w:t>
            </w:r>
          </w:p>
        </w:tc>
        <w:tc>
          <w:tcPr/>
          <w:p w:rsidR="00000000" w:rsidDel="00000000" w:rsidP="00000000" w:rsidRDefault="00000000" w:rsidRPr="00000000" w14:paraId="000009A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46.4</w:t>
            </w:r>
          </w:p>
        </w:tc>
        <w:tc>
          <w:tcPr/>
          <w:p w:rsidR="00000000" w:rsidDel="00000000" w:rsidP="00000000" w:rsidRDefault="00000000" w:rsidRPr="00000000" w14:paraId="000009A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A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60" w:hRule="atLeast"/>
          <w:tblHeader w:val="0"/>
        </w:trPr>
        <w:tc>
          <w:tcPr/>
          <w:p w:rsidR="00000000" w:rsidDel="00000000" w:rsidP="00000000" w:rsidRDefault="00000000" w:rsidRPr="00000000" w14:paraId="000009A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GPI use, %</w:t>
            </w:r>
          </w:p>
        </w:tc>
        <w:tc>
          <w:tcPr/>
          <w:p w:rsidR="00000000" w:rsidDel="00000000" w:rsidP="00000000" w:rsidRDefault="00000000" w:rsidRPr="00000000" w14:paraId="000009A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p w:rsidR="00000000" w:rsidDel="00000000" w:rsidP="00000000" w:rsidRDefault="00000000" w:rsidRPr="00000000" w14:paraId="000009A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44.7</w:t>
            </w:r>
          </w:p>
        </w:tc>
        <w:tc>
          <w:tcPr/>
          <w:p w:rsidR="00000000" w:rsidDel="00000000" w:rsidP="00000000" w:rsidRDefault="00000000" w:rsidRPr="00000000" w14:paraId="000009A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B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9"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B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B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B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B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B6">
      <w:pPr>
        <w:spacing w:before="0" w:lineRule="auto"/>
        <w:ind w:left="232" w:right="8" w:firstLine="0"/>
        <w:jc w:val="left"/>
        <w:rPr>
          <w:sz w:val="24"/>
          <w:szCs w:val="24"/>
        </w:rPr>
      </w:pPr>
      <w:r w:rsidDel="00000000" w:rsidR="00000000" w:rsidRPr="00000000">
        <w:rPr>
          <w:sz w:val="24"/>
          <w:szCs w:val="24"/>
          <w:rtl w:val="0"/>
        </w:rPr>
        <w:t xml:space="preserve">Abbreviations: STEMI, ST-elevation myocardial infarction; ACS, acute coronary syndrome; NSTEMI, non-ST-elevation myocardial infarction; NST- ACS, non-ST-elevation acute coronary syndrome; MI, myocardial infarction; CAD, coronary artery disease; PCI, percutaneous coronary intervention; BMI, body mass index; SBP, systolic blood pressure; LDL-C, low-density lipoproteins; HDL-C, high-density lipoproteins; WBC, white blood cells; MPV, mean platelet volume; EF, ejection fraction; MVD, multivessel disease; GPI, glycoprotein inhibitor use.</w:t>
      </w:r>
    </w:p>
    <w:p w:rsidR="00000000" w:rsidDel="00000000" w:rsidP="00000000" w:rsidRDefault="00000000" w:rsidRPr="00000000" w14:paraId="000009B7">
      <w:pPr>
        <w:spacing w:before="0" w:lineRule="auto"/>
        <w:ind w:left="232" w:right="0" w:firstLine="0"/>
        <w:jc w:val="left"/>
        <w:rPr>
          <w:sz w:val="24"/>
          <w:szCs w:val="24"/>
        </w:rPr>
      </w:pPr>
      <w:r w:rsidDel="00000000" w:rsidR="00000000" w:rsidRPr="00000000">
        <w:rPr>
          <w:sz w:val="24"/>
          <w:szCs w:val="24"/>
          <w:vertAlign w:val="superscript"/>
          <w:rtl w:val="0"/>
        </w:rPr>
        <w:t xml:space="preserve">a</w:t>
      </w:r>
      <w:r w:rsidDel="00000000" w:rsidR="00000000" w:rsidRPr="00000000">
        <w:rPr>
          <w:sz w:val="24"/>
          <w:szCs w:val="24"/>
          <w:vertAlign w:val="baseline"/>
          <w:rtl w:val="0"/>
        </w:rPr>
        <w:t xml:space="preserve"> The table provides only the features for which the majority of studies reported the data.</w:t>
      </w:r>
      <w:r w:rsidDel="00000000" w:rsidR="00000000" w:rsidRPr="00000000">
        <w:rPr>
          <w:rtl w:val="0"/>
        </w:rPr>
      </w:r>
    </w:p>
    <w:p w:rsidR="00000000" w:rsidDel="00000000" w:rsidP="00000000" w:rsidRDefault="00000000" w:rsidRPr="00000000" w14:paraId="000009B8">
      <w:pPr>
        <w:spacing w:before="0" w:lineRule="auto"/>
        <w:ind w:left="232" w:right="0" w:firstLine="0"/>
        <w:jc w:val="left"/>
        <w:rPr>
          <w:sz w:val="24"/>
          <w:szCs w:val="24"/>
        </w:rPr>
      </w:pPr>
      <w:r w:rsidDel="00000000" w:rsidR="00000000" w:rsidRPr="00000000">
        <w:rPr>
          <w:sz w:val="24"/>
          <w:szCs w:val="24"/>
          <w:vertAlign w:val="superscript"/>
          <w:rtl w:val="0"/>
        </w:rPr>
        <w:t xml:space="preserve">b</w:t>
      </w:r>
      <w:r w:rsidDel="00000000" w:rsidR="00000000" w:rsidRPr="00000000">
        <w:rPr>
          <w:sz w:val="24"/>
          <w:szCs w:val="24"/>
          <w:vertAlign w:val="baseline"/>
          <w:rtl w:val="0"/>
        </w:rPr>
        <w:t xml:space="preserve"> The characteristics for these studies depicted patients who underwent PCI.</w:t>
      </w:r>
      <w:r w:rsidDel="00000000" w:rsidR="00000000" w:rsidRPr="00000000">
        <w:rPr>
          <w:rtl w:val="0"/>
        </w:rPr>
      </w:r>
    </w:p>
    <w:p w:rsidR="00000000" w:rsidDel="00000000" w:rsidP="00000000" w:rsidRDefault="00000000" w:rsidRPr="00000000" w14:paraId="000009B9">
      <w:pPr>
        <w:spacing w:before="0" w:lineRule="auto"/>
        <w:ind w:left="232" w:right="0" w:firstLine="0"/>
        <w:jc w:val="left"/>
        <w:rPr>
          <w:sz w:val="24"/>
          <w:szCs w:val="24"/>
        </w:rPr>
        <w:sectPr>
          <w:headerReference r:id="rId170" w:type="even"/>
          <w:type w:val="nextPage"/>
          <w:pgSz w:h="11920" w:w="16840" w:orient="landscape"/>
          <w:pgMar w:bottom="260" w:top="1100" w:left="900" w:right="900" w:header="0" w:footer="0"/>
        </w:sectPr>
      </w:pPr>
      <w:r w:rsidDel="00000000" w:rsidR="00000000" w:rsidRPr="00000000">
        <w:rPr>
          <w:sz w:val="21.666666666666668"/>
          <w:szCs w:val="21.666666666666668"/>
          <w:vertAlign w:val="superscript"/>
          <w:rtl w:val="0"/>
        </w:rPr>
        <w:t xml:space="preserve">C </w:t>
      </w:r>
      <w:r w:rsidDel="00000000" w:rsidR="00000000" w:rsidRPr="00000000">
        <w:rPr>
          <w:sz w:val="24"/>
          <w:szCs w:val="24"/>
          <w:rtl w:val="0"/>
        </w:rPr>
        <w:t xml:space="preserve">Normally distributed data are presented as mean ± standard deviation, non-normally distributed data are presented as median (interquartile range) or median. Some numbers were calculated indirectly from the published reports</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1"/>
        <w:tblW w:w="9639.0" w:type="dxa"/>
        <w:jc w:val="left"/>
        <w:tblInd w:w="653.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990"/>
        <w:gridCol w:w="1294"/>
        <w:gridCol w:w="1099"/>
        <w:gridCol w:w="1373"/>
        <w:gridCol w:w="1375"/>
        <w:gridCol w:w="1337"/>
        <w:gridCol w:w="1171"/>
        <w:tblGridChange w:id="0">
          <w:tblGrid>
            <w:gridCol w:w="1990"/>
            <w:gridCol w:w="1294"/>
            <w:gridCol w:w="1099"/>
            <w:gridCol w:w="1373"/>
            <w:gridCol w:w="1375"/>
            <w:gridCol w:w="1337"/>
            <w:gridCol w:w="1171"/>
          </w:tblGrid>
        </w:tblGridChange>
      </w:tblGrid>
      <w:tr>
        <w:trPr>
          <w:cantSplit w:val="0"/>
          <w:trHeight w:val="1106" w:hRule="atLeast"/>
          <w:tblHeader w:val="0"/>
        </w:trPr>
        <w:tc>
          <w:tcPr/>
          <w:p w:rsidR="00000000" w:rsidDel="00000000" w:rsidP="00000000" w:rsidRDefault="00000000" w:rsidRPr="00000000" w14:paraId="000009BB">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 year</w:t>
            </w:r>
          </w:p>
        </w:tc>
        <w:tc>
          <w:tcPr/>
          <w:p w:rsidR="00000000" w:rsidDel="00000000" w:rsidP="00000000" w:rsidRDefault="00000000" w:rsidRPr="00000000" w14:paraId="000009BD">
            <w:pPr>
              <w:keepNext w:val="0"/>
              <w:keepLines w:val="0"/>
              <w:widowControl w:val="0"/>
              <w:pBdr>
                <w:top w:space="0" w:sz="0" w:val="nil"/>
                <w:left w:space="0" w:sz="0" w:val="nil"/>
                <w:bottom w:space="0" w:sz="0" w:val="nil"/>
                <w:right w:space="0" w:sz="0" w:val="nil"/>
                <w:between w:space="0" w:sz="0" w:val="nil"/>
              </w:pBdr>
              <w:shd w:fill="auto" w:val="clear"/>
              <w:spacing w:after="0" w:before="27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Participation</w:t>
            </w:r>
          </w:p>
        </w:tc>
        <w:tc>
          <w:tcPr/>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0" w:before="27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Attrition</w:t>
            </w:r>
          </w:p>
        </w:tc>
        <w:tc>
          <w:tcPr/>
          <w:p w:rsidR="00000000" w:rsidDel="00000000" w:rsidP="00000000" w:rsidRDefault="00000000" w:rsidRPr="00000000" w14:paraId="000009BF">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Prognostic Factor Measurement</w:t>
            </w:r>
          </w:p>
        </w:tc>
        <w:tc>
          <w:tcPr/>
          <w:p w:rsidR="00000000" w:rsidDel="00000000" w:rsidP="00000000" w:rsidRDefault="00000000" w:rsidRPr="00000000" w14:paraId="000009C0">
            <w:pPr>
              <w:keepNext w:val="0"/>
              <w:keepLines w:val="0"/>
              <w:widowControl w:val="0"/>
              <w:pBdr>
                <w:top w:space="0" w:sz="0" w:val="nil"/>
                <w:left w:space="0" w:sz="0" w:val="nil"/>
                <w:bottom w:space="0" w:sz="0" w:val="nil"/>
                <w:right w:space="0" w:sz="0" w:val="nil"/>
                <w:between w:space="0" w:sz="0" w:val="nil"/>
              </w:pBdr>
              <w:shd w:fill="auto" w:val="clear"/>
              <w:spacing w:after="0" w:before="27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Outcome Measurement</w:t>
            </w:r>
          </w:p>
        </w:tc>
        <w:tc>
          <w:tcPr/>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spacing w:after="0" w:before="270" w:line="24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Confounding</w:t>
            </w:r>
          </w:p>
        </w:tc>
        <w:tc>
          <w:tcPr/>
          <w:p w:rsidR="00000000" w:rsidDel="00000000" w:rsidP="00000000" w:rsidRDefault="00000000" w:rsidRPr="00000000" w14:paraId="000009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Statistical Analysis</w:t>
            </w:r>
          </w:p>
          <w:p w:rsidR="00000000" w:rsidDel="00000000" w:rsidP="00000000" w:rsidRDefault="00000000" w:rsidRPr="00000000" w14:paraId="000009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Reporting</w:t>
            </w:r>
          </w:p>
        </w:tc>
      </w:tr>
      <w:tr>
        <w:trPr>
          <w:cantSplit w:val="0"/>
          <w:trHeight w:val="275" w:hRule="atLeast"/>
          <w:tblHeader w:val="0"/>
        </w:trPr>
        <w:tc>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Osuna, 1998</w:t>
            </w:r>
          </w:p>
        </w:tc>
        <w:tc>
          <w:tcPr/>
          <w:p w:rsidR="00000000" w:rsidDel="00000000" w:rsidP="00000000" w:rsidRDefault="00000000" w:rsidRPr="00000000" w14:paraId="000009C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C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9C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C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Huczek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2005</w:t>
            </w:r>
          </w:p>
        </w:tc>
        <w:tc>
          <w:tcPr/>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275" w:hRule="atLeast"/>
          <w:tblHeader w:val="0"/>
        </w:trPr>
        <w:tc>
          <w:tcPr/>
          <w:p w:rsidR="00000000" w:rsidDel="00000000" w:rsidP="00000000" w:rsidRDefault="00000000" w:rsidRPr="00000000" w14:paraId="000009D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Vakili, 2009</w:t>
            </w:r>
          </w:p>
        </w:tc>
        <w:tc>
          <w:tcPr/>
          <w:p w:rsidR="00000000" w:rsidDel="00000000" w:rsidP="00000000" w:rsidRDefault="00000000" w:rsidRPr="00000000" w14:paraId="000009D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9D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D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D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D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D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551" w:hRule="atLeast"/>
          <w:tblHeader w:val="0"/>
        </w:trPr>
        <w:tc>
          <w:tcPr/>
          <w:p w:rsidR="00000000" w:rsidDel="00000000" w:rsidP="00000000" w:rsidRDefault="00000000" w:rsidRPr="00000000" w14:paraId="000009D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Estevez-Loureiro,</w:t>
            </w:r>
          </w:p>
          <w:p w:rsidR="00000000" w:rsidDel="00000000" w:rsidP="00000000" w:rsidRDefault="00000000" w:rsidRPr="00000000" w14:paraId="000009DA">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w:t>
            </w:r>
          </w:p>
        </w:tc>
        <w:tc>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DE">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DF">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E0">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9E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Akpek, 2011</w:t>
            </w:r>
          </w:p>
        </w:tc>
        <w:tc>
          <w:tcPr/>
          <w:p w:rsidR="00000000" w:rsidDel="00000000" w:rsidP="00000000" w:rsidRDefault="00000000" w:rsidRPr="00000000" w14:paraId="000009E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E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9E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Goncalves, 2011</w:t>
            </w:r>
          </w:p>
        </w:tc>
        <w:tc>
          <w:tcPr/>
          <w:p w:rsidR="00000000" w:rsidDel="00000000" w:rsidP="00000000" w:rsidRDefault="00000000" w:rsidRPr="00000000" w14:paraId="000009E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9E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E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275" w:hRule="atLeast"/>
          <w:tblHeader w:val="0"/>
        </w:trPr>
        <w:tc>
          <w:tcPr/>
          <w:p w:rsidR="00000000" w:rsidDel="00000000" w:rsidP="00000000" w:rsidRDefault="00000000" w:rsidRPr="00000000" w14:paraId="000009E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Taglieri, 2011</w:t>
            </w:r>
          </w:p>
        </w:tc>
        <w:tc>
          <w:tcPr/>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F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9F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Tekbas, 2011</w:t>
            </w:r>
          </w:p>
        </w:tc>
        <w:tc>
          <w:tcPr/>
          <w:p w:rsidR="00000000" w:rsidDel="00000000" w:rsidP="00000000" w:rsidRDefault="00000000" w:rsidRPr="00000000" w14:paraId="000009F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9F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9F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9F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Dogan, 2012</w:t>
            </w:r>
          </w:p>
        </w:tc>
        <w:tc>
          <w:tcPr/>
          <w:p w:rsidR="00000000" w:rsidDel="00000000" w:rsidP="00000000" w:rsidRDefault="00000000" w:rsidRPr="00000000" w14:paraId="000009F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0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0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0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552" w:hRule="atLeast"/>
          <w:tblHeader w:val="0"/>
        </w:trPr>
        <w:tc>
          <w:tcPr/>
          <w:p w:rsidR="00000000" w:rsidDel="00000000" w:rsidP="00000000" w:rsidRDefault="00000000" w:rsidRPr="00000000" w14:paraId="00000A0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Lopez-Cuenca,</w:t>
            </w:r>
          </w:p>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w:t>
            </w:r>
          </w:p>
        </w:tc>
        <w:tc>
          <w:tcPr/>
          <w:p w:rsidR="00000000" w:rsidDel="00000000" w:rsidP="00000000" w:rsidRDefault="00000000" w:rsidRPr="00000000" w14:paraId="00000A06">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07">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08">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09">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0A">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0B">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0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Vrsalovic, 2012</w:t>
            </w:r>
          </w:p>
        </w:tc>
        <w:tc>
          <w:tcPr/>
          <w:p w:rsidR="00000000" w:rsidDel="00000000" w:rsidP="00000000" w:rsidRDefault="00000000" w:rsidRPr="00000000" w14:paraId="00000A0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0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0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1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1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1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1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Akgul, 2013</w:t>
            </w:r>
          </w:p>
        </w:tc>
        <w:tc>
          <w:tcPr/>
          <w:p w:rsidR="00000000" w:rsidDel="00000000" w:rsidP="00000000" w:rsidRDefault="00000000" w:rsidRPr="00000000" w14:paraId="00000A1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1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1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1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1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275" w:hRule="atLeast"/>
          <w:tblHeader w:val="0"/>
        </w:trPr>
        <w:tc>
          <w:tcPr/>
          <w:p w:rsidR="00000000" w:rsidDel="00000000" w:rsidP="00000000" w:rsidRDefault="00000000" w:rsidRPr="00000000" w14:paraId="00000A1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Choi, 2013</w:t>
            </w:r>
          </w:p>
        </w:tc>
        <w:tc>
          <w:tcPr/>
          <w:p w:rsidR="00000000" w:rsidDel="00000000" w:rsidP="00000000" w:rsidRDefault="00000000" w:rsidRPr="00000000" w14:paraId="00000A1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1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1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1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2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8" w:hRule="atLeast"/>
          <w:tblHeader w:val="0"/>
        </w:trPr>
        <w:tc>
          <w:tcPr/>
          <w:p w:rsidR="00000000" w:rsidDel="00000000" w:rsidP="00000000" w:rsidRDefault="00000000" w:rsidRPr="00000000" w14:paraId="00000A21">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Eisen, 2013</w:t>
            </w:r>
          </w:p>
        </w:tc>
        <w:tc>
          <w:tcPr/>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2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2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2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2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2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551" w:hRule="atLeast"/>
          <w:tblHeader w:val="0"/>
        </w:trPr>
        <w:tc>
          <w:tcPr/>
          <w:p w:rsidR="00000000" w:rsidDel="00000000" w:rsidP="00000000" w:rsidRDefault="00000000" w:rsidRPr="00000000" w14:paraId="00000A2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Fabregat Andreas,</w:t>
            </w:r>
          </w:p>
          <w:p w:rsidR="00000000" w:rsidDel="00000000" w:rsidP="00000000" w:rsidRDefault="00000000" w:rsidRPr="00000000" w14:paraId="00000A29">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2013</w:t>
            </w:r>
          </w:p>
        </w:tc>
        <w:tc>
          <w:tcPr/>
          <w:p w:rsidR="00000000" w:rsidDel="00000000" w:rsidP="00000000" w:rsidRDefault="00000000" w:rsidRPr="00000000" w14:paraId="00000A2A">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2B">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2C">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2D">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2E">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2F">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3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Bergoli 2014</w:t>
            </w:r>
          </w:p>
        </w:tc>
        <w:tc>
          <w:tcPr/>
          <w:p w:rsidR="00000000" w:rsidDel="00000000" w:rsidP="00000000" w:rsidRDefault="00000000" w:rsidRPr="00000000" w14:paraId="00000A3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3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3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3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3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3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3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Lekston, 2014</w:t>
            </w:r>
          </w:p>
        </w:tc>
        <w:tc>
          <w:tcPr/>
          <w:p w:rsidR="00000000" w:rsidDel="00000000" w:rsidP="00000000" w:rsidRDefault="00000000" w:rsidRPr="00000000" w14:paraId="00000A3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3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3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3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3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275" w:hRule="atLeast"/>
          <w:tblHeader w:val="0"/>
        </w:trPr>
        <w:tc>
          <w:tcPr/>
          <w:p w:rsidR="00000000" w:rsidDel="00000000" w:rsidP="00000000" w:rsidRDefault="00000000" w:rsidRPr="00000000" w14:paraId="00000A3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Liu, 2014</w:t>
            </w:r>
          </w:p>
        </w:tc>
        <w:tc>
          <w:tcPr/>
          <w:p w:rsidR="00000000" w:rsidDel="00000000" w:rsidP="00000000" w:rsidRDefault="00000000" w:rsidRPr="00000000" w14:paraId="00000A3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4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4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4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4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Wan, 2014</w:t>
            </w:r>
          </w:p>
        </w:tc>
        <w:tc>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4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Ghaffari, 2015</w:t>
            </w:r>
          </w:p>
        </w:tc>
        <w:tc>
          <w:tcPr/>
          <w:p w:rsidR="00000000" w:rsidDel="00000000" w:rsidP="00000000" w:rsidRDefault="00000000" w:rsidRPr="00000000" w14:paraId="00000A4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4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4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5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5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5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275" w:hRule="atLeast"/>
          <w:tblHeader w:val="0"/>
        </w:trPr>
        <w:tc>
          <w:tcPr/>
          <w:p w:rsidR="00000000" w:rsidDel="00000000" w:rsidP="00000000" w:rsidRDefault="00000000" w:rsidRPr="00000000" w14:paraId="00000A5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 2015</w:t>
            </w:r>
          </w:p>
        </w:tc>
        <w:tc>
          <w:tcPr/>
          <w:p w:rsidR="00000000" w:rsidDel="00000000" w:rsidP="00000000" w:rsidRDefault="00000000" w:rsidRPr="00000000" w14:paraId="00000A5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5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5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5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6" w:hRule="atLeast"/>
          <w:tblHeader w:val="0"/>
        </w:trPr>
        <w:tc>
          <w:tcPr/>
          <w:p w:rsidR="00000000" w:rsidDel="00000000" w:rsidP="00000000" w:rsidRDefault="00000000" w:rsidRPr="00000000" w14:paraId="00000A5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Navarta, 2015</w:t>
            </w:r>
          </w:p>
        </w:tc>
        <w:tc>
          <w:tcPr/>
          <w:p w:rsidR="00000000" w:rsidDel="00000000" w:rsidP="00000000" w:rsidRDefault="00000000" w:rsidRPr="00000000" w14:paraId="00000A5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5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5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5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6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Ranjith, 2015</w:t>
            </w:r>
          </w:p>
        </w:tc>
        <w:tc>
          <w:tcPr/>
          <w:p w:rsidR="00000000" w:rsidDel="00000000" w:rsidP="00000000" w:rsidRDefault="00000000" w:rsidRPr="00000000" w14:paraId="00000A6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6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6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6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6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275" w:hRule="atLeast"/>
          <w:tblHeader w:val="0"/>
        </w:trPr>
        <w:tc>
          <w:tcPr/>
          <w:p w:rsidR="00000000" w:rsidDel="00000000" w:rsidP="00000000" w:rsidRDefault="00000000" w:rsidRPr="00000000" w14:paraId="00000A6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Lai, 2016</w:t>
            </w:r>
          </w:p>
        </w:tc>
        <w:tc>
          <w:tcPr/>
          <w:p w:rsidR="00000000" w:rsidDel="00000000" w:rsidP="00000000" w:rsidRDefault="00000000" w:rsidRPr="00000000" w14:paraId="00000A6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6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6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6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6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 2016</w:t>
            </w:r>
          </w:p>
        </w:tc>
        <w:tc>
          <w:tcPr/>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7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7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7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7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7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Wasilewski, 2016</w:t>
            </w:r>
          </w:p>
        </w:tc>
        <w:tc>
          <w:tcPr/>
          <w:p w:rsidR="00000000" w:rsidDel="00000000" w:rsidP="00000000" w:rsidRDefault="00000000" w:rsidRPr="00000000" w14:paraId="00000A7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7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7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7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Tongtong Yu, 2017</w:t>
            </w:r>
          </w:p>
        </w:tc>
        <w:tc>
          <w:tcPr/>
          <w:p w:rsidR="00000000" w:rsidDel="00000000" w:rsidP="00000000" w:rsidRDefault="00000000" w:rsidRPr="00000000" w14:paraId="00000A7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8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8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8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8" w:hRule="atLeast"/>
          <w:tblHeader w:val="0"/>
        </w:trPr>
        <w:tc>
          <w:tcPr/>
          <w:p w:rsidR="00000000" w:rsidDel="00000000" w:rsidP="00000000" w:rsidRDefault="00000000" w:rsidRPr="00000000" w14:paraId="00000A8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Gina Yu, 2017</w:t>
            </w:r>
          </w:p>
        </w:tc>
        <w:tc>
          <w:tcPr/>
          <w:p w:rsidR="00000000" w:rsidDel="00000000" w:rsidP="00000000" w:rsidRDefault="00000000" w:rsidRPr="00000000" w14:paraId="00000A8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8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8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88">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89">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8A">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8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 2018</w:t>
            </w:r>
          </w:p>
        </w:tc>
        <w:tc>
          <w:tcPr/>
          <w:p w:rsidR="00000000" w:rsidDel="00000000" w:rsidP="00000000" w:rsidRDefault="00000000" w:rsidRPr="00000000" w14:paraId="00000A8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8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8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8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9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Garlobo, 2018</w:t>
            </w:r>
          </w:p>
        </w:tc>
        <w:tc>
          <w:tcPr/>
          <w:p w:rsidR="00000000" w:rsidDel="00000000" w:rsidP="00000000" w:rsidRDefault="00000000" w:rsidRPr="00000000" w14:paraId="00000A9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9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9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9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9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9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Machado, 2018</w:t>
            </w:r>
          </w:p>
        </w:tc>
        <w:tc>
          <w:tcPr/>
          <w:p w:rsidR="00000000" w:rsidDel="00000000" w:rsidP="00000000" w:rsidRDefault="00000000" w:rsidRPr="00000000" w14:paraId="00000A9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9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9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9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551" w:hRule="atLeast"/>
          <w:tblHeader w:val="0"/>
        </w:trPr>
        <w:tc>
          <w:tcPr/>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Monteiro Júnior,</w:t>
            </w:r>
          </w:p>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2018</w:t>
            </w:r>
          </w:p>
        </w:tc>
        <w:tc>
          <w:tcPr/>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A7">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A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Niu, 2018</w:t>
            </w:r>
          </w:p>
        </w:tc>
        <w:tc>
          <w:tcPr/>
          <w:p w:rsidR="00000000" w:rsidDel="00000000" w:rsidP="00000000" w:rsidRDefault="00000000" w:rsidRPr="00000000" w14:paraId="00000AA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A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A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6" w:hRule="atLeast"/>
          <w:tblHeader w:val="0"/>
        </w:trPr>
        <w:tc>
          <w:tcPr/>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Tian, 2018</w:t>
            </w:r>
          </w:p>
        </w:tc>
        <w:tc>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B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B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B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B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Canga, 2019</w:t>
            </w:r>
          </w:p>
        </w:tc>
        <w:tc>
          <w:tcPr/>
          <w:p w:rsidR="00000000" w:rsidDel="00000000" w:rsidP="00000000" w:rsidRDefault="00000000" w:rsidRPr="00000000" w14:paraId="00000AB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B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B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B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B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B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B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 2019</w:t>
            </w:r>
          </w:p>
        </w:tc>
        <w:tc>
          <w:tcPr/>
          <w:p w:rsidR="00000000" w:rsidDel="00000000" w:rsidP="00000000" w:rsidRDefault="00000000" w:rsidRPr="00000000" w14:paraId="00000AB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B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C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C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C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C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C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Navarta, 2019</w:t>
            </w:r>
          </w:p>
        </w:tc>
        <w:tc>
          <w:tcPr/>
          <w:p w:rsidR="00000000" w:rsidDel="00000000" w:rsidP="00000000" w:rsidRDefault="00000000" w:rsidRPr="00000000" w14:paraId="00000AC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C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C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C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C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C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C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Nozari, 2019</w:t>
            </w:r>
          </w:p>
        </w:tc>
        <w:tc>
          <w:tcPr/>
          <w:p w:rsidR="00000000" w:rsidDel="00000000" w:rsidP="00000000" w:rsidRDefault="00000000" w:rsidRPr="00000000" w14:paraId="00000AC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C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C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C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D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D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D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Satıroğlu, 2019</w:t>
            </w:r>
          </w:p>
        </w:tc>
        <w:tc>
          <w:tcPr/>
          <w:p w:rsidR="00000000" w:rsidDel="00000000" w:rsidP="00000000" w:rsidRDefault="00000000" w:rsidRPr="00000000" w14:paraId="00000AD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D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D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D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D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D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5" w:hRule="atLeast"/>
          <w:tblHeader w:val="0"/>
        </w:trPr>
        <w:tc>
          <w:tcPr/>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Vogiatzis, 2019</w:t>
            </w:r>
          </w:p>
        </w:tc>
        <w:tc>
          <w:tcPr/>
          <w:p w:rsidR="00000000" w:rsidDel="00000000" w:rsidP="00000000" w:rsidRDefault="00000000" w:rsidRPr="00000000" w14:paraId="00000AD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D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D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D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D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D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278" w:hRule="atLeast"/>
          <w:tblHeader w:val="0"/>
        </w:trPr>
        <w:tc>
          <w:tcPr/>
          <w:p w:rsidR="00000000" w:rsidDel="00000000" w:rsidP="00000000" w:rsidRDefault="00000000" w:rsidRPr="00000000" w14:paraId="00000AE0">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Chen Xinsen, 2020</w:t>
            </w:r>
          </w:p>
        </w:tc>
        <w:tc>
          <w:tcPr/>
          <w:p w:rsidR="00000000" w:rsidDel="00000000" w:rsidP="00000000" w:rsidRDefault="00000000" w:rsidRPr="00000000" w14:paraId="00000AE1">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p w:rsidR="00000000" w:rsidDel="00000000" w:rsidP="00000000" w:rsidRDefault="00000000" w:rsidRPr="00000000" w14:paraId="00000AE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E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AE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7"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bl>
    <w:p w:rsidR="00000000" w:rsidDel="00000000" w:rsidP="00000000" w:rsidRDefault="00000000" w:rsidRPr="00000000" w14:paraId="00000AE7">
      <w:pPr>
        <w:spacing w:after="0" w:line="258" w:lineRule="auto"/>
        <w:ind w:firstLine="0"/>
        <w:jc w:val="center"/>
        <w:rPr>
          <w:sz w:val="24"/>
          <w:szCs w:val="24"/>
        </w:rPr>
        <w:sectPr>
          <w:headerReference r:id="rId171" w:type="default"/>
          <w:footerReference r:id="rId172" w:type="default"/>
          <w:footerReference r:id="rId173" w:type="even"/>
          <w:type w:val="nextPage"/>
          <w:pgSz w:h="16840" w:w="11920" w:orient="portrait"/>
          <w:pgMar w:bottom="260" w:top="1400" w:left="480" w:right="320" w:header="1135" w:footer="71"/>
          <w:pgNumType w:start="29"/>
        </w:sectPr>
      </w:pPr>
      <w:r w:rsidDel="00000000" w:rsidR="00000000" w:rsidRPr="00000000">
        <w:rPr>
          <w:rtl w:val="0"/>
        </w:rPr>
      </w:r>
    </w:p>
    <w:p w:rsidR="00000000" w:rsidDel="00000000" w:rsidP="00000000" w:rsidRDefault="00000000" w:rsidRPr="00000000" w14:paraId="00000AE8">
      <w:pPr>
        <w:spacing w:before="66" w:lineRule="auto"/>
        <w:ind w:left="652" w:right="942" w:firstLine="0"/>
        <w:jc w:val="left"/>
        <w:rPr>
          <w:sz w:val="24"/>
          <w:szCs w:val="24"/>
        </w:rPr>
      </w:pPr>
      <w:r w:rsidDel="00000000" w:rsidR="00000000" w:rsidRPr="00000000">
        <w:rPr>
          <w:sz w:val="24"/>
          <w:szCs w:val="24"/>
          <w:rtl w:val="0"/>
        </w:rPr>
        <w:t xml:space="preserve">Abbreviations: QUIPS, quality in prognostic factor studies; H, high risk of bias; M, moderate risk of bias; L, low risk of bias.</w:t>
      </w:r>
    </w:p>
    <w:p w:rsidR="00000000" w:rsidDel="00000000" w:rsidP="00000000" w:rsidRDefault="00000000" w:rsidRPr="00000000" w14:paraId="00000AE9">
      <w:pPr>
        <w:spacing w:before="231" w:lineRule="auto"/>
        <w:ind w:left="652" w:right="0" w:firstLine="0"/>
        <w:jc w:val="left"/>
        <w:rPr>
          <w:sz w:val="24"/>
          <w:szCs w:val="24"/>
        </w:rPr>
      </w:pPr>
      <w:r w:rsidDel="00000000" w:rsidR="00000000" w:rsidRPr="00000000">
        <w:rPr>
          <w:b w:val="1"/>
          <w:sz w:val="24"/>
          <w:szCs w:val="24"/>
          <w:rtl w:val="0"/>
        </w:rPr>
        <w:t xml:space="preserve">Supplementary Table 5. </w:t>
      </w:r>
      <w:r w:rsidDel="00000000" w:rsidR="00000000" w:rsidRPr="00000000">
        <w:rPr>
          <w:sz w:val="24"/>
          <w:szCs w:val="24"/>
          <w:rtl w:val="0"/>
        </w:rPr>
        <w:t xml:space="preserve">Leave-one out sensitivity analyses.</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9645.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6"/>
        <w:gridCol w:w="2324"/>
        <w:gridCol w:w="855"/>
        <w:gridCol w:w="656"/>
        <w:gridCol w:w="2240"/>
        <w:gridCol w:w="796"/>
        <w:gridCol w:w="798"/>
        <w:tblGridChange w:id="0">
          <w:tblGrid>
            <w:gridCol w:w="1976"/>
            <w:gridCol w:w="2324"/>
            <w:gridCol w:w="855"/>
            <w:gridCol w:w="656"/>
            <w:gridCol w:w="2240"/>
            <w:gridCol w:w="796"/>
            <w:gridCol w:w="798"/>
          </w:tblGrid>
        </w:tblGridChange>
      </w:tblGrid>
      <w:tr>
        <w:trPr>
          <w:cantSplit w:val="0"/>
          <w:trHeight w:val="275" w:hRule="atLeast"/>
          <w:tblHeader w:val="0"/>
        </w:trPr>
        <w:tc>
          <w:tcPr>
            <w:vMerge w:val="restart"/>
          </w:tcPr>
          <w:p w:rsidR="00000000" w:rsidDel="00000000" w:rsidP="00000000" w:rsidRDefault="00000000" w:rsidRPr="00000000" w14:paraId="00000A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8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Omitting this study -</w:t>
            </w:r>
          </w:p>
          <w:p w:rsidR="00000000" w:rsidDel="00000000" w:rsidP="00000000" w:rsidRDefault="00000000" w:rsidRPr="00000000" w14:paraId="00000AEC">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 year</w:t>
            </w:r>
          </w:p>
        </w:tc>
        <w:tc>
          <w:tcPr>
            <w:gridSpan w:val="3"/>
          </w:tcPr>
          <w:p w:rsidR="00000000" w:rsidDel="00000000" w:rsidP="00000000" w:rsidRDefault="00000000" w:rsidRPr="00000000" w14:paraId="00000AE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2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ML estimation</w:t>
            </w:r>
          </w:p>
        </w:tc>
        <w:tc>
          <w:tcPr>
            <w:gridSpan w:val="3"/>
          </w:tcPr>
          <w:p w:rsidR="00000000" w:rsidDel="00000000" w:rsidP="00000000" w:rsidRDefault="00000000" w:rsidRPr="00000000" w14:paraId="00000AF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5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REML estimation</w:t>
            </w:r>
          </w:p>
        </w:tc>
      </w:tr>
      <w:tr>
        <w:trPr>
          <w:cantSplit w:val="0"/>
          <w:trHeight w:val="542" w:hRule="atLeast"/>
          <w:tblHeader w:val="0"/>
        </w:trPr>
        <w:tc>
          <w:tcPr>
            <w:vMerge w:val="continue"/>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4">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Estimate [95% CI]</w:t>
            </w:r>
          </w:p>
        </w:tc>
        <w:tc>
          <w:tcPr/>
          <w:p w:rsidR="00000000" w:rsidDel="00000000" w:rsidP="00000000" w:rsidRDefault="00000000" w:rsidRPr="00000000" w14:paraId="00000AF5">
            <w:pPr>
              <w:keepNext w:val="0"/>
              <w:keepLines w:val="0"/>
              <w:widowControl w:val="0"/>
              <w:pBdr>
                <w:top w:space="0" w:sz="0" w:val="nil"/>
                <w:left w:space="0" w:sz="0" w:val="nil"/>
                <w:bottom w:space="0" w:sz="0" w:val="nil"/>
                <w:right w:space="0" w:sz="0" w:val="nil"/>
                <w:between w:space="0" w:sz="0" w:val="nil"/>
              </w:pBdr>
              <w:shd w:fill="auto" w:val="clear"/>
              <w:spacing w:after="0" w:before="17" w:line="115" w:lineRule="auto"/>
              <w:ind w:left="1"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AF6">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p w:rsidR="00000000" w:rsidDel="00000000" w:rsidP="00000000" w:rsidRDefault="00000000" w:rsidRPr="00000000" w14:paraId="00000AF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Estimate [95% CI]</w:t>
            </w:r>
          </w:p>
        </w:tc>
        <w:tc>
          <w:tcPr/>
          <w:p w:rsidR="00000000" w:rsidDel="00000000" w:rsidP="00000000" w:rsidRDefault="00000000" w:rsidRPr="00000000" w14:paraId="00000AF8">
            <w:pPr>
              <w:keepNext w:val="0"/>
              <w:keepLines w:val="0"/>
              <w:widowControl w:val="0"/>
              <w:pBdr>
                <w:top w:space="0" w:sz="0" w:val="nil"/>
                <w:left w:space="0" w:sz="0" w:val="nil"/>
                <w:bottom w:space="0" w:sz="0" w:val="nil"/>
                <w:right w:space="0" w:sz="0" w:val="nil"/>
                <w:between w:space="0" w:sz="0" w:val="nil"/>
              </w:pBdr>
              <w:shd w:fill="auto" w:val="clear"/>
              <w:spacing w:after="0" w:before="17" w:line="115" w:lineRule="auto"/>
              <w:ind w:left="32" w:right="27"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AF9">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2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r>
      <w:tr>
        <w:trPr>
          <w:cantSplit w:val="0"/>
          <w:trHeight w:val="553" w:hRule="atLeast"/>
          <w:tblHeader w:val="0"/>
        </w:trPr>
        <w:tc>
          <w:tcPr>
            <w:gridSpan w:val="7"/>
          </w:tcPr>
          <w:p w:rsidR="00000000" w:rsidDel="00000000" w:rsidP="00000000" w:rsidRDefault="00000000" w:rsidRPr="00000000" w14:paraId="00000AFA">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8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as a continuous variable for long-term mortality with HRs as effect estimates</w:t>
            </w:r>
          </w:p>
        </w:tc>
      </w:tr>
      <w:tr>
        <w:trPr>
          <w:cantSplit w:val="0"/>
          <w:trHeight w:val="275" w:hRule="atLeast"/>
          <w:tblHeader w:val="0"/>
        </w:trPr>
        <w:tc>
          <w:tcPr/>
          <w:p w:rsidR="00000000" w:rsidDel="00000000" w:rsidP="00000000" w:rsidRDefault="00000000" w:rsidRPr="00000000" w14:paraId="00000B0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Taglieri, 2011</w:t>
            </w:r>
          </w:p>
        </w:tc>
        <w:tc>
          <w:tcPr/>
          <w:p w:rsidR="00000000" w:rsidDel="00000000" w:rsidP="00000000" w:rsidRDefault="00000000" w:rsidRPr="00000000" w14:paraId="00000B0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 [1.18-1.54]</w:t>
            </w:r>
          </w:p>
        </w:tc>
        <w:tc>
          <w:tcPr/>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72.56</w:t>
            </w:r>
          </w:p>
        </w:tc>
        <w:tc>
          <w:tcPr/>
          <w:p w:rsidR="00000000" w:rsidDel="00000000" w:rsidP="00000000" w:rsidRDefault="00000000" w:rsidRPr="00000000" w14:paraId="00000B0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0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 [1.18-1.56]</w:t>
            </w:r>
          </w:p>
        </w:tc>
        <w:tc>
          <w:tcPr/>
          <w:p w:rsidR="00000000" w:rsidDel="00000000" w:rsidP="00000000" w:rsidRDefault="00000000" w:rsidRPr="00000000" w14:paraId="00000B0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79.55</w:t>
            </w:r>
          </w:p>
        </w:tc>
        <w:tc>
          <w:tcPr/>
          <w:p w:rsidR="00000000" w:rsidDel="00000000" w:rsidP="00000000" w:rsidRDefault="00000000" w:rsidRPr="00000000" w14:paraId="00000B0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r>
      <w:tr>
        <w:trPr>
          <w:cantSplit w:val="0"/>
          <w:trHeight w:val="275" w:hRule="atLeast"/>
          <w:tblHeader w:val="0"/>
        </w:trPr>
        <w:tc>
          <w:tcPr/>
          <w:p w:rsidR="00000000" w:rsidDel="00000000" w:rsidP="00000000" w:rsidRDefault="00000000" w:rsidRPr="00000000" w14:paraId="00000B0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Eisen, 2013</w:t>
            </w:r>
          </w:p>
        </w:tc>
        <w:tc>
          <w:tcPr/>
          <w:p w:rsidR="00000000" w:rsidDel="00000000" w:rsidP="00000000" w:rsidRDefault="00000000" w:rsidRPr="00000000" w14:paraId="00000B0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 [1.24-1.46]</w:t>
            </w:r>
          </w:p>
        </w:tc>
        <w:tc>
          <w:tcPr/>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0.03</w:t>
            </w:r>
          </w:p>
        </w:tc>
        <w:tc>
          <w:tcPr/>
          <w:p w:rsidR="00000000" w:rsidDel="00000000" w:rsidP="00000000" w:rsidRDefault="00000000" w:rsidRPr="00000000" w14:paraId="00000B0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B0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1.37 [1.21-1.54]</w:t>
            </w:r>
          </w:p>
        </w:tc>
        <w:tc>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47.83</w:t>
            </w:r>
          </w:p>
        </w:tc>
        <w:tc>
          <w:tcPr/>
          <w:p w:rsidR="00000000" w:rsidDel="00000000" w:rsidP="00000000" w:rsidRDefault="00000000" w:rsidRPr="00000000" w14:paraId="00000B0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275" w:hRule="atLeast"/>
          <w:tblHeader w:val="0"/>
        </w:trPr>
        <w:tc>
          <w:tcPr/>
          <w:p w:rsidR="00000000" w:rsidDel="00000000" w:rsidP="00000000" w:rsidRDefault="00000000" w:rsidRPr="00000000" w14:paraId="00000B0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Lekston, 2014</w:t>
            </w:r>
          </w:p>
        </w:tc>
        <w:tc>
          <w:tcPr/>
          <w:p w:rsidR="00000000" w:rsidDel="00000000" w:rsidP="00000000" w:rsidRDefault="00000000" w:rsidRPr="00000000" w14:paraId="00000B1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 [1.15-1.55]</w:t>
            </w:r>
          </w:p>
        </w:tc>
        <w:tc>
          <w:tcPr/>
          <w:p w:rsidR="00000000" w:rsidDel="00000000" w:rsidP="00000000" w:rsidRDefault="00000000" w:rsidRPr="00000000" w14:paraId="00000B1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65.16</w:t>
            </w:r>
          </w:p>
        </w:tc>
        <w:tc>
          <w:tcPr/>
          <w:p w:rsidR="00000000" w:rsidDel="00000000" w:rsidP="00000000" w:rsidRDefault="00000000" w:rsidRPr="00000000" w14:paraId="00000B1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1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 [1.16-1.56]</w:t>
            </w:r>
          </w:p>
        </w:tc>
        <w:tc>
          <w:tcPr/>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72.46</w:t>
            </w:r>
          </w:p>
        </w:tc>
        <w:tc>
          <w:tcPr/>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r>
      <w:tr>
        <w:trPr>
          <w:cantSplit w:val="0"/>
          <w:trHeight w:val="275" w:hRule="atLeast"/>
          <w:tblHeader w:val="0"/>
        </w:trPr>
        <w:tc>
          <w:tcPr/>
          <w:p w:rsidR="00000000" w:rsidDel="00000000" w:rsidP="00000000" w:rsidRDefault="00000000" w:rsidRPr="00000000" w14:paraId="00000B1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Niu , 2015</w:t>
            </w:r>
          </w:p>
        </w:tc>
        <w:tc>
          <w:tcPr/>
          <w:p w:rsidR="00000000" w:rsidDel="00000000" w:rsidP="00000000" w:rsidRDefault="00000000" w:rsidRPr="00000000" w14:paraId="00000B1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 [1.19-1.39]</w:t>
            </w:r>
          </w:p>
        </w:tc>
        <w:tc>
          <w:tcPr/>
          <w:p w:rsidR="00000000" w:rsidDel="00000000" w:rsidP="00000000" w:rsidRDefault="00000000" w:rsidRPr="00000000" w14:paraId="00000B1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44.62</w:t>
            </w:r>
          </w:p>
        </w:tc>
        <w:tc>
          <w:tcPr/>
          <w:p w:rsidR="00000000" w:rsidDel="00000000" w:rsidP="00000000" w:rsidRDefault="00000000" w:rsidRPr="00000000" w14:paraId="00000B1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B1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 [1.19-1.40]</w:t>
            </w:r>
          </w:p>
        </w:tc>
        <w:tc>
          <w:tcPr/>
          <w:p w:rsidR="00000000" w:rsidDel="00000000" w:rsidP="00000000" w:rsidRDefault="00000000" w:rsidRPr="00000000" w14:paraId="00000B1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54.15</w:t>
            </w:r>
          </w:p>
        </w:tc>
        <w:tc>
          <w:tcPr/>
          <w:p w:rsidR="00000000" w:rsidDel="00000000" w:rsidP="00000000" w:rsidRDefault="00000000" w:rsidRPr="00000000" w14:paraId="00000B1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275" w:hRule="atLeast"/>
          <w:tblHeader w:val="0"/>
        </w:trPr>
        <w:tc>
          <w:tcPr/>
          <w:p w:rsidR="00000000" w:rsidDel="00000000" w:rsidP="00000000" w:rsidRDefault="00000000" w:rsidRPr="00000000" w14:paraId="00000B1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Wasilewski, 2016</w:t>
            </w:r>
          </w:p>
        </w:tc>
        <w:tc>
          <w:tcPr/>
          <w:p w:rsidR="00000000" w:rsidDel="00000000" w:rsidP="00000000" w:rsidRDefault="00000000" w:rsidRPr="00000000" w14:paraId="00000B1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 [1.16-1.53]</w:t>
            </w:r>
          </w:p>
        </w:tc>
        <w:tc>
          <w:tcPr/>
          <w:p w:rsidR="00000000" w:rsidDel="00000000" w:rsidP="00000000" w:rsidRDefault="00000000" w:rsidRPr="00000000" w14:paraId="00000B1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73.44</w:t>
            </w:r>
          </w:p>
        </w:tc>
        <w:tc>
          <w:tcPr/>
          <w:p w:rsidR="00000000" w:rsidDel="00000000" w:rsidP="00000000" w:rsidRDefault="00000000" w:rsidRPr="00000000" w14:paraId="00000B2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2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 [1.16-1.55]</w:t>
            </w:r>
          </w:p>
        </w:tc>
        <w:tc>
          <w:tcPr/>
          <w:p w:rsidR="00000000" w:rsidDel="00000000" w:rsidP="00000000" w:rsidRDefault="00000000" w:rsidRPr="00000000" w14:paraId="00000B2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81.03</w:t>
            </w:r>
          </w:p>
        </w:tc>
        <w:tc>
          <w:tcPr/>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r>
      <w:tr>
        <w:trPr>
          <w:cantSplit w:val="0"/>
          <w:trHeight w:val="278" w:hRule="atLeast"/>
          <w:tblHeader w:val="0"/>
        </w:trPr>
        <w:tc>
          <w:tcPr/>
          <w:p w:rsidR="00000000" w:rsidDel="00000000" w:rsidP="00000000" w:rsidRDefault="00000000" w:rsidRPr="00000000" w14:paraId="00000B24">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Yu, 2017</w:t>
            </w:r>
          </w:p>
        </w:tc>
        <w:tc>
          <w:tcPr/>
          <w:p w:rsidR="00000000" w:rsidDel="00000000" w:rsidP="00000000" w:rsidRDefault="00000000" w:rsidRPr="00000000" w14:paraId="00000B25">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 [1.17-1.55]</w:t>
            </w:r>
          </w:p>
        </w:tc>
        <w:tc>
          <w:tcPr/>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74.07</w:t>
            </w:r>
          </w:p>
        </w:tc>
        <w:tc>
          <w:tcPr/>
          <w:p w:rsidR="00000000" w:rsidDel="00000000" w:rsidP="00000000" w:rsidRDefault="00000000" w:rsidRPr="00000000" w14:paraId="00000B27">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28">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 [1.17-1.56]</w:t>
            </w:r>
          </w:p>
        </w:tc>
        <w:tc>
          <w:tcPr/>
          <w:p w:rsidR="00000000" w:rsidDel="00000000" w:rsidP="00000000" w:rsidRDefault="00000000" w:rsidRPr="00000000" w14:paraId="00000B29">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80.84</w:t>
            </w:r>
          </w:p>
        </w:tc>
        <w:tc>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r>
      <w:tr>
        <w:trPr>
          <w:cantSplit w:val="0"/>
          <w:trHeight w:val="275" w:hRule="atLeast"/>
          <w:tblHeader w:val="0"/>
        </w:trPr>
        <w:tc>
          <w:tcPr/>
          <w:p w:rsidR="00000000" w:rsidDel="00000000" w:rsidP="00000000" w:rsidRDefault="00000000" w:rsidRPr="00000000" w14:paraId="00000B2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Tian, 2018</w:t>
            </w:r>
          </w:p>
        </w:tc>
        <w:tc>
          <w:tcPr/>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 [1.16-1.47]</w:t>
            </w:r>
          </w:p>
        </w:tc>
        <w:tc>
          <w:tcPr/>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60.77</w:t>
            </w:r>
          </w:p>
        </w:tc>
        <w:tc>
          <w:tcPr/>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B2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[1.16-1.49]</w:t>
            </w:r>
          </w:p>
        </w:tc>
        <w:tc>
          <w:tcPr/>
          <w:p w:rsidR="00000000" w:rsidDel="00000000" w:rsidP="00000000" w:rsidRDefault="00000000" w:rsidRPr="00000000" w14:paraId="00000B3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72.87</w:t>
            </w:r>
          </w:p>
        </w:tc>
        <w:tc>
          <w:tcPr/>
          <w:p w:rsidR="00000000" w:rsidDel="00000000" w:rsidP="00000000" w:rsidRDefault="00000000" w:rsidRPr="00000000" w14:paraId="00000B3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r>
      <w:tr>
        <w:trPr>
          <w:cantSplit w:val="0"/>
          <w:trHeight w:val="551" w:hRule="atLeast"/>
          <w:tblHeader w:val="0"/>
        </w:trPr>
        <w:tc>
          <w:tcPr>
            <w:gridSpan w:val="7"/>
          </w:tcPr>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9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as a continuous variable for long-term MACE with HRs as effect estimates</w:t>
            </w:r>
          </w:p>
        </w:tc>
      </w:tr>
      <w:tr>
        <w:trPr>
          <w:cantSplit w:val="0"/>
          <w:trHeight w:val="275" w:hRule="atLeast"/>
          <w:tblHeader w:val="0"/>
        </w:trPr>
        <w:tc>
          <w:tcPr/>
          <w:p w:rsidR="00000000" w:rsidDel="00000000" w:rsidP="00000000" w:rsidRDefault="00000000" w:rsidRPr="00000000" w14:paraId="00000B3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Taglieri, 2011</w:t>
            </w:r>
          </w:p>
        </w:tc>
        <w:tc>
          <w:tcPr/>
          <w:p w:rsidR="00000000" w:rsidDel="00000000" w:rsidP="00000000" w:rsidRDefault="00000000" w:rsidRPr="00000000" w14:paraId="00000B3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[1.06-1.40]</w:t>
            </w:r>
          </w:p>
        </w:tc>
        <w:tc>
          <w:tcPr/>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95.93</w:t>
            </w:r>
          </w:p>
        </w:tc>
        <w:tc>
          <w:tcPr/>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c>
          <w:tcPr/>
          <w:p w:rsidR="00000000" w:rsidDel="00000000" w:rsidP="00000000" w:rsidRDefault="00000000" w:rsidRPr="00000000" w14:paraId="00000B3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[1.07-1.41]</w:t>
            </w:r>
          </w:p>
        </w:tc>
        <w:tc>
          <w:tcPr/>
          <w:p w:rsidR="00000000" w:rsidDel="00000000" w:rsidP="00000000" w:rsidRDefault="00000000" w:rsidRPr="00000000" w14:paraId="00000B3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96.61</w:t>
            </w:r>
          </w:p>
        </w:tc>
        <w:tc>
          <w:tcPr/>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551" w:hRule="atLeast"/>
          <w:tblHeader w:val="0"/>
        </w:trPr>
        <w:tc>
          <w:tcPr/>
          <w:p w:rsidR="00000000" w:rsidDel="00000000" w:rsidP="00000000" w:rsidRDefault="00000000" w:rsidRPr="00000000" w14:paraId="00000B4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Lopez-Cuenca,</w:t>
            </w:r>
          </w:p>
          <w:p w:rsidR="00000000" w:rsidDel="00000000" w:rsidP="00000000" w:rsidRDefault="00000000" w:rsidRPr="00000000" w14:paraId="00000B41">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w:t>
            </w:r>
          </w:p>
        </w:tc>
        <w:tc>
          <w:tcPr/>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[1.06-1.38]</w:t>
            </w:r>
          </w:p>
        </w:tc>
        <w:tc>
          <w:tcPr/>
          <w:p w:rsidR="00000000" w:rsidDel="00000000" w:rsidP="00000000" w:rsidRDefault="00000000" w:rsidRPr="00000000" w14:paraId="00000B4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95.58</w:t>
            </w:r>
          </w:p>
        </w:tc>
        <w:tc>
          <w:tcPr/>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c>
          <w:tcPr/>
          <w:p w:rsidR="00000000" w:rsidDel="00000000" w:rsidP="00000000" w:rsidRDefault="00000000" w:rsidRPr="00000000" w14:paraId="00000B4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[1.06-1.39]</w:t>
            </w:r>
          </w:p>
        </w:tc>
        <w:tc>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96.36</w:t>
            </w:r>
          </w:p>
        </w:tc>
        <w:tc>
          <w:tcPr/>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5" w:hRule="atLeast"/>
          <w:tblHeader w:val="0"/>
        </w:trPr>
        <w:tc>
          <w:tcPr/>
          <w:p w:rsidR="00000000" w:rsidDel="00000000" w:rsidP="00000000" w:rsidRDefault="00000000" w:rsidRPr="00000000" w14:paraId="00000B4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Eisen, 2013</w:t>
            </w:r>
          </w:p>
        </w:tc>
        <w:tc>
          <w:tcPr/>
          <w:p w:rsidR="00000000" w:rsidDel="00000000" w:rsidP="00000000" w:rsidRDefault="00000000" w:rsidRPr="00000000" w14:paraId="00000B4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[1.08-1.42]</w:t>
            </w:r>
          </w:p>
        </w:tc>
        <w:tc>
          <w:tcPr/>
          <w:p w:rsidR="00000000" w:rsidDel="00000000" w:rsidP="00000000" w:rsidRDefault="00000000" w:rsidRPr="00000000" w14:paraId="00000B4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94.77</w:t>
            </w:r>
          </w:p>
        </w:tc>
        <w:tc>
          <w:tcPr/>
          <w:p w:rsidR="00000000" w:rsidDel="00000000" w:rsidP="00000000" w:rsidRDefault="00000000" w:rsidRPr="00000000" w14:paraId="00000B4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c>
          <w:tcPr/>
          <w:p w:rsidR="00000000" w:rsidDel="00000000" w:rsidP="00000000" w:rsidRDefault="00000000" w:rsidRPr="00000000" w14:paraId="00000B4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[1.08-1.42]</w:t>
            </w:r>
          </w:p>
        </w:tc>
        <w:tc>
          <w:tcPr/>
          <w:p w:rsidR="00000000" w:rsidDel="00000000" w:rsidP="00000000" w:rsidRDefault="00000000" w:rsidRPr="00000000" w14:paraId="00000B4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95.61</w:t>
            </w:r>
          </w:p>
        </w:tc>
        <w:tc>
          <w:tcPr/>
          <w:p w:rsidR="00000000" w:rsidDel="00000000" w:rsidP="00000000" w:rsidRDefault="00000000" w:rsidRPr="00000000" w14:paraId="00000B4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5" w:hRule="atLeast"/>
          <w:tblHeader w:val="0"/>
        </w:trPr>
        <w:tc>
          <w:tcPr/>
          <w:p w:rsidR="00000000" w:rsidDel="00000000" w:rsidP="00000000" w:rsidRDefault="00000000" w:rsidRPr="00000000" w14:paraId="00000B4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Wan, 2014</w:t>
            </w:r>
          </w:p>
        </w:tc>
        <w:tc>
          <w:tcPr/>
          <w:p w:rsidR="00000000" w:rsidDel="00000000" w:rsidP="00000000" w:rsidRDefault="00000000" w:rsidRPr="00000000" w14:paraId="00000B5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[1.07-1.42]</w:t>
            </w:r>
          </w:p>
        </w:tc>
        <w:tc>
          <w:tcPr/>
          <w:p w:rsidR="00000000" w:rsidDel="00000000" w:rsidP="00000000" w:rsidRDefault="00000000" w:rsidRPr="00000000" w14:paraId="00000B5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90.97</w:t>
            </w:r>
          </w:p>
        </w:tc>
        <w:tc>
          <w:tcPr/>
          <w:p w:rsidR="00000000" w:rsidDel="00000000" w:rsidP="00000000" w:rsidRDefault="00000000" w:rsidRPr="00000000" w14:paraId="00000B5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c>
          <w:tcPr/>
          <w:p w:rsidR="00000000" w:rsidDel="00000000" w:rsidP="00000000" w:rsidRDefault="00000000" w:rsidRPr="00000000" w14:paraId="00000B5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[1.08-1.42]</w:t>
            </w:r>
          </w:p>
        </w:tc>
        <w:tc>
          <w:tcPr/>
          <w:p w:rsidR="00000000" w:rsidDel="00000000" w:rsidP="00000000" w:rsidRDefault="00000000" w:rsidRPr="00000000" w14:paraId="00000B5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92.35</w:t>
            </w:r>
          </w:p>
        </w:tc>
        <w:tc>
          <w:tcPr/>
          <w:p w:rsidR="00000000" w:rsidDel="00000000" w:rsidP="00000000" w:rsidRDefault="00000000" w:rsidRPr="00000000" w14:paraId="00000B5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8" w:hRule="atLeast"/>
          <w:tblHeader w:val="0"/>
        </w:trPr>
        <w:tc>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Wasilewski, 201</w:t>
            </w:r>
          </w:p>
        </w:tc>
        <w:tc>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[1.07-1.41]</w:t>
            </w:r>
          </w:p>
        </w:tc>
        <w:tc>
          <w:tcPr/>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95.81</w:t>
            </w:r>
          </w:p>
        </w:tc>
        <w:tc>
          <w:tcPr/>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c>
          <w:tcPr/>
          <w:p w:rsidR="00000000" w:rsidDel="00000000" w:rsidP="00000000" w:rsidRDefault="00000000" w:rsidRPr="00000000" w14:paraId="00000B5A">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[1.08-1.42]</w:t>
            </w:r>
          </w:p>
        </w:tc>
        <w:tc>
          <w:tcPr/>
          <w:p w:rsidR="00000000" w:rsidDel="00000000" w:rsidP="00000000" w:rsidRDefault="00000000" w:rsidRPr="00000000" w14:paraId="00000B5B">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96.49</w:t>
            </w:r>
          </w:p>
        </w:tc>
        <w:tc>
          <w:tcPr/>
          <w:p w:rsidR="00000000" w:rsidDel="00000000" w:rsidP="00000000" w:rsidRDefault="00000000" w:rsidRPr="00000000" w14:paraId="00000B5C">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5" w:hRule="atLeast"/>
          <w:tblHeader w:val="0"/>
        </w:trPr>
        <w:tc>
          <w:tcPr/>
          <w:p w:rsidR="00000000" w:rsidDel="00000000" w:rsidP="00000000" w:rsidRDefault="00000000" w:rsidRPr="00000000" w14:paraId="00000B5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Yu, 2017</w:t>
            </w:r>
          </w:p>
        </w:tc>
        <w:tc>
          <w:tcPr/>
          <w:p w:rsidR="00000000" w:rsidDel="00000000" w:rsidP="00000000" w:rsidRDefault="00000000" w:rsidRPr="00000000" w14:paraId="00000B5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[1.06-1.38]</w:t>
            </w:r>
          </w:p>
        </w:tc>
        <w:tc>
          <w:tcPr/>
          <w:p w:rsidR="00000000" w:rsidDel="00000000" w:rsidP="00000000" w:rsidRDefault="00000000" w:rsidRPr="00000000" w14:paraId="00000B5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95.58</w:t>
            </w:r>
          </w:p>
        </w:tc>
        <w:tc>
          <w:tcPr/>
          <w:p w:rsidR="00000000" w:rsidDel="00000000" w:rsidP="00000000" w:rsidRDefault="00000000" w:rsidRPr="00000000" w14:paraId="00000B6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c>
          <w:tcPr/>
          <w:p w:rsidR="00000000" w:rsidDel="00000000" w:rsidP="00000000" w:rsidRDefault="00000000" w:rsidRPr="00000000" w14:paraId="00000B6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[1.06-1.39]</w:t>
            </w:r>
          </w:p>
        </w:tc>
        <w:tc>
          <w:tcPr/>
          <w:p w:rsidR="00000000" w:rsidDel="00000000" w:rsidP="00000000" w:rsidRDefault="00000000" w:rsidRPr="00000000" w14:paraId="00000B6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96.38</w:t>
            </w:r>
          </w:p>
        </w:tc>
        <w:tc>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5" w:hRule="atLeast"/>
          <w:tblHeader w:val="0"/>
        </w:trPr>
        <w:tc>
          <w:tcPr/>
          <w:p w:rsidR="00000000" w:rsidDel="00000000" w:rsidP="00000000" w:rsidRDefault="00000000" w:rsidRPr="00000000" w14:paraId="00000B6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Tian, 2018</w:t>
            </w:r>
          </w:p>
        </w:tc>
        <w:tc>
          <w:tcPr/>
          <w:p w:rsidR="00000000" w:rsidDel="00000000" w:rsidP="00000000" w:rsidRDefault="00000000" w:rsidRPr="00000000" w14:paraId="00000B6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 [1.05-1.34]</w:t>
            </w:r>
          </w:p>
        </w:tc>
        <w:tc>
          <w:tcPr/>
          <w:p w:rsidR="00000000" w:rsidDel="00000000" w:rsidP="00000000" w:rsidRDefault="00000000" w:rsidRPr="00000000" w14:paraId="00000B6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94.23</w:t>
            </w:r>
          </w:p>
        </w:tc>
        <w:tc>
          <w:tcPr/>
          <w:p w:rsidR="00000000" w:rsidDel="00000000" w:rsidP="00000000" w:rsidRDefault="00000000" w:rsidRPr="00000000" w14:paraId="00000B6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6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 [1.05-1.35]</w:t>
            </w:r>
          </w:p>
        </w:tc>
        <w:tc>
          <w:tcPr/>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95.48</w:t>
            </w:r>
          </w:p>
        </w:tc>
        <w:tc>
          <w:tcPr/>
          <w:p w:rsidR="00000000" w:rsidDel="00000000" w:rsidP="00000000" w:rsidRDefault="00000000" w:rsidRPr="00000000" w14:paraId="00000B6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5" w:hRule="atLeast"/>
          <w:tblHeader w:val="0"/>
        </w:trPr>
        <w:tc>
          <w:tcPr/>
          <w:p w:rsidR="00000000" w:rsidDel="00000000" w:rsidP="00000000" w:rsidRDefault="00000000" w:rsidRPr="00000000" w14:paraId="00000B6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Niu, 2018</w:t>
            </w:r>
          </w:p>
        </w:tc>
        <w:tc>
          <w:tcPr/>
          <w:p w:rsidR="00000000" w:rsidDel="00000000" w:rsidP="00000000" w:rsidRDefault="00000000" w:rsidRPr="00000000" w14:paraId="00000B6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 [1.06-1.27]</w:t>
            </w:r>
          </w:p>
        </w:tc>
        <w:tc>
          <w:tcPr/>
          <w:p w:rsidR="00000000" w:rsidDel="00000000" w:rsidP="00000000" w:rsidRDefault="00000000" w:rsidRPr="00000000" w14:paraId="00000B6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89.05</w:t>
            </w:r>
          </w:p>
        </w:tc>
        <w:tc>
          <w:tcPr/>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 [1.07-1.27]</w:t>
            </w:r>
          </w:p>
        </w:tc>
        <w:tc>
          <w:tcPr/>
          <w:p w:rsidR="00000000" w:rsidDel="00000000" w:rsidP="00000000" w:rsidRDefault="00000000" w:rsidRPr="00000000" w14:paraId="00000B7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91.18</w:t>
            </w:r>
          </w:p>
        </w:tc>
        <w:tc>
          <w:tcPr/>
          <w:p w:rsidR="00000000" w:rsidDel="00000000" w:rsidP="00000000" w:rsidRDefault="00000000" w:rsidRPr="00000000" w14:paraId="00000B7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r>
      <w:tr>
        <w:trPr>
          <w:cantSplit w:val="0"/>
          <w:trHeight w:val="275" w:hRule="atLeast"/>
          <w:tblHeader w:val="0"/>
        </w:trPr>
        <w:tc>
          <w:tcPr/>
          <w:p w:rsidR="00000000" w:rsidDel="00000000" w:rsidP="00000000" w:rsidRDefault="00000000" w:rsidRPr="00000000" w14:paraId="00000B7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Navarta, 2019</w:t>
            </w:r>
          </w:p>
        </w:tc>
        <w:tc>
          <w:tcPr/>
          <w:p w:rsidR="00000000" w:rsidDel="00000000" w:rsidP="00000000" w:rsidRDefault="00000000" w:rsidRPr="00000000" w14:paraId="00000B7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[1.10-1.41]</w:t>
            </w:r>
          </w:p>
        </w:tc>
        <w:tc>
          <w:tcPr/>
          <w:p w:rsidR="00000000" w:rsidDel="00000000" w:rsidP="00000000" w:rsidRDefault="00000000" w:rsidRPr="00000000" w14:paraId="00000B7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88.77</w:t>
            </w:r>
          </w:p>
        </w:tc>
        <w:tc>
          <w:tcPr/>
          <w:p w:rsidR="00000000" w:rsidDel="00000000" w:rsidP="00000000" w:rsidRDefault="00000000" w:rsidRPr="00000000" w14:paraId="00000B7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w:t>
            </w:r>
          </w:p>
        </w:tc>
        <w:tc>
          <w:tcPr/>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1.25[1.10-1.41]</w:t>
            </w:r>
          </w:p>
        </w:tc>
        <w:tc>
          <w:tcPr/>
          <w:p w:rsidR="00000000" w:rsidDel="00000000" w:rsidP="00000000" w:rsidRDefault="00000000" w:rsidRPr="00000000" w14:paraId="00000B7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90.77</w:t>
            </w:r>
          </w:p>
        </w:tc>
        <w:tc>
          <w:tcPr/>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w:t>
            </w:r>
          </w:p>
        </w:tc>
      </w:tr>
      <w:tr>
        <w:trPr>
          <w:cantSplit w:val="0"/>
          <w:trHeight w:val="275" w:hRule="atLeast"/>
          <w:tblHeader w:val="0"/>
        </w:trPr>
        <w:tc>
          <w:tcPr>
            <w:gridSpan w:val="7"/>
          </w:tcPr>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9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as a categorized variable for long-term MACE with HRs as effect estimates</w:t>
            </w:r>
          </w:p>
        </w:tc>
      </w:tr>
      <w:tr>
        <w:trPr>
          <w:cantSplit w:val="0"/>
          <w:trHeight w:val="278" w:hRule="atLeast"/>
          <w:tblHeader w:val="0"/>
        </w:trPr>
        <w:tc>
          <w:tcPr/>
          <w:p w:rsidR="00000000" w:rsidDel="00000000" w:rsidP="00000000" w:rsidRDefault="00000000" w:rsidRPr="00000000" w14:paraId="00000B80">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Taglieri, 2011</w:t>
            </w:r>
          </w:p>
        </w:tc>
        <w:tc>
          <w:tcPr/>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 [1.28-4.56]</w:t>
            </w:r>
          </w:p>
        </w:tc>
        <w:tc>
          <w:tcPr/>
          <w:p w:rsidR="00000000" w:rsidDel="00000000" w:rsidP="00000000" w:rsidRDefault="00000000" w:rsidRPr="00000000" w14:paraId="00000B8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77.85</w:t>
            </w:r>
          </w:p>
        </w:tc>
        <w:tc>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0.24</w:t>
            </w:r>
          </w:p>
        </w:tc>
        <w:tc>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 [1.30-4.72]</w:t>
            </w:r>
          </w:p>
        </w:tc>
        <w:tc>
          <w:tcPr/>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82.14</w:t>
            </w:r>
          </w:p>
        </w:tc>
        <w:tc>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0.32</w:t>
            </w:r>
          </w:p>
        </w:tc>
      </w:tr>
      <w:tr>
        <w:trPr>
          <w:cantSplit w:val="0"/>
          <w:trHeight w:val="275" w:hRule="atLeast"/>
          <w:tblHeader w:val="0"/>
        </w:trPr>
        <w:tc>
          <w:tcPr/>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Dogan, 2012</w:t>
            </w:r>
          </w:p>
        </w:tc>
        <w:tc>
          <w:tcPr/>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2.38 [1.25-4.54]</w:t>
            </w:r>
          </w:p>
        </w:tc>
        <w:tc>
          <w:tcPr/>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82.09</w:t>
            </w:r>
          </w:p>
        </w:tc>
        <w:tc>
          <w:tcPr/>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0.26</w:t>
            </w:r>
          </w:p>
        </w:tc>
        <w:tc>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 [1.26-4.72]</w:t>
            </w:r>
          </w:p>
        </w:tc>
        <w:tc>
          <w:tcPr/>
          <w:p w:rsidR="00000000" w:rsidDel="00000000" w:rsidP="00000000" w:rsidRDefault="00000000" w:rsidRPr="00000000" w14:paraId="00000B8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85.63</w:t>
            </w:r>
          </w:p>
        </w:tc>
        <w:tc>
          <w:tcPr/>
          <w:p w:rsidR="00000000" w:rsidDel="00000000" w:rsidP="00000000" w:rsidRDefault="00000000" w:rsidRPr="00000000" w14:paraId="00000B8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w:t>
            </w:r>
          </w:p>
        </w:tc>
      </w:tr>
      <w:tr>
        <w:trPr>
          <w:cantSplit w:val="0"/>
          <w:trHeight w:val="551" w:hRule="atLeast"/>
          <w:tblHeader w:val="0"/>
        </w:trPr>
        <w:tc>
          <w:tcPr/>
          <w:p w:rsidR="00000000" w:rsidDel="00000000" w:rsidP="00000000" w:rsidRDefault="00000000" w:rsidRPr="00000000" w14:paraId="00000B8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Lopez-Cuenca,</w:t>
            </w:r>
          </w:p>
          <w:p w:rsidR="00000000" w:rsidDel="00000000" w:rsidP="00000000" w:rsidRDefault="00000000" w:rsidRPr="00000000" w14:paraId="00000B8F">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w:t>
            </w:r>
          </w:p>
        </w:tc>
        <w:tc>
          <w:tcPr/>
          <w:p w:rsidR="00000000" w:rsidDel="00000000" w:rsidP="00000000" w:rsidRDefault="00000000" w:rsidRPr="00000000" w14:paraId="00000B9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 [1.21-4.45]</w:t>
            </w:r>
          </w:p>
        </w:tc>
        <w:tc>
          <w:tcPr/>
          <w:p w:rsidR="00000000" w:rsidDel="00000000" w:rsidP="00000000" w:rsidRDefault="00000000" w:rsidRPr="00000000" w14:paraId="00000B9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84.19</w:t>
            </w:r>
          </w:p>
        </w:tc>
        <w:tc>
          <w:tcPr/>
          <w:p w:rsidR="00000000" w:rsidDel="00000000" w:rsidP="00000000" w:rsidRDefault="00000000" w:rsidRPr="00000000" w14:paraId="00000B9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0.27</w:t>
            </w:r>
          </w:p>
        </w:tc>
        <w:tc>
          <w:tcPr/>
          <w:p w:rsidR="00000000" w:rsidDel="00000000" w:rsidP="00000000" w:rsidRDefault="00000000" w:rsidRPr="00000000" w14:paraId="00000B9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2.38 [1.22-4.65]</w:t>
            </w:r>
          </w:p>
        </w:tc>
        <w:tc>
          <w:tcPr/>
          <w:p w:rsidR="00000000" w:rsidDel="00000000" w:rsidP="00000000" w:rsidRDefault="00000000" w:rsidRPr="00000000" w14:paraId="00000B9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87.47</w:t>
            </w:r>
          </w:p>
        </w:tc>
        <w:tc>
          <w:tcPr/>
          <w:p w:rsidR="00000000" w:rsidDel="00000000" w:rsidP="00000000" w:rsidRDefault="00000000" w:rsidRPr="00000000" w14:paraId="00000B9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0.35</w:t>
            </w:r>
          </w:p>
        </w:tc>
      </w:tr>
      <w:tr>
        <w:trPr>
          <w:cantSplit w:val="0"/>
          <w:trHeight w:val="551" w:hRule="atLeast"/>
          <w:tblHeader w:val="0"/>
        </w:trPr>
        <w:tc>
          <w:tcPr/>
          <w:p w:rsidR="00000000" w:rsidDel="00000000" w:rsidP="00000000" w:rsidRDefault="00000000" w:rsidRPr="00000000" w14:paraId="00000B9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Fabregat-Andres,</w:t>
            </w:r>
          </w:p>
          <w:p w:rsidR="00000000" w:rsidDel="00000000" w:rsidP="00000000" w:rsidRDefault="00000000" w:rsidRPr="00000000" w14:paraId="00000B97">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2013</w:t>
            </w:r>
          </w:p>
        </w:tc>
        <w:tc>
          <w:tcPr/>
          <w:p w:rsidR="00000000" w:rsidDel="00000000" w:rsidP="00000000" w:rsidRDefault="00000000" w:rsidRPr="00000000" w14:paraId="00000B98">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[1.14-3.92]</w:t>
            </w:r>
          </w:p>
        </w:tc>
        <w:tc>
          <w:tcPr/>
          <w:p w:rsidR="00000000" w:rsidDel="00000000" w:rsidP="00000000" w:rsidRDefault="00000000" w:rsidRPr="00000000" w14:paraId="00000B99">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82.41</w:t>
            </w:r>
          </w:p>
        </w:tc>
        <w:tc>
          <w:tcPr/>
          <w:p w:rsidR="00000000" w:rsidDel="00000000" w:rsidP="00000000" w:rsidRDefault="00000000" w:rsidRPr="00000000" w14:paraId="00000B9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0.22</w:t>
            </w:r>
          </w:p>
        </w:tc>
        <w:tc>
          <w:tcPr/>
          <w:p w:rsidR="00000000" w:rsidDel="00000000" w:rsidP="00000000" w:rsidRDefault="00000000" w:rsidRPr="00000000" w14:paraId="00000B9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 [1.14-4.10]</w:t>
            </w:r>
          </w:p>
        </w:tc>
        <w:tc>
          <w:tcPr/>
          <w:p w:rsidR="00000000" w:rsidDel="00000000" w:rsidP="00000000" w:rsidRDefault="00000000" w:rsidRPr="00000000" w14:paraId="00000B9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86.41</w:t>
            </w:r>
          </w:p>
        </w:tc>
        <w:tc>
          <w:tcPr/>
          <w:p w:rsidR="00000000" w:rsidDel="00000000" w:rsidP="00000000" w:rsidRDefault="00000000" w:rsidRPr="00000000" w14:paraId="00000B9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0.30</w:t>
            </w:r>
          </w:p>
        </w:tc>
      </w:tr>
      <w:tr>
        <w:trPr>
          <w:cantSplit w:val="0"/>
          <w:trHeight w:val="275" w:hRule="atLeast"/>
          <w:tblHeader w:val="0"/>
        </w:trPr>
        <w:tc>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Choi, 2014</w:t>
            </w:r>
          </w:p>
        </w:tc>
        <w:tc>
          <w:tcPr/>
          <w:p w:rsidR="00000000" w:rsidDel="00000000" w:rsidP="00000000" w:rsidRDefault="00000000" w:rsidRPr="00000000" w14:paraId="00000B9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 [1.20-3.55]</w:t>
            </w:r>
          </w:p>
        </w:tc>
        <w:tc>
          <w:tcPr/>
          <w:p w:rsidR="00000000" w:rsidDel="00000000" w:rsidP="00000000" w:rsidRDefault="00000000" w:rsidRPr="00000000" w14:paraId="00000BA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80.61</w:t>
            </w:r>
          </w:p>
        </w:tc>
        <w:tc>
          <w:tcPr/>
          <w:p w:rsidR="00000000" w:rsidDel="00000000" w:rsidP="00000000" w:rsidRDefault="00000000" w:rsidRPr="00000000" w14:paraId="00000BA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0.19</w:t>
            </w:r>
          </w:p>
        </w:tc>
        <w:tc>
          <w:tcPr/>
          <w:p w:rsidR="00000000" w:rsidDel="00000000" w:rsidP="00000000" w:rsidRDefault="00000000" w:rsidRPr="00000000" w14:paraId="00000BA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 [1.21-3.64]</w:t>
            </w:r>
          </w:p>
        </w:tc>
        <w:tc>
          <w:tcPr/>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84.42</w:t>
            </w:r>
          </w:p>
        </w:tc>
        <w:tc>
          <w:tcPr/>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r>
      <w:tr>
        <w:trPr>
          <w:cantSplit w:val="0"/>
          <w:trHeight w:val="275" w:hRule="atLeast"/>
          <w:tblHeader w:val="0"/>
        </w:trPr>
        <w:tc>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Navarta, 2015</w:t>
            </w:r>
          </w:p>
        </w:tc>
        <w:tc>
          <w:tcPr/>
          <w:p w:rsidR="00000000" w:rsidDel="00000000" w:rsidP="00000000" w:rsidRDefault="00000000" w:rsidRPr="00000000" w14:paraId="00000BA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 [1.18-2.52]</w:t>
            </w:r>
          </w:p>
        </w:tc>
        <w:tc>
          <w:tcPr/>
          <w:p w:rsidR="00000000" w:rsidDel="00000000" w:rsidP="00000000" w:rsidRDefault="00000000" w:rsidRPr="00000000" w14:paraId="00000BA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51.01</w:t>
            </w:r>
          </w:p>
        </w:tc>
        <w:tc>
          <w:tcPr/>
          <w:p w:rsidR="00000000" w:rsidDel="00000000" w:rsidP="00000000" w:rsidRDefault="00000000" w:rsidRPr="00000000" w14:paraId="00000BA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0.05</w:t>
            </w:r>
          </w:p>
        </w:tc>
        <w:tc>
          <w:tcPr/>
          <w:p w:rsidR="00000000" w:rsidDel="00000000" w:rsidP="00000000" w:rsidRDefault="00000000" w:rsidRPr="00000000" w14:paraId="00000BA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 [1.19-2.63]</w:t>
            </w:r>
          </w:p>
        </w:tc>
        <w:tc>
          <w:tcPr/>
          <w:p w:rsidR="00000000" w:rsidDel="00000000" w:rsidP="00000000" w:rsidRDefault="00000000" w:rsidRPr="00000000" w14:paraId="00000BA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61.12</w:t>
            </w:r>
          </w:p>
        </w:tc>
        <w:tc>
          <w:tcPr/>
          <w:p w:rsidR="00000000" w:rsidDel="00000000" w:rsidP="00000000" w:rsidRDefault="00000000" w:rsidRPr="00000000" w14:paraId="00000BA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0.08</w:t>
            </w:r>
          </w:p>
        </w:tc>
      </w:tr>
      <w:tr>
        <w:trPr>
          <w:cantSplit w:val="0"/>
          <w:trHeight w:val="275" w:hRule="atLeast"/>
          <w:tblHeader w:val="0"/>
        </w:trPr>
        <w:tc>
          <w:tcPr/>
          <w:p w:rsidR="00000000" w:rsidDel="00000000" w:rsidP="00000000" w:rsidRDefault="00000000" w:rsidRPr="00000000" w14:paraId="00000BA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Niu, 2018</w:t>
            </w:r>
          </w:p>
        </w:tc>
        <w:tc>
          <w:tcPr/>
          <w:p w:rsidR="00000000" w:rsidDel="00000000" w:rsidP="00000000" w:rsidRDefault="00000000" w:rsidRPr="00000000" w14:paraId="00000BA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 [1.09-4.02]</w:t>
            </w:r>
          </w:p>
        </w:tc>
        <w:tc>
          <w:tcPr/>
          <w:p w:rsidR="00000000" w:rsidDel="00000000" w:rsidP="00000000" w:rsidRDefault="00000000" w:rsidRPr="00000000" w14:paraId="00000BA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81.16</w:t>
            </w:r>
          </w:p>
        </w:tc>
        <w:tc>
          <w:tcPr/>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0.24</w:t>
            </w:r>
          </w:p>
        </w:tc>
        <w:tc>
          <w:tcPr/>
          <w:p w:rsidR="00000000" w:rsidDel="00000000" w:rsidP="00000000" w:rsidRDefault="00000000" w:rsidRPr="00000000" w14:paraId="00000BB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 [1.11-4.24]</w:t>
            </w:r>
          </w:p>
        </w:tc>
        <w:tc>
          <w:tcPr/>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85.61</w:t>
            </w:r>
          </w:p>
        </w:tc>
        <w:tc>
          <w:tcPr/>
          <w:p w:rsidR="00000000" w:rsidDel="00000000" w:rsidP="00000000" w:rsidRDefault="00000000" w:rsidRPr="00000000" w14:paraId="00000BB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0.33</w:t>
            </w:r>
          </w:p>
        </w:tc>
      </w:tr>
      <w:tr>
        <w:trPr>
          <w:cantSplit w:val="0"/>
          <w:trHeight w:val="277" w:hRule="atLeast"/>
          <w:tblHeader w:val="0"/>
        </w:trPr>
        <w:tc>
          <w:tcPr/>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 2019</w:t>
            </w:r>
          </w:p>
        </w:tc>
        <w:tc>
          <w:tcPr/>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 [1.32-4.51]</w:t>
            </w:r>
          </w:p>
        </w:tc>
        <w:tc>
          <w:tcPr/>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74.46</w:t>
            </w:r>
          </w:p>
        </w:tc>
        <w:tc>
          <w:tcPr/>
          <w:p w:rsidR="00000000" w:rsidDel="00000000" w:rsidP="00000000" w:rsidRDefault="00000000" w:rsidRPr="00000000" w14:paraId="00000BB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0.22</w:t>
            </w:r>
          </w:p>
        </w:tc>
        <w:tc>
          <w:tcPr/>
          <w:p w:rsidR="00000000" w:rsidDel="00000000" w:rsidP="00000000" w:rsidRDefault="00000000" w:rsidRPr="00000000" w14:paraId="00000BB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 [1.33-4.68]</w:t>
            </w:r>
          </w:p>
        </w:tc>
        <w:tc>
          <w:tcPr/>
          <w:p w:rsidR="00000000" w:rsidDel="00000000" w:rsidP="00000000" w:rsidRDefault="00000000" w:rsidRPr="00000000" w14:paraId="00000BB8">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79.51</w:t>
            </w:r>
          </w:p>
        </w:tc>
        <w:tc>
          <w:tcPr/>
          <w:p w:rsidR="00000000" w:rsidDel="00000000" w:rsidP="00000000" w:rsidRDefault="00000000" w:rsidRPr="00000000" w14:paraId="00000BB9">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0.29</w:t>
            </w:r>
          </w:p>
        </w:tc>
      </w:tr>
      <w:tr>
        <w:trPr>
          <w:cantSplit w:val="0"/>
          <w:trHeight w:val="275" w:hRule="atLeast"/>
          <w:tblHeader w:val="0"/>
        </w:trPr>
        <w:tc>
          <w:tcPr>
            <w:gridSpan w:val="7"/>
          </w:tcPr>
          <w:p w:rsidR="00000000" w:rsidDel="00000000" w:rsidP="00000000" w:rsidRDefault="00000000" w:rsidRPr="00000000" w14:paraId="00000BB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8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MPV as a categorized variable for in-hospital MACE with ORs as effect estimates</w:t>
            </w:r>
          </w:p>
        </w:tc>
      </w:tr>
      <w:tr>
        <w:trPr>
          <w:cantSplit w:val="0"/>
          <w:trHeight w:val="275" w:hRule="atLeast"/>
          <w:tblHeader w:val="0"/>
        </w:trPr>
        <w:tc>
          <w:tcPr/>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Osuna, 1998</w:t>
            </w:r>
          </w:p>
        </w:tc>
        <w:tc>
          <w:tcPr/>
          <w:p w:rsidR="00000000" w:rsidDel="00000000" w:rsidP="00000000" w:rsidRDefault="00000000" w:rsidRPr="00000000" w14:paraId="00000BC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1.88 [0.94-3.75]</w:t>
            </w:r>
          </w:p>
        </w:tc>
        <w:tc>
          <w:tcPr/>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87.95</w:t>
            </w:r>
          </w:p>
        </w:tc>
        <w:tc>
          <w:tcPr/>
          <w:p w:rsidR="00000000" w:rsidDel="00000000" w:rsidP="00000000" w:rsidRDefault="00000000" w:rsidRPr="00000000" w14:paraId="00000BC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0.20</w:t>
            </w:r>
          </w:p>
        </w:tc>
        <w:tc>
          <w:tcPr/>
          <w:p w:rsidR="00000000" w:rsidDel="00000000" w:rsidP="00000000" w:rsidRDefault="00000000" w:rsidRPr="00000000" w14:paraId="00000BC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 [0.95-4.36]</w:t>
            </w:r>
          </w:p>
        </w:tc>
        <w:tc>
          <w:tcPr/>
          <w:p w:rsidR="00000000" w:rsidDel="00000000" w:rsidP="00000000" w:rsidRDefault="00000000" w:rsidRPr="00000000" w14:paraId="00000BC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92.64</w:t>
            </w:r>
          </w:p>
        </w:tc>
        <w:tc>
          <w:tcPr/>
          <w:p w:rsidR="00000000" w:rsidDel="00000000" w:rsidP="00000000" w:rsidRDefault="00000000" w:rsidRPr="00000000" w14:paraId="00000BC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w:t>
            </w:r>
          </w:p>
        </w:tc>
      </w:tr>
      <w:tr>
        <w:trPr>
          <w:cantSplit w:val="0"/>
          <w:trHeight w:val="276" w:hRule="atLeast"/>
          <w:tblHeader w:val="0"/>
        </w:trPr>
        <w:tc>
          <w:tcPr/>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Vakili, 2009</w:t>
            </w:r>
          </w:p>
        </w:tc>
        <w:tc>
          <w:tcPr/>
          <w:p w:rsidR="00000000" w:rsidDel="00000000" w:rsidP="00000000" w:rsidRDefault="00000000" w:rsidRPr="00000000" w14:paraId="00000BC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 [0.89-2.69]</w:t>
            </w:r>
          </w:p>
        </w:tc>
        <w:tc>
          <w:tcPr/>
          <w:p w:rsidR="00000000" w:rsidDel="00000000" w:rsidP="00000000" w:rsidRDefault="00000000" w:rsidRPr="00000000" w14:paraId="00000BC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81.33</w:t>
            </w:r>
          </w:p>
        </w:tc>
        <w:tc>
          <w:tcPr/>
          <w:p w:rsidR="00000000" w:rsidDel="00000000" w:rsidP="00000000" w:rsidRDefault="00000000" w:rsidRPr="00000000" w14:paraId="00000BC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0.09</w:t>
            </w:r>
          </w:p>
        </w:tc>
        <w:tc>
          <w:tcPr/>
          <w:p w:rsidR="00000000" w:rsidDel="00000000" w:rsidP="00000000" w:rsidRDefault="00000000" w:rsidRPr="00000000" w14:paraId="00000BC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 [0.87-3.32]</w:t>
            </w:r>
          </w:p>
        </w:tc>
        <w:tc>
          <w:tcPr/>
          <w:p w:rsidR="00000000" w:rsidDel="00000000" w:rsidP="00000000" w:rsidRDefault="00000000" w:rsidRPr="00000000" w14:paraId="00000BC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90.58</w:t>
            </w:r>
          </w:p>
        </w:tc>
        <w:tc>
          <w:tcPr/>
          <w:p w:rsidR="00000000" w:rsidDel="00000000" w:rsidP="00000000" w:rsidRDefault="00000000" w:rsidRPr="00000000" w14:paraId="00000BC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0.19</w:t>
            </w:r>
          </w:p>
        </w:tc>
      </w:tr>
      <w:tr>
        <w:trPr>
          <w:cantSplit w:val="0"/>
          <w:trHeight w:val="275" w:hRule="atLeast"/>
          <w:tblHeader w:val="0"/>
        </w:trPr>
        <w:tc>
          <w:tcPr/>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Akpek, 2011</w:t>
            </w:r>
          </w:p>
        </w:tc>
        <w:tc>
          <w:tcPr/>
          <w:p w:rsidR="00000000" w:rsidDel="00000000" w:rsidP="00000000" w:rsidRDefault="00000000" w:rsidRPr="00000000" w14:paraId="00000BD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 [0.93-3.62]</w:t>
            </w:r>
          </w:p>
        </w:tc>
        <w:tc>
          <w:tcPr/>
          <w:p w:rsidR="00000000" w:rsidDel="00000000" w:rsidP="00000000" w:rsidRDefault="00000000" w:rsidRPr="00000000" w14:paraId="00000BD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89.97</w:t>
            </w:r>
          </w:p>
        </w:tc>
        <w:tc>
          <w:tcPr/>
          <w:p w:rsidR="00000000" w:rsidDel="00000000" w:rsidP="00000000" w:rsidRDefault="00000000" w:rsidRPr="00000000" w14:paraId="00000BD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0.19</w:t>
            </w:r>
          </w:p>
        </w:tc>
        <w:tc>
          <w:tcPr/>
          <w:p w:rsidR="00000000" w:rsidDel="00000000" w:rsidP="00000000" w:rsidRDefault="00000000" w:rsidRPr="00000000" w14:paraId="00000BD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 [0.94-4.29]</w:t>
            </w:r>
          </w:p>
        </w:tc>
        <w:tc>
          <w:tcPr/>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94.17</w:t>
            </w:r>
          </w:p>
        </w:tc>
        <w:tc>
          <w:tcPr/>
          <w:p w:rsidR="00000000" w:rsidDel="00000000" w:rsidP="00000000" w:rsidRDefault="00000000" w:rsidRPr="00000000" w14:paraId="00000BD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w:t>
            </w:r>
          </w:p>
        </w:tc>
      </w:tr>
      <w:tr>
        <w:trPr>
          <w:cantSplit w:val="0"/>
          <w:trHeight w:val="275" w:hRule="atLeast"/>
          <w:tblHeader w:val="0"/>
        </w:trPr>
        <w:tc>
          <w:tcPr/>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Liu, 2014</w:t>
            </w:r>
          </w:p>
        </w:tc>
        <w:tc>
          <w:tcPr/>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1.87 [0.93-3.78]</w:t>
            </w:r>
          </w:p>
        </w:tc>
        <w:tc>
          <w:tcPr/>
          <w:p w:rsidR="00000000" w:rsidDel="00000000" w:rsidP="00000000" w:rsidRDefault="00000000" w:rsidRPr="00000000" w14:paraId="00000BD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87.02</w:t>
            </w:r>
          </w:p>
        </w:tc>
        <w:tc>
          <w:tcPr/>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0.21</w:t>
            </w:r>
          </w:p>
        </w:tc>
        <w:tc>
          <w:tcPr/>
          <w:p w:rsidR="00000000" w:rsidDel="00000000" w:rsidP="00000000" w:rsidRDefault="00000000" w:rsidRPr="00000000" w14:paraId="00000BD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 [0.93-4.40]</w:t>
            </w:r>
          </w:p>
        </w:tc>
        <w:tc>
          <w:tcPr/>
          <w:p w:rsidR="00000000" w:rsidDel="00000000" w:rsidP="00000000" w:rsidRDefault="00000000" w:rsidRPr="00000000" w14:paraId="00000BD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92.02</w:t>
            </w:r>
          </w:p>
        </w:tc>
        <w:tc>
          <w:tcPr/>
          <w:p w:rsidR="00000000" w:rsidDel="00000000" w:rsidP="00000000" w:rsidRDefault="00000000" w:rsidRPr="00000000" w14:paraId="00000BD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0.35</w:t>
            </w:r>
          </w:p>
        </w:tc>
      </w:tr>
      <w:tr>
        <w:trPr>
          <w:cantSplit w:val="0"/>
          <w:trHeight w:val="278" w:hRule="atLeast"/>
          <w:tblHeader w:val="0"/>
        </w:trPr>
        <w:tc>
          <w:tcPr/>
          <w:p w:rsidR="00000000" w:rsidDel="00000000" w:rsidP="00000000" w:rsidRDefault="00000000" w:rsidRPr="00000000" w14:paraId="00000BDD">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Machado, 2018</w:t>
            </w:r>
          </w:p>
        </w:tc>
        <w:tc>
          <w:tcPr/>
          <w:p w:rsidR="00000000" w:rsidDel="00000000" w:rsidP="00000000" w:rsidRDefault="00000000" w:rsidRPr="00000000" w14:paraId="00000BDE">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 [1.15-2.21]</w:t>
            </w:r>
          </w:p>
        </w:tc>
        <w:tc>
          <w:tcPr/>
          <w:p w:rsidR="00000000" w:rsidDel="00000000" w:rsidP="00000000" w:rsidRDefault="00000000" w:rsidRPr="00000000" w14:paraId="00000BDF">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 [1.10-3.06]</w:t>
            </w:r>
          </w:p>
        </w:tc>
        <w:tc>
          <w:tcPr/>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58.59</w:t>
            </w:r>
          </w:p>
        </w:tc>
        <w:tc>
          <w:tcPr/>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0.07</w:t>
            </w:r>
          </w:p>
        </w:tc>
      </w:tr>
      <w:tr>
        <w:trPr>
          <w:cantSplit w:val="0"/>
          <w:trHeight w:val="275" w:hRule="atLeast"/>
          <w:tblHeader w:val="0"/>
        </w:trPr>
        <w:tc>
          <w:tcPr/>
          <w:p w:rsidR="00000000" w:rsidDel="00000000" w:rsidP="00000000" w:rsidRDefault="00000000" w:rsidRPr="00000000" w14:paraId="00000BE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Garlobo, 2019</w:t>
            </w:r>
          </w:p>
        </w:tc>
        <w:tc>
          <w:tcPr/>
          <w:p w:rsidR="00000000" w:rsidDel="00000000" w:rsidP="00000000" w:rsidRDefault="00000000" w:rsidRPr="00000000" w14:paraId="00000BE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 [1.04-2.17]</w:t>
            </w:r>
          </w:p>
        </w:tc>
        <w:tc>
          <w:tcPr/>
          <w:p w:rsidR="00000000" w:rsidDel="00000000" w:rsidP="00000000" w:rsidRDefault="00000000" w:rsidRPr="00000000" w14:paraId="00000BE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77.68</w:t>
            </w:r>
          </w:p>
        </w:tc>
        <w:tc>
          <w:tcPr/>
          <w:p w:rsidR="00000000" w:rsidDel="00000000" w:rsidP="00000000" w:rsidRDefault="00000000" w:rsidRPr="00000000" w14:paraId="00000BE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0.07</w:t>
            </w:r>
          </w:p>
        </w:tc>
        <w:tc>
          <w:tcPr/>
          <w:p w:rsidR="00000000" w:rsidDel="00000000" w:rsidP="00000000" w:rsidRDefault="00000000" w:rsidRPr="00000000" w14:paraId="00000BE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1.53 [1.05-2.24]</w:t>
            </w:r>
          </w:p>
        </w:tc>
        <w:tc>
          <w:tcPr/>
          <w:p w:rsidR="00000000" w:rsidDel="00000000" w:rsidP="00000000" w:rsidRDefault="00000000" w:rsidRPr="00000000" w14:paraId="00000BE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82.10</w:t>
            </w:r>
          </w:p>
        </w:tc>
        <w:tc>
          <w:tcPr/>
          <w:p w:rsidR="00000000" w:rsidDel="00000000" w:rsidP="00000000" w:rsidRDefault="00000000" w:rsidRPr="00000000" w14:paraId="00000BE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0.09</w:t>
            </w:r>
          </w:p>
        </w:tc>
      </w:tr>
      <w:tr>
        <w:trPr>
          <w:cantSplit w:val="0"/>
          <w:trHeight w:val="275" w:hRule="atLeast"/>
          <w:tblHeader w:val="0"/>
        </w:trPr>
        <w:tc>
          <w:tcPr/>
          <w:p w:rsidR="00000000" w:rsidDel="00000000" w:rsidP="00000000" w:rsidRDefault="00000000" w:rsidRPr="00000000" w14:paraId="00000BE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Vogiatzis, 2019</w:t>
            </w:r>
          </w:p>
        </w:tc>
        <w:tc>
          <w:tcPr/>
          <w:p w:rsidR="00000000" w:rsidDel="00000000" w:rsidP="00000000" w:rsidRDefault="00000000" w:rsidRPr="00000000" w14:paraId="00000BE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 [0.95-2.55]</w:t>
            </w:r>
          </w:p>
        </w:tc>
        <w:tc>
          <w:tcPr/>
          <w:p w:rsidR="00000000" w:rsidDel="00000000" w:rsidP="00000000" w:rsidRDefault="00000000" w:rsidRPr="00000000" w14:paraId="00000BE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81.68</w:t>
            </w:r>
          </w:p>
        </w:tc>
        <w:tc>
          <w:tcPr/>
          <w:p w:rsidR="00000000" w:rsidDel="00000000" w:rsidP="00000000" w:rsidRDefault="00000000" w:rsidRPr="00000000" w14:paraId="00000BE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0.08</w:t>
            </w:r>
          </w:p>
        </w:tc>
        <w:tc>
          <w:tcPr/>
          <w:p w:rsidR="00000000" w:rsidDel="00000000" w:rsidP="00000000" w:rsidRDefault="00000000" w:rsidRPr="00000000" w14:paraId="00000BE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 [0.95-2.75]</w:t>
            </w:r>
          </w:p>
        </w:tc>
        <w:tc>
          <w:tcPr/>
          <w:p w:rsidR="00000000" w:rsidDel="00000000" w:rsidP="00000000" w:rsidRDefault="00000000" w:rsidRPr="00000000" w14:paraId="00000BF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86.71</w:t>
            </w:r>
          </w:p>
        </w:tc>
        <w:tc>
          <w:tcPr/>
          <w:p w:rsidR="00000000" w:rsidDel="00000000" w:rsidP="00000000" w:rsidRDefault="00000000" w:rsidRPr="00000000" w14:paraId="00000BF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w:t>
            </w:r>
          </w:p>
        </w:tc>
      </w:tr>
      <w:tr>
        <w:trPr>
          <w:cantSplit w:val="0"/>
          <w:trHeight w:val="275" w:hRule="atLeast"/>
          <w:tblHeader w:val="0"/>
        </w:trPr>
        <w:tc>
          <w:tcPr/>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Chen, 2020</w:t>
            </w:r>
          </w:p>
        </w:tc>
        <w:tc>
          <w:tcPr/>
          <w:p w:rsidR="00000000" w:rsidDel="00000000" w:rsidP="00000000" w:rsidRDefault="00000000" w:rsidRPr="00000000" w14:paraId="00000BF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 [0.87-3.04]</w:t>
            </w:r>
          </w:p>
        </w:tc>
        <w:tc>
          <w:tcPr/>
          <w:p w:rsidR="00000000" w:rsidDel="00000000" w:rsidP="00000000" w:rsidRDefault="00000000" w:rsidRPr="00000000" w14:paraId="00000BF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85.38</w:t>
            </w:r>
          </w:p>
        </w:tc>
        <w:tc>
          <w:tcPr/>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w:t>
            </w:r>
          </w:p>
        </w:tc>
        <w:tc>
          <w:tcPr/>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 [0.87-3.95]</w:t>
            </w:r>
          </w:p>
        </w:tc>
        <w:tc>
          <w:tcPr/>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 w:right="3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93.52</w:t>
            </w:r>
          </w:p>
        </w:tc>
        <w:tc>
          <w:tcPr/>
          <w:p w:rsidR="00000000" w:rsidDel="00000000" w:rsidP="00000000" w:rsidRDefault="00000000" w:rsidRPr="00000000" w14:paraId="00000BF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0.31</w:t>
            </w:r>
          </w:p>
        </w:tc>
      </w:tr>
    </w:tbl>
    <w:p w:rsidR="00000000" w:rsidDel="00000000" w:rsidP="00000000" w:rsidRDefault="00000000" w:rsidRPr="00000000" w14:paraId="00000BF9">
      <w:pPr>
        <w:spacing w:before="12" w:lineRule="auto"/>
        <w:ind w:left="652" w:right="942" w:firstLine="0"/>
        <w:jc w:val="left"/>
        <w:rPr>
          <w:sz w:val="24"/>
          <w:szCs w:val="24"/>
        </w:rPr>
        <w:sectPr>
          <w:headerReference r:id="rId174" w:type="even"/>
          <w:type w:val="nextPage"/>
          <w:pgSz w:h="16840" w:w="11920" w:orient="portrait"/>
          <w:pgMar w:bottom="260" w:top="1040" w:left="480" w:right="320" w:header="0" w:footer="0"/>
        </w:sectPr>
      </w:pPr>
      <w:r w:rsidDel="00000000" w:rsidR="00000000" w:rsidRPr="00000000">
        <w:rPr>
          <w:sz w:val="24"/>
          <w:szCs w:val="24"/>
          <w:rtl w:val="0"/>
        </w:rPr>
        <w:t xml:space="preserve">Abbreviations: ML, maximum likelihood; REML, restricted maximum likelihood; CI, confidence interval; MPV, mean platelet volume; HR, hazard ratio; MACE, major adverse cardiovascular</w:t>
      </w:r>
    </w:p>
    <w:p w:rsidR="00000000" w:rsidDel="00000000" w:rsidP="00000000" w:rsidRDefault="00000000" w:rsidRPr="00000000" w14:paraId="00000BFA">
      <w:pPr>
        <w:spacing w:after="9" w:before="230" w:lineRule="auto"/>
        <w:ind w:left="652" w:right="1076" w:firstLine="0"/>
        <w:jc w:val="left"/>
        <w:rPr>
          <w:sz w:val="24"/>
          <w:szCs w:val="24"/>
        </w:rPr>
      </w:pPr>
      <w:r w:rsidDel="00000000" w:rsidR="00000000" w:rsidRPr="00000000">
        <w:rPr>
          <w:b w:val="1"/>
          <w:sz w:val="24"/>
          <w:szCs w:val="24"/>
          <w:rtl w:val="0"/>
        </w:rPr>
        <w:t xml:space="preserve">Supplementary Table 6. </w:t>
      </w:r>
      <w:r w:rsidDel="00000000" w:rsidR="00000000" w:rsidRPr="00000000">
        <w:rPr>
          <w:sz w:val="24"/>
          <w:szCs w:val="24"/>
          <w:rtl w:val="0"/>
        </w:rPr>
        <w:t xml:space="preserve">Model characteristics for dose-response relationship between MPV and long-term mortality and MACE.</w:t>
      </w:r>
    </w:p>
    <w:tbl>
      <w:tblPr>
        <w:tblStyle w:val="Table23"/>
        <w:tblW w:w="9646.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9"/>
        <w:gridCol w:w="1251"/>
        <w:gridCol w:w="1242"/>
        <w:gridCol w:w="1241"/>
        <w:gridCol w:w="1419"/>
        <w:gridCol w:w="1650"/>
        <w:gridCol w:w="1364"/>
        <w:tblGridChange w:id="0">
          <w:tblGrid>
            <w:gridCol w:w="1479"/>
            <w:gridCol w:w="1251"/>
            <w:gridCol w:w="1242"/>
            <w:gridCol w:w="1241"/>
            <w:gridCol w:w="1419"/>
            <w:gridCol w:w="1650"/>
            <w:gridCol w:w="1364"/>
          </w:tblGrid>
        </w:tblGridChange>
      </w:tblGrid>
      <w:tr>
        <w:trPr>
          <w:cantSplit w:val="0"/>
          <w:trHeight w:val="827" w:hRule="atLeast"/>
          <w:tblHeader w:val="0"/>
        </w:trPr>
        <w:tc>
          <w:tcPr/>
          <w:p w:rsidR="00000000" w:rsidDel="00000000" w:rsidP="00000000" w:rsidRDefault="00000000" w:rsidRPr="00000000" w14:paraId="00000BF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w:t>
            </w:r>
          </w:p>
        </w:tc>
        <w:tc>
          <w:tcPr/>
          <w:p w:rsidR="00000000" w:rsidDel="00000000" w:rsidP="00000000" w:rsidRDefault="00000000" w:rsidRPr="00000000" w14:paraId="00000B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best powers or</w:t>
            </w:r>
          </w:p>
          <w:p w:rsidR="00000000" w:rsidDel="00000000" w:rsidP="00000000" w:rsidRDefault="00000000" w:rsidRPr="00000000" w14:paraId="00000BFD">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knots</w:t>
            </w:r>
          </w:p>
        </w:tc>
        <w:tc>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LogLik</w:t>
            </w:r>
          </w:p>
        </w:tc>
        <w:tc>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AIC</w:t>
            </w:r>
          </w:p>
        </w:tc>
        <w:tc>
          <w:tcPr/>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BIC</w:t>
            </w:r>
          </w:p>
        </w:tc>
        <w:tc>
          <w:tcPr/>
          <w:p w:rsidR="00000000" w:rsidDel="00000000" w:rsidP="00000000" w:rsidRDefault="00000000" w:rsidRPr="00000000" w14:paraId="00000C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value for the whole model</w:t>
            </w:r>
          </w:p>
        </w:tc>
        <w:tc>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value for non-</w:t>
            </w:r>
          </w:p>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linearity</w:t>
            </w:r>
          </w:p>
        </w:tc>
      </w:tr>
      <w:tr>
        <w:trPr>
          <w:cantSplit w:val="0"/>
          <w:trHeight w:val="277" w:hRule="atLeast"/>
          <w:tblHeader w:val="0"/>
        </w:trPr>
        <w:tc>
          <w:tcPr>
            <w:gridSpan w:val="7"/>
          </w:tcPr>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Long-term MACE</w:t>
            </w:r>
          </w:p>
        </w:tc>
      </w:tr>
      <w:tr>
        <w:trPr>
          <w:cantSplit w:val="0"/>
          <w:trHeight w:val="275" w:hRule="atLeast"/>
          <w:tblHeader w:val="0"/>
        </w:trPr>
        <w:tc>
          <w:tcPr/>
          <w:p w:rsidR="00000000" w:rsidDel="00000000" w:rsidP="00000000" w:rsidRDefault="00000000" w:rsidRPr="00000000" w14:paraId="00000C0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c>
          <w:tcPr/>
          <w:p w:rsidR="00000000" w:rsidDel="00000000" w:rsidP="00000000" w:rsidRDefault="00000000" w:rsidRPr="00000000" w14:paraId="00000C0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C0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-4.5374</w:t>
            </w:r>
          </w:p>
        </w:tc>
        <w:tc>
          <w:tcPr/>
          <w:p w:rsidR="00000000" w:rsidDel="00000000" w:rsidP="00000000" w:rsidRDefault="00000000" w:rsidRPr="00000000" w14:paraId="00000C0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13.0748</w:t>
            </w:r>
          </w:p>
        </w:tc>
        <w:tc>
          <w:tcPr/>
          <w:p w:rsidR="00000000" w:rsidDel="00000000" w:rsidP="00000000" w:rsidRDefault="00000000" w:rsidRPr="00000000" w14:paraId="00000C0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13.2337</w:t>
            </w:r>
          </w:p>
        </w:tc>
        <w:tc>
          <w:tcPr/>
          <w:p w:rsidR="00000000" w:rsidDel="00000000" w:rsidP="00000000" w:rsidRDefault="00000000" w:rsidRPr="00000000" w14:paraId="00000C1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0.0002</w:t>
            </w:r>
          </w:p>
        </w:tc>
        <w:tc>
          <w:tcPr/>
          <w:p w:rsidR="00000000" w:rsidDel="00000000" w:rsidP="00000000" w:rsidRDefault="00000000" w:rsidRPr="00000000" w14:paraId="00000C1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827" w:hRule="atLeast"/>
          <w:tblHeader w:val="0"/>
        </w:trPr>
        <w:tc>
          <w:tcPr/>
          <w:p w:rsidR="00000000" w:rsidDel="00000000" w:rsidP="00000000" w:rsidRDefault="00000000" w:rsidRPr="00000000" w14:paraId="00000C1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Quadratic</w:t>
            </w:r>
          </w:p>
        </w:tc>
        <w:tc>
          <w:tcPr/>
          <w:p w:rsidR="00000000" w:rsidDel="00000000" w:rsidP="00000000" w:rsidRDefault="00000000" w:rsidRPr="00000000" w14:paraId="00000C1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C1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-4.5811</w:t>
            </w:r>
          </w:p>
        </w:tc>
        <w:tc>
          <w:tcPr/>
          <w:p w:rsidR="00000000" w:rsidDel="00000000" w:rsidP="00000000" w:rsidRDefault="00000000" w:rsidRPr="00000000" w14:paraId="00000C1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19.1622</w:t>
            </w:r>
          </w:p>
        </w:tc>
        <w:tc>
          <w:tcPr/>
          <w:p w:rsidR="00000000" w:rsidDel="00000000" w:rsidP="00000000" w:rsidRDefault="00000000" w:rsidRPr="00000000" w14:paraId="00000C1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20.6751</w:t>
            </w:r>
          </w:p>
        </w:tc>
        <w:tc>
          <w:tcPr/>
          <w:p w:rsidR="00000000" w:rsidDel="00000000" w:rsidP="00000000" w:rsidRDefault="00000000" w:rsidRPr="00000000" w14:paraId="00000C1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0.0003</w:t>
            </w:r>
          </w:p>
        </w:tc>
        <w:tc>
          <w:tcPr/>
          <w:p w:rsidR="00000000" w:rsidDel="00000000" w:rsidP="00000000" w:rsidRDefault="00000000" w:rsidRPr="00000000" w14:paraId="00000C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0.2560 for quadratic</w:t>
            </w:r>
          </w:p>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w:t>
            </w:r>
          </w:p>
        </w:tc>
      </w:tr>
      <w:tr>
        <w:trPr>
          <w:cantSplit w:val="0"/>
          <w:trHeight w:val="1380" w:hRule="atLeast"/>
          <w:tblHeader w:val="0"/>
        </w:trPr>
        <w:tc>
          <w:tcPr/>
          <w:p w:rsidR="00000000" w:rsidDel="00000000" w:rsidP="00000000" w:rsidRDefault="00000000" w:rsidRPr="00000000" w14:paraId="00000C1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Cubic</w:t>
            </w:r>
          </w:p>
        </w:tc>
        <w:tc>
          <w:tcPr/>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C1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-1.6778</w:t>
            </w:r>
          </w:p>
        </w:tc>
        <w:tc>
          <w:tcPr/>
          <w:p w:rsidR="00000000" w:rsidDel="00000000" w:rsidP="00000000" w:rsidRDefault="00000000" w:rsidRPr="00000000" w14:paraId="00000C1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21.3555</w:t>
            </w:r>
          </w:p>
        </w:tc>
        <w:tc>
          <w:tcPr/>
          <w:p w:rsidR="00000000" w:rsidDel="00000000" w:rsidP="00000000" w:rsidRDefault="00000000" w:rsidRPr="00000000" w14:paraId="00000C1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24.0788</w:t>
            </w:r>
          </w:p>
        </w:tc>
        <w:tc>
          <w:tcPr/>
          <w:p w:rsidR="00000000" w:rsidDel="00000000" w:rsidP="00000000" w:rsidRDefault="00000000" w:rsidRPr="00000000" w14:paraId="00000C1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&lt;0.00001</w:t>
            </w:r>
          </w:p>
        </w:tc>
        <w:tc>
          <w:tcPr/>
          <w:p w:rsidR="00000000" w:rsidDel="00000000" w:rsidP="00000000" w:rsidRDefault="00000000" w:rsidRPr="00000000" w14:paraId="00000C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0.0058 for quadratic term, 0.0037 for</w:t>
            </w:r>
          </w:p>
          <w:p w:rsidR="00000000" w:rsidDel="00000000" w:rsidP="00000000" w:rsidRDefault="00000000" w:rsidRPr="00000000" w14:paraId="00000C21">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cubic term</w:t>
            </w:r>
          </w:p>
        </w:tc>
      </w:tr>
      <w:tr>
        <w:trPr>
          <w:cantSplit w:val="0"/>
          <w:trHeight w:val="1655" w:hRule="atLeast"/>
          <w:tblHeader w:val="0"/>
        </w:trPr>
        <w:tc>
          <w:tcPr/>
          <w:p w:rsidR="00000000" w:rsidDel="00000000" w:rsidP="00000000" w:rsidRDefault="00000000" w:rsidRPr="00000000" w14:paraId="00000C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Fractional polynomial</w:t>
            </w:r>
          </w:p>
        </w:tc>
        <w:tc>
          <w:tcPr/>
          <w:p w:rsidR="00000000" w:rsidDel="00000000" w:rsidP="00000000" w:rsidRDefault="00000000" w:rsidRPr="00000000" w14:paraId="00000C2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and 3</w:t>
            </w:r>
          </w:p>
        </w:tc>
        <w:tc>
          <w:tcPr/>
          <w:p w:rsidR="00000000" w:rsidDel="00000000" w:rsidP="00000000" w:rsidRDefault="00000000" w:rsidRPr="00000000" w14:paraId="00000C2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-4.4710</w:t>
            </w:r>
          </w:p>
        </w:tc>
        <w:tc>
          <w:tcPr/>
          <w:p w:rsidR="00000000" w:rsidDel="00000000" w:rsidP="00000000" w:rsidRDefault="00000000" w:rsidRPr="00000000" w14:paraId="00000C2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18.9420</w:t>
            </w:r>
          </w:p>
        </w:tc>
        <w:tc>
          <w:tcPr/>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20.4550</w:t>
            </w:r>
          </w:p>
        </w:tc>
        <w:tc>
          <w:tcPr/>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0.0001</w:t>
            </w:r>
          </w:p>
        </w:tc>
        <w:tc>
          <w:tcPr/>
          <w:p w:rsidR="00000000" w:rsidDel="00000000" w:rsidP="00000000" w:rsidRDefault="00000000" w:rsidRPr="00000000" w14:paraId="00000C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0.2403 for the first power, 0.2086 for the second</w:t>
            </w:r>
          </w:p>
          <w:p w:rsidR="00000000" w:rsidDel="00000000" w:rsidP="00000000" w:rsidRDefault="00000000" w:rsidRPr="00000000" w14:paraId="00000C29">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w:t>
            </w:r>
          </w:p>
        </w:tc>
      </w:tr>
      <w:tr>
        <w:trPr>
          <w:cantSplit w:val="0"/>
          <w:trHeight w:val="827" w:hRule="atLeast"/>
          <w:tblHeader w:val="0"/>
        </w:trPr>
        <w:tc>
          <w:tcPr/>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Spline regression</w:t>
            </w:r>
          </w:p>
        </w:tc>
        <w:tc>
          <w:tcPr/>
          <w:p w:rsidR="00000000" w:rsidDel="00000000" w:rsidP="00000000" w:rsidRDefault="00000000" w:rsidRPr="00000000" w14:paraId="00000C2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8.49,</w:t>
            </w:r>
          </w:p>
          <w:p w:rsidR="00000000" w:rsidDel="00000000" w:rsidP="00000000" w:rsidRDefault="00000000" w:rsidRPr="00000000" w14:paraId="00000C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10.12,</w:t>
            </w:r>
          </w:p>
          <w:p w:rsidR="00000000" w:rsidDel="00000000" w:rsidP="00000000" w:rsidRDefault="00000000" w:rsidRPr="00000000" w14:paraId="00000C2D">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10.56</w:t>
            </w:r>
          </w:p>
        </w:tc>
        <w:tc>
          <w:tcPr/>
          <w:p w:rsidR="00000000" w:rsidDel="00000000" w:rsidP="00000000" w:rsidRDefault="00000000" w:rsidRPr="00000000" w14:paraId="00000C2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-3.8812</w:t>
            </w:r>
          </w:p>
        </w:tc>
        <w:tc>
          <w:tcPr/>
          <w:p w:rsidR="00000000" w:rsidDel="00000000" w:rsidP="00000000" w:rsidRDefault="00000000" w:rsidRPr="00000000" w14:paraId="00000C2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17.7624</w:t>
            </w:r>
          </w:p>
        </w:tc>
        <w:tc>
          <w:tcPr/>
          <w:p w:rsidR="00000000" w:rsidDel="00000000" w:rsidP="00000000" w:rsidRDefault="00000000" w:rsidRPr="00000000" w14:paraId="00000C3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19.2754</w:t>
            </w:r>
          </w:p>
        </w:tc>
        <w:tc>
          <w:tcPr/>
          <w:p w:rsidR="00000000" w:rsidDel="00000000" w:rsidP="00000000" w:rsidRDefault="00000000" w:rsidRPr="00000000" w14:paraId="00000C31">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&lt;0.00001</w:t>
            </w:r>
          </w:p>
        </w:tc>
        <w:tc>
          <w:tcPr/>
          <w:p w:rsidR="00000000" w:rsidDel="00000000" w:rsidP="00000000" w:rsidRDefault="00000000" w:rsidRPr="00000000" w14:paraId="00000C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0.0460 for the second</w:t>
            </w:r>
          </w:p>
          <w:p w:rsidR="00000000" w:rsidDel="00000000" w:rsidP="00000000" w:rsidRDefault="00000000" w:rsidRPr="00000000" w14:paraId="00000C33">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spline</w:t>
            </w:r>
          </w:p>
        </w:tc>
      </w:tr>
      <w:tr>
        <w:trPr>
          <w:cantSplit w:val="0"/>
          <w:trHeight w:val="275" w:hRule="atLeast"/>
          <w:tblHeader w:val="0"/>
        </w:trPr>
        <w:tc>
          <w:tcPr>
            <w:gridSpan w:val="7"/>
          </w:tcPr>
          <w:p w:rsidR="00000000" w:rsidDel="00000000" w:rsidP="00000000" w:rsidRDefault="00000000" w:rsidRPr="00000000" w14:paraId="00000C3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Long-term mortality</w:t>
            </w:r>
          </w:p>
        </w:tc>
      </w:tr>
      <w:tr>
        <w:trPr>
          <w:cantSplit w:val="0"/>
          <w:trHeight w:val="278" w:hRule="atLeast"/>
          <w:tblHeader w:val="0"/>
        </w:trPr>
        <w:tc>
          <w:tcPr/>
          <w:p w:rsidR="00000000" w:rsidDel="00000000" w:rsidP="00000000" w:rsidRDefault="00000000" w:rsidRPr="00000000" w14:paraId="00000C3B">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c>
          <w:tcPr/>
          <w:p w:rsidR="00000000" w:rsidDel="00000000" w:rsidP="00000000" w:rsidRDefault="00000000" w:rsidRPr="00000000" w14:paraId="00000C3C">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C3D">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-2.5554</w:t>
            </w:r>
          </w:p>
        </w:tc>
        <w:tc>
          <w:tcPr/>
          <w:p w:rsidR="00000000" w:rsidDel="00000000" w:rsidP="00000000" w:rsidRDefault="00000000" w:rsidRPr="00000000" w14:paraId="00000C3E">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9.1108</w:t>
            </w:r>
          </w:p>
        </w:tc>
        <w:tc>
          <w:tcPr/>
          <w:p w:rsidR="00000000" w:rsidDel="00000000" w:rsidP="00000000" w:rsidRDefault="00000000" w:rsidRPr="00000000" w14:paraId="00000C3F">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9.0026</w:t>
            </w:r>
          </w:p>
        </w:tc>
        <w:tc>
          <w:tcPr/>
          <w:p w:rsidR="00000000" w:rsidDel="00000000" w:rsidP="00000000" w:rsidRDefault="00000000" w:rsidRPr="00000000" w14:paraId="00000C40">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&lt;0.00001</w:t>
            </w:r>
          </w:p>
        </w:tc>
        <w:tc>
          <w:tcPr/>
          <w:p w:rsidR="00000000" w:rsidDel="00000000" w:rsidP="00000000" w:rsidRDefault="00000000" w:rsidRPr="00000000" w14:paraId="00000C41">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103" w:hRule="atLeast"/>
          <w:tblHeader w:val="0"/>
        </w:trPr>
        <w:tc>
          <w:tcPr/>
          <w:p w:rsidR="00000000" w:rsidDel="00000000" w:rsidP="00000000" w:rsidRDefault="00000000" w:rsidRPr="00000000" w14:paraId="00000C42">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Quadratic</w:t>
            </w:r>
          </w:p>
        </w:tc>
        <w:tc>
          <w:tcPr/>
          <w:p w:rsidR="00000000" w:rsidDel="00000000" w:rsidP="00000000" w:rsidRDefault="00000000" w:rsidRPr="00000000" w14:paraId="00000C4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C44">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-7.2316</w:t>
            </w:r>
          </w:p>
        </w:tc>
        <w:tc>
          <w:tcPr/>
          <w:p w:rsidR="00000000" w:rsidDel="00000000" w:rsidP="00000000" w:rsidRDefault="00000000" w:rsidRPr="00000000" w14:paraId="00000C45">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24.4632</w:t>
            </w:r>
          </w:p>
        </w:tc>
        <w:tc>
          <w:tcPr/>
          <w:p w:rsidR="00000000" w:rsidDel="00000000" w:rsidP="00000000" w:rsidRDefault="00000000" w:rsidRPr="00000000" w14:paraId="00000C46">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25.4494</w:t>
            </w:r>
          </w:p>
        </w:tc>
        <w:tc>
          <w:tcPr/>
          <w:p w:rsidR="00000000" w:rsidDel="00000000" w:rsidP="00000000" w:rsidRDefault="00000000" w:rsidRPr="00000000" w14:paraId="00000C47">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0.0009</w:t>
            </w:r>
          </w:p>
        </w:tc>
        <w:tc>
          <w:tcPr/>
          <w:p w:rsidR="00000000" w:rsidDel="00000000" w:rsidP="00000000" w:rsidRDefault="00000000" w:rsidRPr="00000000" w14:paraId="00000C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0.7787 for the</w:t>
            </w:r>
          </w:p>
          <w:p w:rsidR="00000000" w:rsidDel="00000000" w:rsidP="00000000" w:rsidRDefault="00000000" w:rsidRPr="00000000" w14:paraId="00000C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3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quadratic term</w:t>
            </w:r>
          </w:p>
        </w:tc>
      </w:tr>
      <w:tr>
        <w:trPr>
          <w:cantSplit w:val="0"/>
          <w:trHeight w:val="1931" w:hRule="atLeast"/>
          <w:tblHeader w:val="0"/>
        </w:trPr>
        <w:tc>
          <w:tcPr/>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Cubic</w:t>
            </w:r>
          </w:p>
        </w:tc>
        <w:tc>
          <w:tcPr/>
          <w:p w:rsidR="00000000" w:rsidDel="00000000" w:rsidP="00000000" w:rsidRDefault="00000000" w:rsidRPr="00000000" w14:paraId="00000C4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C4C">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-6.9570</w:t>
            </w:r>
          </w:p>
        </w:tc>
        <w:tc>
          <w:tcPr/>
          <w:p w:rsidR="00000000" w:rsidDel="00000000" w:rsidP="00000000" w:rsidRDefault="00000000" w:rsidRPr="00000000" w14:paraId="00000C4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31.9140</w:t>
            </w:r>
          </w:p>
        </w:tc>
        <w:tc>
          <w:tcPr/>
          <w:p w:rsidR="00000000" w:rsidDel="00000000" w:rsidP="00000000" w:rsidRDefault="00000000" w:rsidRPr="00000000" w14:paraId="00000C4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33.6891</w:t>
            </w:r>
          </w:p>
        </w:tc>
        <w:tc>
          <w:tcPr/>
          <w:p w:rsidR="00000000" w:rsidDel="00000000" w:rsidP="00000000" w:rsidRDefault="00000000" w:rsidRPr="00000000" w14:paraId="00000C4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0.0022</w:t>
            </w:r>
          </w:p>
        </w:tc>
        <w:tc>
          <w:tcPr/>
          <w:p w:rsidR="00000000" w:rsidDel="00000000" w:rsidP="00000000" w:rsidRDefault="00000000" w:rsidRPr="00000000" w14:paraId="00000C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0.3433 for the quadratic term, 0.3042 for</w:t>
            </w:r>
          </w:p>
          <w:p w:rsidR="00000000" w:rsidDel="00000000" w:rsidP="00000000" w:rsidRDefault="00000000" w:rsidRPr="00000000" w14:paraId="00000C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3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cubic term</w:t>
            </w:r>
          </w:p>
        </w:tc>
      </w:tr>
      <w:tr>
        <w:trPr>
          <w:cantSplit w:val="0"/>
          <w:trHeight w:val="1656" w:hRule="atLeast"/>
          <w:tblHeader w:val="0"/>
        </w:trPr>
        <w:tc>
          <w:tcPr/>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Fractional polynomial</w:t>
            </w:r>
          </w:p>
        </w:tc>
        <w:tc>
          <w:tcPr/>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and -2</w:t>
            </w:r>
          </w:p>
        </w:tc>
        <w:tc>
          <w:tcPr/>
          <w:p w:rsidR="00000000" w:rsidDel="00000000" w:rsidP="00000000" w:rsidRDefault="00000000" w:rsidRPr="00000000" w14:paraId="00000C54">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-6.5409</w:t>
            </w:r>
          </w:p>
        </w:tc>
        <w:tc>
          <w:tcPr/>
          <w:p w:rsidR="00000000" w:rsidDel="00000000" w:rsidP="00000000" w:rsidRDefault="00000000" w:rsidRPr="00000000" w14:paraId="00000C55">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23.0818</w:t>
            </w:r>
          </w:p>
        </w:tc>
        <w:tc>
          <w:tcPr/>
          <w:p w:rsidR="00000000" w:rsidDel="00000000" w:rsidP="00000000" w:rsidRDefault="00000000" w:rsidRPr="00000000" w14:paraId="00000C56">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24.0679</w:t>
            </w:r>
          </w:p>
        </w:tc>
        <w:tc>
          <w:tcPr/>
          <w:p w:rsidR="00000000" w:rsidDel="00000000" w:rsidP="00000000" w:rsidRDefault="00000000" w:rsidRPr="00000000" w14:paraId="00000C57">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0.0002</w:t>
            </w:r>
          </w:p>
        </w:tc>
        <w:tc>
          <w:tcPr/>
          <w:p w:rsidR="00000000" w:rsidDel="00000000" w:rsidP="00000000" w:rsidRDefault="00000000" w:rsidRPr="00000000" w14:paraId="00000C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0.0283 for the first power, 0.0220 for</w:t>
            </w:r>
          </w:p>
          <w:p w:rsidR="00000000" w:rsidDel="00000000" w:rsidP="00000000" w:rsidRDefault="00000000" w:rsidRPr="00000000" w14:paraId="00000C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power</w:t>
            </w:r>
          </w:p>
        </w:tc>
      </w:tr>
      <w:tr>
        <w:trPr>
          <w:cantSplit w:val="0"/>
          <w:trHeight w:val="827" w:hRule="atLeast"/>
          <w:tblHeader w:val="0"/>
        </w:trPr>
        <w:tc>
          <w:tcPr/>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Spline regression</w:t>
            </w:r>
          </w:p>
        </w:tc>
        <w:tc>
          <w:tcPr/>
          <w:p w:rsidR="00000000" w:rsidDel="00000000" w:rsidP="00000000" w:rsidRDefault="00000000" w:rsidRPr="00000000" w14:paraId="00000C5B">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8.05, 9.02,</w:t>
            </w:r>
          </w:p>
          <w:p w:rsidR="00000000" w:rsidDel="00000000" w:rsidP="00000000" w:rsidRDefault="00000000" w:rsidRPr="00000000" w14:paraId="00000C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w:t>
            </w:r>
          </w:p>
        </w:tc>
        <w:tc>
          <w:tcPr/>
          <w:p w:rsidR="00000000" w:rsidDel="00000000" w:rsidP="00000000" w:rsidRDefault="00000000" w:rsidRPr="00000000" w14:paraId="00000C5D">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-6.5534</w:t>
            </w:r>
          </w:p>
        </w:tc>
        <w:tc>
          <w:tcPr/>
          <w:p w:rsidR="00000000" w:rsidDel="00000000" w:rsidP="00000000" w:rsidRDefault="00000000" w:rsidRPr="00000000" w14:paraId="00000C5E">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23.1068</w:t>
            </w:r>
          </w:p>
        </w:tc>
        <w:tc>
          <w:tcPr/>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24.0929</w:t>
            </w:r>
          </w:p>
        </w:tc>
        <w:tc>
          <w:tcPr/>
          <w:p w:rsidR="00000000" w:rsidDel="00000000" w:rsidP="00000000" w:rsidRDefault="00000000" w:rsidRPr="00000000" w14:paraId="00000C60">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1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0.0004</w:t>
            </w:r>
          </w:p>
        </w:tc>
        <w:tc>
          <w:tcPr/>
          <w:p w:rsidR="00000000" w:rsidDel="00000000" w:rsidP="00000000" w:rsidRDefault="00000000" w:rsidRPr="00000000" w14:paraId="00000C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2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0.1119 for the second</w:t>
            </w:r>
          </w:p>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spline</w:t>
            </w:r>
          </w:p>
        </w:tc>
      </w:tr>
    </w:tbl>
    <w:p w:rsidR="00000000" w:rsidDel="00000000" w:rsidP="00000000" w:rsidRDefault="00000000" w:rsidRPr="00000000" w14:paraId="00000C63">
      <w:pPr>
        <w:spacing w:before="0" w:lineRule="auto"/>
        <w:ind w:left="652" w:right="807" w:firstLine="0"/>
        <w:jc w:val="left"/>
        <w:rPr>
          <w:sz w:val="24"/>
          <w:szCs w:val="24"/>
        </w:rPr>
        <w:sectPr>
          <w:headerReference r:id="rId175" w:type="default"/>
          <w:footerReference r:id="rId176" w:type="default"/>
          <w:footerReference r:id="rId177" w:type="even"/>
          <w:type w:val="nextPage"/>
          <w:pgSz w:h="16840" w:w="11920" w:orient="portrait"/>
          <w:pgMar w:bottom="260" w:top="1400" w:left="480" w:right="320" w:header="1135" w:footer="71"/>
          <w:pgNumType w:start="31"/>
        </w:sectPr>
      </w:pPr>
      <w:r w:rsidDel="00000000" w:rsidR="00000000" w:rsidRPr="00000000">
        <w:rPr>
          <w:sz w:val="24"/>
          <w:szCs w:val="24"/>
          <w:rtl w:val="0"/>
        </w:rPr>
        <w:t xml:space="preserve">Abbreviations: MPV, mean platelet volume; MACE, major adverse cardiovascular events, AIC, the Akaike information criterion; BIC, the Bayesian information criterion.</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85421" cy="2291619"/>
            <wp:effectExtent b="0" l="0" r="0" t="0"/>
            <wp:docPr id="507" name="image115.jpg"/>
            <a:graphic>
              <a:graphicData uri="http://schemas.openxmlformats.org/drawingml/2006/picture">
                <pic:pic>
                  <pic:nvPicPr>
                    <pic:cNvPr id="0" name="image115.jpg"/>
                    <pic:cNvPicPr preferRelativeResize="0"/>
                  </pic:nvPicPr>
                  <pic:blipFill>
                    <a:blip r:embed="rId178"/>
                    <a:srcRect b="0" l="0" r="0" t="0"/>
                    <a:stretch>
                      <a:fillRect/>
                    </a:stretch>
                  </pic:blipFill>
                  <pic:spPr>
                    <a:xfrm>
                      <a:off x="0" y="0"/>
                      <a:ext cx="6185421" cy="2291619"/>
                    </a:xfrm>
                    <a:prstGeom prst="rect"/>
                    <a:ln/>
                  </pic:spPr>
                </pic:pic>
              </a:graphicData>
            </a:graphic>
          </wp:inline>
        </w:drawing>
      </w:r>
      <w:r w:rsidDel="00000000" w:rsidR="00000000" w:rsidRPr="00000000">
        <w:rPr>
          <w:rtl w:val="0"/>
        </w:rPr>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C">
      <w:pPr>
        <w:spacing w:before="1" w:lineRule="auto"/>
        <w:ind w:left="0" w:right="160" w:firstLine="0"/>
        <w:jc w:val="center"/>
        <w:rPr>
          <w:b w:val="1"/>
          <w:sz w:val="24"/>
          <w:szCs w:val="24"/>
        </w:rPr>
      </w:pPr>
      <w:r w:rsidDel="00000000" w:rsidR="00000000" w:rsidRPr="00000000">
        <w:rPr>
          <w:b w:val="1"/>
          <w:sz w:val="24"/>
          <w:szCs w:val="24"/>
          <w:rtl w:val="0"/>
        </w:rPr>
        <w:t xml:space="preserve">Supplementary Figures.</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E">
      <w:pPr>
        <w:spacing w:before="0" w:lineRule="auto"/>
        <w:ind w:left="652" w:right="942" w:firstLine="0"/>
        <w:jc w:val="left"/>
        <w:rPr>
          <w:sz w:val="24"/>
          <w:szCs w:val="24"/>
        </w:rPr>
      </w:pPr>
      <w:r w:rsidDel="00000000" w:rsidR="00000000" w:rsidRPr="00000000">
        <w:rPr>
          <w:b w:val="1"/>
          <w:sz w:val="24"/>
          <w:szCs w:val="24"/>
          <w:rtl w:val="0"/>
        </w:rPr>
        <w:t xml:space="preserve">Supplementary Figure 1. </w:t>
      </w:r>
      <w:r w:rsidDel="00000000" w:rsidR="00000000" w:rsidRPr="00000000">
        <w:rPr>
          <w:sz w:val="24"/>
          <w:szCs w:val="24"/>
          <w:rtl w:val="0"/>
        </w:rPr>
        <w:t xml:space="preserve">Analyses for long-term mortality with MPV treated as a continuous variable and hazard ratios as effect estimates and CIs estimated with Wald-type statistics.</w:t>
      </w:r>
    </w:p>
    <w:p w:rsidR="00000000" w:rsidDel="00000000" w:rsidP="00000000" w:rsidRDefault="00000000" w:rsidRPr="00000000" w14:paraId="00000C6F">
      <w:pPr>
        <w:spacing w:before="0" w:lineRule="auto"/>
        <w:ind w:left="652" w:right="942" w:firstLine="0"/>
        <w:jc w:val="left"/>
        <w:rPr>
          <w:sz w:val="24"/>
          <w:szCs w:val="24"/>
        </w:rPr>
      </w:pPr>
      <w:r w:rsidDel="00000000" w:rsidR="00000000" w:rsidRPr="00000000">
        <w:rPr>
          <w:sz w:val="24"/>
          <w:szCs w:val="24"/>
          <w:rtl w:val="0"/>
        </w:rPr>
        <w:t xml:space="preserve">Abbreviations: CI, confidence interval; PI, prediction interval; RE, random effects; ML, maximum likelihood; REML, restricted maximum likelihood; MPV, mean platelet volume.</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517006</wp:posOffset>
            </wp:positionH>
            <wp:positionV relativeFrom="paragraph">
              <wp:posOffset>163564</wp:posOffset>
            </wp:positionV>
            <wp:extent cx="6311183" cy="2338387"/>
            <wp:effectExtent b="0" l="0" r="0" t="0"/>
            <wp:wrapTopAndBottom distB="0" distT="0"/>
            <wp:docPr id="500" name="image105.jpg"/>
            <a:graphic>
              <a:graphicData uri="http://schemas.openxmlformats.org/drawingml/2006/picture">
                <pic:pic>
                  <pic:nvPicPr>
                    <pic:cNvPr id="0" name="image105.jpg"/>
                    <pic:cNvPicPr preferRelativeResize="0"/>
                  </pic:nvPicPr>
                  <pic:blipFill>
                    <a:blip r:embed="rId179"/>
                    <a:srcRect b="0" l="0" r="0" t="0"/>
                    <a:stretch>
                      <a:fillRect/>
                    </a:stretch>
                  </pic:blipFill>
                  <pic:spPr>
                    <a:xfrm>
                      <a:off x="0" y="0"/>
                      <a:ext cx="6311183" cy="2338387"/>
                    </a:xfrm>
                    <a:prstGeom prst="rect"/>
                    <a:ln/>
                  </pic:spPr>
                </pic:pic>
              </a:graphicData>
            </a:graphic>
          </wp:anchor>
        </w:drawing>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5">
      <w:pPr>
        <w:spacing w:before="0" w:lineRule="auto"/>
        <w:ind w:left="652" w:right="942" w:firstLine="0"/>
        <w:jc w:val="left"/>
        <w:rPr>
          <w:sz w:val="24"/>
          <w:szCs w:val="24"/>
        </w:rPr>
      </w:pPr>
      <w:r w:rsidDel="00000000" w:rsidR="00000000" w:rsidRPr="00000000">
        <w:rPr>
          <w:b w:val="1"/>
          <w:sz w:val="24"/>
          <w:szCs w:val="24"/>
          <w:rtl w:val="0"/>
        </w:rPr>
        <w:t xml:space="preserve">Supplementary Figure 2. </w:t>
      </w:r>
      <w:r w:rsidDel="00000000" w:rsidR="00000000" w:rsidRPr="00000000">
        <w:rPr>
          <w:sz w:val="24"/>
          <w:szCs w:val="24"/>
          <w:rtl w:val="0"/>
        </w:rPr>
        <w:t xml:space="preserve">Analyses for long-term mortality with MPV treated as a continuous variable and hazard ratios as effect estimates and CIs based on t</w:t>
      </w:r>
      <w:r w:rsidDel="00000000" w:rsidR="00000000" w:rsidRPr="00000000">
        <w:rPr>
          <w:i w:val="1"/>
          <w:sz w:val="24"/>
          <w:szCs w:val="24"/>
          <w:rtl w:val="0"/>
        </w:rPr>
        <w:t xml:space="preserve">-</w:t>
      </w:r>
      <w:r w:rsidDel="00000000" w:rsidR="00000000" w:rsidRPr="00000000">
        <w:rPr>
          <w:sz w:val="24"/>
          <w:szCs w:val="24"/>
          <w:rtl w:val="0"/>
        </w:rPr>
        <w:t xml:space="preserve">distribution.</w:t>
      </w:r>
    </w:p>
    <w:p w:rsidR="00000000" w:rsidDel="00000000" w:rsidP="00000000" w:rsidRDefault="00000000" w:rsidRPr="00000000" w14:paraId="00000C76">
      <w:pPr>
        <w:spacing w:before="0" w:lineRule="auto"/>
        <w:ind w:left="652" w:right="942" w:firstLine="0"/>
        <w:jc w:val="left"/>
        <w:rPr>
          <w:sz w:val="24"/>
          <w:szCs w:val="24"/>
        </w:rPr>
        <w:sectPr>
          <w:headerReference r:id="rId180" w:type="even"/>
          <w:type w:val="nextPage"/>
          <w:pgSz w:h="16840" w:w="11920" w:orient="portrait"/>
          <w:pgMar w:bottom="260" w:top="1920" w:left="480" w:right="320" w:header="0" w:footer="0"/>
        </w:sectPr>
      </w:pPr>
      <w:r w:rsidDel="00000000" w:rsidR="00000000" w:rsidRPr="00000000">
        <w:rPr>
          <w:sz w:val="24"/>
          <w:szCs w:val="24"/>
          <w:rtl w:val="0"/>
        </w:rPr>
        <w:t xml:space="preserve">Abbreviations: CI, confidence interval; PI, prediction interval; RE, random effects; ML, maximum likelihood; REML, restricted maximum likelihood; MPV, mean platelet volume.</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21573" cy="3369945"/>
            <wp:effectExtent b="0" l="0" r="0" t="0"/>
            <wp:docPr id="509" name="image117.jpg"/>
            <a:graphic>
              <a:graphicData uri="http://schemas.openxmlformats.org/drawingml/2006/picture">
                <pic:pic>
                  <pic:nvPicPr>
                    <pic:cNvPr id="0" name="image117.jpg"/>
                    <pic:cNvPicPr preferRelativeResize="0"/>
                  </pic:nvPicPr>
                  <pic:blipFill>
                    <a:blip r:embed="rId181"/>
                    <a:srcRect b="0" l="0" r="0" t="0"/>
                    <a:stretch>
                      <a:fillRect/>
                    </a:stretch>
                  </pic:blipFill>
                  <pic:spPr>
                    <a:xfrm>
                      <a:off x="0" y="0"/>
                      <a:ext cx="6821573" cy="3369945"/>
                    </a:xfrm>
                    <a:prstGeom prst="rect"/>
                    <a:ln/>
                  </pic:spPr>
                </pic:pic>
              </a:graphicData>
            </a:graphic>
          </wp:inline>
        </w:drawing>
      </w:r>
      <w:r w:rsidDel="00000000" w:rsidR="00000000" w:rsidRPr="00000000">
        <w:rPr>
          <w:rtl w:val="0"/>
        </w:rPr>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9">
      <w:pPr>
        <w:spacing w:before="0" w:lineRule="auto"/>
        <w:ind w:left="652" w:right="942" w:firstLine="0"/>
        <w:jc w:val="left"/>
        <w:rPr>
          <w:sz w:val="24"/>
          <w:szCs w:val="24"/>
        </w:rPr>
      </w:pPr>
      <w:r w:rsidDel="00000000" w:rsidR="00000000" w:rsidRPr="00000000">
        <w:rPr>
          <w:b w:val="1"/>
          <w:sz w:val="24"/>
          <w:szCs w:val="24"/>
          <w:rtl w:val="0"/>
        </w:rPr>
        <w:t xml:space="preserve">Supplementary Figure 3. </w:t>
      </w:r>
      <w:r w:rsidDel="00000000" w:rsidR="00000000" w:rsidRPr="00000000">
        <w:rPr>
          <w:sz w:val="24"/>
          <w:szCs w:val="24"/>
          <w:rtl w:val="0"/>
        </w:rPr>
        <w:t xml:space="preserve">Subgroup analyses for long-term mortality with MPV treated as a continuous variable and hazard ratios as effect estimates. A and B, subgroup analyses in STEMI patients with ML and REML estimation, respectively; C and D, subgroup analyses in NST-ACS patients with ML and REML estimation, respectively; E and F, subgroup analyses in PCI patients with ML and REML estimation, respectively.</w:t>
      </w:r>
    </w:p>
    <w:p w:rsidR="00000000" w:rsidDel="00000000" w:rsidP="00000000" w:rsidRDefault="00000000" w:rsidRPr="00000000" w14:paraId="00000C7A">
      <w:pPr>
        <w:spacing w:before="0" w:line="240" w:lineRule="auto"/>
        <w:ind w:left="652" w:right="942" w:firstLine="0"/>
        <w:jc w:val="left"/>
        <w:rPr>
          <w:sz w:val="24"/>
          <w:szCs w:val="24"/>
        </w:rPr>
        <w:sectPr>
          <w:headerReference r:id="rId182" w:type="default"/>
          <w:footerReference r:id="rId183" w:type="default"/>
          <w:footerReference r:id="rId184" w:type="even"/>
          <w:type w:val="nextPage"/>
          <w:pgSz w:h="16840" w:w="11920" w:orient="portrait"/>
          <w:pgMar w:bottom="260" w:top="1480" w:left="480" w:right="320" w:header="0" w:footer="71"/>
          <w:pgNumType w:start="33"/>
        </w:sectPr>
      </w:pPr>
      <w:r w:rsidDel="00000000" w:rsidR="00000000" w:rsidRPr="00000000">
        <w:rPr>
          <w:sz w:val="24"/>
          <w:szCs w:val="24"/>
          <w:rtl w:val="0"/>
        </w:rPr>
        <w:t xml:space="preserve">Abbreviations: RE, random effects; ML, maximum likelihood; KNHA, the Knapp and Hartung adjustment; CI, confidence interval; REML, restricted maximum likelihood; MPV, mean platelet volume; STEMI, ST-segment elevation myocardial infarction; NST-ACS, non-ST-segment elevation myocardial infarction; PCI, percutaneous coronary intervention.</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34574" cy="3664362"/>
            <wp:effectExtent b="0" l="0" r="0" t="0"/>
            <wp:docPr id="508" name="image116.png"/>
            <a:graphic>
              <a:graphicData uri="http://schemas.openxmlformats.org/drawingml/2006/picture">
                <pic:pic>
                  <pic:nvPicPr>
                    <pic:cNvPr id="0" name="image116.png"/>
                    <pic:cNvPicPr preferRelativeResize="0"/>
                  </pic:nvPicPr>
                  <pic:blipFill>
                    <a:blip r:embed="rId185"/>
                    <a:srcRect b="0" l="0" r="0" t="0"/>
                    <a:stretch>
                      <a:fillRect/>
                    </a:stretch>
                  </pic:blipFill>
                  <pic:spPr>
                    <a:xfrm>
                      <a:off x="0" y="0"/>
                      <a:ext cx="3734574" cy="3664362"/>
                    </a:xfrm>
                    <a:prstGeom prst="rect"/>
                    <a:ln/>
                  </pic:spPr>
                </pic:pic>
              </a:graphicData>
            </a:graphic>
          </wp:inline>
        </w:drawing>
      </w:r>
      <w:r w:rsidDel="00000000" w:rsidR="00000000" w:rsidRPr="00000000">
        <w:rPr>
          <w:rtl w:val="0"/>
        </w:rPr>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F">
      <w:pPr>
        <w:spacing w:before="0" w:lineRule="auto"/>
        <w:ind w:left="652" w:right="942" w:firstLine="0"/>
        <w:jc w:val="left"/>
        <w:rPr>
          <w:sz w:val="24"/>
          <w:szCs w:val="24"/>
        </w:rPr>
        <w:sectPr>
          <w:headerReference r:id="rId186" w:type="even"/>
          <w:type w:val="nextPage"/>
          <w:pgSz w:h="16840" w:w="11920" w:orient="portrait"/>
          <w:pgMar w:bottom="260" w:top="1760" w:left="480" w:right="320" w:header="0" w:footer="0"/>
        </w:sectPr>
      </w:pPr>
      <w:r w:rsidDel="00000000" w:rsidR="00000000" w:rsidRPr="00000000">
        <w:rPr>
          <w:b w:val="1"/>
          <w:sz w:val="24"/>
          <w:szCs w:val="24"/>
          <w:rtl w:val="0"/>
        </w:rPr>
        <w:t xml:space="preserve">Supplementary Figure 4. </w:t>
      </w:r>
      <w:r w:rsidDel="00000000" w:rsidR="00000000" w:rsidRPr="00000000">
        <w:rPr>
          <w:sz w:val="24"/>
          <w:szCs w:val="24"/>
          <w:rtl w:val="0"/>
        </w:rPr>
        <w:t xml:space="preserve">Influential case diagnostics for long-term mortality with MPV as a a continuous variable and hazard ratios as effect estimates.</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36080" cy="2909887"/>
            <wp:effectExtent b="0" l="0" r="0" t="0"/>
            <wp:docPr id="510" name="image119.jpg"/>
            <a:graphic>
              <a:graphicData uri="http://schemas.openxmlformats.org/drawingml/2006/picture">
                <pic:pic>
                  <pic:nvPicPr>
                    <pic:cNvPr id="0" name="image119.jpg"/>
                    <pic:cNvPicPr preferRelativeResize="0"/>
                  </pic:nvPicPr>
                  <pic:blipFill>
                    <a:blip r:embed="rId187"/>
                    <a:srcRect b="0" l="0" r="0" t="0"/>
                    <a:stretch>
                      <a:fillRect/>
                    </a:stretch>
                  </pic:blipFill>
                  <pic:spPr>
                    <a:xfrm>
                      <a:off x="0" y="0"/>
                      <a:ext cx="6136080" cy="2909887"/>
                    </a:xfrm>
                    <a:prstGeom prst="rect"/>
                    <a:ln/>
                  </pic:spPr>
                </pic:pic>
              </a:graphicData>
            </a:graphic>
          </wp:inline>
        </w:drawing>
      </w:r>
      <w:r w:rsidDel="00000000" w:rsidR="00000000" w:rsidRPr="00000000">
        <w:rPr>
          <w:rtl w:val="0"/>
        </w:rPr>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2">
      <w:pPr>
        <w:spacing w:before="0" w:lineRule="auto"/>
        <w:ind w:left="652" w:right="942" w:firstLine="0"/>
        <w:jc w:val="left"/>
        <w:rPr>
          <w:sz w:val="24"/>
          <w:szCs w:val="24"/>
        </w:rPr>
      </w:pPr>
      <w:r w:rsidDel="00000000" w:rsidR="00000000" w:rsidRPr="00000000">
        <w:rPr>
          <w:b w:val="1"/>
          <w:sz w:val="24"/>
          <w:szCs w:val="24"/>
          <w:rtl w:val="0"/>
        </w:rPr>
        <w:t xml:space="preserve">Supplementary Figure 5. </w:t>
      </w:r>
      <w:r w:rsidDel="00000000" w:rsidR="00000000" w:rsidRPr="00000000">
        <w:rPr>
          <w:sz w:val="24"/>
          <w:szCs w:val="24"/>
          <w:rtl w:val="0"/>
        </w:rPr>
        <w:t xml:space="preserve">Additional analyses for long-term mortality with MPV as a continuous variable and hazard ratios as effect estimates. A, funnel plot for ML estimation with rank correlation and regression tests for both ML and REML estimation; B, a trim and fill method for ML estimation with an effect estimate for both ML and REML estimation; C, a Q-Q plot for ML estimation; D, cumulative meta-analysis for ML estimation.</w:t>
      </w:r>
    </w:p>
    <w:p w:rsidR="00000000" w:rsidDel="00000000" w:rsidP="00000000" w:rsidRDefault="00000000" w:rsidRPr="00000000" w14:paraId="00000C83">
      <w:pPr>
        <w:spacing w:before="0" w:lineRule="auto"/>
        <w:ind w:left="652" w:right="942" w:firstLine="0"/>
        <w:jc w:val="left"/>
        <w:rPr>
          <w:sz w:val="24"/>
          <w:szCs w:val="24"/>
        </w:rPr>
      </w:pPr>
      <w:r w:rsidDel="00000000" w:rsidR="00000000" w:rsidRPr="00000000">
        <w:rPr>
          <w:sz w:val="24"/>
          <w:szCs w:val="24"/>
          <w:rtl w:val="0"/>
        </w:rPr>
        <w:t xml:space="preserve">Abbreviations: ML, maximum likelihood; REML, restricted maximum likelihood; CI, confidence interval; PI, prediction interval; MPV, mean platelet volume.</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399415</wp:posOffset>
            </wp:positionH>
            <wp:positionV relativeFrom="paragraph">
              <wp:posOffset>279889</wp:posOffset>
            </wp:positionV>
            <wp:extent cx="6075432" cy="2253996"/>
            <wp:effectExtent b="0" l="0" r="0" t="0"/>
            <wp:wrapTopAndBottom distB="0" distT="0"/>
            <wp:docPr id="499" name="image97.jpg"/>
            <a:graphic>
              <a:graphicData uri="http://schemas.openxmlformats.org/drawingml/2006/picture">
                <pic:pic>
                  <pic:nvPicPr>
                    <pic:cNvPr id="0" name="image97.jpg"/>
                    <pic:cNvPicPr preferRelativeResize="0"/>
                  </pic:nvPicPr>
                  <pic:blipFill>
                    <a:blip r:embed="rId188"/>
                    <a:srcRect b="0" l="0" r="0" t="0"/>
                    <a:stretch>
                      <a:fillRect/>
                    </a:stretch>
                  </pic:blipFill>
                  <pic:spPr>
                    <a:xfrm>
                      <a:off x="0" y="0"/>
                      <a:ext cx="6075432" cy="2253996"/>
                    </a:xfrm>
                    <a:prstGeom prst="rect"/>
                    <a:ln/>
                  </pic:spPr>
                </pic:pic>
              </a:graphicData>
            </a:graphic>
          </wp:anchor>
        </w:drawing>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B">
      <w:pPr>
        <w:spacing w:before="1" w:lineRule="auto"/>
        <w:ind w:left="652" w:right="807" w:firstLine="0"/>
        <w:jc w:val="left"/>
        <w:rPr>
          <w:sz w:val="24"/>
          <w:szCs w:val="24"/>
        </w:rPr>
      </w:pPr>
      <w:r w:rsidDel="00000000" w:rsidR="00000000" w:rsidRPr="00000000">
        <w:rPr>
          <w:b w:val="1"/>
          <w:sz w:val="24"/>
          <w:szCs w:val="24"/>
          <w:rtl w:val="0"/>
        </w:rPr>
        <w:t xml:space="preserve">Supplementary Figure 6. </w:t>
      </w:r>
      <w:r w:rsidDel="00000000" w:rsidR="00000000" w:rsidRPr="00000000">
        <w:rPr>
          <w:sz w:val="24"/>
          <w:szCs w:val="24"/>
          <w:rtl w:val="0"/>
        </w:rPr>
        <w:t xml:space="preserve">Analyses for long-term MACE with MPV treated as continuous variable and hazard ratios as effect estimates and the Knapp and Hartung adjustment.</w:t>
      </w:r>
    </w:p>
    <w:p w:rsidR="00000000" w:rsidDel="00000000" w:rsidP="00000000" w:rsidRDefault="00000000" w:rsidRPr="00000000" w14:paraId="00000C8C">
      <w:pPr>
        <w:spacing w:before="0" w:lineRule="auto"/>
        <w:ind w:left="652" w:right="942" w:firstLine="0"/>
        <w:jc w:val="left"/>
        <w:rPr>
          <w:sz w:val="24"/>
          <w:szCs w:val="24"/>
        </w:rPr>
        <w:sectPr>
          <w:headerReference r:id="rId189" w:type="default"/>
          <w:footerReference r:id="rId190" w:type="default"/>
          <w:footerReference r:id="rId191" w:type="even"/>
          <w:type w:val="nextPage"/>
          <w:pgSz w:h="16840" w:w="11920" w:orient="portrait"/>
          <w:pgMar w:bottom="260" w:top="1120" w:left="480" w:right="320" w:header="0" w:footer="71"/>
          <w:pgNumType w:start="35"/>
        </w:sectPr>
      </w:pPr>
      <w:r w:rsidDel="00000000" w:rsidR="00000000" w:rsidRPr="00000000">
        <w:rPr>
          <w:sz w:val="24"/>
          <w:szCs w:val="24"/>
          <w:rtl w:val="0"/>
        </w:rPr>
        <w:t xml:space="preserve">Abbreviations: CI, confidence interval; PI, prediction interval; RE, random effects; ML, maximum likelihood; REML, restricted maximum likelihood; MACE, major adverse cardiovascular events; MPV, mean platelet volume.</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11183" cy="2347912"/>
            <wp:effectExtent b="0" l="0" r="0" t="0"/>
            <wp:docPr id="511" name="image118.jpg"/>
            <a:graphic>
              <a:graphicData uri="http://schemas.openxmlformats.org/drawingml/2006/picture">
                <pic:pic>
                  <pic:nvPicPr>
                    <pic:cNvPr id="0" name="image118.jpg"/>
                    <pic:cNvPicPr preferRelativeResize="0"/>
                  </pic:nvPicPr>
                  <pic:blipFill>
                    <a:blip r:embed="rId192"/>
                    <a:srcRect b="0" l="0" r="0" t="0"/>
                    <a:stretch>
                      <a:fillRect/>
                    </a:stretch>
                  </pic:blipFill>
                  <pic:spPr>
                    <a:xfrm>
                      <a:off x="0" y="0"/>
                      <a:ext cx="6311183" cy="2347912"/>
                    </a:xfrm>
                    <a:prstGeom prst="rect"/>
                    <a:ln/>
                  </pic:spPr>
                </pic:pic>
              </a:graphicData>
            </a:graphic>
          </wp:inline>
        </w:drawing>
      </w:r>
      <w:r w:rsidDel="00000000" w:rsidR="00000000" w:rsidRPr="00000000">
        <w:rPr>
          <w:rtl w:val="0"/>
        </w:rPr>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F">
      <w:pPr>
        <w:spacing w:before="1" w:lineRule="auto"/>
        <w:ind w:left="652" w:right="942" w:firstLine="0"/>
        <w:jc w:val="left"/>
        <w:rPr>
          <w:sz w:val="24"/>
          <w:szCs w:val="24"/>
        </w:rPr>
      </w:pPr>
      <w:r w:rsidDel="00000000" w:rsidR="00000000" w:rsidRPr="00000000">
        <w:rPr>
          <w:b w:val="1"/>
          <w:sz w:val="24"/>
          <w:szCs w:val="24"/>
          <w:rtl w:val="0"/>
        </w:rPr>
        <w:t xml:space="preserve">Supplementary Figure 7. </w:t>
      </w:r>
      <w:r w:rsidDel="00000000" w:rsidR="00000000" w:rsidRPr="00000000">
        <w:rPr>
          <w:sz w:val="24"/>
          <w:szCs w:val="24"/>
          <w:rtl w:val="0"/>
        </w:rPr>
        <w:t xml:space="preserve">Analyses for long-term MACE with MPV treated as a continuous variable and hazard ratios as effect estimates and Wald-type CIs</w:t>
      </w:r>
    </w:p>
    <w:p w:rsidR="00000000" w:rsidDel="00000000" w:rsidP="00000000" w:rsidRDefault="00000000" w:rsidRPr="00000000" w14:paraId="00000C90">
      <w:pPr>
        <w:spacing w:before="0" w:lineRule="auto"/>
        <w:ind w:left="652" w:right="942" w:firstLine="0"/>
        <w:jc w:val="left"/>
        <w:rPr>
          <w:sz w:val="24"/>
          <w:szCs w:val="24"/>
        </w:rPr>
      </w:pPr>
      <w:r w:rsidDel="00000000" w:rsidR="00000000" w:rsidRPr="00000000">
        <w:rPr>
          <w:sz w:val="24"/>
          <w:szCs w:val="24"/>
          <w:rtl w:val="0"/>
        </w:rPr>
        <w:t xml:space="preserve">Abbreviations: CI, confidence interval; PI, prediction interval; RE, random effects; ML, maximum likelihood; REML, restricted maximum likelihood; MACE, major adverse cardiovascular events; MPV, mean platelet volume.</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517006</wp:posOffset>
            </wp:positionH>
            <wp:positionV relativeFrom="paragraph">
              <wp:posOffset>237857</wp:posOffset>
            </wp:positionV>
            <wp:extent cx="6311183" cy="2347912"/>
            <wp:effectExtent b="0" l="0" r="0" t="0"/>
            <wp:wrapTopAndBottom distB="0" distT="0"/>
            <wp:docPr id="486" name="image80.jpg"/>
            <a:graphic>
              <a:graphicData uri="http://schemas.openxmlformats.org/drawingml/2006/picture">
                <pic:pic>
                  <pic:nvPicPr>
                    <pic:cNvPr id="0" name="image80.jpg"/>
                    <pic:cNvPicPr preferRelativeResize="0"/>
                  </pic:nvPicPr>
                  <pic:blipFill>
                    <a:blip r:embed="rId193"/>
                    <a:srcRect b="0" l="0" r="0" t="0"/>
                    <a:stretch>
                      <a:fillRect/>
                    </a:stretch>
                  </pic:blipFill>
                  <pic:spPr>
                    <a:xfrm>
                      <a:off x="0" y="0"/>
                      <a:ext cx="6311183" cy="2347912"/>
                    </a:xfrm>
                    <a:prstGeom prst="rect"/>
                    <a:ln/>
                  </pic:spPr>
                </pic:pic>
              </a:graphicData>
            </a:graphic>
          </wp:anchor>
        </w:drawing>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6">
      <w:pPr>
        <w:spacing w:before="0" w:lineRule="auto"/>
        <w:ind w:left="652" w:right="942" w:firstLine="0"/>
        <w:jc w:val="left"/>
        <w:rPr>
          <w:sz w:val="24"/>
          <w:szCs w:val="24"/>
        </w:rPr>
      </w:pPr>
      <w:r w:rsidDel="00000000" w:rsidR="00000000" w:rsidRPr="00000000">
        <w:rPr>
          <w:b w:val="1"/>
          <w:sz w:val="24"/>
          <w:szCs w:val="24"/>
          <w:rtl w:val="0"/>
        </w:rPr>
        <w:t xml:space="preserve">Supplementary Figure 8. </w:t>
      </w:r>
      <w:r w:rsidDel="00000000" w:rsidR="00000000" w:rsidRPr="00000000">
        <w:rPr>
          <w:sz w:val="24"/>
          <w:szCs w:val="24"/>
          <w:rtl w:val="0"/>
        </w:rPr>
        <w:t xml:space="preserve">Analyses for long-term MACE with MPV treated as a continuous variable and hazard ratios as effect estimates based on t-distribution.</w:t>
      </w:r>
    </w:p>
    <w:p w:rsidR="00000000" w:rsidDel="00000000" w:rsidP="00000000" w:rsidRDefault="00000000" w:rsidRPr="00000000" w14:paraId="00000C97">
      <w:pPr>
        <w:spacing w:before="1" w:lineRule="auto"/>
        <w:ind w:left="652" w:right="942" w:firstLine="0"/>
        <w:jc w:val="left"/>
        <w:rPr>
          <w:sz w:val="24"/>
          <w:szCs w:val="24"/>
        </w:rPr>
        <w:sectPr>
          <w:headerReference r:id="rId194" w:type="even"/>
          <w:type w:val="nextPage"/>
          <w:pgSz w:h="16840" w:w="11920" w:orient="portrait"/>
          <w:pgMar w:bottom="260" w:top="1820" w:left="480" w:right="320" w:header="0" w:footer="0"/>
        </w:sectPr>
      </w:pPr>
      <w:r w:rsidDel="00000000" w:rsidR="00000000" w:rsidRPr="00000000">
        <w:rPr>
          <w:sz w:val="24"/>
          <w:szCs w:val="24"/>
          <w:rtl w:val="0"/>
        </w:rPr>
        <w:t xml:space="preserve">Abbreviations: CI, confidence interval; PI, prediction interval; RE, random effects; ML, maximum likelihood; REML, restricted maximum likelihood; MACE, major adverse cardiovascular events; MPV, mean platelet volume.</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87368" cy="2900362"/>
            <wp:effectExtent b="0" l="0" r="0" t="0"/>
            <wp:docPr id="513" name="image123.jpg"/>
            <a:graphic>
              <a:graphicData uri="http://schemas.openxmlformats.org/drawingml/2006/picture">
                <pic:pic>
                  <pic:nvPicPr>
                    <pic:cNvPr id="0" name="image123.jpg"/>
                    <pic:cNvPicPr preferRelativeResize="0"/>
                  </pic:nvPicPr>
                  <pic:blipFill>
                    <a:blip r:embed="rId195"/>
                    <a:srcRect b="0" l="0" r="0" t="0"/>
                    <a:stretch>
                      <a:fillRect/>
                    </a:stretch>
                  </pic:blipFill>
                  <pic:spPr>
                    <a:xfrm>
                      <a:off x="0" y="0"/>
                      <a:ext cx="6087368" cy="2900362"/>
                    </a:xfrm>
                    <a:prstGeom prst="rect"/>
                    <a:ln/>
                  </pic:spPr>
                </pic:pic>
              </a:graphicData>
            </a:graphic>
          </wp:inline>
        </w:drawing>
      </w:r>
      <w:r w:rsidDel="00000000" w:rsidR="00000000" w:rsidRPr="00000000">
        <w:rPr>
          <w:rtl w:val="0"/>
        </w:rPr>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A">
      <w:pPr>
        <w:spacing w:before="0" w:lineRule="auto"/>
        <w:ind w:left="652" w:right="807" w:firstLine="0"/>
        <w:jc w:val="left"/>
        <w:rPr>
          <w:sz w:val="24"/>
          <w:szCs w:val="24"/>
        </w:rPr>
      </w:pPr>
      <w:r w:rsidDel="00000000" w:rsidR="00000000" w:rsidRPr="00000000">
        <w:rPr>
          <w:b w:val="1"/>
          <w:sz w:val="24"/>
          <w:szCs w:val="24"/>
          <w:rtl w:val="0"/>
        </w:rPr>
        <w:t xml:space="preserve">Supplementary Figure 9. </w:t>
      </w:r>
      <w:r w:rsidDel="00000000" w:rsidR="00000000" w:rsidRPr="00000000">
        <w:rPr>
          <w:sz w:val="24"/>
          <w:szCs w:val="24"/>
          <w:rtl w:val="0"/>
        </w:rPr>
        <w:t xml:space="preserve">Subgroup analyses for long-term MACE with MPV treated as a continuous variable and hazard ratios as effect estimates. A and B, subgroup analyses in NST-ACS patients with ML and REML estimation, respectively; C and D, subgroup analyses in PCI patients with ML and REML estimation, respectively.</w:t>
      </w:r>
    </w:p>
    <w:p w:rsidR="00000000" w:rsidDel="00000000" w:rsidP="00000000" w:rsidRDefault="00000000" w:rsidRPr="00000000" w14:paraId="00000C9B">
      <w:pPr>
        <w:spacing w:before="1" w:lineRule="auto"/>
        <w:ind w:left="652" w:right="942" w:firstLine="0"/>
        <w:jc w:val="left"/>
        <w:rPr>
          <w:sz w:val="24"/>
          <w:szCs w:val="24"/>
        </w:rPr>
        <w:sectPr>
          <w:headerReference r:id="rId196" w:type="default"/>
          <w:footerReference r:id="rId197" w:type="default"/>
          <w:footerReference r:id="rId198" w:type="even"/>
          <w:type w:val="nextPage"/>
          <w:pgSz w:h="16840" w:w="11920" w:orient="portrait"/>
          <w:pgMar w:bottom="260" w:top="1360" w:left="480" w:right="320" w:header="0" w:footer="71"/>
          <w:pgNumType w:start="37"/>
        </w:sectPr>
      </w:pPr>
      <w:r w:rsidDel="00000000" w:rsidR="00000000" w:rsidRPr="00000000">
        <w:rPr>
          <w:sz w:val="24"/>
          <w:szCs w:val="24"/>
          <w:rtl w:val="0"/>
        </w:rPr>
        <w:t xml:space="preserve">Abbreviations: RE, random effects; ML, maximum likelihood; CI, confidence interval; REML, restricted maximum likelihood; MACE, major adverse cardiovascular events; MPV, mean platelet volume; NST-ACS, non-ST-segment elevation acute coronary syndrome; PCI, percutaneous coronary intervention.</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2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63556" cy="2610230"/>
            <wp:effectExtent b="0" l="0" r="0" t="0"/>
            <wp:docPr id="512" name="image120.png"/>
            <a:graphic>
              <a:graphicData uri="http://schemas.openxmlformats.org/drawingml/2006/picture">
                <pic:pic>
                  <pic:nvPicPr>
                    <pic:cNvPr id="0" name="image120.png"/>
                    <pic:cNvPicPr preferRelativeResize="0"/>
                  </pic:nvPicPr>
                  <pic:blipFill>
                    <a:blip r:embed="rId199"/>
                    <a:srcRect b="0" l="0" r="0" t="0"/>
                    <a:stretch>
                      <a:fillRect/>
                    </a:stretch>
                  </pic:blipFill>
                  <pic:spPr>
                    <a:xfrm>
                      <a:off x="0" y="0"/>
                      <a:ext cx="2663556" cy="2610230"/>
                    </a:xfrm>
                    <a:prstGeom prst="rect"/>
                    <a:ln/>
                  </pic:spPr>
                </pic:pic>
              </a:graphicData>
            </a:graphic>
          </wp:inline>
        </w:drawing>
      </w:r>
      <w:r w:rsidDel="00000000" w:rsidR="00000000" w:rsidRPr="00000000">
        <w:rPr>
          <w:rtl w:val="0"/>
        </w:rPr>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F">
      <w:pPr>
        <w:spacing w:before="0" w:lineRule="auto"/>
        <w:ind w:left="652" w:right="942" w:firstLine="0"/>
        <w:jc w:val="left"/>
        <w:rPr>
          <w:sz w:val="24"/>
          <w:szCs w:val="24"/>
        </w:rPr>
      </w:pPr>
      <w:r w:rsidDel="00000000" w:rsidR="00000000" w:rsidRPr="00000000">
        <w:rPr>
          <w:b w:val="1"/>
          <w:sz w:val="24"/>
          <w:szCs w:val="24"/>
          <w:rtl w:val="0"/>
        </w:rPr>
        <w:t xml:space="preserve">Supplementary Figure 10. </w:t>
      </w:r>
      <w:r w:rsidDel="00000000" w:rsidR="00000000" w:rsidRPr="00000000">
        <w:rPr>
          <w:sz w:val="24"/>
          <w:szCs w:val="24"/>
          <w:rtl w:val="0"/>
        </w:rPr>
        <w:t xml:space="preserve">Influential case diagnostics for long-term mortality with MPV as a continuous variable and hazard ratios as effect estimates.</w:t>
      </w:r>
    </w:p>
    <w:p w:rsidR="00000000" w:rsidDel="00000000" w:rsidP="00000000" w:rsidRDefault="00000000" w:rsidRPr="00000000" w14:paraId="00000CA0">
      <w:pPr>
        <w:spacing w:before="1" w:lineRule="auto"/>
        <w:ind w:left="652" w:right="0" w:firstLine="0"/>
        <w:jc w:val="left"/>
        <w:rPr>
          <w:sz w:val="24"/>
          <w:szCs w:val="24"/>
        </w:rPr>
      </w:pPr>
      <w:r w:rsidDel="00000000" w:rsidR="00000000" w:rsidRPr="00000000">
        <w:rPr>
          <w:sz w:val="24"/>
          <w:szCs w:val="24"/>
          <w:rtl w:val="0"/>
        </w:rPr>
        <w:t xml:space="preserve">Abbreviations: MPV, mean platelet volume.</w:t>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567994</wp:posOffset>
            </wp:positionH>
            <wp:positionV relativeFrom="paragraph">
              <wp:posOffset>155379</wp:posOffset>
            </wp:positionV>
            <wp:extent cx="5744266" cy="2724150"/>
            <wp:effectExtent b="0" l="0" r="0" t="0"/>
            <wp:wrapTopAndBottom distB="0" distT="0"/>
            <wp:docPr id="495" name="image98.jpg"/>
            <a:graphic>
              <a:graphicData uri="http://schemas.openxmlformats.org/drawingml/2006/picture">
                <pic:pic>
                  <pic:nvPicPr>
                    <pic:cNvPr id="0" name="image98.jpg"/>
                    <pic:cNvPicPr preferRelativeResize="0"/>
                  </pic:nvPicPr>
                  <pic:blipFill>
                    <a:blip r:embed="rId200"/>
                    <a:srcRect b="0" l="0" r="0" t="0"/>
                    <a:stretch>
                      <a:fillRect/>
                    </a:stretch>
                  </pic:blipFill>
                  <pic:spPr>
                    <a:xfrm>
                      <a:off x="0" y="0"/>
                      <a:ext cx="5744266" cy="2724150"/>
                    </a:xfrm>
                    <a:prstGeom prst="rect"/>
                    <a:ln/>
                  </pic:spPr>
                </pic:pic>
              </a:graphicData>
            </a:graphic>
          </wp:anchor>
        </w:drawing>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3">
      <w:pPr>
        <w:spacing w:before="0" w:lineRule="auto"/>
        <w:ind w:left="652" w:right="807" w:firstLine="0"/>
        <w:jc w:val="left"/>
        <w:rPr>
          <w:sz w:val="24"/>
          <w:szCs w:val="24"/>
        </w:rPr>
      </w:pPr>
      <w:r w:rsidDel="00000000" w:rsidR="00000000" w:rsidRPr="00000000">
        <w:rPr>
          <w:b w:val="1"/>
          <w:sz w:val="24"/>
          <w:szCs w:val="24"/>
          <w:rtl w:val="0"/>
        </w:rPr>
        <w:t xml:space="preserve">Supplementary Figure 11. </w:t>
      </w:r>
      <w:r w:rsidDel="00000000" w:rsidR="00000000" w:rsidRPr="00000000">
        <w:rPr>
          <w:sz w:val="24"/>
          <w:szCs w:val="24"/>
          <w:rtl w:val="0"/>
        </w:rPr>
        <w:t xml:space="preserve">Additional analyses for long-term MACE with MPV as a continuous variable and hazard ratios as effect estimates. A, funnel plot for ML estimation with rank correlation and regression tests for both ML and REML estimation; B, a trim and fill method for ML estimation with an effect estimate for both ML and REML estimation; C, a Q-Q plot for ML estimation; D, cumulative meta-analysis for ML estimation.</w:t>
      </w:r>
    </w:p>
    <w:p w:rsidR="00000000" w:rsidDel="00000000" w:rsidP="00000000" w:rsidRDefault="00000000" w:rsidRPr="00000000" w14:paraId="00000CA4">
      <w:pPr>
        <w:spacing w:before="1" w:lineRule="auto"/>
        <w:ind w:left="652" w:right="1044" w:firstLine="0"/>
        <w:jc w:val="both"/>
        <w:rPr>
          <w:sz w:val="24"/>
          <w:szCs w:val="24"/>
        </w:rPr>
        <w:sectPr>
          <w:headerReference r:id="rId201" w:type="even"/>
          <w:type w:val="nextPage"/>
          <w:pgSz w:h="16840" w:w="11920" w:orient="portrait"/>
          <w:pgMar w:bottom="260" w:top="1700" w:left="480" w:right="320" w:header="0" w:footer="0"/>
        </w:sectPr>
      </w:pPr>
      <w:r w:rsidDel="00000000" w:rsidR="00000000" w:rsidRPr="00000000">
        <w:rPr>
          <w:sz w:val="24"/>
          <w:szCs w:val="24"/>
          <w:rtl w:val="0"/>
        </w:rPr>
        <w:t xml:space="preserve">Abbreviations: ML, maximum likelihood; REML, restricted maximum likelihood; CI, confidence interval; PI, prediction interval; MACE, major adverse cardiovascular events; MPV, mean platelet volume.</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10509" cy="2281237"/>
            <wp:effectExtent b="0" l="0" r="0" t="0"/>
            <wp:docPr id="514" name="image125.jpg"/>
            <a:graphic>
              <a:graphicData uri="http://schemas.openxmlformats.org/drawingml/2006/picture">
                <pic:pic>
                  <pic:nvPicPr>
                    <pic:cNvPr id="0" name="image125.jpg"/>
                    <pic:cNvPicPr preferRelativeResize="0"/>
                  </pic:nvPicPr>
                  <pic:blipFill>
                    <a:blip r:embed="rId202"/>
                    <a:srcRect b="0" l="0" r="0" t="0"/>
                    <a:stretch>
                      <a:fillRect/>
                    </a:stretch>
                  </pic:blipFill>
                  <pic:spPr>
                    <a:xfrm>
                      <a:off x="0" y="0"/>
                      <a:ext cx="6310509" cy="2281237"/>
                    </a:xfrm>
                    <a:prstGeom prst="rect"/>
                    <a:ln/>
                  </pic:spPr>
                </pic:pic>
              </a:graphicData>
            </a:graphic>
          </wp:inline>
        </w:drawing>
      </w:r>
      <w:r w:rsidDel="00000000" w:rsidR="00000000" w:rsidRPr="00000000">
        <w:rPr>
          <w:rtl w:val="0"/>
        </w:rPr>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8">
      <w:pPr>
        <w:spacing w:before="0" w:lineRule="auto"/>
        <w:ind w:left="652" w:right="942" w:firstLine="0"/>
        <w:jc w:val="left"/>
        <w:rPr>
          <w:sz w:val="24"/>
          <w:szCs w:val="24"/>
        </w:rPr>
      </w:pPr>
      <w:r w:rsidDel="00000000" w:rsidR="00000000" w:rsidRPr="00000000">
        <w:rPr>
          <w:b w:val="1"/>
          <w:sz w:val="24"/>
          <w:szCs w:val="24"/>
          <w:rtl w:val="0"/>
        </w:rPr>
        <w:t xml:space="preserve">Supplementary Figure 12. </w:t>
      </w:r>
      <w:r w:rsidDel="00000000" w:rsidR="00000000" w:rsidRPr="00000000">
        <w:rPr>
          <w:sz w:val="24"/>
          <w:szCs w:val="24"/>
          <w:rtl w:val="0"/>
        </w:rPr>
        <w:t xml:space="preserve">Analyses for long-term mortality with MPV treated as a categorized variable and hazard ratios as effect estimates.</w:t>
      </w:r>
    </w:p>
    <w:p w:rsidR="00000000" w:rsidDel="00000000" w:rsidP="00000000" w:rsidRDefault="00000000" w:rsidRPr="00000000" w14:paraId="00000CA9">
      <w:pPr>
        <w:spacing w:before="0" w:lineRule="auto"/>
        <w:ind w:left="652" w:right="807" w:firstLine="0"/>
        <w:jc w:val="left"/>
        <w:rPr>
          <w:sz w:val="24"/>
          <w:szCs w:val="24"/>
        </w:rPr>
      </w:pPr>
      <w:r w:rsidDel="00000000" w:rsidR="00000000" w:rsidRPr="00000000">
        <w:rPr>
          <w:sz w:val="24"/>
          <w:szCs w:val="24"/>
          <w:rtl w:val="0"/>
        </w:rPr>
        <w:t xml:space="preserve">Abbreviations: CI, confidence interval; RE, random effects; ML, maximum likelihood; KNHA, the Knapp and Hartung adjustment; REML, restricted maximum likelihood; MPV, mean platelet volume.</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503629</wp:posOffset>
            </wp:positionH>
            <wp:positionV relativeFrom="paragraph">
              <wp:posOffset>234308</wp:posOffset>
            </wp:positionV>
            <wp:extent cx="6316461" cy="2343150"/>
            <wp:effectExtent b="0" l="0" r="0" t="0"/>
            <wp:wrapTopAndBottom distB="0" distT="0"/>
            <wp:docPr id="498" name="image99.jpg"/>
            <a:graphic>
              <a:graphicData uri="http://schemas.openxmlformats.org/drawingml/2006/picture">
                <pic:pic>
                  <pic:nvPicPr>
                    <pic:cNvPr id="0" name="image99.jpg"/>
                    <pic:cNvPicPr preferRelativeResize="0"/>
                  </pic:nvPicPr>
                  <pic:blipFill>
                    <a:blip r:embed="rId203"/>
                    <a:srcRect b="0" l="0" r="0" t="0"/>
                    <a:stretch>
                      <a:fillRect/>
                    </a:stretch>
                  </pic:blipFill>
                  <pic:spPr>
                    <a:xfrm>
                      <a:off x="0" y="0"/>
                      <a:ext cx="6316461" cy="2343150"/>
                    </a:xfrm>
                    <a:prstGeom prst="rect"/>
                    <a:ln/>
                  </pic:spPr>
                </pic:pic>
              </a:graphicData>
            </a:graphic>
          </wp:anchor>
        </w:drawing>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1">
      <w:pPr>
        <w:spacing w:before="0" w:lineRule="auto"/>
        <w:ind w:left="652" w:right="942" w:firstLine="0"/>
        <w:jc w:val="left"/>
        <w:rPr>
          <w:sz w:val="24"/>
          <w:szCs w:val="24"/>
        </w:rPr>
      </w:pPr>
      <w:r w:rsidDel="00000000" w:rsidR="00000000" w:rsidRPr="00000000">
        <w:rPr>
          <w:b w:val="1"/>
          <w:sz w:val="24"/>
          <w:szCs w:val="24"/>
          <w:rtl w:val="0"/>
        </w:rPr>
        <w:t xml:space="preserve">Supplementary Figure 13. </w:t>
      </w:r>
      <w:r w:rsidDel="00000000" w:rsidR="00000000" w:rsidRPr="00000000">
        <w:rPr>
          <w:sz w:val="24"/>
          <w:szCs w:val="24"/>
          <w:rtl w:val="0"/>
        </w:rPr>
        <w:t xml:space="preserve">Analyses for long-term MACE with MPV treated as a categorized variable and hazard ratios as effect estimates and the Knapp and Hartung adjustment.</w:t>
      </w:r>
    </w:p>
    <w:p w:rsidR="00000000" w:rsidDel="00000000" w:rsidP="00000000" w:rsidRDefault="00000000" w:rsidRPr="00000000" w14:paraId="00000CB2">
      <w:pPr>
        <w:spacing w:before="0" w:lineRule="auto"/>
        <w:ind w:left="652" w:right="942" w:firstLine="0"/>
        <w:jc w:val="left"/>
        <w:rPr>
          <w:sz w:val="24"/>
          <w:szCs w:val="24"/>
        </w:rPr>
        <w:sectPr>
          <w:headerReference r:id="rId204" w:type="default"/>
          <w:footerReference r:id="rId205" w:type="default"/>
          <w:footerReference r:id="rId206" w:type="even"/>
          <w:type w:val="nextPage"/>
          <w:pgSz w:h="16840" w:w="11920" w:orient="portrait"/>
          <w:pgMar w:bottom="260" w:top="1920" w:left="480" w:right="320" w:header="0" w:footer="71"/>
          <w:pgNumType w:start="39"/>
        </w:sectPr>
      </w:pPr>
      <w:r w:rsidDel="00000000" w:rsidR="00000000" w:rsidRPr="00000000">
        <w:rPr>
          <w:sz w:val="24"/>
          <w:szCs w:val="24"/>
          <w:rtl w:val="0"/>
        </w:rPr>
        <w:t xml:space="preserve">Abbreviations: CI, confidence interval; RE, random effects; ML, maximum likelihood; REML, restricted maximum likelihood; MACE, major adverse cardiovascular events; MPV, mean platelet volume.</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688091" cy="2483738"/>
            <wp:effectExtent b="0" l="0" r="0" t="0"/>
            <wp:docPr id="515" name="image121.jpg"/>
            <a:graphic>
              <a:graphicData uri="http://schemas.openxmlformats.org/drawingml/2006/picture">
                <pic:pic>
                  <pic:nvPicPr>
                    <pic:cNvPr id="0" name="image121.jpg"/>
                    <pic:cNvPicPr preferRelativeResize="0"/>
                  </pic:nvPicPr>
                  <pic:blipFill>
                    <a:blip r:embed="rId207"/>
                    <a:srcRect b="0" l="0" r="0" t="0"/>
                    <a:stretch>
                      <a:fillRect/>
                    </a:stretch>
                  </pic:blipFill>
                  <pic:spPr>
                    <a:xfrm>
                      <a:off x="0" y="0"/>
                      <a:ext cx="6688091" cy="2483738"/>
                    </a:xfrm>
                    <a:prstGeom prst="rect"/>
                    <a:ln/>
                  </pic:spPr>
                </pic:pic>
              </a:graphicData>
            </a:graphic>
          </wp:inline>
        </w:drawing>
      </w:r>
      <w:r w:rsidDel="00000000" w:rsidR="00000000" w:rsidRPr="00000000">
        <w:rPr>
          <w:rtl w:val="0"/>
        </w:rPr>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7">
      <w:pPr>
        <w:spacing w:before="0" w:lineRule="auto"/>
        <w:ind w:left="652" w:right="942" w:firstLine="0"/>
        <w:jc w:val="left"/>
        <w:rPr>
          <w:sz w:val="24"/>
          <w:szCs w:val="24"/>
        </w:rPr>
      </w:pPr>
      <w:r w:rsidDel="00000000" w:rsidR="00000000" w:rsidRPr="00000000">
        <w:rPr>
          <w:b w:val="1"/>
          <w:sz w:val="24"/>
          <w:szCs w:val="24"/>
          <w:rtl w:val="0"/>
        </w:rPr>
        <w:t xml:space="preserve">Supplementary Figure 14. </w:t>
      </w:r>
      <w:r w:rsidDel="00000000" w:rsidR="00000000" w:rsidRPr="00000000">
        <w:rPr>
          <w:sz w:val="24"/>
          <w:szCs w:val="24"/>
          <w:rtl w:val="0"/>
        </w:rPr>
        <w:t xml:space="preserve">Analyses for long-term MACE with MPV treated as a categorized variable and hazard ratios as effect estimates and t-distribution based CIs.</w:t>
      </w:r>
    </w:p>
    <w:p w:rsidR="00000000" w:rsidDel="00000000" w:rsidP="00000000" w:rsidRDefault="00000000" w:rsidRPr="00000000" w14:paraId="00000CB8">
      <w:pPr>
        <w:spacing w:before="1" w:lineRule="auto"/>
        <w:ind w:left="652" w:right="942" w:firstLine="0"/>
        <w:jc w:val="left"/>
        <w:rPr>
          <w:sz w:val="24"/>
          <w:szCs w:val="24"/>
        </w:rPr>
        <w:sectPr>
          <w:headerReference r:id="rId208" w:type="even"/>
          <w:type w:val="nextPage"/>
          <w:pgSz w:h="16840" w:w="11920" w:orient="portrait"/>
          <w:pgMar w:bottom="260" w:top="1920" w:left="480" w:right="320" w:header="0" w:footer="0"/>
        </w:sectPr>
      </w:pPr>
      <w:r w:rsidDel="00000000" w:rsidR="00000000" w:rsidRPr="00000000">
        <w:rPr>
          <w:sz w:val="24"/>
          <w:szCs w:val="24"/>
          <w:rtl w:val="0"/>
        </w:rPr>
        <w:t xml:space="preserve">Abbreviations: CI, confidence interval; RE, random effects; ML, maximum likelihood; REML, restricted maximum likelihood; MACE, major adverse cardiovascular events; MPV, mean platelet volume.</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715530" cy="2483738"/>
            <wp:effectExtent b="0" l="0" r="0" t="0"/>
            <wp:docPr id="516" name="image124.jpg"/>
            <a:graphic>
              <a:graphicData uri="http://schemas.openxmlformats.org/drawingml/2006/picture">
                <pic:pic>
                  <pic:nvPicPr>
                    <pic:cNvPr id="0" name="image124.jpg"/>
                    <pic:cNvPicPr preferRelativeResize="0"/>
                  </pic:nvPicPr>
                  <pic:blipFill>
                    <a:blip r:embed="rId209"/>
                    <a:srcRect b="0" l="0" r="0" t="0"/>
                    <a:stretch>
                      <a:fillRect/>
                    </a:stretch>
                  </pic:blipFill>
                  <pic:spPr>
                    <a:xfrm>
                      <a:off x="0" y="0"/>
                      <a:ext cx="6715530" cy="2483738"/>
                    </a:xfrm>
                    <a:prstGeom prst="rect"/>
                    <a:ln/>
                  </pic:spPr>
                </pic:pic>
              </a:graphicData>
            </a:graphic>
          </wp:inline>
        </w:drawing>
      </w:r>
      <w:r w:rsidDel="00000000" w:rsidR="00000000" w:rsidRPr="00000000">
        <w:rPr>
          <w:rtl w:val="0"/>
        </w:rPr>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B">
      <w:pPr>
        <w:spacing w:before="0" w:lineRule="auto"/>
        <w:ind w:left="652" w:right="942" w:firstLine="0"/>
        <w:jc w:val="left"/>
        <w:rPr>
          <w:sz w:val="24"/>
          <w:szCs w:val="24"/>
        </w:rPr>
      </w:pPr>
      <w:r w:rsidDel="00000000" w:rsidR="00000000" w:rsidRPr="00000000">
        <w:rPr>
          <w:b w:val="1"/>
          <w:sz w:val="24"/>
          <w:szCs w:val="24"/>
          <w:rtl w:val="0"/>
        </w:rPr>
        <w:t xml:space="preserve">Supplementary Figure 15. </w:t>
      </w:r>
      <w:r w:rsidDel="00000000" w:rsidR="00000000" w:rsidRPr="00000000">
        <w:rPr>
          <w:sz w:val="24"/>
          <w:szCs w:val="24"/>
          <w:rtl w:val="0"/>
        </w:rPr>
        <w:t xml:space="preserve">Analyses for long-term MACE with MPV treated as categorized variable and hazard ratios as effect estimates and Wald-type CIs.</w:t>
      </w:r>
    </w:p>
    <w:p w:rsidR="00000000" w:rsidDel="00000000" w:rsidP="00000000" w:rsidRDefault="00000000" w:rsidRPr="00000000" w14:paraId="00000CBC">
      <w:pPr>
        <w:spacing w:before="0" w:lineRule="auto"/>
        <w:ind w:left="652" w:right="942" w:firstLine="0"/>
        <w:jc w:val="left"/>
        <w:rPr>
          <w:sz w:val="24"/>
          <w:szCs w:val="24"/>
        </w:rPr>
      </w:pPr>
      <w:r w:rsidDel="00000000" w:rsidR="00000000" w:rsidRPr="00000000">
        <w:rPr>
          <w:sz w:val="24"/>
          <w:szCs w:val="24"/>
          <w:rtl w:val="0"/>
        </w:rPr>
        <w:t xml:space="preserve">Abbreviations: CI, confidence interval; RE, random effects; ML, maximum likelihood; REML, restricted maximum likelihood; MACE, major adverse cardiovascular events; MPV, mean platelet volume.</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646617</wp:posOffset>
            </wp:positionH>
            <wp:positionV relativeFrom="paragraph">
              <wp:posOffset>159194</wp:posOffset>
            </wp:positionV>
            <wp:extent cx="6085338" cy="2900362"/>
            <wp:effectExtent b="0" l="0" r="0" t="0"/>
            <wp:wrapTopAndBottom distB="0" distT="0"/>
            <wp:docPr id="497" name="image100.png"/>
            <a:graphic>
              <a:graphicData uri="http://schemas.openxmlformats.org/drawingml/2006/picture">
                <pic:pic>
                  <pic:nvPicPr>
                    <pic:cNvPr id="0" name="image100.png"/>
                    <pic:cNvPicPr preferRelativeResize="0"/>
                  </pic:nvPicPr>
                  <pic:blipFill>
                    <a:blip r:embed="rId210"/>
                    <a:srcRect b="0" l="0" r="0" t="0"/>
                    <a:stretch>
                      <a:fillRect/>
                    </a:stretch>
                  </pic:blipFill>
                  <pic:spPr>
                    <a:xfrm>
                      <a:off x="0" y="0"/>
                      <a:ext cx="6085338" cy="2900362"/>
                    </a:xfrm>
                    <a:prstGeom prst="rect"/>
                    <a:ln/>
                  </pic:spPr>
                </pic:pic>
              </a:graphicData>
            </a:graphic>
          </wp:anchor>
        </w:drawing>
      </w:r>
    </w:p>
    <w:p w:rsidR="00000000" w:rsidDel="00000000" w:rsidP="00000000" w:rsidRDefault="00000000" w:rsidRPr="00000000" w14:paraId="00000CBE">
      <w:pPr>
        <w:spacing w:before="237" w:lineRule="auto"/>
        <w:ind w:left="652" w:right="807" w:firstLine="0"/>
        <w:jc w:val="left"/>
        <w:rPr>
          <w:sz w:val="24"/>
          <w:szCs w:val="24"/>
        </w:rPr>
      </w:pPr>
      <w:r w:rsidDel="00000000" w:rsidR="00000000" w:rsidRPr="00000000">
        <w:rPr>
          <w:b w:val="1"/>
          <w:sz w:val="24"/>
          <w:szCs w:val="24"/>
          <w:rtl w:val="0"/>
        </w:rPr>
        <w:t xml:space="preserve">Supplementary Figure 16. </w:t>
      </w:r>
      <w:r w:rsidDel="00000000" w:rsidR="00000000" w:rsidRPr="00000000">
        <w:rPr>
          <w:sz w:val="24"/>
          <w:szCs w:val="24"/>
          <w:rtl w:val="0"/>
        </w:rPr>
        <w:t xml:space="preserve">Subgroup analyses for long-term MACE with MPV treated as a categorized variable and hazard ratios as effect estimates. A and B, subgroup analyses in NST-ACS patients with ML and REML estimation, respectively; C and D, subgroup analyses in PCI patients with ML and REML estimation, respectively.</w:t>
      </w:r>
    </w:p>
    <w:p w:rsidR="00000000" w:rsidDel="00000000" w:rsidP="00000000" w:rsidRDefault="00000000" w:rsidRPr="00000000" w14:paraId="00000CBF">
      <w:pPr>
        <w:spacing w:before="0" w:lineRule="auto"/>
        <w:ind w:left="652" w:right="807" w:firstLine="0"/>
        <w:jc w:val="left"/>
        <w:rPr>
          <w:sz w:val="24"/>
          <w:szCs w:val="24"/>
        </w:rPr>
        <w:sectPr>
          <w:headerReference r:id="rId211" w:type="default"/>
          <w:footerReference r:id="rId212" w:type="default"/>
          <w:footerReference r:id="rId213" w:type="even"/>
          <w:type w:val="nextPage"/>
          <w:pgSz w:h="16840" w:w="11920" w:orient="portrait"/>
          <w:pgMar w:bottom="260" w:top="1880" w:left="480" w:right="320" w:header="0" w:footer="71"/>
          <w:pgNumType w:start="41"/>
        </w:sectPr>
      </w:pPr>
      <w:r w:rsidDel="00000000" w:rsidR="00000000" w:rsidRPr="00000000">
        <w:rPr>
          <w:sz w:val="24"/>
          <w:szCs w:val="24"/>
          <w:rtl w:val="0"/>
        </w:rPr>
        <w:t xml:space="preserve">Abbreviations: RE, random effects; ML, maximum likelihood; KNHA, the Knapp and Hartung adjustment; CI, confidence interval; REML, restricted maximum likelihood; MACE, major adverse cardiovascular events; MPV, mean platelet volume; NST-ACS, non-ST-segment elevation acute coronary syndrome; PCI, percutaneous coronary intervention.</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15773" cy="2924175"/>
            <wp:effectExtent b="0" l="0" r="0" t="0"/>
            <wp:docPr id="517" name="image122.jpg"/>
            <a:graphic>
              <a:graphicData uri="http://schemas.openxmlformats.org/drawingml/2006/picture">
                <pic:pic>
                  <pic:nvPicPr>
                    <pic:cNvPr id="0" name="image122.jpg"/>
                    <pic:cNvPicPr preferRelativeResize="0"/>
                  </pic:nvPicPr>
                  <pic:blipFill>
                    <a:blip r:embed="rId214"/>
                    <a:srcRect b="0" l="0" r="0" t="0"/>
                    <a:stretch>
                      <a:fillRect/>
                    </a:stretch>
                  </pic:blipFill>
                  <pic:spPr>
                    <a:xfrm>
                      <a:off x="0" y="0"/>
                      <a:ext cx="6315773"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CC1">
      <w:pPr>
        <w:spacing w:before="170" w:lineRule="auto"/>
        <w:ind w:left="652" w:right="807" w:firstLine="0"/>
        <w:jc w:val="left"/>
        <w:rPr>
          <w:sz w:val="24"/>
          <w:szCs w:val="24"/>
        </w:rPr>
      </w:pPr>
      <w:r w:rsidDel="00000000" w:rsidR="00000000" w:rsidRPr="00000000">
        <w:rPr>
          <w:b w:val="1"/>
          <w:sz w:val="24"/>
          <w:szCs w:val="24"/>
          <w:rtl w:val="0"/>
        </w:rPr>
        <w:t xml:space="preserve">Supplementary Figure 17. </w:t>
      </w:r>
      <w:r w:rsidDel="00000000" w:rsidR="00000000" w:rsidRPr="00000000">
        <w:rPr>
          <w:sz w:val="24"/>
          <w:szCs w:val="24"/>
          <w:rtl w:val="0"/>
        </w:rPr>
        <w:t xml:space="preserve">Meta-regression analyses with a cut-point value treated as a predictor for long-term MACE. MPV was treated as a categorized variable, and hazard ratios were considered as effect estimates.</w:t>
      </w:r>
    </w:p>
    <w:p w:rsidR="00000000" w:rsidDel="00000000" w:rsidP="00000000" w:rsidRDefault="00000000" w:rsidRPr="00000000" w14:paraId="00000CC2">
      <w:pPr>
        <w:spacing w:before="0" w:lineRule="auto"/>
        <w:ind w:left="652" w:right="0" w:firstLine="0"/>
        <w:jc w:val="left"/>
        <w:rPr>
          <w:sz w:val="24"/>
          <w:szCs w:val="24"/>
        </w:rPr>
      </w:pPr>
      <w:r w:rsidDel="00000000" w:rsidR="00000000" w:rsidRPr="00000000">
        <w:rPr>
          <w:sz w:val="24"/>
          <w:szCs w:val="24"/>
          <w:rtl w:val="0"/>
        </w:rPr>
        <w:t xml:space="preserve">Abbreviations: MACE, major adverse cardiovascular events; MPV, mean platelet volume.</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1960588</wp:posOffset>
            </wp:positionH>
            <wp:positionV relativeFrom="paragraph">
              <wp:posOffset>134149</wp:posOffset>
            </wp:positionV>
            <wp:extent cx="2917671" cy="2861214"/>
            <wp:effectExtent b="0" l="0" r="0" t="0"/>
            <wp:wrapTopAndBottom distB="0" distT="0"/>
            <wp:docPr id="496" name="image101.png"/>
            <a:graphic>
              <a:graphicData uri="http://schemas.openxmlformats.org/drawingml/2006/picture">
                <pic:pic>
                  <pic:nvPicPr>
                    <pic:cNvPr id="0" name="image101.png"/>
                    <pic:cNvPicPr preferRelativeResize="0"/>
                  </pic:nvPicPr>
                  <pic:blipFill>
                    <a:blip r:embed="rId215"/>
                    <a:srcRect b="0" l="0" r="0" t="0"/>
                    <a:stretch>
                      <a:fillRect/>
                    </a:stretch>
                  </pic:blipFill>
                  <pic:spPr>
                    <a:xfrm>
                      <a:off x="0" y="0"/>
                      <a:ext cx="2917671" cy="2861214"/>
                    </a:xfrm>
                    <a:prstGeom prst="rect"/>
                    <a:ln/>
                  </pic:spPr>
                </pic:pic>
              </a:graphicData>
            </a:graphic>
          </wp:anchor>
        </w:drawing>
      </w:r>
    </w:p>
    <w:p w:rsidR="00000000" w:rsidDel="00000000" w:rsidP="00000000" w:rsidRDefault="00000000" w:rsidRPr="00000000" w14:paraId="00000CC4">
      <w:pPr>
        <w:spacing w:before="115" w:line="246.99999999999994" w:lineRule="auto"/>
        <w:ind w:left="652" w:right="942" w:firstLine="0"/>
        <w:jc w:val="left"/>
        <w:rPr>
          <w:rFonts w:ascii="Calibri" w:cs="Calibri" w:eastAsia="Calibri" w:hAnsi="Calibri"/>
          <w:b w:val="1"/>
          <w:sz w:val="24"/>
          <w:szCs w:val="24"/>
        </w:rPr>
      </w:pPr>
      <w:r w:rsidDel="00000000" w:rsidR="00000000" w:rsidRPr="00000000">
        <w:rPr>
          <w:b w:val="1"/>
          <w:sz w:val="24"/>
          <w:szCs w:val="24"/>
          <w:rtl w:val="0"/>
        </w:rPr>
        <w:t xml:space="preserve">Supplementary Figure 18. </w:t>
      </w:r>
      <w:r w:rsidDel="00000000" w:rsidR="00000000" w:rsidRPr="00000000">
        <w:rPr>
          <w:sz w:val="24"/>
          <w:szCs w:val="24"/>
          <w:rtl w:val="0"/>
        </w:rPr>
        <w:t xml:space="preserve">Influential case diagnostics for long-term mortality with MPV as a categorized variable and hazard ratios as effect estimates</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CC5">
      <w:pPr>
        <w:spacing w:before="0" w:line="259" w:lineRule="auto"/>
        <w:ind w:left="652" w:right="0" w:firstLine="0"/>
        <w:jc w:val="left"/>
        <w:rPr>
          <w:sz w:val="24"/>
          <w:szCs w:val="24"/>
        </w:rPr>
        <w:sectPr>
          <w:headerReference r:id="rId216" w:type="even"/>
          <w:type w:val="nextPage"/>
          <w:pgSz w:h="16840" w:w="11920" w:orient="portrait"/>
          <w:pgMar w:bottom="260" w:top="1240" w:left="480" w:right="320" w:header="0" w:footer="0"/>
        </w:sectPr>
      </w:pPr>
      <w:r w:rsidDel="00000000" w:rsidR="00000000" w:rsidRPr="00000000">
        <w:rPr>
          <w:sz w:val="24"/>
          <w:szCs w:val="24"/>
          <w:rtl w:val="0"/>
        </w:rPr>
        <w:t xml:space="preserve">Abbreviations: MPV, mean platelet volume.</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25554" cy="2847975"/>
            <wp:effectExtent b="0" l="0" r="0" t="0"/>
            <wp:docPr id="518" name="image126.jpg"/>
            <a:graphic>
              <a:graphicData uri="http://schemas.openxmlformats.org/drawingml/2006/picture">
                <pic:pic>
                  <pic:nvPicPr>
                    <pic:cNvPr id="0" name="image126.jpg"/>
                    <pic:cNvPicPr preferRelativeResize="0"/>
                  </pic:nvPicPr>
                  <pic:blipFill>
                    <a:blip r:embed="rId217"/>
                    <a:srcRect b="0" l="0" r="0" t="0"/>
                    <a:stretch>
                      <a:fillRect/>
                    </a:stretch>
                  </pic:blipFill>
                  <pic:spPr>
                    <a:xfrm>
                      <a:off x="0" y="0"/>
                      <a:ext cx="5925554"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CC7">
      <w:pPr>
        <w:spacing w:before="38" w:lineRule="auto"/>
        <w:ind w:left="652" w:right="942" w:firstLine="0"/>
        <w:jc w:val="left"/>
        <w:rPr>
          <w:sz w:val="24"/>
          <w:szCs w:val="24"/>
        </w:rPr>
      </w:pPr>
      <w:r w:rsidDel="00000000" w:rsidR="00000000" w:rsidRPr="00000000">
        <w:rPr>
          <w:b w:val="1"/>
          <w:sz w:val="24"/>
          <w:szCs w:val="24"/>
          <w:rtl w:val="0"/>
        </w:rPr>
        <w:t xml:space="preserve">Supplementary Figure 19. </w:t>
      </w:r>
      <w:r w:rsidDel="00000000" w:rsidR="00000000" w:rsidRPr="00000000">
        <w:rPr>
          <w:sz w:val="24"/>
          <w:szCs w:val="24"/>
          <w:rtl w:val="0"/>
        </w:rPr>
        <w:t xml:space="preserve">Additional analyses for long-term MACE with MPV as a categorical variable and hazard ratios as effect estimates. A, funnel plot for ML estimation with rank correlation and regression tests for both ML and REML estimation; B, a trim and fill method for ML estimation with an effect estimate for both ML and REML estimation; C, a Q-Q plot for ML estimation; D, cumulative meta-analysis for ML estimation.</w:t>
      </w:r>
    </w:p>
    <w:p w:rsidR="00000000" w:rsidDel="00000000" w:rsidP="00000000" w:rsidRDefault="00000000" w:rsidRPr="00000000" w14:paraId="00000CC8">
      <w:pPr>
        <w:spacing w:before="0" w:lineRule="auto"/>
        <w:ind w:left="652" w:right="1021" w:firstLine="0"/>
        <w:jc w:val="both"/>
        <w:rPr>
          <w:sz w:val="24"/>
          <w:szCs w:val="24"/>
        </w:rPr>
      </w:pPr>
      <w:r w:rsidDel="00000000" w:rsidR="00000000" w:rsidRPr="00000000">
        <w:rPr>
          <w:sz w:val="24"/>
          <w:szCs w:val="24"/>
          <w:rtl w:val="0"/>
        </w:rPr>
        <w:t xml:space="preserve">Abbreviations: ML, maximum likelihood; REML, restricted maximum likelihood; CI, confidence interval; PI, prediction interval, MACE, major adverse cardiovascular events; MPV, mean platelet volume.</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516903</wp:posOffset>
            </wp:positionH>
            <wp:positionV relativeFrom="paragraph">
              <wp:posOffset>261497</wp:posOffset>
            </wp:positionV>
            <wp:extent cx="6309309" cy="2252662"/>
            <wp:effectExtent b="0" l="0" r="0" t="0"/>
            <wp:wrapTopAndBottom distB="0" distT="0"/>
            <wp:docPr id="491" name="image87.png"/>
            <a:graphic>
              <a:graphicData uri="http://schemas.openxmlformats.org/drawingml/2006/picture">
                <pic:pic>
                  <pic:nvPicPr>
                    <pic:cNvPr id="0" name="image87.png"/>
                    <pic:cNvPicPr preferRelativeResize="0"/>
                  </pic:nvPicPr>
                  <pic:blipFill>
                    <a:blip r:embed="rId218"/>
                    <a:srcRect b="0" l="0" r="0" t="0"/>
                    <a:stretch>
                      <a:fillRect/>
                    </a:stretch>
                  </pic:blipFill>
                  <pic:spPr>
                    <a:xfrm>
                      <a:off x="0" y="0"/>
                      <a:ext cx="6309309" cy="2252662"/>
                    </a:xfrm>
                    <a:prstGeom prst="rect"/>
                    <a:ln/>
                  </pic:spPr>
                </pic:pic>
              </a:graphicData>
            </a:graphic>
          </wp:anchor>
        </w:drawing>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E">
      <w:pPr>
        <w:spacing w:before="1" w:lineRule="auto"/>
        <w:ind w:left="652" w:right="946" w:firstLine="0"/>
        <w:jc w:val="both"/>
        <w:rPr>
          <w:sz w:val="24"/>
          <w:szCs w:val="24"/>
        </w:rPr>
      </w:pPr>
      <w:r w:rsidDel="00000000" w:rsidR="00000000" w:rsidRPr="00000000">
        <w:rPr>
          <w:b w:val="1"/>
          <w:sz w:val="24"/>
          <w:szCs w:val="24"/>
          <w:rtl w:val="0"/>
        </w:rPr>
        <w:t xml:space="preserve">Supplementary Figure 20. </w:t>
      </w:r>
      <w:r w:rsidDel="00000000" w:rsidR="00000000" w:rsidRPr="00000000">
        <w:rPr>
          <w:sz w:val="24"/>
          <w:szCs w:val="24"/>
          <w:rtl w:val="0"/>
        </w:rPr>
        <w:t xml:space="preserve">Analyses for long-term repeated MI with MPV treated as a continuous variable and hazard ratios as effect estimates.</w:t>
      </w:r>
    </w:p>
    <w:p w:rsidR="00000000" w:rsidDel="00000000" w:rsidP="00000000" w:rsidRDefault="00000000" w:rsidRPr="00000000" w14:paraId="00000CCF">
      <w:pPr>
        <w:spacing w:before="0" w:lineRule="auto"/>
        <w:ind w:left="652" w:right="904" w:firstLine="0"/>
        <w:jc w:val="both"/>
        <w:rPr>
          <w:sz w:val="24"/>
          <w:szCs w:val="24"/>
        </w:rPr>
        <w:sectPr>
          <w:headerReference r:id="rId219" w:type="default"/>
          <w:footerReference r:id="rId220" w:type="default"/>
          <w:footerReference r:id="rId221" w:type="even"/>
          <w:type w:val="nextPage"/>
          <w:pgSz w:h="16840" w:w="11920" w:orient="portrait"/>
          <w:pgMar w:bottom="260" w:top="1360" w:left="480" w:right="320" w:header="0" w:footer="71"/>
          <w:pgNumType w:start="43"/>
        </w:sectPr>
      </w:pPr>
      <w:r w:rsidDel="00000000" w:rsidR="00000000" w:rsidRPr="00000000">
        <w:rPr>
          <w:sz w:val="24"/>
          <w:szCs w:val="24"/>
          <w:rtl w:val="0"/>
        </w:rPr>
        <w:t xml:space="preserve">Abbreviations: CI, confidence interval; RE, random effects; ML, maximum likelihood; KNHA, the Knapp and Hartung adjustment; REML, restricted maximum likelihood; MI, myocardial infarction, MPV, mean platelet volume.</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688039" cy="2387822"/>
            <wp:effectExtent b="0" l="0" r="0" t="0"/>
            <wp:docPr id="501" name="image109.png"/>
            <a:graphic>
              <a:graphicData uri="http://schemas.openxmlformats.org/drawingml/2006/picture">
                <pic:pic>
                  <pic:nvPicPr>
                    <pic:cNvPr id="0" name="image109.png"/>
                    <pic:cNvPicPr preferRelativeResize="0"/>
                  </pic:nvPicPr>
                  <pic:blipFill>
                    <a:blip r:embed="rId222"/>
                    <a:srcRect b="0" l="0" r="0" t="0"/>
                    <a:stretch>
                      <a:fillRect/>
                    </a:stretch>
                  </pic:blipFill>
                  <pic:spPr>
                    <a:xfrm>
                      <a:off x="0" y="0"/>
                      <a:ext cx="6688039" cy="2387822"/>
                    </a:xfrm>
                    <a:prstGeom prst="rect"/>
                    <a:ln/>
                  </pic:spPr>
                </pic:pic>
              </a:graphicData>
            </a:graphic>
          </wp:inline>
        </w:drawing>
      </w:r>
      <w:r w:rsidDel="00000000" w:rsidR="00000000" w:rsidRPr="00000000">
        <w:rPr>
          <w:rtl w:val="0"/>
        </w:rPr>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3">
      <w:pPr>
        <w:spacing w:before="1" w:lineRule="auto"/>
        <w:ind w:left="652" w:right="942" w:firstLine="0"/>
        <w:jc w:val="left"/>
        <w:rPr>
          <w:sz w:val="24"/>
          <w:szCs w:val="24"/>
        </w:rPr>
      </w:pPr>
      <w:r w:rsidDel="00000000" w:rsidR="00000000" w:rsidRPr="00000000">
        <w:rPr>
          <w:b w:val="1"/>
          <w:sz w:val="24"/>
          <w:szCs w:val="24"/>
          <w:rtl w:val="0"/>
        </w:rPr>
        <w:t xml:space="preserve">Supplementary Figure 21. </w:t>
      </w:r>
      <w:r w:rsidDel="00000000" w:rsidR="00000000" w:rsidRPr="00000000">
        <w:rPr>
          <w:sz w:val="24"/>
          <w:szCs w:val="24"/>
          <w:rtl w:val="0"/>
        </w:rPr>
        <w:t xml:space="preserve">Analyses for long-term mortality with MPV treated as a categorized variable and odds ratios as effect estimates.</w:t>
      </w:r>
    </w:p>
    <w:p w:rsidR="00000000" w:rsidDel="00000000" w:rsidP="00000000" w:rsidRDefault="00000000" w:rsidRPr="00000000" w14:paraId="00000CD4">
      <w:pPr>
        <w:spacing w:before="0" w:lineRule="auto"/>
        <w:ind w:left="652" w:right="807" w:firstLine="0"/>
        <w:jc w:val="left"/>
        <w:rPr>
          <w:sz w:val="24"/>
          <w:szCs w:val="24"/>
        </w:rPr>
      </w:pPr>
      <w:r w:rsidDel="00000000" w:rsidR="00000000" w:rsidRPr="00000000">
        <w:rPr>
          <w:sz w:val="24"/>
          <w:szCs w:val="24"/>
          <w:rtl w:val="0"/>
        </w:rPr>
        <w:t xml:space="preserve">Abbreviations: CI, confidence interval; RE, random effects; ML, maximum likelihood; KNHA, the Knapp and Hartung adjustment; REML, restricted maximum likelihood; MPV, mean platelet volume.</w:t>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510389</wp:posOffset>
            </wp:positionH>
            <wp:positionV relativeFrom="paragraph">
              <wp:posOffset>241946</wp:posOffset>
            </wp:positionV>
            <wp:extent cx="5905164" cy="2271712"/>
            <wp:effectExtent b="0" l="0" r="0" t="0"/>
            <wp:wrapTopAndBottom distB="0" distT="0"/>
            <wp:docPr id="490" name="image88.jpg"/>
            <a:graphic>
              <a:graphicData uri="http://schemas.openxmlformats.org/drawingml/2006/picture">
                <pic:pic>
                  <pic:nvPicPr>
                    <pic:cNvPr id="0" name="image88.jpg"/>
                    <pic:cNvPicPr preferRelativeResize="0"/>
                  </pic:nvPicPr>
                  <pic:blipFill>
                    <a:blip r:embed="rId223"/>
                    <a:srcRect b="0" l="0" r="0" t="0"/>
                    <a:stretch>
                      <a:fillRect/>
                    </a:stretch>
                  </pic:blipFill>
                  <pic:spPr>
                    <a:xfrm>
                      <a:off x="0" y="0"/>
                      <a:ext cx="5905164" cy="2271712"/>
                    </a:xfrm>
                    <a:prstGeom prst="rect"/>
                    <a:ln/>
                  </pic:spPr>
                </pic:pic>
              </a:graphicData>
            </a:graphic>
          </wp:anchor>
        </w:drawing>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C">
      <w:pPr>
        <w:spacing w:before="0" w:lineRule="auto"/>
        <w:ind w:left="652" w:right="942" w:firstLine="0"/>
        <w:jc w:val="left"/>
        <w:rPr>
          <w:sz w:val="24"/>
          <w:szCs w:val="24"/>
        </w:rPr>
      </w:pPr>
      <w:r w:rsidDel="00000000" w:rsidR="00000000" w:rsidRPr="00000000">
        <w:rPr>
          <w:b w:val="1"/>
          <w:sz w:val="24"/>
          <w:szCs w:val="24"/>
          <w:rtl w:val="0"/>
        </w:rPr>
        <w:t xml:space="preserve">Supplementary Figure 22. </w:t>
      </w:r>
      <w:r w:rsidDel="00000000" w:rsidR="00000000" w:rsidRPr="00000000">
        <w:rPr>
          <w:sz w:val="24"/>
          <w:szCs w:val="24"/>
          <w:rtl w:val="0"/>
        </w:rPr>
        <w:t xml:space="preserve">Analyses for long-term MACE with MPV treated as a categorized variable and odds ratios as effect estimates.</w:t>
      </w:r>
    </w:p>
    <w:p w:rsidR="00000000" w:rsidDel="00000000" w:rsidP="00000000" w:rsidRDefault="00000000" w:rsidRPr="00000000" w14:paraId="00000CDD">
      <w:pPr>
        <w:spacing w:before="0" w:lineRule="auto"/>
        <w:ind w:left="652" w:right="807" w:firstLine="0"/>
        <w:jc w:val="left"/>
        <w:rPr>
          <w:sz w:val="24"/>
          <w:szCs w:val="24"/>
        </w:rPr>
        <w:sectPr>
          <w:headerReference r:id="rId224" w:type="even"/>
          <w:type w:val="nextPage"/>
          <w:pgSz w:h="16840" w:w="11920" w:orient="portrait"/>
          <w:pgMar w:bottom="260" w:top="1920" w:left="480" w:right="320" w:header="0" w:footer="0"/>
        </w:sectPr>
      </w:pPr>
      <w:r w:rsidDel="00000000" w:rsidR="00000000" w:rsidRPr="00000000">
        <w:rPr>
          <w:sz w:val="24"/>
          <w:szCs w:val="24"/>
          <w:rtl w:val="0"/>
        </w:rPr>
        <w:t xml:space="preserve">Abbreviations: CI, confidence interval; RE, random effects; ML, maximum likelihood; KNHA, the Knapp and Hartung adjustment; REML, restricted maximum likelihood; MACE, major adverse cardiovascular events; MPV, mean platelet volume.</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07829" cy="2271712"/>
            <wp:effectExtent b="0" l="0" r="0" t="0"/>
            <wp:docPr id="502" name="image110.jpg"/>
            <a:graphic>
              <a:graphicData uri="http://schemas.openxmlformats.org/drawingml/2006/picture">
                <pic:pic>
                  <pic:nvPicPr>
                    <pic:cNvPr id="0" name="image110.jpg"/>
                    <pic:cNvPicPr preferRelativeResize="0"/>
                  </pic:nvPicPr>
                  <pic:blipFill>
                    <a:blip r:embed="rId225"/>
                    <a:srcRect b="0" l="0" r="0" t="0"/>
                    <a:stretch>
                      <a:fillRect/>
                    </a:stretch>
                  </pic:blipFill>
                  <pic:spPr>
                    <a:xfrm>
                      <a:off x="0" y="0"/>
                      <a:ext cx="6307829" cy="2271712"/>
                    </a:xfrm>
                    <a:prstGeom prst="rect"/>
                    <a:ln/>
                  </pic:spPr>
                </pic:pic>
              </a:graphicData>
            </a:graphic>
          </wp:inline>
        </w:drawing>
      </w:r>
      <w:r w:rsidDel="00000000" w:rsidR="00000000" w:rsidRPr="00000000">
        <w:rPr>
          <w:rtl w:val="0"/>
        </w:rPr>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2">
      <w:pPr>
        <w:spacing w:before="0" w:lineRule="auto"/>
        <w:ind w:left="652" w:right="942" w:firstLine="0"/>
        <w:jc w:val="left"/>
        <w:rPr>
          <w:sz w:val="24"/>
          <w:szCs w:val="24"/>
        </w:rPr>
      </w:pPr>
      <w:r w:rsidDel="00000000" w:rsidR="00000000" w:rsidRPr="00000000">
        <w:rPr>
          <w:b w:val="1"/>
          <w:sz w:val="24"/>
          <w:szCs w:val="24"/>
          <w:rtl w:val="0"/>
        </w:rPr>
        <w:t xml:space="preserve">Supplementary Figure 23. </w:t>
      </w:r>
      <w:r w:rsidDel="00000000" w:rsidR="00000000" w:rsidRPr="00000000">
        <w:rPr>
          <w:sz w:val="24"/>
          <w:szCs w:val="24"/>
          <w:rtl w:val="0"/>
        </w:rPr>
        <w:t xml:space="preserve">Analyses for one-month mortality with MPV treated as a continuous variable and hazard ratios as effect estimates.</w:t>
      </w:r>
    </w:p>
    <w:p w:rsidR="00000000" w:rsidDel="00000000" w:rsidP="00000000" w:rsidRDefault="00000000" w:rsidRPr="00000000" w14:paraId="00000CE3">
      <w:pPr>
        <w:spacing w:before="0" w:lineRule="auto"/>
        <w:ind w:left="652" w:right="807" w:firstLine="0"/>
        <w:jc w:val="left"/>
        <w:rPr>
          <w:sz w:val="24"/>
          <w:szCs w:val="24"/>
        </w:rPr>
      </w:pPr>
      <w:r w:rsidDel="00000000" w:rsidR="00000000" w:rsidRPr="00000000">
        <w:rPr>
          <w:sz w:val="24"/>
          <w:szCs w:val="24"/>
          <w:rtl w:val="0"/>
        </w:rPr>
        <w:t xml:space="preserve">Abbreviations: CI, confidence interval; RE, random effects; ML, maximum likelihood; KNHA, the Knapp and Hartung adjustment; REML, restricted maximum likelihood; MPV, mean platelet volume.</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516530</wp:posOffset>
            </wp:positionH>
            <wp:positionV relativeFrom="paragraph">
              <wp:posOffset>218204</wp:posOffset>
            </wp:positionV>
            <wp:extent cx="6307829" cy="2252662"/>
            <wp:effectExtent b="0" l="0" r="0" t="0"/>
            <wp:wrapTopAndBottom distB="0" distT="0"/>
            <wp:docPr id="494" name="image89.png"/>
            <a:graphic>
              <a:graphicData uri="http://schemas.openxmlformats.org/drawingml/2006/picture">
                <pic:pic>
                  <pic:nvPicPr>
                    <pic:cNvPr id="0" name="image89.png"/>
                    <pic:cNvPicPr preferRelativeResize="0"/>
                  </pic:nvPicPr>
                  <pic:blipFill>
                    <a:blip r:embed="rId226"/>
                    <a:srcRect b="0" l="0" r="0" t="0"/>
                    <a:stretch>
                      <a:fillRect/>
                    </a:stretch>
                  </pic:blipFill>
                  <pic:spPr>
                    <a:xfrm>
                      <a:off x="0" y="0"/>
                      <a:ext cx="6307829" cy="2252662"/>
                    </a:xfrm>
                    <a:prstGeom prst="rect"/>
                    <a:ln/>
                  </pic:spPr>
                </pic:pic>
              </a:graphicData>
            </a:graphic>
          </wp:anchor>
        </w:drawing>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D">
      <w:pPr>
        <w:spacing w:before="0" w:lineRule="auto"/>
        <w:ind w:left="652" w:right="942" w:firstLine="0"/>
        <w:jc w:val="left"/>
        <w:rPr>
          <w:sz w:val="24"/>
          <w:szCs w:val="24"/>
        </w:rPr>
      </w:pPr>
      <w:r w:rsidDel="00000000" w:rsidR="00000000" w:rsidRPr="00000000">
        <w:rPr>
          <w:b w:val="1"/>
          <w:sz w:val="24"/>
          <w:szCs w:val="24"/>
          <w:rtl w:val="0"/>
        </w:rPr>
        <w:t xml:space="preserve">Supplementary Figure 24. </w:t>
      </w:r>
      <w:r w:rsidDel="00000000" w:rsidR="00000000" w:rsidRPr="00000000">
        <w:rPr>
          <w:sz w:val="24"/>
          <w:szCs w:val="24"/>
          <w:rtl w:val="0"/>
        </w:rPr>
        <w:t xml:space="preserve">Analyses for one-month MACE with MPV treated as a categorized variable and odds ratios as effect estimates.</w:t>
      </w:r>
    </w:p>
    <w:p w:rsidR="00000000" w:rsidDel="00000000" w:rsidP="00000000" w:rsidRDefault="00000000" w:rsidRPr="00000000" w14:paraId="00000CEE">
      <w:pPr>
        <w:spacing w:before="0" w:lineRule="auto"/>
        <w:ind w:left="652" w:right="807" w:firstLine="0"/>
        <w:jc w:val="left"/>
        <w:rPr>
          <w:sz w:val="24"/>
          <w:szCs w:val="24"/>
        </w:rPr>
        <w:sectPr>
          <w:headerReference r:id="rId227" w:type="default"/>
          <w:footerReference r:id="rId228" w:type="default"/>
          <w:footerReference r:id="rId229" w:type="even"/>
          <w:type w:val="nextPage"/>
          <w:pgSz w:h="16840" w:w="11920" w:orient="portrait"/>
          <w:pgMar w:bottom="260" w:top="1920" w:left="480" w:right="320" w:header="0" w:footer="71"/>
          <w:pgNumType w:start="45"/>
        </w:sectPr>
      </w:pPr>
      <w:r w:rsidDel="00000000" w:rsidR="00000000" w:rsidRPr="00000000">
        <w:rPr>
          <w:sz w:val="24"/>
          <w:szCs w:val="24"/>
          <w:rtl w:val="0"/>
        </w:rPr>
        <w:t xml:space="preserve">Abbreviations: CI, confidence interval; RE, random effects; ML, maximum likelihood; KNHA, the Knapp and Hartung adjustment; REML, restricted maximum likelihood; MACE, major adverse cardiovascular events; MPV, mean platelet volume.</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07829" cy="2271712"/>
            <wp:effectExtent b="0" l="0" r="0" t="0"/>
            <wp:docPr id="503" name="image111.png"/>
            <a:graphic>
              <a:graphicData uri="http://schemas.openxmlformats.org/drawingml/2006/picture">
                <pic:pic>
                  <pic:nvPicPr>
                    <pic:cNvPr id="0" name="image111.png"/>
                    <pic:cNvPicPr preferRelativeResize="0"/>
                  </pic:nvPicPr>
                  <pic:blipFill>
                    <a:blip r:embed="rId230"/>
                    <a:srcRect b="0" l="0" r="0" t="0"/>
                    <a:stretch>
                      <a:fillRect/>
                    </a:stretch>
                  </pic:blipFill>
                  <pic:spPr>
                    <a:xfrm>
                      <a:off x="0" y="0"/>
                      <a:ext cx="6307829" cy="2271712"/>
                    </a:xfrm>
                    <a:prstGeom prst="rect"/>
                    <a:ln/>
                  </pic:spPr>
                </pic:pic>
              </a:graphicData>
            </a:graphic>
          </wp:inline>
        </w:drawing>
      </w:r>
      <w:r w:rsidDel="00000000" w:rsidR="00000000" w:rsidRPr="00000000">
        <w:rPr>
          <w:rtl w:val="0"/>
        </w:rPr>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3">
      <w:pPr>
        <w:spacing w:before="0" w:lineRule="auto"/>
        <w:ind w:left="652" w:right="942" w:firstLine="0"/>
        <w:jc w:val="left"/>
        <w:rPr>
          <w:sz w:val="24"/>
          <w:szCs w:val="24"/>
        </w:rPr>
      </w:pPr>
      <w:r w:rsidDel="00000000" w:rsidR="00000000" w:rsidRPr="00000000">
        <w:rPr>
          <w:b w:val="1"/>
          <w:sz w:val="24"/>
          <w:szCs w:val="24"/>
          <w:rtl w:val="0"/>
        </w:rPr>
        <w:t xml:space="preserve">Supplementary Figure 25. </w:t>
      </w:r>
      <w:r w:rsidDel="00000000" w:rsidR="00000000" w:rsidRPr="00000000">
        <w:rPr>
          <w:sz w:val="24"/>
          <w:szCs w:val="24"/>
          <w:rtl w:val="0"/>
        </w:rPr>
        <w:t xml:space="preserve">Analyses for one-month mortality with MPV treated as a categorized variable and odds ratios as effect estimates.</w:t>
      </w:r>
    </w:p>
    <w:p w:rsidR="00000000" w:rsidDel="00000000" w:rsidP="00000000" w:rsidRDefault="00000000" w:rsidRPr="00000000" w14:paraId="00000CF4">
      <w:pPr>
        <w:spacing w:before="0" w:lineRule="auto"/>
        <w:ind w:left="652" w:right="807" w:firstLine="0"/>
        <w:jc w:val="left"/>
        <w:rPr>
          <w:sz w:val="24"/>
          <w:szCs w:val="24"/>
        </w:rPr>
      </w:pPr>
      <w:r w:rsidDel="00000000" w:rsidR="00000000" w:rsidRPr="00000000">
        <w:rPr>
          <w:sz w:val="24"/>
          <w:szCs w:val="24"/>
          <w:rtl w:val="0"/>
        </w:rPr>
        <w:t xml:space="preserve">Abbreviations: CI, confidence interval; RE, random effects; ML, maximum likelihood; KNHA, the Knapp and Hartung adjustment; REML, restricted maximum likelihood, MPV, mean platelet volume.</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516530</wp:posOffset>
            </wp:positionH>
            <wp:positionV relativeFrom="paragraph">
              <wp:posOffset>173483</wp:posOffset>
            </wp:positionV>
            <wp:extent cx="6307829" cy="2281237"/>
            <wp:effectExtent b="0" l="0" r="0" t="0"/>
            <wp:wrapTopAndBottom distB="0" distT="0"/>
            <wp:docPr id="493" name="image90.jpg"/>
            <a:graphic>
              <a:graphicData uri="http://schemas.openxmlformats.org/drawingml/2006/picture">
                <pic:pic>
                  <pic:nvPicPr>
                    <pic:cNvPr id="0" name="image90.jpg"/>
                    <pic:cNvPicPr preferRelativeResize="0"/>
                  </pic:nvPicPr>
                  <pic:blipFill>
                    <a:blip r:embed="rId231"/>
                    <a:srcRect b="0" l="0" r="0" t="0"/>
                    <a:stretch>
                      <a:fillRect/>
                    </a:stretch>
                  </pic:blipFill>
                  <pic:spPr>
                    <a:xfrm>
                      <a:off x="0" y="0"/>
                      <a:ext cx="6307829" cy="2281237"/>
                    </a:xfrm>
                    <a:prstGeom prst="rect"/>
                    <a:ln/>
                  </pic:spPr>
                </pic:pic>
              </a:graphicData>
            </a:graphic>
          </wp:anchor>
        </w:drawing>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B">
      <w:pPr>
        <w:spacing w:before="0" w:lineRule="auto"/>
        <w:ind w:left="652" w:right="942" w:firstLine="0"/>
        <w:jc w:val="left"/>
        <w:rPr>
          <w:sz w:val="24"/>
          <w:szCs w:val="24"/>
        </w:rPr>
      </w:pPr>
      <w:r w:rsidDel="00000000" w:rsidR="00000000" w:rsidRPr="00000000">
        <w:rPr>
          <w:b w:val="1"/>
          <w:sz w:val="24"/>
          <w:szCs w:val="24"/>
          <w:rtl w:val="0"/>
        </w:rPr>
        <w:t xml:space="preserve">Supplementary Figure 26. </w:t>
      </w:r>
      <w:r w:rsidDel="00000000" w:rsidR="00000000" w:rsidRPr="00000000">
        <w:rPr>
          <w:sz w:val="24"/>
          <w:szCs w:val="24"/>
          <w:rtl w:val="0"/>
        </w:rPr>
        <w:t xml:space="preserve">Analyses for inhospital mortality with MPV treated as a categorized variable and odds ratio as an effect estimate.</w:t>
      </w:r>
    </w:p>
    <w:p w:rsidR="00000000" w:rsidDel="00000000" w:rsidP="00000000" w:rsidRDefault="00000000" w:rsidRPr="00000000" w14:paraId="00000CFC">
      <w:pPr>
        <w:spacing w:before="0" w:lineRule="auto"/>
        <w:ind w:left="652" w:right="807" w:firstLine="0"/>
        <w:jc w:val="left"/>
        <w:rPr>
          <w:sz w:val="24"/>
          <w:szCs w:val="24"/>
        </w:rPr>
        <w:sectPr>
          <w:headerReference r:id="rId232" w:type="even"/>
          <w:type w:val="nextPage"/>
          <w:pgSz w:h="16840" w:w="11920" w:orient="portrait"/>
          <w:pgMar w:bottom="260" w:top="1920" w:left="480" w:right="320" w:header="0" w:footer="0"/>
        </w:sectPr>
      </w:pPr>
      <w:r w:rsidDel="00000000" w:rsidR="00000000" w:rsidRPr="00000000">
        <w:rPr>
          <w:sz w:val="24"/>
          <w:szCs w:val="24"/>
          <w:rtl w:val="0"/>
        </w:rPr>
        <w:t xml:space="preserve">Abbreviations: CI, confidence interval; RE, random effects; ML, maximum likelihood; KNHA, the Knapp and Hartung adjustment; REML, restricted maximum likelihood; MPV, mean platelet volume.</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27428" cy="2193607"/>
            <wp:effectExtent b="0" l="0" r="0" t="0"/>
            <wp:docPr id="504" name="image113.jpg"/>
            <a:graphic>
              <a:graphicData uri="http://schemas.openxmlformats.org/drawingml/2006/picture">
                <pic:pic>
                  <pic:nvPicPr>
                    <pic:cNvPr id="0" name="image113.jpg"/>
                    <pic:cNvPicPr preferRelativeResize="0"/>
                  </pic:nvPicPr>
                  <pic:blipFill>
                    <a:blip r:embed="rId233"/>
                    <a:srcRect b="0" l="0" r="0" t="0"/>
                    <a:stretch>
                      <a:fillRect/>
                    </a:stretch>
                  </pic:blipFill>
                  <pic:spPr>
                    <a:xfrm>
                      <a:off x="0" y="0"/>
                      <a:ext cx="5927428" cy="2193607"/>
                    </a:xfrm>
                    <a:prstGeom prst="rect"/>
                    <a:ln/>
                  </pic:spPr>
                </pic:pic>
              </a:graphicData>
            </a:graphic>
          </wp:inline>
        </w:drawing>
      </w:r>
      <w:r w:rsidDel="00000000" w:rsidR="00000000" w:rsidRPr="00000000">
        <w:rPr>
          <w:rtl w:val="0"/>
        </w:rPr>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0">
      <w:pPr>
        <w:spacing w:before="0" w:lineRule="auto"/>
        <w:ind w:left="652" w:right="942" w:firstLine="0"/>
        <w:jc w:val="left"/>
        <w:rPr>
          <w:sz w:val="24"/>
          <w:szCs w:val="24"/>
        </w:rPr>
      </w:pPr>
      <w:r w:rsidDel="00000000" w:rsidR="00000000" w:rsidRPr="00000000">
        <w:rPr>
          <w:b w:val="1"/>
          <w:sz w:val="24"/>
          <w:szCs w:val="24"/>
          <w:rtl w:val="0"/>
        </w:rPr>
        <w:t xml:space="preserve">Supplementary Figure 27. </w:t>
      </w:r>
      <w:r w:rsidDel="00000000" w:rsidR="00000000" w:rsidRPr="00000000">
        <w:rPr>
          <w:sz w:val="24"/>
          <w:szCs w:val="24"/>
          <w:rtl w:val="0"/>
        </w:rPr>
        <w:t xml:space="preserve">Analyses for in-hospital MACE with MPV treated as a categorized variable and odds ratios as effect estimates.</w:t>
      </w:r>
    </w:p>
    <w:p w:rsidR="00000000" w:rsidDel="00000000" w:rsidP="00000000" w:rsidRDefault="00000000" w:rsidRPr="00000000" w14:paraId="00000D01">
      <w:pPr>
        <w:spacing w:before="0" w:lineRule="auto"/>
        <w:ind w:left="652" w:right="807" w:firstLine="0"/>
        <w:jc w:val="left"/>
        <w:rPr>
          <w:sz w:val="24"/>
          <w:szCs w:val="24"/>
        </w:rPr>
      </w:pPr>
      <w:r w:rsidDel="00000000" w:rsidR="00000000" w:rsidRPr="00000000">
        <w:rPr>
          <w:sz w:val="24"/>
          <w:szCs w:val="24"/>
          <w:rtl w:val="0"/>
        </w:rPr>
        <w:t xml:space="preserve">Abbreviations: CI, confidence interval; RE, random effects; ML, maximum likelihood; KNHA, the Knapp and Hartung adjustment; REML, restricted maximum likelihood; MACE, major adverse cardiovascular events; MPV, mean platelet volume.</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646273</wp:posOffset>
            </wp:positionH>
            <wp:positionV relativeFrom="paragraph">
              <wp:posOffset>266977</wp:posOffset>
            </wp:positionV>
            <wp:extent cx="6083910" cy="2924175"/>
            <wp:effectExtent b="0" l="0" r="0" t="0"/>
            <wp:wrapTopAndBottom distB="0" distT="0"/>
            <wp:docPr id="492" name="image91.jpg"/>
            <a:graphic>
              <a:graphicData uri="http://schemas.openxmlformats.org/drawingml/2006/picture">
                <pic:pic>
                  <pic:nvPicPr>
                    <pic:cNvPr id="0" name="image91.jpg"/>
                    <pic:cNvPicPr preferRelativeResize="0"/>
                  </pic:nvPicPr>
                  <pic:blipFill>
                    <a:blip r:embed="rId234"/>
                    <a:srcRect b="0" l="0" r="0" t="0"/>
                    <a:stretch>
                      <a:fillRect/>
                    </a:stretch>
                  </pic:blipFill>
                  <pic:spPr>
                    <a:xfrm>
                      <a:off x="0" y="0"/>
                      <a:ext cx="6083910" cy="2924175"/>
                    </a:xfrm>
                    <a:prstGeom prst="rect"/>
                    <a:ln/>
                  </pic:spPr>
                </pic:pic>
              </a:graphicData>
            </a:graphic>
          </wp:anchor>
        </w:drawing>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4">
      <w:pPr>
        <w:spacing w:before="0" w:lineRule="auto"/>
        <w:ind w:left="652" w:right="942" w:firstLine="0"/>
        <w:jc w:val="left"/>
        <w:rPr>
          <w:sz w:val="24"/>
          <w:szCs w:val="24"/>
        </w:rPr>
      </w:pPr>
      <w:r w:rsidDel="00000000" w:rsidR="00000000" w:rsidRPr="00000000">
        <w:rPr>
          <w:b w:val="1"/>
          <w:sz w:val="24"/>
          <w:szCs w:val="24"/>
          <w:rtl w:val="0"/>
        </w:rPr>
        <w:t xml:space="preserve">Supplementary Figure 28. </w:t>
      </w:r>
      <w:r w:rsidDel="00000000" w:rsidR="00000000" w:rsidRPr="00000000">
        <w:rPr>
          <w:sz w:val="24"/>
          <w:szCs w:val="24"/>
          <w:rtl w:val="0"/>
        </w:rPr>
        <w:t xml:space="preserve">Subgroup analyses for in-hospital MACE with MPV treated as a categorized variable and odds ratios as effect estimates. A and B, subgroup analyses in STEMI patients with ML and REML estimation, respectively; C and D, subgroup analyses in PCI patients with ML and REML estimation, respectively.</w:t>
      </w:r>
    </w:p>
    <w:p w:rsidR="00000000" w:rsidDel="00000000" w:rsidP="00000000" w:rsidRDefault="00000000" w:rsidRPr="00000000" w14:paraId="00000D05">
      <w:pPr>
        <w:spacing w:before="1" w:lineRule="auto"/>
        <w:ind w:left="652" w:right="942" w:firstLine="0"/>
        <w:jc w:val="left"/>
        <w:rPr>
          <w:sz w:val="24"/>
          <w:szCs w:val="24"/>
        </w:rPr>
        <w:sectPr>
          <w:headerReference r:id="rId235" w:type="default"/>
          <w:footerReference r:id="rId236" w:type="default"/>
          <w:footerReference r:id="rId237" w:type="even"/>
          <w:type w:val="nextPage"/>
          <w:pgSz w:h="16840" w:w="11920" w:orient="portrait"/>
          <w:pgMar w:bottom="260" w:top="1800" w:left="480" w:right="320" w:header="0" w:footer="71"/>
          <w:pgNumType w:start="47"/>
        </w:sectPr>
      </w:pPr>
      <w:r w:rsidDel="00000000" w:rsidR="00000000" w:rsidRPr="00000000">
        <w:rPr>
          <w:sz w:val="24"/>
          <w:szCs w:val="24"/>
          <w:rtl w:val="0"/>
        </w:rPr>
        <w:t xml:space="preserve">Abbreviations: RE, random effects, ML, maximum likelihood; CI, confidence interval; REML, restricted maximum likelihood; MACE, major adverse cardiovascular events; MPV, mean platelet volume; STEMI, ST-segment elevation myocardial infarction; PCI, percutaneous coronary intervention.</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23266" cy="2927889"/>
            <wp:effectExtent b="0" l="0" r="0" t="0"/>
            <wp:docPr id="505" name="image112.png"/>
            <a:graphic>
              <a:graphicData uri="http://schemas.openxmlformats.org/drawingml/2006/picture">
                <pic:pic>
                  <pic:nvPicPr>
                    <pic:cNvPr id="0" name="image112.png"/>
                    <pic:cNvPicPr preferRelativeResize="0"/>
                  </pic:nvPicPr>
                  <pic:blipFill>
                    <a:blip r:embed="rId238"/>
                    <a:srcRect b="0" l="0" r="0" t="0"/>
                    <a:stretch>
                      <a:fillRect/>
                    </a:stretch>
                  </pic:blipFill>
                  <pic:spPr>
                    <a:xfrm>
                      <a:off x="0" y="0"/>
                      <a:ext cx="2723266" cy="2927889"/>
                    </a:xfrm>
                    <a:prstGeom prst="rect"/>
                    <a:ln/>
                  </pic:spPr>
                </pic:pic>
              </a:graphicData>
            </a:graphic>
          </wp:inline>
        </w:drawing>
      </w:r>
      <w:r w:rsidDel="00000000" w:rsidR="00000000" w:rsidRPr="00000000">
        <w:rPr>
          <w:rtl w:val="0"/>
        </w:rPr>
      </w:r>
    </w:p>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8">
      <w:pPr>
        <w:spacing w:before="0" w:lineRule="auto"/>
        <w:ind w:left="652" w:right="942" w:firstLine="0"/>
        <w:jc w:val="left"/>
        <w:rPr>
          <w:sz w:val="24"/>
          <w:szCs w:val="24"/>
        </w:rPr>
      </w:pPr>
      <w:r w:rsidDel="00000000" w:rsidR="00000000" w:rsidRPr="00000000">
        <w:rPr>
          <w:b w:val="1"/>
          <w:sz w:val="24"/>
          <w:szCs w:val="24"/>
          <w:rtl w:val="0"/>
        </w:rPr>
        <w:t xml:space="preserve">Supplementary Figure 29. </w:t>
      </w:r>
      <w:r w:rsidDel="00000000" w:rsidR="00000000" w:rsidRPr="00000000">
        <w:rPr>
          <w:sz w:val="24"/>
          <w:szCs w:val="24"/>
          <w:rtl w:val="0"/>
        </w:rPr>
        <w:t xml:space="preserve">Influential case diagnostics for in-hospital MACE with MPV as a categorised variable and odds ratios as effect estimates.</w:t>
      </w:r>
    </w:p>
    <w:p w:rsidR="00000000" w:rsidDel="00000000" w:rsidP="00000000" w:rsidRDefault="00000000" w:rsidRPr="00000000" w14:paraId="00000D09">
      <w:pPr>
        <w:spacing w:before="0" w:lineRule="auto"/>
        <w:ind w:left="652" w:right="0" w:firstLine="0"/>
        <w:jc w:val="left"/>
        <w:rPr>
          <w:sz w:val="24"/>
          <w:szCs w:val="24"/>
        </w:rPr>
      </w:pPr>
      <w:r w:rsidDel="00000000" w:rsidR="00000000" w:rsidRPr="00000000">
        <w:rPr>
          <w:sz w:val="24"/>
          <w:szCs w:val="24"/>
          <w:rtl w:val="0"/>
        </w:rPr>
        <w:t xml:space="preserve">Abbreviations: MACE, major adverse cardiovascular events; MPV, mean platelet volume.</w: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513232</wp:posOffset>
            </wp:positionH>
            <wp:positionV relativeFrom="paragraph">
              <wp:posOffset>267902</wp:posOffset>
            </wp:positionV>
            <wp:extent cx="6137430" cy="2909887"/>
            <wp:effectExtent b="0" l="0" r="0" t="0"/>
            <wp:wrapTopAndBottom distB="0" distT="0"/>
            <wp:docPr id="487" name="image83.jpg"/>
            <a:graphic>
              <a:graphicData uri="http://schemas.openxmlformats.org/drawingml/2006/picture">
                <pic:pic>
                  <pic:nvPicPr>
                    <pic:cNvPr id="0" name="image83.jpg"/>
                    <pic:cNvPicPr preferRelativeResize="0"/>
                  </pic:nvPicPr>
                  <pic:blipFill>
                    <a:blip r:embed="rId239"/>
                    <a:srcRect b="0" l="0" r="0" t="0"/>
                    <a:stretch>
                      <a:fillRect/>
                    </a:stretch>
                  </pic:blipFill>
                  <pic:spPr>
                    <a:xfrm>
                      <a:off x="0" y="0"/>
                      <a:ext cx="6137430" cy="2909887"/>
                    </a:xfrm>
                    <a:prstGeom prst="rect"/>
                    <a:ln/>
                  </pic:spPr>
                </pic:pic>
              </a:graphicData>
            </a:graphic>
          </wp:anchor>
        </w:drawing>
      </w:r>
    </w:p>
    <w:p w:rsidR="00000000" w:rsidDel="00000000" w:rsidP="00000000" w:rsidRDefault="00000000" w:rsidRPr="00000000" w14:paraId="00000D0B">
      <w:pPr>
        <w:spacing w:before="0" w:lineRule="auto"/>
        <w:ind w:left="652" w:right="942" w:firstLine="0"/>
        <w:jc w:val="left"/>
        <w:rPr>
          <w:sz w:val="24"/>
          <w:szCs w:val="24"/>
        </w:rPr>
      </w:pPr>
      <w:r w:rsidDel="00000000" w:rsidR="00000000" w:rsidRPr="00000000">
        <w:rPr>
          <w:b w:val="1"/>
          <w:sz w:val="24"/>
          <w:szCs w:val="24"/>
          <w:rtl w:val="0"/>
        </w:rPr>
        <w:t xml:space="preserve">Supplementary Figure 30. </w:t>
      </w:r>
      <w:r w:rsidDel="00000000" w:rsidR="00000000" w:rsidRPr="00000000">
        <w:rPr>
          <w:sz w:val="24"/>
          <w:szCs w:val="24"/>
          <w:rtl w:val="0"/>
        </w:rPr>
        <w:t xml:space="preserve">Additional analyses for in-hospital MACE with MPV as a categorical variable and odds ratios as effect estimates. A, funnel plot for ML estimation with rank correlation and regression tests for both ML and REML estimation; B, a trim and fill method for ML estimation with an effect estimate for both ML and REML estimation; C, a Q-Q plot for ML estimation; D, cumulative meta-analysis for ML estimation.</w:t>
      </w:r>
    </w:p>
    <w:p w:rsidR="00000000" w:rsidDel="00000000" w:rsidP="00000000" w:rsidRDefault="00000000" w:rsidRPr="00000000" w14:paraId="00000D0C">
      <w:pPr>
        <w:spacing w:before="0" w:lineRule="auto"/>
        <w:ind w:left="652" w:right="1013" w:firstLine="0"/>
        <w:jc w:val="both"/>
        <w:rPr>
          <w:sz w:val="24"/>
          <w:szCs w:val="24"/>
        </w:rPr>
        <w:sectPr>
          <w:headerReference r:id="rId240" w:type="even"/>
          <w:type w:val="nextPage"/>
          <w:pgSz w:h="16840" w:w="11920" w:orient="portrait"/>
          <w:pgMar w:bottom="260" w:top="1320" w:left="480" w:right="320" w:header="0" w:footer="0"/>
        </w:sectPr>
      </w:pPr>
      <w:r w:rsidDel="00000000" w:rsidR="00000000" w:rsidRPr="00000000">
        <w:rPr>
          <w:sz w:val="24"/>
          <w:szCs w:val="24"/>
          <w:rtl w:val="0"/>
        </w:rPr>
        <w:t xml:space="preserve">Abbreviations: ML, maximum likelihood; REML, restricted maximum likelihood; CI, confidence interval; PI, prediction interval; MACE, major adverse cardiovascular events; MPV, mean platelet volume.</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98837" cy="4375404"/>
            <wp:effectExtent b="0" l="0" r="0" t="0"/>
            <wp:docPr id="471" name="image6.jpg"/>
            <a:graphic>
              <a:graphicData uri="http://schemas.openxmlformats.org/drawingml/2006/picture">
                <pic:pic>
                  <pic:nvPicPr>
                    <pic:cNvPr id="0" name="image6.jpg"/>
                    <pic:cNvPicPr preferRelativeResize="0"/>
                  </pic:nvPicPr>
                  <pic:blipFill>
                    <a:blip r:embed="rId241"/>
                    <a:srcRect b="0" l="0" r="0" t="0"/>
                    <a:stretch>
                      <a:fillRect/>
                    </a:stretch>
                  </pic:blipFill>
                  <pic:spPr>
                    <a:xfrm>
                      <a:off x="0" y="0"/>
                      <a:ext cx="5998837" cy="4375404"/>
                    </a:xfrm>
                    <a:prstGeom prst="rect"/>
                    <a:ln/>
                  </pic:spPr>
                </pic:pic>
              </a:graphicData>
            </a:graphic>
          </wp:inline>
        </w:drawing>
      </w:r>
      <w:r w:rsidDel="00000000" w:rsidR="00000000" w:rsidRPr="00000000">
        <w:rPr>
          <w:rtl w:val="0"/>
        </w:rPr>
      </w:r>
    </w:p>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F">
      <w:pPr>
        <w:spacing w:before="0" w:lineRule="auto"/>
        <w:ind w:left="652" w:right="942" w:firstLine="0"/>
        <w:jc w:val="left"/>
        <w:rPr>
          <w:sz w:val="24"/>
          <w:szCs w:val="24"/>
        </w:rPr>
        <w:sectPr>
          <w:headerReference r:id="rId242" w:type="default"/>
          <w:footerReference r:id="rId243" w:type="default"/>
          <w:type w:val="nextPage"/>
          <w:pgSz w:h="16840" w:w="11920" w:orient="portrait"/>
          <w:pgMar w:bottom="260" w:top="1460" w:left="480" w:right="320" w:header="0" w:footer="71"/>
          <w:pgNumType w:start="49"/>
        </w:sectPr>
      </w:pPr>
      <w:r w:rsidDel="00000000" w:rsidR="00000000" w:rsidRPr="00000000">
        <w:rPr>
          <w:b w:val="1"/>
          <w:sz w:val="24"/>
          <w:szCs w:val="24"/>
          <w:rtl w:val="0"/>
        </w:rPr>
        <w:t xml:space="preserve">Supplementary Figure 31. </w:t>
      </w:r>
      <w:r w:rsidDel="00000000" w:rsidR="00000000" w:rsidRPr="00000000">
        <w:rPr>
          <w:sz w:val="24"/>
          <w:szCs w:val="24"/>
          <w:rtl w:val="0"/>
        </w:rPr>
        <w:t xml:space="preserve">Dose-response relationship between mean platelet volume and long- term mortality. A, individual prediction curve with confidence intervals for a quadratic model; B – individual prediction curve with confidence intervals for a cubic model; C, individual prediction curve with confidence intervals for the best fitted fractional polynomial model with powers p(-2, - 2); D, individual prediction curve with confidence intervals for the best fitted spline regression model with knots at 8.05, 9.02, 9.8.</w:t>
      </w:r>
    </w:p>
    <w:p w:rsidR="00000000" w:rsidDel="00000000" w:rsidP="00000000" w:rsidRDefault="00000000" w:rsidRPr="00000000" w14:paraId="00000D10">
      <w:pPr>
        <w:spacing w:before="0" w:lineRule="auto"/>
        <w:ind w:left="652" w:right="942" w:firstLine="0"/>
        <w:jc w:val="left"/>
        <w:rPr>
          <w:sz w:val="24"/>
          <w:szCs w:val="24"/>
        </w:rPr>
        <w:sectPr>
          <w:type w:val="continuous"/>
          <w:pgSz w:h="16840" w:w="11920" w:orient="portrait"/>
          <w:pgMar w:bottom="260" w:top="1460" w:left="480" w:right="320" w:header="0" w:footer="71"/>
        </w:sectPr>
      </w:pPr>
      <w:r w:rsidDel="00000000" w:rsidR="00000000" w:rsidRPr="00000000">
        <w:rPr>
          <w:rtl w:val="0"/>
        </w:rPr>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sectPr>
          <w:headerReference r:id="rId244" w:type="default"/>
          <w:headerReference r:id="rId245" w:type="even"/>
          <w:footerReference r:id="rId246" w:type="even"/>
          <w:type w:val="nextPage"/>
          <w:pgSz w:h="16840" w:w="11920" w:orient="portrait"/>
          <w:pgMar w:bottom="280" w:top="700" w:left="620" w:right="640" w:header="456" w:footer="0"/>
        </w:sectPr>
      </w:pPr>
      <w:r w:rsidDel="00000000" w:rsidR="00000000" w:rsidRPr="00000000">
        <w:rPr>
          <w:rtl w:val="0"/>
        </w:rPr>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456" w:footer="0"/>
          <w:cols w:equalWidth="0" w:num="2">
            <w:col w:space="40" w:w="5310"/>
            <w:col w:space="0" w:w="5310"/>
          </w:cols>
        </w:sectPr>
      </w:pPr>
      <w:r w:rsidDel="00000000" w:rsidR="00000000" w:rsidRPr="00000000">
        <w:rPr>
          <w:rtl w:val="0"/>
        </w:rPr>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D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50.0000000000001"/>
        </w:tabs>
        <w:spacing w:after="0" w:before="0" w:line="232" w:lineRule="auto"/>
        <w:ind w:left="219" w:right="-127.65354330708487" w:firstLine="0"/>
        <w:jc w:val="both"/>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Additional supplemental material is published online only. To view, please visit the journal online </w:t>
      </w:r>
      <w:hyperlink r:id="rId247">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(http://dx.doi.org/10.1136/heartjnl-2022-</w:t>
        </w:r>
      </w:hyperlink>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 </w:t>
      </w:r>
      <w:hyperlink r:id="rId248">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320910).</w:t>
        </w:r>
      </w:hyperlink>
      <w:r w:rsidDel="00000000" w:rsidR="00000000" w:rsidRPr="00000000">
        <w:rPr>
          <w:rtl w:val="0"/>
        </w:rPr>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32" w:lineRule="auto"/>
        <w:ind w:left="220" w:right="0" w:hanging="1.0000000000000142"/>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1</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Department of Cardiology and Interventional Arrhythmology, Semey Medical University, Semey, Kazakhstan</w:t>
      </w:r>
      <w:r w:rsidDel="00000000" w:rsidR="00000000" w:rsidRPr="00000000">
        <w:rPr>
          <w:rtl w:val="0"/>
        </w:rPr>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220" w:right="0" w:firstLine="0"/>
        <w:jc w:val="both"/>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2</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Rentgen-endovascular</w:t>
      </w:r>
      <w:r w:rsidDel="00000000" w:rsidR="00000000" w:rsidRPr="00000000">
        <w:rPr>
          <w:rFonts w:ascii="Trebuchet MS" w:cs="Trebuchet MS" w:eastAsia="Trebuchet MS" w:hAnsi="Trebuchet MS"/>
          <w:sz w:val="16"/>
          <w:szCs w:val="16"/>
          <w:rtl w:val="0"/>
        </w:rPr>
        <w:t xml:space="preserve">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Laboratory, Semey Medical University, Semey, East Kazakhstan, Kazakhstan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3</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Department of Cardiology, Bursa Training and Research Hospital, Bursa, Turkey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4</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Department of Cardiology, Erasmus University Rotterdam, Rotterdam, The Netherlands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5</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Larner College of </w:t>
      </w:r>
      <w:r w:rsidDel="00000000" w:rsidR="00000000" w:rsidRPr="00000000">
        <w:rPr>
          <w:rFonts w:ascii="Trebuchet MS" w:cs="Trebuchet MS" w:eastAsia="Trebuchet MS" w:hAnsi="Trebuchet MS"/>
          <w:color w:val="231f20"/>
          <w:sz w:val="16"/>
          <w:szCs w:val="16"/>
          <w:rtl w:val="0"/>
        </w:rPr>
        <w:t xml:space="preserve">M</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edicine, University of Vermont, Burlington, Vermont, USA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6</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Cardiovascular Department, King Fahd Armed Forces Hospital, Jeddah, Makkah, Saudi Arabia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superscript"/>
          <w:rtl w:val="0"/>
        </w:rPr>
        <w:t xml:space="preserve">7</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Keele Cardiovascular Research Group, Keele University, Keele, UK</w:t>
      </w:r>
      <w:r w:rsidDel="00000000" w:rsidR="00000000" w:rsidRPr="00000000">
        <w:rPr>
          <w:rtl w:val="0"/>
        </w:rPr>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rebuchet MS" w:cs="Trebuchet MS" w:eastAsia="Trebuchet MS" w:hAnsi="Trebuchet MS"/>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127000</wp:posOffset>
                </wp:positionH>
                <wp:positionV relativeFrom="paragraph">
                  <wp:posOffset>88900</wp:posOffset>
                </wp:positionV>
                <wp:extent cx="1270" cy="12700"/>
                <wp:effectExtent b="0" l="0" r="0" t="0"/>
                <wp:wrapTopAndBottom distB="0" distT="0"/>
                <wp:docPr id="388" name=""/>
                <a:graphic>
                  <a:graphicData uri="http://schemas.microsoft.com/office/word/2010/wordprocessingShape">
                    <wps:wsp>
                      <wps:cNvSpPr/>
                      <wps:cNvPr id="38" name="Shape 38"/>
                      <wps:spPr>
                        <a:xfrm>
                          <a:off x="5089460" y="3779365"/>
                          <a:ext cx="513080" cy="1270"/>
                        </a:xfrm>
                        <a:custGeom>
                          <a:rect b="b" l="l" r="r" t="t"/>
                          <a:pathLst>
                            <a:path extrusionOk="0" h="120000" w="513080">
                              <a:moveTo>
                                <a:pt x="0" y="0"/>
                              </a:moveTo>
                              <a:lnTo>
                                <a:pt x="512953" y="0"/>
                              </a:lnTo>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88900</wp:posOffset>
                </wp:positionV>
                <wp:extent cx="1270" cy="12700"/>
                <wp:effectExtent b="0" l="0" r="0" t="0"/>
                <wp:wrapTopAndBottom distB="0" distT="0"/>
                <wp:docPr id="388" name="image32.png"/>
                <a:graphic>
                  <a:graphicData uri="http://schemas.openxmlformats.org/drawingml/2006/picture">
                    <pic:pic>
                      <pic:nvPicPr>
                        <pic:cNvPr id="0" name="image32.png"/>
                        <pic:cNvPicPr preferRelativeResize="0"/>
                      </pic:nvPicPr>
                      <pic:blipFill>
                        <a:blip r:embed="rId24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D19">
      <w:pPr>
        <w:spacing w:before="69" w:line="183" w:lineRule="auto"/>
        <w:ind w:left="220" w:right="0" w:firstLine="0"/>
        <w:jc w:val="left"/>
        <w:rPr>
          <w:rFonts w:ascii="Trebuchet MS" w:cs="Trebuchet MS" w:eastAsia="Trebuchet MS" w:hAnsi="Trebuchet MS"/>
          <w:b w:val="1"/>
          <w:color w:val="231f20"/>
          <w:sz w:val="16"/>
          <w:szCs w:val="16"/>
        </w:rPr>
      </w:pPr>
      <w:r w:rsidDel="00000000" w:rsidR="00000000" w:rsidRPr="00000000">
        <w:rPr>
          <w:rFonts w:ascii="Trebuchet MS" w:cs="Trebuchet MS" w:eastAsia="Trebuchet MS" w:hAnsi="Trebuchet MS"/>
          <w:b w:val="1"/>
          <w:color w:val="231f20"/>
          <w:sz w:val="16"/>
          <w:szCs w:val="16"/>
          <w:rtl w:val="0"/>
        </w:rPr>
        <w:t xml:space="preserve">Correspondence to</w:t>
      </w:r>
    </w:p>
    <w:p w:rsidR="00000000" w:rsidDel="00000000" w:rsidP="00000000" w:rsidRDefault="00000000" w:rsidRPr="00000000" w14:paraId="00000D1A">
      <w:pPr>
        <w:spacing w:before="69" w:line="183" w:lineRule="auto"/>
        <w:ind w:left="220" w:right="0" w:firstLine="0"/>
        <w:jc w:val="left"/>
        <w:rPr>
          <w:rFonts w:ascii="Trebuchet MS" w:cs="Trebuchet MS" w:eastAsia="Trebuchet MS" w:hAnsi="Trebuchet MS"/>
          <w:b w:val="1"/>
          <w:color w:val="231f20"/>
          <w:sz w:val="16"/>
          <w:szCs w:val="16"/>
        </w:rPr>
      </w:pPr>
      <w:r w:rsidDel="00000000" w:rsidR="00000000" w:rsidRPr="00000000">
        <w:rPr>
          <w:rtl w:val="0"/>
        </w:rPr>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1" w:lineRule="auto"/>
        <w:ind w:left="22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Dr Akhmetzhan Galimzhanov,</w:t>
      </w:r>
      <w:r w:rsidDel="00000000" w:rsidR="00000000" w:rsidRPr="00000000">
        <w:rPr>
          <w:rtl w:val="0"/>
        </w:rPr>
      </w:r>
    </w:p>
    <w:p w:rsidR="00000000" w:rsidDel="00000000" w:rsidP="00000000" w:rsidRDefault="00000000" w:rsidRPr="00000000" w14:paraId="00000D1C">
      <w:pPr>
        <w:spacing w:before="57" w:line="232" w:lineRule="auto"/>
        <w:ind w:left="220" w:firstLine="0"/>
        <w:rPr>
          <w:rFonts w:ascii="Trebuchet MS" w:cs="Trebuchet MS" w:eastAsia="Trebuchet MS" w:hAnsi="Trebuchet MS"/>
          <w:sz w:val="16"/>
          <w:szCs w:val="16"/>
        </w:rPr>
      </w:pPr>
      <w:r w:rsidDel="00000000" w:rsidR="00000000" w:rsidRPr="00000000">
        <w:rPr>
          <w:rFonts w:ascii="Trebuchet MS" w:cs="Trebuchet MS" w:eastAsia="Trebuchet MS" w:hAnsi="Trebuchet MS"/>
          <w:color w:val="231f20"/>
          <w:sz w:val="16"/>
          <w:szCs w:val="16"/>
          <w:rtl w:val="0"/>
        </w:rPr>
        <w:t xml:space="preserve">Department of Cardiology and Interventional Arrhythmology, Semey Medical University, Semey 575018, Kazakhstan; </w:t>
      </w:r>
      <w:hyperlink r:id="rId250">
        <w:r w:rsidDel="00000000" w:rsidR="00000000" w:rsidRPr="00000000">
          <w:rPr>
            <w:rFonts w:ascii="Trebuchet MS" w:cs="Trebuchet MS" w:eastAsia="Trebuchet MS" w:hAnsi="Trebuchet MS"/>
            <w:color w:val="231f20"/>
            <w:sz w:val="16"/>
            <w:szCs w:val="16"/>
            <w:rtl w:val="0"/>
          </w:rPr>
          <w:t xml:space="preserve">ahmed.galimzhan@gmail.com</w:t>
        </w:r>
      </w:hyperlink>
      <w:r w:rsidDel="00000000" w:rsidR="00000000" w:rsidRPr="00000000">
        <w:rPr>
          <w:rtl w:val="0"/>
        </w:rPr>
      </w:r>
    </w:p>
    <w:p w:rsidR="00000000" w:rsidDel="00000000" w:rsidP="00000000" w:rsidRDefault="00000000" w:rsidRPr="00000000" w14:paraId="00000D1D">
      <w:pPr>
        <w:spacing w:before="6" w:lineRule="auto"/>
        <w:rPr>
          <w:rFonts w:ascii="Trebuchet MS" w:cs="Trebuchet MS" w:eastAsia="Trebuchet MS" w:hAnsi="Trebuchet MS"/>
          <w:sz w:val="6"/>
          <w:szCs w:val="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38100</wp:posOffset>
                </wp:positionV>
                <wp:extent cx="522605" cy="22225"/>
                <wp:effectExtent b="0" l="0" r="0" t="0"/>
                <wp:wrapTopAndBottom distB="0" distT="0"/>
                <wp:docPr id="386" name=""/>
                <a:graphic>
                  <a:graphicData uri="http://schemas.microsoft.com/office/word/2010/wordprocessingShape">
                    <wps:wsp>
                      <wps:cNvSpPr/>
                      <wps:cNvPr id="36" name="Shape 36"/>
                      <wps:spPr>
                        <a:xfrm>
                          <a:off x="5089460" y="3779365"/>
                          <a:ext cx="513080" cy="1270"/>
                        </a:xfrm>
                        <a:custGeom>
                          <a:rect b="b" l="l" r="r" t="t"/>
                          <a:pathLst>
                            <a:path extrusionOk="0" h="120000" w="513080">
                              <a:moveTo>
                                <a:pt x="0" y="0"/>
                              </a:moveTo>
                              <a:lnTo>
                                <a:pt x="512953" y="0"/>
                              </a:lnTo>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38100</wp:posOffset>
                </wp:positionV>
                <wp:extent cx="522605" cy="22225"/>
                <wp:effectExtent b="0" l="0" r="0" t="0"/>
                <wp:wrapTopAndBottom distB="0" distT="0"/>
                <wp:docPr id="386" name="image30.png"/>
                <a:graphic>
                  <a:graphicData uri="http://schemas.openxmlformats.org/drawingml/2006/picture">
                    <pic:pic>
                      <pic:nvPicPr>
                        <pic:cNvPr id="0" name="image30.png"/>
                        <pic:cNvPicPr preferRelativeResize="0"/>
                      </pic:nvPicPr>
                      <pic:blipFill>
                        <a:blip r:embed="rId251"/>
                        <a:srcRect/>
                        <a:stretch>
                          <a:fillRect/>
                        </a:stretch>
                      </pic:blipFill>
                      <pic:spPr>
                        <a:xfrm>
                          <a:off x="0" y="0"/>
                          <a:ext cx="522605" cy="22225"/>
                        </a:xfrm>
                        <a:prstGeom prst="rect"/>
                        <a:ln/>
                      </pic:spPr>
                    </pic:pic>
                  </a:graphicData>
                </a:graphic>
              </wp:anchor>
            </w:drawing>
          </mc:Fallback>
        </mc:AlternateContent>
      </w:r>
    </w:p>
    <w:p w:rsidR="00000000" w:rsidDel="00000000" w:rsidP="00000000" w:rsidRDefault="00000000" w:rsidRPr="00000000" w14:paraId="00000D1E">
      <w:pPr>
        <w:spacing w:before="69" w:line="183" w:lineRule="auto"/>
        <w:ind w:left="220" w:firstLine="0"/>
        <w:rPr>
          <w:rFonts w:ascii="Trebuchet MS" w:cs="Trebuchet MS" w:eastAsia="Trebuchet MS" w:hAnsi="Trebuchet MS"/>
          <w:sz w:val="16"/>
          <w:szCs w:val="16"/>
        </w:rPr>
      </w:pPr>
      <w:r w:rsidDel="00000000" w:rsidR="00000000" w:rsidRPr="00000000">
        <w:rPr>
          <w:rFonts w:ascii="Trebuchet MS" w:cs="Trebuchet MS" w:eastAsia="Trebuchet MS" w:hAnsi="Trebuchet MS"/>
          <w:color w:val="231f20"/>
          <w:sz w:val="16"/>
          <w:szCs w:val="16"/>
          <w:rtl w:val="0"/>
        </w:rPr>
        <w:t xml:space="preserve">Received 1 February 2022</w:t>
      </w:r>
      <w:r w:rsidDel="00000000" w:rsidR="00000000" w:rsidRPr="00000000">
        <w:rPr>
          <w:rtl w:val="0"/>
        </w:rPr>
      </w:r>
    </w:p>
    <w:p w:rsidR="00000000" w:rsidDel="00000000" w:rsidP="00000000" w:rsidRDefault="00000000" w:rsidRPr="00000000" w14:paraId="00000D1F">
      <w:pPr>
        <w:spacing w:before="2" w:line="232" w:lineRule="auto"/>
        <w:ind w:left="220" w:right="379" w:firstLine="0"/>
        <w:rPr>
          <w:rFonts w:ascii="Trebuchet MS" w:cs="Trebuchet MS" w:eastAsia="Trebuchet MS" w:hAnsi="Trebuchet MS"/>
          <w:sz w:val="16"/>
          <w:szCs w:val="16"/>
        </w:rPr>
      </w:pPr>
      <w:r w:rsidDel="00000000" w:rsidR="00000000" w:rsidRPr="00000000">
        <w:rPr>
          <w:rFonts w:ascii="Trebuchet MS" w:cs="Trebuchet MS" w:eastAsia="Trebuchet MS" w:hAnsi="Trebuchet MS"/>
          <w:color w:val="231f20"/>
          <w:sz w:val="16"/>
          <w:szCs w:val="16"/>
          <w:rtl w:val="0"/>
        </w:rPr>
        <w:t xml:space="preserve">Accepted 11 May 2022 Published Online First 25 May 2022</w:t>
      </w:r>
      <w:r w:rsidDel="00000000" w:rsidR="00000000" w:rsidRPr="00000000">
        <w:rPr>
          <w:rtl w:val="0"/>
        </w:rPr>
      </w:r>
    </w:p>
    <w:p w:rsidR="00000000" w:rsidDel="00000000" w:rsidP="00000000" w:rsidRDefault="00000000" w:rsidRPr="00000000" w14:paraId="00000D20">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D21">
      <w:pPr>
        <w:ind w:left="225" w:right="-44" w:firstLine="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Pr>
        <w:drawing>
          <wp:inline distB="0" distT="0" distL="0" distR="0">
            <wp:extent cx="1167484" cy="228600"/>
            <wp:effectExtent b="0" l="0" r="0" t="0"/>
            <wp:docPr id="472" name="image7.png"/>
            <a:graphic>
              <a:graphicData uri="http://schemas.openxmlformats.org/drawingml/2006/picture">
                <pic:pic>
                  <pic:nvPicPr>
                    <pic:cNvPr id="0" name="image7.png"/>
                    <pic:cNvPicPr preferRelativeResize="0"/>
                  </pic:nvPicPr>
                  <pic:blipFill>
                    <a:blip r:embed="rId252"/>
                    <a:srcRect b="0" l="0" r="0" t="0"/>
                    <a:stretch>
                      <a:fillRect/>
                    </a:stretch>
                  </pic:blipFill>
                  <pic:spPr>
                    <a:xfrm>
                      <a:off x="0" y="0"/>
                      <a:ext cx="1167484" cy="228600"/>
                    </a:xfrm>
                    <a:prstGeom prst="rect"/>
                    <a:ln/>
                  </pic:spPr>
                </pic:pic>
              </a:graphicData>
            </a:graphic>
          </wp:inline>
        </w:drawing>
      </w:r>
      <w:r w:rsidDel="00000000" w:rsidR="00000000" w:rsidRPr="00000000">
        <w:rPr>
          <w:rtl w:val="0"/>
        </w:rPr>
      </w:r>
    </w:p>
    <w:p w:rsidR="00000000" w:rsidDel="00000000" w:rsidP="00000000" w:rsidRDefault="00000000" w:rsidRPr="00000000" w14:paraId="00000D22">
      <w:pPr>
        <w:spacing w:before="96" w:lineRule="auto"/>
        <w:ind w:left="157" w:right="0" w:firstLine="0"/>
        <w:jc w:val="left"/>
        <w:rPr>
          <w:rFonts w:ascii="Trebuchet MS" w:cs="Trebuchet MS" w:eastAsia="Trebuchet MS" w:hAnsi="Trebuchet MS"/>
          <w:color w:val="231f20"/>
          <w:sz w:val="16"/>
          <w:szCs w:val="16"/>
        </w:rPr>
      </w:pPr>
      <w:r w:rsidDel="00000000" w:rsidR="00000000" w:rsidRPr="00000000">
        <w:rPr>
          <w:rFonts w:ascii="Trebuchet MS" w:cs="Trebuchet MS" w:eastAsia="Trebuchet MS" w:hAnsi="Trebuchet MS"/>
          <w:color w:val="231f20"/>
          <w:sz w:val="16"/>
          <w:szCs w:val="16"/>
          <w:rtl w:val="0"/>
        </w:rPr>
        <w:t xml:space="preserve">© Author(s) (or their employer(s)) 2022. No commercial re-use. See rights and permissions. Published by BMJ.</w:t>
      </w:r>
    </w:p>
    <w:p w:rsidR="00000000" w:rsidDel="00000000" w:rsidP="00000000" w:rsidRDefault="00000000" w:rsidRPr="00000000" w14:paraId="00000D23">
      <w:pPr>
        <w:spacing w:before="96" w:lineRule="auto"/>
        <w:ind w:left="157" w:right="0" w:firstLine="0"/>
        <w:jc w:val="left"/>
        <w:rPr>
          <w:rFonts w:ascii="Trebuchet MS" w:cs="Trebuchet MS" w:eastAsia="Trebuchet MS" w:hAnsi="Trebuchet MS"/>
          <w:sz w:val="16"/>
          <w:szCs w:val="16"/>
        </w:rPr>
      </w:pPr>
      <w:r w:rsidDel="00000000" w:rsidR="00000000" w:rsidRPr="00000000">
        <w:rPr>
          <w:rtl w:val="0"/>
        </w:rPr>
      </w:r>
    </w:p>
    <w:p w:rsidR="00000000" w:rsidDel="00000000" w:rsidP="00000000" w:rsidRDefault="00000000" w:rsidRPr="00000000" w14:paraId="00000D24">
      <w:pPr>
        <w:spacing w:before="96" w:lineRule="auto"/>
        <w:ind w:left="157" w:right="0" w:firstLine="0"/>
        <w:jc w:val="left"/>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To cite: Galimzhanov A, Sabitov Y, Tenekecioglu E, et al. Heart 2022;108:1792–1799</w:t>
      </w:r>
      <w:r w:rsidDel="00000000" w:rsidR="00000000" w:rsidRPr="00000000">
        <w:br w:type="column"/>
      </w:r>
      <w:r w:rsidDel="00000000" w:rsidR="00000000" w:rsidRPr="00000000">
        <w:rPr>
          <w:rFonts w:ascii="Trebuchet MS" w:cs="Trebuchet MS" w:eastAsia="Trebuchet MS" w:hAnsi="Trebuchet MS"/>
          <w:color w:val="231f20"/>
          <w:sz w:val="16"/>
          <w:szCs w:val="16"/>
          <w:rtl w:val="0"/>
        </w:rPr>
        <w:t xml:space="preserve">Original research</w:t>
      </w:r>
      <w:r w:rsidDel="00000000" w:rsidR="00000000" w:rsidRPr="00000000">
        <w:rPr>
          <w:rtl w:val="0"/>
        </w:rPr>
      </w:r>
    </w:p>
    <w:p w:rsidR="00000000" w:rsidDel="00000000" w:rsidP="00000000" w:rsidRDefault="00000000" w:rsidRPr="00000000" w14:paraId="00000D25">
      <w:pPr>
        <w:spacing w:before="131" w:line="246.99999999999994" w:lineRule="auto"/>
        <w:ind w:left="157" w:right="0" w:firstLine="0"/>
        <w:jc w:val="both"/>
        <w:rPr>
          <w:rFonts w:ascii="Trebuchet MS" w:cs="Trebuchet MS" w:eastAsia="Trebuchet MS" w:hAnsi="Trebuchet MS"/>
          <w:sz w:val="40"/>
          <w:szCs w:val="40"/>
        </w:rPr>
      </w:pPr>
      <w:r w:rsidDel="00000000" w:rsidR="00000000" w:rsidRPr="00000000">
        <w:rPr>
          <w:rFonts w:ascii="Trebuchet MS" w:cs="Trebuchet MS" w:eastAsia="Trebuchet MS" w:hAnsi="Trebuchet MS"/>
          <w:color w:val="231f20"/>
          <w:sz w:val="40"/>
          <w:szCs w:val="40"/>
          <w:rtl w:val="0"/>
        </w:rPr>
        <w:t xml:space="preserve">Baseline platelet count in percutaneous coronary intervention: a dose–response meta-analysis</w:t>
      </w:r>
      <w:r w:rsidDel="00000000" w:rsidR="00000000" w:rsidRPr="00000000">
        <w:rPr>
          <w:rtl w:val="0"/>
        </w:rPr>
      </w:r>
    </w:p>
    <w:p w:rsidR="00000000" w:rsidDel="00000000" w:rsidP="00000000" w:rsidRDefault="00000000" w:rsidRPr="00000000" w14:paraId="00000D26">
      <w:pPr>
        <w:spacing w:before="187" w:lineRule="auto"/>
        <w:ind w:left="157" w:right="1351" w:hanging="0.9999999999999964"/>
        <w:jc w:val="left"/>
        <w:rPr>
          <w:rFonts w:ascii="Trebuchet MS" w:cs="Trebuchet MS" w:eastAsia="Trebuchet MS" w:hAnsi="Trebuchet MS"/>
          <w:sz w:val="26"/>
          <w:szCs w:val="26"/>
        </w:rPr>
      </w:pPr>
      <w:r w:rsidDel="00000000" w:rsidR="00000000" w:rsidRPr="00000000">
        <w:rPr>
          <w:rFonts w:ascii="Trebuchet MS" w:cs="Trebuchet MS" w:eastAsia="Trebuchet MS" w:hAnsi="Trebuchet MS"/>
          <w:color w:val="231f20"/>
          <w:sz w:val="26"/>
          <w:szCs w:val="26"/>
          <w:rtl w:val="0"/>
        </w:rPr>
        <w:t xml:space="preserve">Akhmetzhan Galimzhanov </w:t>
      </w:r>
      <w:r w:rsidDel="00000000" w:rsidR="00000000" w:rsidRPr="00000000">
        <w:rPr>
          <w:rFonts w:ascii="Trebuchet MS" w:cs="Trebuchet MS" w:eastAsia="Trebuchet MS" w:hAnsi="Trebuchet MS"/>
          <w:color w:val="231f20"/>
          <w:sz w:val="26"/>
          <w:szCs w:val="26"/>
        </w:rPr>
        <w:drawing>
          <wp:inline distB="0" distT="0" distL="0" distR="0">
            <wp:extent cx="114338" cy="114300"/>
            <wp:effectExtent b="0" l="0" r="0" t="0"/>
            <wp:docPr id="473" name="image10.png"/>
            <a:graphic>
              <a:graphicData uri="http://schemas.openxmlformats.org/drawingml/2006/picture">
                <pic:pic>
                  <pic:nvPicPr>
                    <pic:cNvPr id="0" name="image10.png"/>
                    <pic:cNvPicPr preferRelativeResize="0"/>
                  </pic:nvPicPr>
                  <pic:blipFill>
                    <a:blip r:embed="rId253"/>
                    <a:srcRect b="0" l="0" r="0" t="0"/>
                    <a:stretch>
                      <a:fillRect/>
                    </a:stretch>
                  </pic:blipFill>
                  <pic:spPr>
                    <a:xfrm>
                      <a:off x="0" y="0"/>
                      <a:ext cx="114338" cy="114300"/>
                    </a:xfrm>
                    <a:prstGeom prst="rect"/>
                    <a:ln/>
                  </pic:spPr>
                </pic:pic>
              </a:graphicData>
            </a:graphic>
          </wp:inline>
        </w:drawing>
      </w:r>
      <w:r w:rsidDel="00000000" w:rsidR="00000000" w:rsidRPr="00000000">
        <w:rPr>
          <w:color w:val="231f20"/>
          <w:sz w:val="26"/>
          <w:szCs w:val="26"/>
          <w:rtl w:val="0"/>
        </w:rPr>
        <w:t xml:space="preserve"> </w:t>
      </w:r>
      <w:r w:rsidDel="00000000" w:rsidR="00000000" w:rsidRPr="00000000">
        <w:rPr>
          <w:rFonts w:ascii="Trebuchet MS" w:cs="Trebuchet MS" w:eastAsia="Trebuchet MS" w:hAnsi="Trebuchet MS"/>
          <w:color w:val="231f20"/>
          <w:sz w:val="26"/>
          <w:szCs w:val="26"/>
          <w:rtl w:val="0"/>
        </w:rPr>
        <w:t xml:space="preserve">,</w:t>
      </w:r>
      <w:r w:rsidDel="00000000" w:rsidR="00000000" w:rsidRPr="00000000">
        <w:rPr>
          <w:rFonts w:ascii="Trebuchet MS" w:cs="Trebuchet MS" w:eastAsia="Trebuchet MS" w:hAnsi="Trebuchet MS"/>
          <w:color w:val="231f20"/>
          <w:sz w:val="26"/>
          <w:szCs w:val="26"/>
          <w:vertAlign w:val="superscript"/>
          <w:rtl w:val="0"/>
        </w:rPr>
        <w:t xml:space="preserve">1</w:t>
      </w:r>
      <w:r w:rsidDel="00000000" w:rsidR="00000000" w:rsidRPr="00000000">
        <w:rPr>
          <w:rFonts w:ascii="Trebuchet MS" w:cs="Trebuchet MS" w:eastAsia="Trebuchet MS" w:hAnsi="Trebuchet MS"/>
          <w:color w:val="231f20"/>
          <w:sz w:val="26"/>
          <w:szCs w:val="26"/>
          <w:vertAlign w:val="baseline"/>
          <w:rtl w:val="0"/>
        </w:rPr>
        <w:t xml:space="preserve"> Yersyn Sabitov,</w:t>
      </w:r>
      <w:r w:rsidDel="00000000" w:rsidR="00000000" w:rsidRPr="00000000">
        <w:rPr>
          <w:rFonts w:ascii="Trebuchet MS" w:cs="Trebuchet MS" w:eastAsia="Trebuchet MS" w:hAnsi="Trebuchet MS"/>
          <w:color w:val="231f20"/>
          <w:sz w:val="26"/>
          <w:szCs w:val="26"/>
          <w:vertAlign w:val="superscript"/>
          <w:rtl w:val="0"/>
        </w:rPr>
        <w:t xml:space="preserve">2</w:t>
      </w:r>
      <w:r w:rsidDel="00000000" w:rsidR="00000000" w:rsidRPr="00000000">
        <w:rPr>
          <w:rFonts w:ascii="Trebuchet MS" w:cs="Trebuchet MS" w:eastAsia="Trebuchet MS" w:hAnsi="Trebuchet MS"/>
          <w:color w:val="231f20"/>
          <w:sz w:val="26"/>
          <w:szCs w:val="26"/>
          <w:vertAlign w:val="baseline"/>
          <w:rtl w:val="0"/>
        </w:rPr>
        <w:t xml:space="preserve"> Erhan Tenekecioglu,</w:t>
      </w:r>
      <w:r w:rsidDel="00000000" w:rsidR="00000000" w:rsidRPr="00000000">
        <w:rPr>
          <w:rFonts w:ascii="Trebuchet MS" w:cs="Trebuchet MS" w:eastAsia="Trebuchet MS" w:hAnsi="Trebuchet MS"/>
          <w:color w:val="231f20"/>
          <w:sz w:val="26"/>
          <w:szCs w:val="26"/>
          <w:vertAlign w:val="superscript"/>
          <w:rtl w:val="0"/>
        </w:rPr>
        <w:t xml:space="preserve">3,4</w:t>
      </w:r>
      <w:r w:rsidDel="00000000" w:rsidR="00000000" w:rsidRPr="00000000">
        <w:rPr>
          <w:rFonts w:ascii="Trebuchet MS" w:cs="Trebuchet MS" w:eastAsia="Trebuchet MS" w:hAnsi="Trebuchet MS"/>
          <w:color w:val="231f20"/>
          <w:sz w:val="26"/>
          <w:szCs w:val="26"/>
          <w:vertAlign w:val="baseline"/>
          <w:rtl w:val="0"/>
        </w:rPr>
        <w:t xml:space="preserve"> Han Naung Tun,</w:t>
      </w:r>
      <w:r w:rsidDel="00000000" w:rsidR="00000000" w:rsidRPr="00000000">
        <w:rPr>
          <w:rFonts w:ascii="Trebuchet MS" w:cs="Trebuchet MS" w:eastAsia="Trebuchet MS" w:hAnsi="Trebuchet MS"/>
          <w:color w:val="231f20"/>
          <w:sz w:val="26"/>
          <w:szCs w:val="26"/>
          <w:vertAlign w:val="superscript"/>
          <w:rtl w:val="0"/>
        </w:rPr>
        <w:t xml:space="preserve">5</w:t>
      </w:r>
      <w:r w:rsidDel="00000000" w:rsidR="00000000" w:rsidRPr="00000000">
        <w:rPr>
          <w:rFonts w:ascii="Trebuchet MS" w:cs="Trebuchet MS" w:eastAsia="Trebuchet MS" w:hAnsi="Trebuchet MS"/>
          <w:color w:val="231f20"/>
          <w:sz w:val="26"/>
          <w:szCs w:val="26"/>
          <w:vertAlign w:val="baseline"/>
          <w:rtl w:val="0"/>
        </w:rPr>
        <w:t xml:space="preserve"> Mirvat Alasnag,</w:t>
      </w:r>
      <w:r w:rsidDel="00000000" w:rsidR="00000000" w:rsidRPr="00000000">
        <w:rPr>
          <w:rFonts w:ascii="Trebuchet MS" w:cs="Trebuchet MS" w:eastAsia="Trebuchet MS" w:hAnsi="Trebuchet MS"/>
          <w:color w:val="231f20"/>
          <w:sz w:val="26"/>
          <w:szCs w:val="26"/>
          <w:vertAlign w:val="superscript"/>
          <w:rtl w:val="0"/>
        </w:rPr>
        <w:t xml:space="preserve">6</w:t>
      </w:r>
      <w:r w:rsidDel="00000000" w:rsidR="00000000" w:rsidRPr="00000000">
        <w:rPr>
          <w:rFonts w:ascii="Trebuchet MS" w:cs="Trebuchet MS" w:eastAsia="Trebuchet MS" w:hAnsi="Trebuchet MS"/>
          <w:color w:val="231f20"/>
          <w:sz w:val="26"/>
          <w:szCs w:val="26"/>
          <w:vertAlign w:val="baseline"/>
          <w:rtl w:val="0"/>
        </w:rPr>
        <w:t xml:space="preserve"> Mamas A Mamas</w:t>
      </w:r>
      <w:r w:rsidDel="00000000" w:rsidR="00000000" w:rsidRPr="00000000">
        <w:rPr>
          <w:rFonts w:ascii="Trebuchet MS" w:cs="Trebuchet MS" w:eastAsia="Trebuchet MS" w:hAnsi="Trebuchet MS"/>
          <w:color w:val="231f20"/>
          <w:sz w:val="26"/>
          <w:szCs w:val="26"/>
          <w:vertAlign w:val="superscript"/>
          <w:rtl w:val="0"/>
        </w:rPr>
        <w:t xml:space="preserve">7</w:t>
      </w:r>
      <w:r w:rsidDel="00000000" w:rsidR="00000000" w:rsidRPr="00000000">
        <w:rPr>
          <w:rtl w:val="0"/>
        </w:rPr>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rebuchet MS" w:cs="Trebuchet MS" w:eastAsia="Trebuchet MS" w:hAnsi="Trebuchet M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28">
      <w:pPr>
        <w:pStyle w:val="Heading3"/>
        <w:spacing w:before="1" w:line="220" w:lineRule="auto"/>
        <w:ind w:left="157" w:firstLine="0"/>
        <w:rPr/>
      </w:pPr>
      <w:r w:rsidDel="00000000" w:rsidR="00000000" w:rsidRPr="00000000">
        <w:rPr>
          <w:color w:val="231f20"/>
          <w:rtl w:val="0"/>
        </w:rPr>
        <w:t xml:space="preserve">ABSTRACT</w:t>
      </w:r>
      <w:r w:rsidDel="00000000" w:rsidR="00000000" w:rsidRPr="00000000">
        <w:rPr>
          <w:rtl w:val="0"/>
        </w:rPr>
      </w:r>
    </w:p>
    <w:p w:rsidR="00000000" w:rsidDel="00000000" w:rsidP="00000000" w:rsidRDefault="00000000" w:rsidRPr="00000000" w14:paraId="00000D29">
      <w:pPr>
        <w:spacing w:before="0" w:lineRule="auto"/>
        <w:ind w:left="157" w:right="128.62204724409423" w:firstLine="0"/>
        <w:jc w:val="both"/>
        <w:rPr>
          <w:rFonts w:ascii="Trebuchet MS" w:cs="Trebuchet MS" w:eastAsia="Trebuchet MS" w:hAnsi="Trebuchet MS"/>
          <w:sz w:val="19"/>
          <w:szCs w:val="19"/>
        </w:rPr>
      </w:pPr>
      <w:r w:rsidDel="00000000" w:rsidR="00000000" w:rsidRPr="00000000">
        <w:rPr>
          <w:rFonts w:ascii="Trebuchet MS" w:cs="Trebuchet MS" w:eastAsia="Trebuchet MS" w:hAnsi="Trebuchet MS"/>
          <w:b w:val="1"/>
          <w:color w:val="231f20"/>
          <w:sz w:val="19"/>
          <w:szCs w:val="19"/>
          <w:rtl w:val="0"/>
        </w:rPr>
        <w:t xml:space="preserve">Objectives </w:t>
      </w:r>
      <w:r w:rsidDel="00000000" w:rsidR="00000000" w:rsidRPr="00000000">
        <w:rPr>
          <w:rFonts w:ascii="Trebuchet MS" w:cs="Trebuchet MS" w:eastAsia="Trebuchet MS" w:hAnsi="Trebuchet MS"/>
          <w:color w:val="231f20"/>
          <w:sz w:val="19"/>
          <w:szCs w:val="19"/>
          <w:rtl w:val="0"/>
        </w:rPr>
        <w:t xml:space="preserve">The nature of the relationship between baseline platelet count and clinical outcomes following percutaneous coronary intervention (PCI) is unclear. We undertook dose–response and pairwise meta-analyses to better describe the prognostic value of the initial platelet count and clinical endpoints in patients after PCI. </w:t>
      </w:r>
      <w:r w:rsidDel="00000000" w:rsidR="00000000" w:rsidRPr="00000000">
        <w:rPr>
          <w:rFonts w:ascii="Trebuchet MS" w:cs="Trebuchet MS" w:eastAsia="Trebuchet MS" w:hAnsi="Trebuchet MS"/>
          <w:b w:val="1"/>
          <w:color w:val="231f20"/>
          <w:sz w:val="19"/>
          <w:szCs w:val="19"/>
          <w:rtl w:val="0"/>
        </w:rPr>
        <w:t xml:space="preserve">Methods </w:t>
      </w:r>
      <w:r w:rsidDel="00000000" w:rsidR="00000000" w:rsidRPr="00000000">
        <w:rPr>
          <w:rFonts w:ascii="Trebuchet MS" w:cs="Trebuchet MS" w:eastAsia="Trebuchet MS" w:hAnsi="Trebuchet MS"/>
          <w:color w:val="231f20"/>
          <w:sz w:val="19"/>
          <w:szCs w:val="19"/>
          <w:rtl w:val="0"/>
        </w:rPr>
        <w:t xml:space="preserve">A search of PubMed, Scopus and Web of Science (up to 9 October 2021) was performed to identify studies that evaluated the association between platelet count and clinical outcomes following PCI. The primary outcomes of interest were all-cause mortality, major adverse cardiovascular events (MACE) and major bleeding. We performed random-effects pairwise and one-stage dose–response meta-analyses by calculating HRs and 95% CIs.</w:t>
      </w:r>
      <w:r w:rsidDel="00000000" w:rsidR="00000000" w:rsidRPr="00000000">
        <w:rPr>
          <w:rtl w:val="0"/>
        </w:rPr>
      </w:r>
    </w:p>
    <w:p w:rsidR="00000000" w:rsidDel="00000000" w:rsidP="00000000" w:rsidRDefault="00000000" w:rsidRPr="00000000" w14:paraId="00000D2A">
      <w:pPr>
        <w:spacing w:before="0" w:line="240" w:lineRule="auto"/>
        <w:ind w:left="157" w:right="120" w:firstLine="0"/>
        <w:jc w:val="both"/>
        <w:rPr>
          <w:rFonts w:ascii="Trebuchet MS" w:cs="Trebuchet MS" w:eastAsia="Trebuchet MS" w:hAnsi="Trebuchet MS"/>
          <w:sz w:val="19"/>
          <w:szCs w:val="19"/>
        </w:rPr>
      </w:pPr>
      <w:r w:rsidDel="00000000" w:rsidR="00000000" w:rsidRPr="00000000">
        <w:rPr>
          <w:rFonts w:ascii="Trebuchet MS" w:cs="Trebuchet MS" w:eastAsia="Trebuchet MS" w:hAnsi="Trebuchet MS"/>
          <w:b w:val="1"/>
          <w:color w:val="231f20"/>
          <w:sz w:val="19"/>
          <w:szCs w:val="19"/>
          <w:rtl w:val="0"/>
        </w:rPr>
        <w:t xml:space="preserve">Results </w:t>
      </w:r>
      <w:r w:rsidDel="00000000" w:rsidR="00000000" w:rsidRPr="00000000">
        <w:rPr>
          <w:rFonts w:ascii="Trebuchet MS" w:cs="Trebuchet MS" w:eastAsia="Trebuchet MS" w:hAnsi="Trebuchet MS"/>
          <w:color w:val="231f20"/>
          <w:sz w:val="19"/>
          <w:szCs w:val="19"/>
          <w:rtl w:val="0"/>
        </w:rPr>
        <w:t xml:space="preserve">The meta-analysis included 19 studies with 217 459 patients. We report a J-shaped relationship between baseline thrombocyte counts and all-cause death, MACE and major bleeding at follow-up. The risk of haemorrhagic events exceeded the risk of thrombotic events at low platelet counts (&lt;175×10</w:t>
      </w:r>
      <w:r w:rsidDel="00000000" w:rsidR="00000000" w:rsidRPr="00000000">
        <w:rPr>
          <w:rFonts w:ascii="Trebuchet MS" w:cs="Trebuchet MS" w:eastAsia="Trebuchet MS" w:hAnsi="Trebuchet MS"/>
          <w:color w:val="231f20"/>
          <w:sz w:val="19"/>
          <w:szCs w:val="19"/>
          <w:vertAlign w:val="superscript"/>
          <w:rtl w:val="0"/>
        </w:rPr>
        <w:t xml:space="preserve">9</w:t>
      </w:r>
      <w:r w:rsidDel="00000000" w:rsidR="00000000" w:rsidRPr="00000000">
        <w:rPr>
          <w:rFonts w:ascii="Trebuchet MS" w:cs="Trebuchet MS" w:eastAsia="Trebuchet MS" w:hAnsi="Trebuchet MS"/>
          <w:color w:val="231f20"/>
          <w:sz w:val="19"/>
          <w:szCs w:val="19"/>
          <w:vertAlign w:val="baseline"/>
          <w:rtl w:val="0"/>
        </w:rPr>
        <w:t xml:space="preserve">/L), while </w:t>
      </w:r>
      <w:r w:rsidDel="00000000" w:rsidR="00000000" w:rsidRPr="00000000">
        <w:rPr>
          <w:rFonts w:ascii="Trebuchet MS" w:cs="Trebuchet MS" w:eastAsia="Trebuchet MS" w:hAnsi="Trebuchet MS"/>
          <w:color w:val="231f20"/>
          <w:sz w:val="19"/>
          <w:szCs w:val="19"/>
          <w:rtl w:val="0"/>
        </w:rPr>
        <w:t xml:space="preserve">a predominant ischaemic risk was observed at high platelet counts (&gt;250×10</w:t>
      </w:r>
      <w:r w:rsidDel="00000000" w:rsidR="00000000" w:rsidRPr="00000000">
        <w:rPr>
          <w:rFonts w:ascii="Trebuchet MS" w:cs="Trebuchet MS" w:eastAsia="Trebuchet MS" w:hAnsi="Trebuchet MS"/>
          <w:color w:val="231f20"/>
          <w:sz w:val="19"/>
          <w:szCs w:val="19"/>
          <w:vertAlign w:val="superscript"/>
          <w:rtl w:val="0"/>
        </w:rPr>
        <w:t xml:space="preserve">9</w:t>
      </w:r>
      <w:r w:rsidDel="00000000" w:rsidR="00000000" w:rsidRPr="00000000">
        <w:rPr>
          <w:rFonts w:ascii="Trebuchet MS" w:cs="Trebuchet MS" w:eastAsia="Trebuchet MS" w:hAnsi="Trebuchet MS"/>
          <w:color w:val="231f20"/>
          <w:sz w:val="19"/>
          <w:szCs w:val="19"/>
          <w:vertAlign w:val="baseline"/>
          <w:rtl w:val="0"/>
        </w:rPr>
        <w:t xml:space="preserve">/L). Pairwise meta-analyses revealed a robust link between initial platelet counts and the risk of postdischarge all-cause mortality, major bleeding (for thrombocytopenia: HR 1.39, 95% CI 1.30</w:t>
      </w:r>
      <w:r w:rsidDel="00000000" w:rsidR="00000000" w:rsidRPr="00000000">
        <w:rPr>
          <w:rFonts w:ascii="Trebuchet MS" w:cs="Trebuchet MS" w:eastAsia="Trebuchet MS" w:hAnsi="Trebuchet MS"/>
          <w:sz w:val="19"/>
          <w:szCs w:val="19"/>
          <w:rtl w:val="0"/>
        </w:rPr>
        <w:t xml:space="preserve"> </w:t>
      </w:r>
      <w:r w:rsidDel="00000000" w:rsidR="00000000" w:rsidRPr="00000000">
        <w:rPr>
          <w:rFonts w:ascii="Trebuchet MS" w:cs="Trebuchet MS" w:eastAsia="Trebuchet MS" w:hAnsi="Trebuchet MS"/>
          <w:color w:val="231f20"/>
          <w:sz w:val="19"/>
          <w:szCs w:val="19"/>
          <w:rtl w:val="0"/>
        </w:rPr>
        <w:t xml:space="preserve">to 1.49; HR 1.51, 95% CI 1.15 to 2.00, respectively) and</w:t>
      </w:r>
      <w:r w:rsidDel="00000000" w:rsidR="00000000" w:rsidRPr="00000000">
        <w:rPr>
          <w:rFonts w:ascii="Trebuchet MS" w:cs="Trebuchet MS" w:eastAsia="Trebuchet MS" w:hAnsi="Trebuchet MS"/>
          <w:sz w:val="19"/>
          <w:szCs w:val="19"/>
          <w:rtl w:val="0"/>
        </w:rPr>
        <w:t xml:space="preserve"> </w:t>
      </w:r>
      <w:r w:rsidDel="00000000" w:rsidR="00000000" w:rsidRPr="00000000">
        <w:rPr>
          <w:rFonts w:ascii="Trebuchet MS" w:cs="Trebuchet MS" w:eastAsia="Trebuchet MS" w:hAnsi="Trebuchet MS"/>
          <w:color w:val="231f20"/>
          <w:sz w:val="19"/>
          <w:szCs w:val="19"/>
          <w:rtl w:val="0"/>
        </w:rPr>
        <w:t xml:space="preserve">future death from any cause and MACE (thrombocytosis: HR 1.60, 95% CI 1.29 to 1.98; HR 1.47, 95% CI 1.22 to 1.78, respectively).</w:t>
      </w:r>
      <w:r w:rsidDel="00000000" w:rsidR="00000000" w:rsidRPr="00000000">
        <w:rPr>
          <w:rtl w:val="0"/>
        </w:rPr>
      </w:r>
    </w:p>
    <w:p w:rsidR="00000000" w:rsidDel="00000000" w:rsidP="00000000" w:rsidRDefault="00000000" w:rsidRPr="00000000" w14:paraId="00000D2B">
      <w:pPr>
        <w:spacing w:before="0" w:lineRule="auto"/>
        <w:ind w:left="191" w:right="90" w:firstLine="0"/>
        <w:jc w:val="both"/>
        <w:rPr>
          <w:rFonts w:ascii="Trebuchet MS" w:cs="Trebuchet MS" w:eastAsia="Trebuchet MS" w:hAnsi="Trebuchet MS"/>
          <w:sz w:val="19"/>
          <w:szCs w:val="19"/>
        </w:rPr>
      </w:pPr>
      <w:r w:rsidDel="00000000" w:rsidR="00000000" w:rsidRPr="00000000">
        <w:rPr>
          <w:rFonts w:ascii="Trebuchet MS" w:cs="Trebuchet MS" w:eastAsia="Trebuchet MS" w:hAnsi="Trebuchet MS"/>
          <w:b w:val="1"/>
          <w:color w:val="231f20"/>
          <w:sz w:val="19"/>
          <w:szCs w:val="19"/>
          <w:rtl w:val="0"/>
        </w:rPr>
        <w:t xml:space="preserve">Conclusion </w:t>
      </w:r>
      <w:r w:rsidDel="00000000" w:rsidR="00000000" w:rsidRPr="00000000">
        <w:rPr>
          <w:rFonts w:ascii="Trebuchet MS" w:cs="Trebuchet MS" w:eastAsia="Trebuchet MS" w:hAnsi="Trebuchet MS"/>
          <w:color w:val="231f20"/>
          <w:sz w:val="19"/>
          <w:szCs w:val="19"/>
          <w:rtl w:val="0"/>
        </w:rPr>
        <w:t xml:space="preserve">Low platelet counts were associated with the predominant bleeding risk, while high platelet counts were only associated with the ischaemic events.</w:t>
      </w:r>
      <w:r w:rsidDel="00000000" w:rsidR="00000000" w:rsidRPr="00000000">
        <w:rPr>
          <w:rtl w:val="0"/>
        </w:rPr>
      </w:r>
    </w:p>
    <w:p w:rsidR="00000000" w:rsidDel="00000000" w:rsidP="00000000" w:rsidRDefault="00000000" w:rsidRPr="00000000" w14:paraId="00000D2C">
      <w:pPr>
        <w:spacing w:before="0" w:line="219" w:lineRule="auto"/>
        <w:ind w:left="191" w:right="0" w:firstLine="0"/>
        <w:jc w:val="left"/>
        <w:rPr>
          <w:rFonts w:ascii="Trebuchet MS" w:cs="Trebuchet MS" w:eastAsia="Trebuchet MS" w:hAnsi="Trebuchet MS"/>
          <w:sz w:val="19"/>
          <w:szCs w:val="19"/>
        </w:rPr>
      </w:pPr>
      <w:r w:rsidDel="00000000" w:rsidR="00000000" w:rsidRPr="00000000">
        <w:rPr>
          <w:rFonts w:ascii="Trebuchet MS" w:cs="Trebuchet MS" w:eastAsia="Trebuchet MS" w:hAnsi="Trebuchet MS"/>
          <w:b w:val="1"/>
          <w:color w:val="231f20"/>
          <w:sz w:val="19"/>
          <w:szCs w:val="19"/>
          <w:rtl w:val="0"/>
        </w:rPr>
        <w:t xml:space="preserve">PROSPERO registration number </w:t>
      </w:r>
      <w:r w:rsidDel="00000000" w:rsidR="00000000" w:rsidRPr="00000000">
        <w:rPr>
          <w:rFonts w:ascii="Trebuchet MS" w:cs="Trebuchet MS" w:eastAsia="Trebuchet MS" w:hAnsi="Trebuchet MS"/>
          <w:color w:val="231f20"/>
          <w:sz w:val="19"/>
          <w:szCs w:val="19"/>
          <w:rtl w:val="0"/>
        </w:rPr>
        <w:t xml:space="preserve">CRD42021283270.</w:t>
      </w:r>
      <w:r w:rsidDel="00000000" w:rsidR="00000000" w:rsidRPr="00000000">
        <w:rPr>
          <w:rtl w:val="0"/>
        </w:rPr>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304800</wp:posOffset>
                </wp:positionH>
                <wp:positionV relativeFrom="paragraph">
                  <wp:posOffset>38100</wp:posOffset>
                </wp:positionV>
                <wp:extent cx="1270" cy="12700"/>
                <wp:effectExtent b="0" l="0" r="0" t="0"/>
                <wp:wrapTopAndBottom distB="0" distT="0"/>
                <wp:docPr id="384" name=""/>
                <a:graphic>
                  <a:graphicData uri="http://schemas.microsoft.com/office/word/2010/wordprocessingShape">
                    <wps:wsp>
                      <wps:cNvSpPr/>
                      <wps:cNvPr id="34" name="Shape 34"/>
                      <wps:spPr>
                        <a:xfrm>
                          <a:off x="4694490" y="3779365"/>
                          <a:ext cx="1303020" cy="1270"/>
                        </a:xfrm>
                        <a:custGeom>
                          <a:rect b="b" l="l" r="r" t="t"/>
                          <a:pathLst>
                            <a:path extrusionOk="0" h="120000" w="1303020">
                              <a:moveTo>
                                <a:pt x="0" y="0"/>
                              </a:moveTo>
                              <a:lnTo>
                                <a:pt x="1302410" y="0"/>
                              </a:lnTo>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304800</wp:posOffset>
                </wp:positionH>
                <wp:positionV relativeFrom="paragraph">
                  <wp:posOffset>38100</wp:posOffset>
                </wp:positionV>
                <wp:extent cx="1270" cy="12700"/>
                <wp:effectExtent b="0" l="0" r="0" t="0"/>
                <wp:wrapTopAndBottom distB="0" distT="0"/>
                <wp:docPr id="384" name="image28.png"/>
                <a:graphic>
                  <a:graphicData uri="http://schemas.openxmlformats.org/drawingml/2006/picture">
                    <pic:pic>
                      <pic:nvPicPr>
                        <pic:cNvPr id="0" name="image28.png"/>
                        <pic:cNvPicPr preferRelativeResize="0"/>
                      </pic:nvPicPr>
                      <pic:blipFill>
                        <a:blip r:embed="rId254"/>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D2E">
      <w:pPr>
        <w:pStyle w:val="Heading3"/>
        <w:ind w:left="191" w:firstLine="0"/>
        <w:rPr/>
      </w:pPr>
      <w:r w:rsidDel="00000000" w:rsidR="00000000" w:rsidRPr="00000000">
        <w:rPr>
          <w:color w:val="231f20"/>
          <w:rtl w:val="0"/>
        </w:rPr>
        <w:t xml:space="preserve">INTRODUCTION</w:t>
      </w:r>
      <w:r w:rsidDel="00000000" w:rsidR="00000000" w:rsidRPr="00000000">
        <w:rPr>
          <w:rtl w:val="0"/>
        </w:rPr>
      </w:r>
    </w:p>
    <w:p w:rsidR="00000000" w:rsidDel="00000000" w:rsidP="00000000" w:rsidRDefault="00000000" w:rsidRPr="00000000" w14:paraId="00000D2F">
      <w:pPr>
        <w:spacing w:before="6" w:line="249" w:lineRule="auto"/>
        <w:ind w:left="191" w:right="0" w:firstLine="234.19685039370057"/>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Percutaneous coronary intervention (PCI) is the most commonly performed revascularisation procedure in patients with coronary artery disease (CAD).</w:t>
      </w:r>
      <w:hyperlink w:anchor="_heading=h.1qoc8b1">
        <w:r w:rsidDel="00000000" w:rsidR="00000000" w:rsidRPr="00000000">
          <w:rPr>
            <w:rFonts w:ascii="Cambria" w:cs="Cambria" w:eastAsia="Cambria" w:hAnsi="Cambria"/>
            <w:color w:val="0000ff"/>
            <w:sz w:val="18"/>
            <w:szCs w:val="18"/>
            <w:vertAlign w:val="superscript"/>
            <w:rtl w:val="0"/>
          </w:rPr>
          <w:t xml:space="preserve">1</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Although long-term results of PCI have improved, these patients are still at risk of adverse clinical outcomes that include both ischaemic and major bleeding complications.</w:t>
      </w:r>
      <w:hyperlink w:anchor="_heading=h.4anzqyu">
        <w:r w:rsidDel="00000000" w:rsidR="00000000" w:rsidRPr="00000000">
          <w:rPr>
            <w:rFonts w:ascii="Cambria" w:cs="Cambria" w:eastAsia="Cambria" w:hAnsi="Cambria"/>
            <w:color w:val="0000ff"/>
            <w:sz w:val="18"/>
            <w:szCs w:val="18"/>
            <w:vertAlign w:val="superscript"/>
            <w:rtl w:val="0"/>
          </w:rPr>
          <w:t xml:space="preserve">2</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Antiplatelet agents are central to the antithrombotic regimes used in PCI, with contemporary regimes using dual antiplatelet therapy consisting of the combination of aspirin and an oral inhibitor of the platelet</w:t>
      </w:r>
      <w:r w:rsidDel="00000000" w:rsidR="00000000" w:rsidRPr="00000000">
        <w:rPr>
          <w:rFonts w:ascii="Cambria" w:cs="Cambria" w:eastAsia="Cambria" w:hAnsi="Cambria"/>
          <w:color w:val="231f20"/>
          <w:sz w:val="18"/>
          <w:szCs w:val="18"/>
          <w:rtl w:val="0"/>
        </w:rPr>
        <w:t xml:space="preserve"> </w:t>
      </w:r>
      <w:r w:rsidDel="00000000" w:rsidR="00000000" w:rsidRPr="00000000">
        <w:rPr>
          <w:rFonts w:ascii="Cambria" w:cs="Cambria" w:eastAsia="Cambria" w:hAnsi="Cambria"/>
          <w:color w:val="231f20"/>
          <w:sz w:val="18"/>
          <w:szCs w:val="18"/>
          <w:vertAlign w:val="baseline"/>
          <w:rtl w:val="0"/>
        </w:rPr>
        <w:t xml:space="preserve">P2Y12 receptor for adenosine 5</w:t>
      </w:r>
      <w:r w:rsidDel="00000000" w:rsidR="00000000" w:rsidRPr="00000000">
        <w:rPr>
          <w:rFonts w:ascii="Noto Sans Symbols" w:cs="Noto Sans Symbols" w:eastAsia="Noto Sans Symbols" w:hAnsi="Noto Sans Symbols"/>
          <w:color w:val="231f20"/>
          <w:sz w:val="18"/>
          <w:szCs w:val="18"/>
          <w:vertAlign w:val="baseline"/>
          <w:rtl w:val="0"/>
        </w:rPr>
        <w:t xml:space="preserve">′</w:t>
      </w:r>
      <w:r w:rsidDel="00000000" w:rsidR="00000000" w:rsidRPr="00000000">
        <w:rPr>
          <w:rFonts w:ascii="Cambria" w:cs="Cambria" w:eastAsia="Cambria" w:hAnsi="Cambria"/>
          <w:color w:val="231f20"/>
          <w:sz w:val="18"/>
          <w:szCs w:val="18"/>
          <w:vertAlign w:val="baseline"/>
          <w:rtl w:val="0"/>
        </w:rPr>
        <w:t xml:space="preserve">-diphosphate.</w:t>
      </w:r>
      <w:hyperlink w:anchor="_heading=h.2pta16n">
        <w:r w:rsidDel="00000000" w:rsidR="00000000" w:rsidRPr="00000000">
          <w:rPr>
            <w:rFonts w:ascii="Cambria" w:cs="Cambria" w:eastAsia="Cambria" w:hAnsi="Cambria"/>
            <w:color w:val="0000ff"/>
            <w:sz w:val="18"/>
            <w:szCs w:val="18"/>
            <w:vertAlign w:val="superscript"/>
            <w:rtl w:val="0"/>
          </w:rPr>
          <w:t xml:space="preserve">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 potency and duration of antiplatelet agent is determined by both clinical characteristics and risk factor</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231f20"/>
          <w:sz w:val="18"/>
          <w:szCs w:val="18"/>
          <w:rtl w:val="0"/>
        </w:rPr>
        <w:t xml:space="preserve">profile of the patient as well as the indication for PCI.</w:t>
      </w:r>
      <w:hyperlink w:anchor="_heading=h.2pta16n">
        <w:r w:rsidDel="00000000" w:rsidR="00000000" w:rsidRPr="00000000">
          <w:rPr>
            <w:rFonts w:ascii="Cambria" w:cs="Cambria" w:eastAsia="Cambria" w:hAnsi="Cambria"/>
            <w:color w:val="0000ff"/>
            <w:sz w:val="18"/>
            <w:szCs w:val="18"/>
            <w:vertAlign w:val="superscript"/>
            <w:rtl w:val="0"/>
          </w:rPr>
          <w:t xml:space="preserve">3</w:t>
        </w:r>
      </w:hyperlink>
      <w:r w:rsidDel="00000000" w:rsidR="00000000" w:rsidRPr="00000000">
        <w:rPr>
          <w:rtl w:val="0"/>
        </w:rPr>
      </w:r>
    </w:p>
    <w:p w:rsidR="00000000" w:rsidDel="00000000" w:rsidP="00000000" w:rsidRDefault="00000000" w:rsidRPr="00000000" w14:paraId="00000D30">
      <w:pPr>
        <w:spacing w:before="0" w:line="249" w:lineRule="auto"/>
        <w:ind w:left="208" w:right="14.078740157481207" w:firstLine="217.1968503937006"/>
        <w:jc w:val="both"/>
        <w:rPr>
          <w:rFonts w:ascii="Cambria" w:cs="Cambria" w:eastAsia="Cambria" w:hAnsi="Cambria"/>
          <w:color w:val="231f20"/>
          <w:sz w:val="18"/>
          <w:szCs w:val="18"/>
          <w:vertAlign w:val="baseline"/>
        </w:rPr>
        <w:sectPr>
          <w:type w:val="continuous"/>
          <w:pgSz w:h="16840" w:w="11920" w:orient="portrait"/>
          <w:pgMar w:bottom="280" w:top="1060" w:left="620" w:right="640" w:header="456" w:footer="0"/>
          <w:cols w:equalWidth="0" w:num="1">
            <w:col w:space="0" w:w="10645.5"/>
          </w:cols>
        </w:sectPr>
      </w:pPr>
      <w:r w:rsidDel="00000000" w:rsidR="00000000" w:rsidRPr="00000000">
        <w:rPr>
          <w:rFonts w:ascii="Cambria" w:cs="Cambria" w:eastAsia="Cambria" w:hAnsi="Cambria"/>
          <w:color w:val="231f20"/>
          <w:sz w:val="18"/>
          <w:szCs w:val="18"/>
          <w:rtl w:val="0"/>
        </w:rPr>
        <w:t xml:space="preserve">Baseline platelet count is increasingly recognised as an important determinant of both periprocedural and longer term PCI outcomes and has been investigated in a number of prognostic studies previously.</w:t>
      </w:r>
      <w:hyperlink w:anchor="_heading=h.14ykbeg">
        <w:r w:rsidDel="00000000" w:rsidR="00000000" w:rsidRPr="00000000">
          <w:rPr>
            <w:rFonts w:ascii="Cambria" w:cs="Cambria" w:eastAsia="Cambria" w:hAnsi="Cambria"/>
            <w:color w:val="0000ff"/>
            <w:sz w:val="18"/>
            <w:szCs w:val="18"/>
            <w:vertAlign w:val="superscript"/>
            <w:rtl w:val="0"/>
          </w:rPr>
          <w:t xml:space="preserve">4–9</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Many of these previous reports have focused on thrombocytopenia that may occur postprocedurally or have characterised thrombocytopenia as a categorical variable without consideration of whether there is gradation of risk by absolute platelet count.</w:t>
      </w:r>
      <w:hyperlink w:anchor="_heading=h.3oy7u29">
        <w:r w:rsidDel="00000000" w:rsidR="00000000" w:rsidRPr="00000000">
          <w:rPr>
            <w:rFonts w:ascii="Cambria" w:cs="Cambria" w:eastAsia="Cambria" w:hAnsi="Cambria"/>
            <w:color w:val="0000ff"/>
            <w:sz w:val="18"/>
            <w:szCs w:val="18"/>
            <w:vertAlign w:val="superscript"/>
            <w:rtl w:val="0"/>
          </w:rPr>
          <w:t xml:space="preserve">5</w:t>
        </w:r>
      </w:hyperlink>
      <w:hyperlink w:anchor="_heading=h.3oy7u29">
        <w:r w:rsidDel="00000000" w:rsidR="00000000" w:rsidRPr="00000000">
          <w:rPr>
            <w:rFonts w:ascii="Cambria" w:cs="Cambria" w:eastAsia="Cambria" w:hAnsi="Cambria"/>
            <w:color w:val="0000ff"/>
            <w:sz w:val="18"/>
            <w:szCs w:val="18"/>
            <w:vertAlign w:val="baseline"/>
            <w:rtl w:val="0"/>
          </w:rPr>
          <w:t xml:space="preserve"> </w:t>
        </w:r>
      </w:hyperlink>
      <w:hyperlink w:anchor="_heading=h.3oy7u29">
        <w:r w:rsidDel="00000000" w:rsidR="00000000" w:rsidRPr="00000000">
          <w:rPr>
            <w:rFonts w:ascii="Cambria" w:cs="Cambria" w:eastAsia="Cambria" w:hAnsi="Cambria"/>
            <w:color w:val="0000ff"/>
            <w:sz w:val="18"/>
            <w:szCs w:val="18"/>
            <w:vertAlign w:val="superscript"/>
            <w:rtl w:val="0"/>
          </w:rPr>
          <w:t xml:space="preserve">10</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Previous studies have suggested that thrombocytopenia is associated with both an increase in major bleeding and ischaemic events, with no consideration around whether this balance changes across different platelet counts. Furthermore, few studies have investigated the prognostic value of thrombocytosis</w:t>
      </w:r>
      <w:hyperlink w:anchor="_heading=h.338fx5o">
        <w:r w:rsidDel="00000000" w:rsidR="00000000" w:rsidRPr="00000000">
          <w:rPr>
            <w:rFonts w:ascii="Cambria" w:cs="Cambria" w:eastAsia="Cambria" w:hAnsi="Cambria"/>
            <w:color w:val="0000ff"/>
            <w:sz w:val="18"/>
            <w:szCs w:val="18"/>
            <w:vertAlign w:val="superscript"/>
            <w:rtl w:val="0"/>
          </w:rPr>
          <w:t xml:space="preserve">11–13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with some studies considering platelet count as a linear variable.</w:t>
      </w:r>
      <w:hyperlink w:anchor="_heading=h.42ddq1a">
        <w:r w:rsidDel="00000000" w:rsidR="00000000" w:rsidRPr="00000000">
          <w:rPr>
            <w:rFonts w:ascii="Cambria" w:cs="Cambria" w:eastAsia="Cambria" w:hAnsi="Cambria"/>
            <w:color w:val="0000ff"/>
            <w:sz w:val="18"/>
            <w:szCs w:val="18"/>
            <w:vertAlign w:val="superscript"/>
            <w:rtl w:val="0"/>
          </w:rPr>
          <w:t xml:space="preserve">14</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While few studies have attempted to examine non-linear relationships between platelet counts and clinical outcomes,</w:t>
      </w:r>
      <w:hyperlink w:anchor="_heading=h.243i4a2">
        <w:r w:rsidDel="00000000" w:rsidR="00000000" w:rsidRPr="00000000">
          <w:rPr>
            <w:rFonts w:ascii="Cambria" w:cs="Cambria" w:eastAsia="Cambria" w:hAnsi="Cambria"/>
            <w:color w:val="0000ff"/>
            <w:sz w:val="18"/>
            <w:szCs w:val="18"/>
            <w:vertAlign w:val="superscript"/>
            <w:rtl w:val="0"/>
          </w:rPr>
          <w:t xml:space="preserve">6</w:t>
        </w:r>
      </w:hyperlink>
      <w:hyperlink w:anchor="_heading=h.243i4a2">
        <w:r w:rsidDel="00000000" w:rsidR="00000000" w:rsidRPr="00000000">
          <w:rPr>
            <w:rFonts w:ascii="Cambria" w:cs="Cambria" w:eastAsia="Cambria" w:hAnsi="Cambria"/>
            <w:color w:val="0000ff"/>
            <w:sz w:val="18"/>
            <w:szCs w:val="18"/>
            <w:vertAlign w:val="baseline"/>
            <w:rtl w:val="0"/>
          </w:rPr>
          <w:t xml:space="preserve"> </w:t>
        </w:r>
      </w:hyperlink>
      <w:hyperlink w:anchor="_heading=h.243i4a2">
        <w:r w:rsidDel="00000000" w:rsidR="00000000" w:rsidRPr="00000000">
          <w:rPr>
            <w:rFonts w:ascii="Cambria" w:cs="Cambria" w:eastAsia="Cambria" w:hAnsi="Cambria"/>
            <w:color w:val="0000ff"/>
            <w:sz w:val="18"/>
            <w:szCs w:val="18"/>
            <w:vertAlign w:val="superscript"/>
            <w:rtl w:val="0"/>
          </w:rPr>
          <w:t xml:space="preserve">12</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no dose–response meta-analysis has been conducted yet, and no consideration has been given to quantify net effect on bleeding/ischaemic risk at different platelet</w:t>
      </w:r>
    </w:p>
    <w:p w:rsidR="00000000" w:rsidDel="00000000" w:rsidP="00000000" w:rsidRDefault="00000000" w:rsidRPr="00000000" w14:paraId="00000D31">
      <w:pPr>
        <w:spacing w:before="0" w:line="249" w:lineRule="auto"/>
        <w:ind w:left="208" w:right="197" w:firstLine="179.99999999999997"/>
        <w:jc w:val="both"/>
        <w:rPr>
          <w:rFonts w:ascii="Cambria" w:cs="Cambria" w:eastAsia="Cambria" w:hAnsi="Cambria"/>
          <w:color w:val="231f20"/>
          <w:sz w:val="18"/>
          <w:szCs w:val="18"/>
        </w:rPr>
        <w:sectPr>
          <w:type w:val="continuous"/>
          <w:pgSz w:h="16840" w:w="11920" w:orient="portrait"/>
          <w:pgMar w:bottom="280" w:top="1060" w:left="620" w:right="640" w:header="456" w:footer="0"/>
          <w:cols w:equalWidth="0" w:num="3">
            <w:col w:space="39" w:w="3527.3333333333335"/>
            <w:col w:space="39" w:w="3527.3333333333335"/>
            <w:col w:space="0" w:w="3527.3333333333335"/>
          </w:cols>
        </w:sectPr>
      </w:pPr>
      <w:r w:rsidDel="00000000" w:rsidR="00000000" w:rsidRPr="00000000">
        <w:rPr>
          <w:rtl w:val="0"/>
        </w:rPr>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Cambria" w:cs="Cambria" w:eastAsia="Cambria" w:hAnsi="Cambria"/>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Cambria" w:cs="Cambria" w:eastAsia="Cambria" w:hAnsi="Cambria"/>
          <w:b w:val="0"/>
          <w:i w:val="0"/>
          <w:smallCaps w:val="0"/>
          <w:strike w:val="0"/>
          <w:color w:val="000000"/>
          <w:sz w:val="20"/>
          <w:szCs w:val="20"/>
          <w:u w:val="none"/>
          <w:shd w:fill="auto" w:val="clear"/>
          <w:vertAlign w:val="baseline"/>
        </w:rPr>
        <w:sectPr>
          <w:type w:val="continuous"/>
          <w:pgSz w:h="16840" w:w="11920" w:orient="portrait"/>
          <w:pgMar w:bottom="280" w:top="1060" w:left="620" w:right="640" w:header="456" w:footer="0"/>
        </w:sect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mc:AlternateContent>
          <mc:Choice Requires="wpg">
            <w:drawing>
              <wp:inline distB="0" distT="0" distL="0" distR="0">
                <wp:extent cx="6493510" cy="245110"/>
                <wp:effectExtent b="0" l="0" r="0" t="0"/>
                <wp:docPr id="465" name=""/>
                <a:graphic>
                  <a:graphicData uri="http://schemas.microsoft.com/office/word/2010/wordprocessingGroup">
                    <wpg:wgp>
                      <wpg:cNvGrpSpPr/>
                      <wpg:grpSpPr>
                        <a:xfrm>
                          <a:off x="2099225" y="3656925"/>
                          <a:ext cx="6493510" cy="245110"/>
                          <a:chOff x="2099225" y="3656925"/>
                          <a:chExt cx="6493550" cy="271925"/>
                        </a:xfrm>
                      </wpg:grpSpPr>
                      <wpg:grpSp>
                        <wpg:cNvGrpSpPr/>
                        <wpg:grpSpPr>
                          <a:xfrm>
                            <a:off x="2099245" y="3657445"/>
                            <a:ext cx="6493515" cy="245110"/>
                            <a:chOff x="2099225" y="3655850"/>
                            <a:chExt cx="6493530" cy="274975"/>
                          </a:xfrm>
                        </wpg:grpSpPr>
                        <wps:wsp>
                          <wps:cNvSpPr/>
                          <wps:cNvPr id="3" name="Shape 3"/>
                          <wps:spPr>
                            <a:xfrm>
                              <a:off x="2099225" y="3655850"/>
                              <a:ext cx="6493525" cy="27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99245" y="3657445"/>
                              <a:ext cx="6493510" cy="245100"/>
                              <a:chOff x="0" y="0"/>
                              <a:chExt cx="6493510" cy="245100"/>
                            </a:xfrm>
                          </wpg:grpSpPr>
                          <wps:wsp>
                            <wps:cNvSpPr/>
                            <wps:cNvPr id="129" name="Shape 129"/>
                            <wps:spPr>
                              <a:xfrm>
                                <a:off x="0" y="0"/>
                                <a:ext cx="6493500" cy="24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0" y="3175"/>
                                <a:ext cx="6493510" cy="1270"/>
                              </a:xfrm>
                              <a:custGeom>
                                <a:rect b="b" l="l" r="r" t="t"/>
                                <a:pathLst>
                                  <a:path extrusionOk="0" h="120000" w="6493510">
                                    <a:moveTo>
                                      <a:pt x="0" y="0"/>
                                    </a:moveTo>
                                    <a:lnTo>
                                      <a:pt x="6493205" y="0"/>
                                    </a:lnTo>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31" name="Shape 131">
                                <a:hlinkClick r:id="rId255"/>
                              </pic:cNvPr>
                              <pic:cNvPicPr preferRelativeResize="0"/>
                            </pic:nvPicPr>
                            <pic:blipFill rotWithShape="1">
                              <a:blip r:embed="rId256">
                                <a:alphaModFix/>
                              </a:blip>
                              <a:srcRect b="0" l="0" r="0" t="0"/>
                              <a:stretch/>
                            </pic:blipFill>
                            <pic:spPr>
                              <a:xfrm>
                                <a:off x="347585" y="49717"/>
                                <a:ext cx="437939" cy="195357"/>
                              </a:xfrm>
                              <a:prstGeom prst="rect">
                                <a:avLst/>
                              </a:prstGeom>
                              <a:noFill/>
                              <a:ln>
                                <a:noFill/>
                              </a:ln>
                            </pic:spPr>
                          </pic:pic>
                          <wps:wsp>
                            <wps:cNvSpPr/>
                            <wps:cNvPr id="132" name="Shape 132"/>
                            <wps:spPr>
                              <a:xfrm>
                                <a:off x="788592" y="143967"/>
                                <a:ext cx="10795" cy="23495"/>
                              </a:xfrm>
                              <a:custGeom>
                                <a:rect b="b" l="l" r="r" t="t"/>
                                <a:pathLst>
                                  <a:path extrusionOk="0" h="23495" w="10795">
                                    <a:moveTo>
                                      <a:pt x="6477" y="0"/>
                                    </a:moveTo>
                                    <a:lnTo>
                                      <a:pt x="2730" y="2412"/>
                                    </a:lnTo>
                                    <a:lnTo>
                                      <a:pt x="1854" y="5397"/>
                                    </a:lnTo>
                                    <a:lnTo>
                                      <a:pt x="1714" y="5397"/>
                                    </a:lnTo>
                                    <a:lnTo>
                                      <a:pt x="1714" y="317"/>
                                    </a:lnTo>
                                    <a:lnTo>
                                      <a:pt x="0" y="317"/>
                                    </a:lnTo>
                                    <a:lnTo>
                                      <a:pt x="0" y="23240"/>
                                    </a:lnTo>
                                    <a:lnTo>
                                      <a:pt x="1714" y="23240"/>
                                    </a:lnTo>
                                    <a:lnTo>
                                      <a:pt x="1714" y="10693"/>
                                    </a:lnTo>
                                    <a:lnTo>
                                      <a:pt x="1879" y="7264"/>
                                    </a:lnTo>
                                    <a:lnTo>
                                      <a:pt x="2590" y="5841"/>
                                    </a:lnTo>
                                    <a:lnTo>
                                      <a:pt x="4279" y="4102"/>
                                    </a:lnTo>
                                    <a:lnTo>
                                      <a:pt x="6337" y="2095"/>
                                    </a:lnTo>
                                    <a:lnTo>
                                      <a:pt x="8851" y="1638"/>
                                    </a:lnTo>
                                    <a:lnTo>
                                      <a:pt x="10617" y="1879"/>
                                    </a:lnTo>
                                    <a:lnTo>
                                      <a:pt x="10617" y="177"/>
                                    </a:lnTo>
                                    <a:lnTo>
                                      <a:pt x="6477" y="0"/>
                                    </a:lnTo>
                                    <a:close/>
                                  </a:path>
                                </a:pathLst>
                              </a:custGeom>
                              <a:solidFill>
                                <a:srgbClr val="004F9F"/>
                              </a:solidFill>
                              <a:ln>
                                <a:noFill/>
                              </a:ln>
                            </wps:spPr>
                            <wps:bodyPr anchorCtr="0" anchor="ctr" bIns="91425" lIns="91425" spcFirstLastPara="1" rIns="91425" wrap="square" tIns="91425">
                              <a:noAutofit/>
                            </wps:bodyPr>
                          </wps:wsp>
                          <pic:pic>
                            <pic:nvPicPr>
                              <pic:cNvPr id="133" name="Shape 133">
                                <a:hlinkClick r:id="rId257"/>
                              </pic:cNvPr>
                              <pic:cNvPicPr preferRelativeResize="0"/>
                            </pic:nvPicPr>
                            <pic:blipFill rotWithShape="1">
                              <a:blip r:embed="rId258">
                                <a:alphaModFix/>
                              </a:blip>
                              <a:srcRect b="0" l="0" r="0" t="0"/>
                              <a:stretch/>
                            </pic:blipFill>
                            <pic:spPr>
                              <a:xfrm>
                                <a:off x="6222123" y="77663"/>
                                <a:ext cx="271075" cy="159015"/>
                              </a:xfrm>
                              <a:prstGeom prst="rect">
                                <a:avLst/>
                              </a:prstGeom>
                              <a:noFill/>
                              <a:ln>
                                <a:noFill/>
                              </a:ln>
                            </pic:spPr>
                          </pic:pic>
                          <wps:wsp>
                            <wps:cNvSpPr/>
                            <wps:cNvPr id="134" name="Shape 134"/>
                            <wps:spPr>
                              <a:xfrm>
                                <a:off x="0" y="33630"/>
                                <a:ext cx="208279" cy="119380"/>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Trebuchet MS" w:cs="Trebuchet MS" w:eastAsia="Trebuchet MS" w:hAnsi="Trebuchet MS"/>
                                      <w:b w:val="0"/>
                                      <w:i w:val="0"/>
                                      <w:smallCaps w:val="0"/>
                                      <w:strike w:val="0"/>
                                      <w:color w:val="231f20"/>
                                      <w:sz w:val="16"/>
                                      <w:vertAlign w:val="baseline"/>
                                    </w:rPr>
                                    <w:t xml:space="preserve">1792</w:t>
                                  </w:r>
                                </w:p>
                              </w:txbxContent>
                            </wps:txbx>
                            <wps:bodyPr anchorCtr="0" anchor="t" bIns="0" lIns="0" spcFirstLastPara="1" rIns="0" wrap="square" tIns="0">
                              <a:noAutofit/>
                            </wps:bodyPr>
                          </wps:wsp>
                          <wps:wsp>
                            <wps:cNvSpPr/>
                            <wps:cNvPr id="135" name="Shape 135"/>
                            <wps:spPr>
                              <a:xfrm>
                                <a:off x="1630626" y="31160"/>
                                <a:ext cx="3244850" cy="1212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rebuchet MS" w:cs="Trebuchet MS" w:eastAsia="Trebuchet MS" w:hAnsi="Trebuchet MS"/>
                                      <w:b w:val="0"/>
                                      <w:i w:val="0"/>
                                      <w:smallCaps w:val="0"/>
                                      <w:strike w:val="0"/>
                                      <w:color w:val="231f20"/>
                                      <w:sz w:val="16"/>
                                      <w:vertAlign w:val="baseline"/>
                                    </w:rPr>
                                    <w:t xml:space="preserve">Galimzhanov A, </w:t>
                                  </w:r>
                                  <w:r w:rsidDel="00000000" w:rsidR="00000000" w:rsidRPr="00000000">
                                    <w:rPr>
                                      <w:rFonts w:ascii="Trebuchet MS" w:cs="Trebuchet MS" w:eastAsia="Trebuchet MS" w:hAnsi="Trebuchet MS"/>
                                      <w:b w:val="0"/>
                                      <w:i w:val="1"/>
                                      <w:smallCaps w:val="0"/>
                                      <w:strike w:val="0"/>
                                      <w:color w:val="231f20"/>
                                      <w:sz w:val="16"/>
                                      <w:vertAlign w:val="baseline"/>
                                    </w:rPr>
                                    <w:t xml:space="preserve">et al</w:t>
                                  </w:r>
                                  <w:r w:rsidDel="00000000" w:rsidR="00000000" w:rsidRPr="00000000">
                                    <w:rPr>
                                      <w:rFonts w:ascii="Trebuchet MS" w:cs="Trebuchet MS" w:eastAsia="Trebuchet MS" w:hAnsi="Trebuchet MS"/>
                                      <w:b w:val="0"/>
                                      <w:i w:val="0"/>
                                      <w:smallCaps w:val="0"/>
                                      <w:strike w:val="0"/>
                                      <w:color w:val="231f20"/>
                                      <w:sz w:val="16"/>
                                      <w:vertAlign w:val="baseline"/>
                                    </w:rPr>
                                    <w:t xml:space="preserve">. </w:t>
                                  </w:r>
                                  <w:r w:rsidDel="00000000" w:rsidR="00000000" w:rsidRPr="00000000">
                                    <w:rPr>
                                      <w:rFonts w:ascii="Trebuchet MS" w:cs="Trebuchet MS" w:eastAsia="Trebuchet MS" w:hAnsi="Trebuchet MS"/>
                                      <w:b w:val="0"/>
                                      <w:i w:val="1"/>
                                      <w:smallCaps w:val="0"/>
                                      <w:strike w:val="0"/>
                                      <w:color w:val="231f20"/>
                                      <w:sz w:val="16"/>
                                      <w:vertAlign w:val="baseline"/>
                                    </w:rPr>
                                    <w:t xml:space="preserve">Heart </w:t>
                                  </w:r>
                                  <w:r w:rsidDel="00000000" w:rsidR="00000000" w:rsidRPr="00000000">
                                    <w:rPr>
                                      <w:rFonts w:ascii="Trebuchet MS" w:cs="Trebuchet MS" w:eastAsia="Trebuchet MS" w:hAnsi="Trebuchet MS"/>
                                      <w:b w:val="0"/>
                                      <w:i w:val="0"/>
                                      <w:smallCaps w:val="0"/>
                                      <w:strike w:val="0"/>
                                      <w:color w:val="231f20"/>
                                      <w:sz w:val="16"/>
                                      <w:vertAlign w:val="baseline"/>
                                    </w:rPr>
                                    <w:t xml:space="preserve">2022;</w:t>
                                  </w:r>
                                  <w:r w:rsidDel="00000000" w:rsidR="00000000" w:rsidRPr="00000000">
                                    <w:rPr>
                                      <w:rFonts w:ascii="Trebuchet MS" w:cs="Trebuchet MS" w:eastAsia="Trebuchet MS" w:hAnsi="Trebuchet MS"/>
                                      <w:b w:val="1"/>
                                      <w:i w:val="0"/>
                                      <w:smallCaps w:val="0"/>
                                      <w:strike w:val="0"/>
                                      <w:color w:val="231f20"/>
                                      <w:sz w:val="16"/>
                                      <w:vertAlign w:val="baseline"/>
                                    </w:rPr>
                                    <w:t xml:space="preserve">108</w:t>
                                  </w:r>
                                  <w:r w:rsidDel="00000000" w:rsidR="00000000" w:rsidRPr="00000000">
                                    <w:rPr>
                                      <w:rFonts w:ascii="Trebuchet MS" w:cs="Trebuchet MS" w:eastAsia="Trebuchet MS" w:hAnsi="Trebuchet MS"/>
                                      <w:b w:val="0"/>
                                      <w:i w:val="0"/>
                                      <w:smallCaps w:val="0"/>
                                      <w:strike w:val="0"/>
                                      <w:color w:val="231f20"/>
                                      <w:sz w:val="16"/>
                                      <w:vertAlign w:val="baseline"/>
                                    </w:rPr>
                                    <w:t xml:space="preserve">:1792–1799. doi:10.1136/heartjnl-2022-320910</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6493510" cy="245110"/>
                <wp:effectExtent b="0" l="0" r="0" t="0"/>
                <wp:docPr id="465" name="image151.png"/>
                <a:graphic>
                  <a:graphicData uri="http://schemas.openxmlformats.org/drawingml/2006/picture">
                    <pic:pic>
                      <pic:nvPicPr>
                        <pic:cNvPr id="0" name="image151.png"/>
                        <pic:cNvPicPr preferRelativeResize="0"/>
                      </pic:nvPicPr>
                      <pic:blipFill>
                        <a:blip r:embed="rId259"/>
                        <a:srcRect/>
                        <a:stretch>
                          <a:fillRect/>
                        </a:stretch>
                      </pic:blipFill>
                      <pic:spPr>
                        <a:xfrm>
                          <a:off x="0" y="0"/>
                          <a:ext cx="6493510" cy="2451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34">
      <w:pPr>
        <w:spacing w:before="175" w:line="249" w:lineRule="auto"/>
        <w:ind w:left="220"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counts. We, therefore, undertook a systematic review and meta- analysis to explore and quantify the relationship across the full continuum of baseline platelet counts and clinical outcomes after PCI.</w:t>
      </w:r>
      <w:r w:rsidDel="00000000" w:rsidR="00000000" w:rsidRPr="00000000">
        <w:rPr>
          <w:rtl w:val="0"/>
        </w:rPr>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36">
      <w:pPr>
        <w:pStyle w:val="Heading3"/>
        <w:ind w:firstLine="220"/>
        <w:rPr/>
      </w:pPr>
      <w:r w:rsidDel="00000000" w:rsidR="00000000" w:rsidRPr="00000000">
        <w:rPr>
          <w:color w:val="231f20"/>
          <w:rtl w:val="0"/>
        </w:rPr>
        <w:t xml:space="preserve">MATERIALS AND METHODS</w:t>
      </w:r>
      <w:r w:rsidDel="00000000" w:rsidR="00000000" w:rsidRPr="00000000">
        <w:rPr>
          <w:rtl w:val="0"/>
        </w:rPr>
      </w:r>
    </w:p>
    <w:p w:rsidR="00000000" w:rsidDel="00000000" w:rsidP="00000000" w:rsidRDefault="00000000" w:rsidRPr="00000000" w14:paraId="00000D37">
      <w:pPr>
        <w:spacing w:before="7" w:line="249" w:lineRule="auto"/>
        <w:ind w:left="219"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We followed recommendations from the Preferred Reporting Items for Systematic Reviews and Meta-Analyses statement and a guide to systematic review and meta-analysis of prognostic factor studies.</w:t>
      </w:r>
      <w:hyperlink w:anchor="_heading=h.2hio093">
        <w:r w:rsidDel="00000000" w:rsidR="00000000" w:rsidRPr="00000000">
          <w:rPr>
            <w:rFonts w:ascii="Cambria" w:cs="Cambria" w:eastAsia="Cambria" w:hAnsi="Cambria"/>
            <w:color w:val="0000ff"/>
            <w:sz w:val="18"/>
            <w:szCs w:val="18"/>
            <w:vertAlign w:val="superscript"/>
            <w:rtl w:val="0"/>
          </w:rPr>
          <w:t xml:space="preserve">15</w:t>
        </w:r>
      </w:hyperlink>
      <w:hyperlink w:anchor="_heading=h.2hio093">
        <w:r w:rsidDel="00000000" w:rsidR="00000000" w:rsidRPr="00000000">
          <w:rPr>
            <w:rFonts w:ascii="Cambria" w:cs="Cambria" w:eastAsia="Cambria" w:hAnsi="Cambria"/>
            <w:color w:val="0000ff"/>
            <w:sz w:val="18"/>
            <w:szCs w:val="18"/>
            <w:vertAlign w:val="baseline"/>
            <w:rtl w:val="0"/>
          </w:rPr>
          <w:t xml:space="preserve"> </w:t>
        </w:r>
      </w:hyperlink>
      <w:hyperlink w:anchor="_heading=h.2hio093">
        <w:r w:rsidDel="00000000" w:rsidR="00000000" w:rsidRPr="00000000">
          <w:rPr>
            <w:rFonts w:ascii="Cambria" w:cs="Cambria" w:eastAsia="Cambria" w:hAnsi="Cambria"/>
            <w:color w:val="0000ff"/>
            <w:sz w:val="18"/>
            <w:szCs w:val="18"/>
            <w:vertAlign w:val="superscript"/>
            <w:rtl w:val="0"/>
          </w:rPr>
          <w:t xml:space="preserve">16</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We conducted both a traditional keyword-based and citation-based search. The main databases for the traditional keyword-based strategy were PubMed, Web of Science and Scopus (up to 9 October 2021). Meanwhile, the main tools for the citation-based search were CoCites, Connected Papers and SnowGlobe web-based platforms.</w:t>
      </w:r>
      <w:hyperlink w:anchor="_heading=h.3gnlt4p">
        <w:r w:rsidDel="00000000" w:rsidR="00000000" w:rsidRPr="00000000">
          <w:rPr>
            <w:rFonts w:ascii="Cambria" w:cs="Cambria" w:eastAsia="Cambria" w:hAnsi="Cambria"/>
            <w:color w:val="0000ff"/>
            <w:sz w:val="18"/>
            <w:szCs w:val="18"/>
            <w:vertAlign w:val="superscript"/>
            <w:rtl w:val="0"/>
          </w:rPr>
          <w:t xml:space="preserve">17</w:t>
        </w:r>
      </w:hyperlink>
      <w:hyperlink w:anchor="_heading=h.3gnlt4p">
        <w:r w:rsidDel="00000000" w:rsidR="00000000" w:rsidRPr="00000000">
          <w:rPr>
            <w:rFonts w:ascii="Cambria" w:cs="Cambria" w:eastAsia="Cambria" w:hAnsi="Cambria"/>
            <w:color w:val="0000ff"/>
            <w:sz w:val="18"/>
            <w:szCs w:val="18"/>
            <w:vertAlign w:val="baseline"/>
            <w:rtl w:val="0"/>
          </w:rPr>
          <w:t xml:space="preserve"> </w:t>
        </w:r>
      </w:hyperlink>
      <w:hyperlink w:anchor="_heading=h.3gnlt4p">
        <w:r w:rsidDel="00000000" w:rsidR="00000000" w:rsidRPr="00000000">
          <w:rPr>
            <w:rFonts w:ascii="Cambria" w:cs="Cambria" w:eastAsia="Cambria" w:hAnsi="Cambria"/>
            <w:color w:val="0000ff"/>
            <w:sz w:val="18"/>
            <w:szCs w:val="18"/>
            <w:vertAlign w:val="superscript"/>
            <w:rtl w:val="0"/>
          </w:rPr>
          <w:t xml:space="preserve">18</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There were no filters based on language or dates of publications. In addition, we searched Dimensions, Microsoft Academics, BioMed Explorer, websites of international conferences, relevant journals and clinical trial registries </w:t>
      </w:r>
      <w:hyperlink r:id="rId260">
        <w:r w:rsidDel="00000000" w:rsidR="00000000" w:rsidRPr="00000000">
          <w:rPr>
            <w:rFonts w:ascii="Cambria" w:cs="Cambria" w:eastAsia="Cambria" w:hAnsi="Cambria"/>
            <w:color w:val="231f20"/>
            <w:sz w:val="18"/>
            <w:szCs w:val="18"/>
            <w:vertAlign w:val="baseline"/>
            <w:rtl w:val="0"/>
          </w:rPr>
          <w:t xml:space="preserve">(online supplemental appendix).</w:t>
        </w:r>
      </w:hyperlink>
      <w:hyperlink w:anchor="_heading=h.1vsw3ci">
        <w:r w:rsidDel="00000000" w:rsidR="00000000" w:rsidRPr="00000000">
          <w:rPr>
            <w:rFonts w:ascii="Cambria" w:cs="Cambria" w:eastAsia="Cambria" w:hAnsi="Cambria"/>
            <w:color w:val="0000ff"/>
            <w:sz w:val="18"/>
            <w:szCs w:val="18"/>
            <w:vertAlign w:val="superscript"/>
            <w:rtl w:val="0"/>
          </w:rPr>
          <w:t xml:space="preserve">19</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 ShinyApp web tool was employed to create a flow chart.</w:t>
      </w:r>
      <w:hyperlink w:anchor="_heading=h.4fsjm0b">
        <w:r w:rsidDel="00000000" w:rsidR="00000000" w:rsidRPr="00000000">
          <w:rPr>
            <w:rFonts w:ascii="Cambria" w:cs="Cambria" w:eastAsia="Cambria" w:hAnsi="Cambria"/>
            <w:color w:val="0000ff"/>
            <w:sz w:val="18"/>
            <w:szCs w:val="18"/>
            <w:vertAlign w:val="superscript"/>
            <w:rtl w:val="0"/>
          </w:rPr>
          <w:t xml:space="preserve">20</w:t>
        </w:r>
      </w:hyperlink>
      <w:r w:rsidDel="00000000" w:rsidR="00000000" w:rsidRPr="00000000">
        <w:rPr>
          <w:rtl w:val="0"/>
        </w:rPr>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39">
      <w:pPr>
        <w:pStyle w:val="Heading4"/>
        <w:ind w:firstLine="220"/>
        <w:rPr/>
      </w:pPr>
      <w:r w:rsidDel="00000000" w:rsidR="00000000" w:rsidRPr="00000000">
        <w:rPr>
          <w:color w:val="231f20"/>
          <w:rtl w:val="0"/>
        </w:rPr>
        <w:t xml:space="preserve">Screening</w:t>
      </w:r>
      <w:r w:rsidDel="00000000" w:rsidR="00000000" w:rsidRPr="00000000">
        <w:rPr>
          <w:rtl w:val="0"/>
        </w:rPr>
      </w:r>
    </w:p>
    <w:p w:rsidR="00000000" w:rsidDel="00000000" w:rsidP="00000000" w:rsidRDefault="00000000" w:rsidRPr="00000000" w14:paraId="00000D3A">
      <w:pPr>
        <w:spacing w:before="7" w:line="249" w:lineRule="auto"/>
        <w:ind w:left="220" w:right="39"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The following Population-Exposure-Outcome-based inclusion criteria were used during a screening stage:</w:t>
      </w:r>
      <w:r w:rsidDel="00000000" w:rsidR="00000000" w:rsidRPr="00000000">
        <w:rPr>
          <w:rtl w:val="0"/>
        </w:rPr>
      </w:r>
    </w:p>
    <w:p w:rsidR="00000000" w:rsidDel="00000000" w:rsidP="00000000" w:rsidRDefault="00000000" w:rsidRPr="00000000" w14:paraId="00000D3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00"/>
        </w:tabs>
        <w:spacing w:after="0" w:before="1" w:line="249" w:lineRule="auto"/>
        <w:ind w:left="500" w:right="39" w:hanging="281"/>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231f20"/>
          <w:sz w:val="18"/>
          <w:szCs w:val="18"/>
          <w:u w:val="none"/>
          <w:shd w:fill="auto" w:val="clear"/>
          <w:vertAlign w:val="baseline"/>
          <w:rtl w:val="0"/>
        </w:rPr>
        <w:t xml:space="preserve">Population—only studies with patients who underwent PCI were selected. We excluded reports that were dedicated to participants with end-stage kidney, liver disease, cancer; children; or pregnant women.</w:t>
      </w:r>
      <w:r w:rsidDel="00000000" w:rsidR="00000000" w:rsidRPr="00000000">
        <w:rPr>
          <w:rtl w:val="0"/>
        </w:rPr>
      </w:r>
    </w:p>
    <w:p w:rsidR="00000000" w:rsidDel="00000000" w:rsidP="00000000" w:rsidRDefault="00000000" w:rsidRPr="00000000" w14:paraId="00000D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00"/>
        </w:tabs>
        <w:spacing w:after="0" w:before="2" w:line="249" w:lineRule="auto"/>
        <w:ind w:left="500" w:right="39" w:hanging="281"/>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231f20"/>
          <w:sz w:val="18"/>
          <w:szCs w:val="18"/>
          <w:u w:val="none"/>
          <w:shd w:fill="auto" w:val="clear"/>
          <w:vertAlign w:val="baseline"/>
          <w:rtl w:val="0"/>
        </w:rPr>
        <w:t xml:space="preserve">Exposure—only studies that reported baseline platelet counts were considered for inclusion. Publications on acquired thrombocytopenia were removed.</w:t>
      </w:r>
      <w:r w:rsidDel="00000000" w:rsidR="00000000" w:rsidRPr="00000000">
        <w:rPr>
          <w:rtl w:val="0"/>
        </w:rPr>
      </w:r>
    </w:p>
    <w:p w:rsidR="00000000" w:rsidDel="00000000" w:rsidP="00000000" w:rsidRDefault="00000000" w:rsidRPr="00000000" w14:paraId="00000D3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00"/>
        </w:tabs>
        <w:spacing w:after="0" w:before="1" w:line="249" w:lineRule="auto"/>
        <w:ind w:left="500" w:right="38" w:hanging="281"/>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231f20"/>
          <w:sz w:val="18"/>
          <w:szCs w:val="18"/>
          <w:u w:val="none"/>
          <w:shd w:fill="auto" w:val="clear"/>
          <w:vertAlign w:val="baseline"/>
          <w:rtl w:val="0"/>
        </w:rPr>
        <w:t xml:space="preserve">Outcome—only studies reporting clinical outcomes were selected. The primary endpoints of the meta-analysis were all-cause mortality, major adverse cardiovascular events (MACE) and major bleeding. We applied definitions used in primary studies. The assigned secondary endpoints were cardiovascular (CV) mortality, myocardial infarction (MI), stroke, unplanned revascularisation, stent thrombosis (ST), all bleeding and minor bleeding. We used the Rayyan web app during the screening process.</w:t>
      </w:r>
      <w:hyperlink w:anchor="_heading=h.2uxtw84">
        <w:r w:rsidDel="00000000" w:rsidR="00000000" w:rsidRPr="00000000">
          <w:rPr>
            <w:rFonts w:ascii="Cambria" w:cs="Cambria" w:eastAsia="Cambria" w:hAnsi="Cambria"/>
            <w:b w:val="0"/>
            <w:i w:val="0"/>
            <w:smallCaps w:val="0"/>
            <w:strike w:val="0"/>
            <w:color w:val="0000ff"/>
            <w:sz w:val="18"/>
            <w:szCs w:val="18"/>
            <w:u w:val="none"/>
            <w:shd w:fill="auto" w:val="clear"/>
            <w:vertAlign w:val="superscript"/>
            <w:rtl w:val="0"/>
          </w:rPr>
          <w:t xml:space="preserve">21</w:t>
        </w:r>
      </w:hyperlink>
      <w:r w:rsidDel="00000000" w:rsidR="00000000" w:rsidRPr="00000000">
        <w:rPr>
          <w:rtl w:val="0"/>
        </w:rPr>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3F">
      <w:pPr>
        <w:pStyle w:val="Heading4"/>
        <w:ind w:firstLine="220"/>
        <w:rPr/>
      </w:pPr>
      <w:r w:rsidDel="00000000" w:rsidR="00000000" w:rsidRPr="00000000">
        <w:rPr>
          <w:color w:val="231f20"/>
          <w:rtl w:val="0"/>
        </w:rPr>
        <w:t xml:space="preserve">Data extraction and risk of bias evaluation</w:t>
      </w:r>
      <w:r w:rsidDel="00000000" w:rsidR="00000000" w:rsidRPr="00000000">
        <w:rPr>
          <w:rtl w:val="0"/>
        </w:rPr>
      </w:r>
    </w:p>
    <w:p w:rsidR="00000000" w:rsidDel="00000000" w:rsidP="00000000" w:rsidRDefault="00000000" w:rsidRPr="00000000" w14:paraId="00000D40">
      <w:pPr>
        <w:spacing w:before="7" w:line="249" w:lineRule="auto"/>
        <w:ind w:left="220"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The data extraction was guided with the checklist for critical appraisal and data extraction for systematic reviews of prediction modelling studies—prognostic factors.</w:t>
      </w:r>
      <w:hyperlink w:anchor="_heading=h.wnyagw">
        <w:r w:rsidDel="00000000" w:rsidR="00000000" w:rsidRPr="00000000">
          <w:rPr>
            <w:rFonts w:ascii="Cambria" w:cs="Cambria" w:eastAsia="Cambria" w:hAnsi="Cambria"/>
            <w:color w:val="0000ff"/>
            <w:sz w:val="18"/>
            <w:szCs w:val="18"/>
            <w:vertAlign w:val="superscript"/>
            <w:rtl w:val="0"/>
          </w:rPr>
          <w:t xml:space="preserve">16</w:t>
        </w:r>
      </w:hyperlink>
      <w:hyperlink w:anchor="_heading=h.wnyagw">
        <w:r w:rsidDel="00000000" w:rsidR="00000000" w:rsidRPr="00000000">
          <w:rPr>
            <w:rFonts w:ascii="Cambria" w:cs="Cambria" w:eastAsia="Cambria" w:hAnsi="Cambria"/>
            <w:color w:val="0000ff"/>
            <w:sz w:val="18"/>
            <w:szCs w:val="18"/>
            <w:vertAlign w:val="baseline"/>
            <w:rtl w:val="0"/>
          </w:rPr>
          <w:t xml:space="preserve"> </w:t>
        </w:r>
      </w:hyperlink>
      <w:hyperlink w:anchor="_heading=h.wnyagw">
        <w:r w:rsidDel="00000000" w:rsidR="00000000" w:rsidRPr="00000000">
          <w:rPr>
            <w:rFonts w:ascii="Cambria" w:cs="Cambria" w:eastAsia="Cambria" w:hAnsi="Cambria"/>
            <w:color w:val="0000ff"/>
            <w:sz w:val="18"/>
            <w:szCs w:val="18"/>
            <w:vertAlign w:val="superscript"/>
            <w:rtl w:val="0"/>
          </w:rPr>
          <w:t xml:space="preserve">22</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We collected data on study design, population, prognostic factor measurement, statistical issues, handling of missing values and results. To calculate unreported overall means and SDs for continuous variables, we used formulae from Wan </w:t>
      </w:r>
      <w:r w:rsidDel="00000000" w:rsidR="00000000" w:rsidRPr="00000000">
        <w:rPr>
          <w:rFonts w:ascii="Cambria" w:cs="Cambria" w:eastAsia="Cambria" w:hAnsi="Cambria"/>
          <w:i w:val="1"/>
          <w:color w:val="231f20"/>
          <w:sz w:val="18"/>
          <w:szCs w:val="18"/>
          <w:vertAlign w:val="baseline"/>
          <w:rtl w:val="0"/>
        </w:rPr>
        <w:t xml:space="preserve">et al </w:t>
      </w:r>
      <w:r w:rsidDel="00000000" w:rsidR="00000000" w:rsidRPr="00000000">
        <w:rPr>
          <w:rFonts w:ascii="Cambria" w:cs="Cambria" w:eastAsia="Cambria" w:hAnsi="Cambria"/>
          <w:color w:val="231f20"/>
          <w:sz w:val="18"/>
          <w:szCs w:val="18"/>
          <w:vertAlign w:val="baseline"/>
          <w:rtl w:val="0"/>
        </w:rPr>
        <w:t xml:space="preserve">and the Cochrane group.</w:t>
      </w:r>
      <w:hyperlink w:anchor="_heading=h.1a346fx">
        <w:r w:rsidDel="00000000" w:rsidR="00000000" w:rsidRPr="00000000">
          <w:rPr>
            <w:rFonts w:ascii="Cambria" w:cs="Cambria" w:eastAsia="Cambria" w:hAnsi="Cambria"/>
            <w:color w:val="0000ff"/>
            <w:sz w:val="18"/>
            <w:szCs w:val="18"/>
            <w:vertAlign w:val="superscript"/>
            <w:rtl w:val="0"/>
          </w:rPr>
          <w:t xml:space="preserve">23</w:t>
        </w:r>
      </w:hyperlink>
      <w:hyperlink w:anchor="_heading=h.1a346fx">
        <w:r w:rsidDel="00000000" w:rsidR="00000000" w:rsidRPr="00000000">
          <w:rPr>
            <w:rFonts w:ascii="Cambria" w:cs="Cambria" w:eastAsia="Cambria" w:hAnsi="Cambria"/>
            <w:color w:val="0000ff"/>
            <w:sz w:val="18"/>
            <w:szCs w:val="18"/>
            <w:vertAlign w:val="baseline"/>
            <w:rtl w:val="0"/>
          </w:rPr>
          <w:t xml:space="preserve"> </w:t>
        </w:r>
      </w:hyperlink>
      <w:hyperlink w:anchor="_heading=h.1a346fx">
        <w:r w:rsidDel="00000000" w:rsidR="00000000" w:rsidRPr="00000000">
          <w:rPr>
            <w:rFonts w:ascii="Cambria" w:cs="Cambria" w:eastAsia="Cambria" w:hAnsi="Cambria"/>
            <w:color w:val="0000ff"/>
            <w:sz w:val="18"/>
            <w:szCs w:val="18"/>
            <w:vertAlign w:val="superscript"/>
            <w:rtl w:val="0"/>
          </w:rPr>
          <w:t xml:space="preserve">24</w:t>
        </w:r>
      </w:hyperlink>
      <w:r w:rsidDel="00000000" w:rsidR="00000000" w:rsidRPr="00000000">
        <w:rPr>
          <w:rtl w:val="0"/>
        </w:rPr>
      </w:r>
    </w:p>
    <w:p w:rsidR="00000000" w:rsidDel="00000000" w:rsidP="00000000" w:rsidRDefault="00000000" w:rsidRPr="00000000" w14:paraId="00000D41">
      <w:pPr>
        <w:spacing w:before="4" w:line="249" w:lineRule="auto"/>
        <w:ind w:left="220" w:right="40"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The Quality in Prognostic Factor Studies tool guided our risk of bias assessment.</w:t>
      </w:r>
      <w:hyperlink w:anchor="_heading=h.3u2rp3q">
        <w:r w:rsidDel="00000000" w:rsidR="00000000" w:rsidRPr="00000000">
          <w:rPr>
            <w:rFonts w:ascii="Cambria" w:cs="Cambria" w:eastAsia="Cambria" w:hAnsi="Cambria"/>
            <w:color w:val="0000ff"/>
            <w:sz w:val="18"/>
            <w:szCs w:val="18"/>
            <w:vertAlign w:val="superscript"/>
            <w:rtl w:val="0"/>
          </w:rPr>
          <w:t xml:space="preserve">25</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 data extraction and risk of bias assessment was performed by two reviewers independently from each other. Any disagreement was discussed within all authors. The Systematic Review Database Repository Plus web portal facilitated collaboration during the data extraction and risk of bias assessment.</w:t>
      </w:r>
      <w:hyperlink w:anchor="_heading=h.2981zbj">
        <w:r w:rsidDel="00000000" w:rsidR="00000000" w:rsidRPr="00000000">
          <w:rPr>
            <w:rFonts w:ascii="Cambria" w:cs="Cambria" w:eastAsia="Cambria" w:hAnsi="Cambria"/>
            <w:color w:val="0000ff"/>
            <w:sz w:val="18"/>
            <w:szCs w:val="18"/>
            <w:vertAlign w:val="superscript"/>
            <w:rtl w:val="0"/>
          </w:rPr>
          <w:t xml:space="preserve">26</w:t>
        </w:r>
      </w:hyperlink>
      <w:r w:rsidDel="00000000" w:rsidR="00000000" w:rsidRPr="00000000">
        <w:rPr>
          <w:rtl w:val="0"/>
        </w:rPr>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43">
      <w:pPr>
        <w:pStyle w:val="Heading4"/>
        <w:ind w:firstLine="220"/>
        <w:rPr/>
      </w:pPr>
      <w:r w:rsidDel="00000000" w:rsidR="00000000" w:rsidRPr="00000000">
        <w:rPr>
          <w:color w:val="231f20"/>
          <w:rtl w:val="0"/>
        </w:rPr>
        <w:t xml:space="preserve">Statistical analyses</w:t>
      </w:r>
      <w:r w:rsidDel="00000000" w:rsidR="00000000" w:rsidRPr="00000000">
        <w:rPr>
          <w:rtl w:val="0"/>
        </w:rPr>
      </w:r>
    </w:p>
    <w:p w:rsidR="00000000" w:rsidDel="00000000" w:rsidP="00000000" w:rsidRDefault="00000000" w:rsidRPr="00000000" w14:paraId="00000D44">
      <w:pPr>
        <w:spacing w:before="7" w:line="249" w:lineRule="auto"/>
        <w:ind w:left="219" w:right="39"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To investigate the shape of the association between a baseline platelet count and clinical endpoints, we conducted one-stage dose–response meta-analyses for outcomes with at least five available studies.</w:t>
      </w:r>
      <w:hyperlink w:anchor="_heading=h.odc9jc">
        <w:r w:rsidDel="00000000" w:rsidR="00000000" w:rsidRPr="00000000">
          <w:rPr>
            <w:rFonts w:ascii="Cambria" w:cs="Cambria" w:eastAsia="Cambria" w:hAnsi="Cambria"/>
            <w:color w:val="0000ff"/>
            <w:sz w:val="18"/>
            <w:szCs w:val="18"/>
            <w:vertAlign w:val="superscript"/>
            <w:rtl w:val="0"/>
          </w:rPr>
          <w:t xml:space="preserve">27</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If reported, we used mean values of each category of platelet counts as a dose estimate. Otherwise, medians </w:t>
      </w:r>
      <w:r w:rsidDel="00000000" w:rsidR="00000000" w:rsidRPr="00000000">
        <w:rPr>
          <w:rFonts w:ascii="Cambria" w:cs="Cambria" w:eastAsia="Cambria" w:hAnsi="Cambria"/>
          <w:color w:val="231f20"/>
          <w:sz w:val="18"/>
          <w:szCs w:val="18"/>
          <w:rtl w:val="0"/>
        </w:rPr>
        <w:t xml:space="preserve">of each category were considered as dose measures. For open- ended highest and lowest categories, half of neighbouring inter- vals were added and subtracted, respectively. For one study, mean doses were calculated directly from the published original data set.</w:t>
      </w:r>
      <w:hyperlink w:anchor="_heading=h.38czs75">
        <w:r w:rsidDel="00000000" w:rsidR="00000000" w:rsidRPr="00000000">
          <w:rPr>
            <w:rFonts w:ascii="Cambria" w:cs="Cambria" w:eastAsia="Cambria" w:hAnsi="Cambria"/>
            <w:color w:val="0000ff"/>
            <w:sz w:val="18"/>
            <w:szCs w:val="18"/>
            <w:vertAlign w:val="superscript"/>
            <w:rtl w:val="0"/>
          </w:rPr>
          <w:t xml:space="preserve">28</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 study population was divided according to the cut-point used in the study (326.5×10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and then mean platelet counts were estimated for each cohort.</w:t>
      </w:r>
      <w:hyperlink w:anchor="_heading=h.38czs75">
        <w:r w:rsidDel="00000000" w:rsidR="00000000" w:rsidRPr="00000000">
          <w:rPr>
            <w:rFonts w:ascii="Cambria" w:cs="Cambria" w:eastAsia="Cambria" w:hAnsi="Cambria"/>
            <w:color w:val="0000ff"/>
            <w:sz w:val="18"/>
            <w:szCs w:val="18"/>
            <w:vertAlign w:val="superscript"/>
            <w:rtl w:val="0"/>
          </w:rPr>
          <w:t xml:space="preserve">28</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Missing dose values were handled by an R code from Crippa and Orsini. This method defines covariance matrices that enable imputation of missing dose values.</w:t>
      </w:r>
      <w:hyperlink w:anchor="_heading=h.1nia2ey">
        <w:r w:rsidDel="00000000" w:rsidR="00000000" w:rsidRPr="00000000">
          <w:rPr>
            <w:rFonts w:ascii="Cambria" w:cs="Cambria" w:eastAsia="Cambria" w:hAnsi="Cambria"/>
            <w:color w:val="0000ff"/>
            <w:sz w:val="18"/>
            <w:szCs w:val="18"/>
            <w:vertAlign w:val="superscript"/>
            <w:rtl w:val="0"/>
          </w:rPr>
          <w:t xml:space="preserve">29</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If not reported, person-time data were calculated by multiplication of the number of patients in each category with median follow-up time. We constructed linear and restricted cubic spline regression models with maximum likelihood estimation. The best locations for knots were derived by a method of Crippa and Orsini.</w:t>
      </w:r>
      <w:hyperlink w:anchor="_heading=h.1nia2ey">
        <w:r w:rsidDel="00000000" w:rsidR="00000000" w:rsidRPr="00000000">
          <w:rPr>
            <w:rFonts w:ascii="Cambria" w:cs="Cambria" w:eastAsia="Cambria" w:hAnsi="Cambria"/>
            <w:color w:val="0000ff"/>
            <w:sz w:val="18"/>
            <w:szCs w:val="18"/>
            <w:vertAlign w:val="superscript"/>
            <w:rtl w:val="0"/>
          </w:rPr>
          <w:t xml:space="preserve">29</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 best fitted model was chosen according to Akaike information criterion (AIC). Non-linearity assumption was assessed by testing if the second spline coefficient was equal to zero.</w:t>
      </w:r>
      <w:hyperlink w:anchor="_heading=h.47hxl2r">
        <w:r w:rsidDel="00000000" w:rsidR="00000000" w:rsidRPr="00000000">
          <w:rPr>
            <w:rFonts w:ascii="Cambria" w:cs="Cambria" w:eastAsia="Cambria" w:hAnsi="Cambria"/>
            <w:color w:val="0000ff"/>
            <w:sz w:val="18"/>
            <w:szCs w:val="18"/>
            <w:vertAlign w:val="superscript"/>
            <w:rtl w:val="0"/>
          </w:rPr>
          <w:t xml:space="preserve">30</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Taking into account the findings from a large cohort population-based study, we set a platelet count of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as a reference point.</w:t>
      </w:r>
      <w:hyperlink w:anchor="_heading=h.2mn7vak">
        <w:r w:rsidDel="00000000" w:rsidR="00000000" w:rsidRPr="00000000">
          <w:rPr>
            <w:rFonts w:ascii="Cambria" w:cs="Cambria" w:eastAsia="Cambria" w:hAnsi="Cambria"/>
            <w:color w:val="0000ff"/>
            <w:sz w:val="18"/>
            <w:szCs w:val="18"/>
            <w:vertAlign w:val="superscript"/>
            <w:rtl w:val="0"/>
          </w:rPr>
          <w:t xml:space="preserve">31</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We estimated ischaemic/bleeding risk ratios at different platelet counts by dividing the risk of MACE with the risk of major bleeding. To test the significance of the difference between ischaemic and bleeding risk for different platelet counts, we employed Wald-type test to compare two estimates from independent meta-analyses for MACE and major bleeding.</w:t>
      </w:r>
      <w:hyperlink w:anchor="_heading=h.11si5id">
        <w:r w:rsidDel="00000000" w:rsidR="00000000" w:rsidRPr="00000000">
          <w:rPr>
            <w:rFonts w:ascii="Cambria" w:cs="Cambria" w:eastAsia="Cambria" w:hAnsi="Cambria"/>
            <w:color w:val="0000ff"/>
            <w:sz w:val="18"/>
            <w:szCs w:val="18"/>
            <w:vertAlign w:val="superscript"/>
            <w:rtl w:val="0"/>
          </w:rPr>
          <w:t xml:space="preserve">32</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 goodness of fit was estimated with an R-squared parameter (0— for no dose–response association, 1—for perfect fitted model) and a visual inspection of the decorrelated residuals. Variance partition coe</w:t>
      </w:r>
      <w:r w:rsidDel="00000000" w:rsidR="00000000" w:rsidRPr="00000000">
        <w:rPr>
          <w:color w:val="231f20"/>
          <w:sz w:val="18"/>
          <w:szCs w:val="18"/>
          <w:vertAlign w:val="baseline"/>
          <w:rtl w:val="0"/>
        </w:rPr>
        <w:t xml:space="preserve">ﬃ</w:t>
      </w:r>
      <w:r w:rsidDel="00000000" w:rsidR="00000000" w:rsidRPr="00000000">
        <w:rPr>
          <w:rFonts w:ascii="Cambria" w:cs="Cambria" w:eastAsia="Cambria" w:hAnsi="Cambria"/>
          <w:color w:val="231f20"/>
          <w:sz w:val="18"/>
          <w:szCs w:val="18"/>
          <w:vertAlign w:val="baseline"/>
          <w:rtl w:val="0"/>
        </w:rPr>
        <w:t xml:space="preserve">cients (VPC) at different dose levels were used to quantify between-study heterogeneity.</w:t>
      </w:r>
      <w:r w:rsidDel="00000000" w:rsidR="00000000" w:rsidRPr="00000000">
        <w:rPr>
          <w:rtl w:val="0"/>
        </w:rPr>
      </w:r>
    </w:p>
    <w:p w:rsidR="00000000" w:rsidDel="00000000" w:rsidP="00000000" w:rsidRDefault="00000000" w:rsidRPr="00000000" w14:paraId="00000D45">
      <w:pPr>
        <w:spacing w:before="16" w:line="249" w:lineRule="auto"/>
        <w:ind w:left="220" w:right="14.078740157481207" w:firstLine="179"/>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In addition, pairwise random-effects meta-analyses were performed to compare the prognostic value of thrombocytopenia or thrombocytosis with normal values of a platelet count. For studies with more than two exposure groups, effect estimates were obtained with a method of Hamling </w:t>
      </w:r>
      <w:r w:rsidDel="00000000" w:rsidR="00000000" w:rsidRPr="00000000">
        <w:rPr>
          <w:rFonts w:ascii="Cambria" w:cs="Cambria" w:eastAsia="Cambria" w:hAnsi="Cambria"/>
          <w:i w:val="1"/>
          <w:color w:val="231f20"/>
          <w:sz w:val="18"/>
          <w:szCs w:val="18"/>
          <w:rtl w:val="0"/>
        </w:rPr>
        <w:t xml:space="preserve">et al</w:t>
      </w:r>
      <w:r w:rsidDel="00000000" w:rsidR="00000000" w:rsidRPr="00000000">
        <w:rPr>
          <w:rFonts w:ascii="Cambria" w:cs="Cambria" w:eastAsia="Cambria" w:hAnsi="Cambria"/>
          <w:color w:val="231f20"/>
          <w:sz w:val="18"/>
          <w:szCs w:val="18"/>
          <w:rtl w:val="0"/>
        </w:rPr>
        <w:t xml:space="preserve">.</w:t>
      </w:r>
      <w:hyperlink w:anchor="_heading=h.3ls5o66">
        <w:r w:rsidDel="00000000" w:rsidR="00000000" w:rsidRPr="00000000">
          <w:rPr>
            <w:rFonts w:ascii="Cambria" w:cs="Cambria" w:eastAsia="Cambria" w:hAnsi="Cambria"/>
            <w:color w:val="0000ff"/>
            <w:sz w:val="18"/>
            <w:szCs w:val="18"/>
            <w:vertAlign w:val="superscript"/>
            <w:rtl w:val="0"/>
          </w:rPr>
          <w:t xml:space="preserve">33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Both maximum and restricted maximum likelihood estimation were applied. Meta-analyses were conducted if at least three studies provided adjusted summary estimates for a particular endpoint. Due to the limited number of primary studies, analyses for a platelet count as a continuous variable were not feasible. To minimise the risk of type I error, 95% CIs were derived with both Wald-type statistics and Knapp and Hartung adjustment.</w:t>
      </w:r>
      <w:hyperlink w:anchor="_heading=h.20xfydz">
        <w:r w:rsidDel="00000000" w:rsidR="00000000" w:rsidRPr="00000000">
          <w:rPr>
            <w:rFonts w:ascii="Cambria" w:cs="Cambria" w:eastAsia="Cambria" w:hAnsi="Cambria"/>
            <w:color w:val="0000ff"/>
            <w:sz w:val="18"/>
            <w:szCs w:val="18"/>
            <w:vertAlign w:val="superscript"/>
            <w:rtl w:val="0"/>
          </w:rPr>
          <w:t xml:space="preserve">34</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As recommended, the Knapp and Hartung adjustment was calculated for analyses with at least five studies.</w:t>
      </w:r>
      <w:hyperlink w:anchor="_heading=h.20xfydz">
        <w:r w:rsidDel="00000000" w:rsidR="00000000" w:rsidRPr="00000000">
          <w:rPr>
            <w:rFonts w:ascii="Cambria" w:cs="Cambria" w:eastAsia="Cambria" w:hAnsi="Cambria"/>
            <w:color w:val="0000ff"/>
            <w:sz w:val="18"/>
            <w:szCs w:val="18"/>
            <w:vertAlign w:val="superscript"/>
            <w:rtl w:val="0"/>
          </w:rPr>
          <w:t xml:space="preserve">34</w:t>
        </w:r>
      </w:hyperlink>
      <w:r w:rsidDel="00000000" w:rsidR="00000000" w:rsidRPr="00000000">
        <w:rPr>
          <w:rtl w:val="0"/>
        </w:rPr>
      </w:r>
    </w:p>
    <w:p w:rsidR="00000000" w:rsidDel="00000000" w:rsidP="00000000" w:rsidRDefault="00000000" w:rsidRPr="00000000" w14:paraId="00000D46">
      <w:pPr>
        <w:spacing w:before="8" w:line="211" w:lineRule="auto"/>
        <w:ind w:left="240" w:right="0" w:firstLine="185.1968503937006"/>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The amount of between-study heterogeneity was assessed with</w:t>
      </w:r>
      <w:r w:rsidDel="00000000" w:rsidR="00000000" w:rsidRPr="00000000">
        <w:rPr>
          <w:rFonts w:ascii="Cambria" w:cs="Cambria" w:eastAsia="Cambria" w:hAnsi="Cambria"/>
          <w:sz w:val="18"/>
          <w:szCs w:val="18"/>
          <w:rtl w:val="0"/>
        </w:rPr>
        <w:t xml:space="preserve"> </w:t>
      </w:r>
      <w:r w:rsidDel="00000000" w:rsidR="00000000" w:rsidRPr="00000000">
        <w:rPr>
          <w:rFonts w:ascii="Noto Sans Symbols" w:cs="Noto Sans Symbols" w:eastAsia="Noto Sans Symbols" w:hAnsi="Noto Sans Symbols"/>
          <w:color w:val="231f20"/>
          <w:sz w:val="18"/>
          <w:szCs w:val="18"/>
          <w:rtl w:val="0"/>
        </w:rPr>
        <w:t xml:space="preserve">χ</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 Q test (according to p values) and I</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 test. Potential reasons for heterogeneity were investigated with meta-regression analyses if at least 10 studies were available.</w:t>
      </w:r>
      <w:r w:rsidDel="00000000" w:rsidR="00000000" w:rsidRPr="00000000">
        <w:rPr>
          <w:rtl w:val="0"/>
        </w:rPr>
      </w:r>
    </w:p>
    <w:p w:rsidR="00000000" w:rsidDel="00000000" w:rsidP="00000000" w:rsidRDefault="00000000" w:rsidRPr="00000000" w14:paraId="00000D47">
      <w:pPr>
        <w:spacing w:before="1" w:line="249" w:lineRule="auto"/>
        <w:ind w:left="220" w:right="14.078740157481207"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We conducted influential case diagnostics to reveal outstanding studies that significantly impact on the model characteristics (fit, covariance structure, heterogeneity) after removing individual studies sequentially.</w:t>
      </w:r>
      <w:hyperlink w:anchor="_heading=h.4kx3h1s">
        <w:r w:rsidDel="00000000" w:rsidR="00000000" w:rsidRPr="00000000">
          <w:rPr>
            <w:rFonts w:ascii="Cambria" w:cs="Cambria" w:eastAsia="Cambria" w:hAnsi="Cambria"/>
            <w:color w:val="0000ff"/>
            <w:sz w:val="18"/>
            <w:szCs w:val="18"/>
            <w:vertAlign w:val="superscript"/>
            <w:rtl w:val="0"/>
          </w:rPr>
          <w:t xml:space="preserve">35</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Publication bias was tested with rank correlation and regression statistics. An impact of potential missing studies was measured with a trim and fill method. For analyses with positive findings, we performed leave-one-out sensitivity analyses to obtain robust results. Cumulative meta-analyses described time trends of summary estimates. Statistical analyses were computed with R language within metafor and dosresmeta R packages.</w:t>
      </w:r>
      <w:hyperlink w:anchor="_heading=h.1nia2ey">
        <w:r w:rsidDel="00000000" w:rsidR="00000000" w:rsidRPr="00000000">
          <w:rPr>
            <w:rFonts w:ascii="Cambria" w:cs="Cambria" w:eastAsia="Cambria" w:hAnsi="Cambria"/>
            <w:color w:val="0000ff"/>
            <w:sz w:val="18"/>
            <w:szCs w:val="18"/>
            <w:vertAlign w:val="superscript"/>
            <w:rtl w:val="0"/>
          </w:rPr>
          <w:t xml:space="preserve">29</w:t>
        </w:r>
      </w:hyperlink>
      <w:hyperlink w:anchor="_heading=h.1nia2ey">
        <w:r w:rsidDel="00000000" w:rsidR="00000000" w:rsidRPr="00000000">
          <w:rPr>
            <w:rFonts w:ascii="Cambria" w:cs="Cambria" w:eastAsia="Cambria" w:hAnsi="Cambria"/>
            <w:color w:val="0000ff"/>
            <w:sz w:val="18"/>
            <w:szCs w:val="18"/>
            <w:vertAlign w:val="baseline"/>
            <w:rtl w:val="0"/>
          </w:rPr>
          <w:t xml:space="preserve"> </w:t>
        </w:r>
      </w:hyperlink>
      <w:hyperlink w:anchor="_heading=h.1nia2ey">
        <w:r w:rsidDel="00000000" w:rsidR="00000000" w:rsidRPr="00000000">
          <w:rPr>
            <w:rFonts w:ascii="Cambria" w:cs="Cambria" w:eastAsia="Cambria" w:hAnsi="Cambria"/>
            <w:color w:val="0000ff"/>
            <w:sz w:val="18"/>
            <w:szCs w:val="18"/>
            <w:vertAlign w:val="superscript"/>
            <w:rtl w:val="0"/>
          </w:rPr>
          <w:t xml:space="preserve">35</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We also rated the certainty of obtained results according to guidelines from the Grading of Recommendations, Assessment, Development and Evaluation Working Group.</w:t>
      </w:r>
      <w:hyperlink w:anchor="_heading=h.302dr9l">
        <w:r w:rsidDel="00000000" w:rsidR="00000000" w:rsidRPr="00000000">
          <w:rPr>
            <w:rFonts w:ascii="Cambria" w:cs="Cambria" w:eastAsia="Cambria" w:hAnsi="Cambria"/>
            <w:color w:val="0000ff"/>
            <w:sz w:val="18"/>
            <w:szCs w:val="18"/>
            <w:vertAlign w:val="superscript"/>
            <w:rtl w:val="0"/>
          </w:rPr>
          <w:t xml:space="preserve">36</w:t>
        </w:r>
      </w:hyperlink>
      <w:r w:rsidDel="00000000" w:rsidR="00000000" w:rsidRPr="00000000">
        <w:rPr>
          <w:rtl w:val="0"/>
        </w:rPr>
      </w:r>
    </w:p>
    <w:p w:rsidR="00000000" w:rsidDel="00000000" w:rsidP="00000000" w:rsidRDefault="00000000" w:rsidRPr="00000000" w14:paraId="00000D48">
      <w:pPr>
        <w:spacing w:before="7" w:line="249" w:lineRule="auto"/>
        <w:ind w:left="220" w:right="198" w:firstLine="180"/>
        <w:jc w:val="both"/>
        <w:rPr>
          <w:rFonts w:ascii="Cambria" w:cs="Cambria" w:eastAsia="Cambria" w:hAnsi="Cambria"/>
          <w:sz w:val="18"/>
          <w:szCs w:val="18"/>
        </w:rPr>
        <w:sectPr>
          <w:headerReference r:id="rId261" w:type="default"/>
          <w:headerReference r:id="rId262" w:type="even"/>
          <w:footerReference r:id="rId263" w:type="default"/>
          <w:footerReference r:id="rId264" w:type="even"/>
          <w:type w:val="nextPage"/>
          <w:pgSz w:h="16840" w:w="11920" w:orient="portrait"/>
          <w:pgMar w:bottom="760" w:top="740" w:left="620" w:right="640" w:header="410" w:footer="579"/>
          <w:pgNumType w:start="1793"/>
          <w:cols w:equalWidth="0" w:num="1">
            <w:col w:space="0" w:w="10645.5"/>
          </w:cols>
        </w:sectPr>
      </w:pPr>
      <w:r w:rsidDel="00000000" w:rsidR="00000000" w:rsidRPr="00000000">
        <w:rPr>
          <w:rFonts w:ascii="Cambria" w:cs="Cambria" w:eastAsia="Cambria" w:hAnsi="Cambria"/>
          <w:color w:val="231f20"/>
          <w:sz w:val="18"/>
          <w:szCs w:val="18"/>
          <w:rtl w:val="0"/>
        </w:rPr>
        <w:t xml:space="preserve">Patients or the public were not involved in the design, conduct, reporting or dissemination plans of our study. No</w:t>
      </w:r>
      <w:r w:rsidDel="00000000" w:rsidR="00000000" w:rsidRPr="00000000">
        <w:rPr>
          <w:rtl w:val="0"/>
        </w:rPr>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6"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6092413" cy="2682239"/>
            <wp:effectExtent b="0" l="0" r="0" t="0"/>
            <wp:docPr id="474" name="image13.jpg"/>
            <a:graphic>
              <a:graphicData uri="http://schemas.openxmlformats.org/drawingml/2006/picture">
                <pic:pic>
                  <pic:nvPicPr>
                    <pic:cNvPr id="0" name="image13.jpg"/>
                    <pic:cNvPicPr preferRelativeResize="0"/>
                  </pic:nvPicPr>
                  <pic:blipFill>
                    <a:blip r:embed="rId265"/>
                    <a:srcRect b="0" l="0" r="0" t="0"/>
                    <a:stretch>
                      <a:fillRect/>
                    </a:stretch>
                  </pic:blipFill>
                  <pic:spPr>
                    <a:xfrm>
                      <a:off x="0" y="0"/>
                      <a:ext cx="6092413" cy="2682239"/>
                    </a:xfrm>
                    <a:prstGeom prst="rect"/>
                    <a:ln/>
                  </pic:spPr>
                </pic:pic>
              </a:graphicData>
            </a:graphic>
          </wp:inline>
        </w:drawing>
      </w:r>
      <w:r w:rsidDel="00000000" w:rsidR="00000000" w:rsidRPr="00000000">
        <w:rPr>
          <w:rtl w:val="0"/>
        </w:rPr>
      </w:r>
    </w:p>
    <w:bookmarkStart w:colFirst="0" w:colLast="0" w:name="bookmark=id.4iylrwe" w:id="67"/>
    <w:bookmarkEnd w:id="67"/>
    <w:p w:rsidR="00000000" w:rsidDel="00000000" w:rsidP="00000000" w:rsidRDefault="00000000" w:rsidRPr="00000000" w14:paraId="00000D4B">
      <w:pPr>
        <w:spacing w:before="149" w:lineRule="auto"/>
        <w:ind w:left="220" w:right="0" w:firstLine="0"/>
        <w:jc w:val="left"/>
        <w:rPr>
          <w:rFonts w:ascii="Trebuchet MS" w:cs="Trebuchet MS" w:eastAsia="Trebuchet MS" w:hAnsi="Trebuchet MS"/>
          <w:sz w:val="18"/>
          <w:szCs w:val="18"/>
        </w:rPr>
        <w:sectPr>
          <w:type w:val="nextPage"/>
          <w:pgSz w:h="16840" w:w="11920" w:orient="portrait"/>
          <w:pgMar w:bottom="760" w:top="700" w:left="620" w:right="640" w:header="456" w:footer="579"/>
        </w:sectPr>
      </w:pPr>
      <w:bookmarkStart w:colFirst="0" w:colLast="0" w:name="_heading=h.2y3w247" w:id="68"/>
      <w:bookmarkEnd w:id="68"/>
      <w:r w:rsidDel="00000000" w:rsidR="00000000" w:rsidRPr="00000000">
        <w:rPr>
          <w:rFonts w:ascii="Trebuchet MS" w:cs="Trebuchet MS" w:eastAsia="Trebuchet MS" w:hAnsi="Trebuchet MS"/>
          <w:b w:val="1"/>
          <w:color w:val="231f20"/>
          <w:sz w:val="18"/>
          <w:szCs w:val="18"/>
          <w:rtl w:val="0"/>
        </w:rPr>
        <w:t xml:space="preserve">Figure 1 </w:t>
      </w:r>
      <w:r w:rsidDel="00000000" w:rsidR="00000000" w:rsidRPr="00000000">
        <w:rPr>
          <w:rFonts w:ascii="Trebuchet MS" w:cs="Trebuchet MS" w:eastAsia="Trebuchet MS" w:hAnsi="Trebuchet MS"/>
          <w:color w:val="231f20"/>
          <w:sz w:val="18"/>
          <w:szCs w:val="18"/>
          <w:rtl w:val="0"/>
        </w:rPr>
        <w:t xml:space="preserve">Flow diagram of the meta-analysis.</w:t>
      </w:r>
      <w:r w:rsidDel="00000000" w:rsidR="00000000" w:rsidRPr="00000000">
        <w:rPr>
          <w:rtl w:val="0"/>
        </w:rPr>
      </w:r>
    </w:p>
    <w:p w:rsidR="00000000" w:rsidDel="00000000" w:rsidP="00000000" w:rsidRDefault="00000000" w:rsidRPr="00000000" w14:paraId="00000D4C">
      <w:pPr>
        <w:spacing w:before="102" w:line="249" w:lineRule="auto"/>
        <w:ind w:left="220" w:right="39"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ethical approval was needed because we used only published data from the primary studies in which patient informed consent was obtained from the study participants.</w:t>
      </w:r>
      <w:r w:rsidDel="00000000" w:rsidR="00000000" w:rsidRPr="00000000">
        <w:rPr>
          <w:rtl w:val="0"/>
        </w:rPr>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4E">
      <w:pPr>
        <w:pStyle w:val="Heading3"/>
        <w:ind w:firstLine="220"/>
        <w:rPr/>
      </w:pPr>
      <w:r w:rsidDel="00000000" w:rsidR="00000000" w:rsidRPr="00000000">
        <w:rPr>
          <w:color w:val="231f20"/>
          <w:rtl w:val="0"/>
        </w:rPr>
        <w:t xml:space="preserve">RESULTS</w:t>
      </w:r>
      <w:r w:rsidDel="00000000" w:rsidR="00000000" w:rsidRPr="00000000">
        <w:rPr>
          <w:rtl w:val="0"/>
        </w:rPr>
      </w:r>
    </w:p>
    <w:p w:rsidR="00000000" w:rsidDel="00000000" w:rsidP="00000000" w:rsidRDefault="00000000" w:rsidRPr="00000000" w14:paraId="00000D4F">
      <w:pPr>
        <w:spacing w:before="7" w:line="249" w:lineRule="auto"/>
        <w:ind w:left="220"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After a comprehensive search, we identified 19 studies with 217 459 participants.</w:t>
      </w:r>
      <w:hyperlink w:anchor="_heading=h.14ykbeg">
        <w:r w:rsidDel="00000000" w:rsidR="00000000" w:rsidRPr="00000000">
          <w:rPr>
            <w:rFonts w:ascii="Cambria" w:cs="Cambria" w:eastAsia="Cambria" w:hAnsi="Cambria"/>
            <w:color w:val="0000ff"/>
            <w:sz w:val="18"/>
            <w:szCs w:val="18"/>
            <w:vertAlign w:val="superscript"/>
            <w:rtl w:val="0"/>
          </w:rPr>
          <w:t xml:space="preserve">4–9</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11–13</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28</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37–45</w:t>
        </w:r>
      </w:hyperlink>
      <w:r w:rsidDel="00000000" w:rsidR="00000000" w:rsidRPr="00000000">
        <w:rPr>
          <w:rFonts w:ascii="Cambria" w:cs="Cambria" w:eastAsia="Cambria" w:hAnsi="Cambria"/>
          <w:color w:val="0000ff"/>
          <w:sz w:val="18"/>
          <w:szCs w:val="18"/>
          <w:vertAlign w:val="baseline"/>
          <w:rtl w:val="0"/>
        </w:rPr>
        <w:t xml:space="preserve"> </w:t>
      </w:r>
      <w:hyperlink w:anchor="_heading=h.2y3w247">
        <w:r w:rsidDel="00000000" w:rsidR="00000000" w:rsidRPr="00000000">
          <w:rPr>
            <w:rFonts w:ascii="Cambria" w:cs="Cambria" w:eastAsia="Cambria" w:hAnsi="Cambria"/>
            <w:color w:val="0000ff"/>
            <w:sz w:val="18"/>
            <w:szCs w:val="18"/>
            <w:vertAlign w:val="baseline"/>
            <w:rtl w:val="0"/>
          </w:rPr>
          <w:t xml:space="preserve">Figure 1</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illustrates the flow diagram of the search strategy used. The number of retrieved studies from additional sources is provided in </w:t>
      </w:r>
      <w:hyperlink r:id="rId266">
        <w:r w:rsidDel="00000000" w:rsidR="00000000" w:rsidRPr="00000000">
          <w:rPr>
            <w:rFonts w:ascii="Cambria" w:cs="Cambria" w:eastAsia="Cambria" w:hAnsi="Cambria"/>
            <w:color w:val="231f20"/>
            <w:sz w:val="18"/>
            <w:szCs w:val="18"/>
            <w:vertAlign w:val="baseline"/>
            <w:rtl w:val="0"/>
          </w:rPr>
          <w:t xml:space="preserve">online supplemental tables S1 and S2,</w:t>
        </w:r>
      </w:hyperlink>
      <w:r w:rsidDel="00000000" w:rsidR="00000000" w:rsidRPr="00000000">
        <w:rPr>
          <w:rFonts w:ascii="Cambria" w:cs="Cambria" w:eastAsia="Cambria" w:hAnsi="Cambria"/>
          <w:color w:val="231f20"/>
          <w:sz w:val="18"/>
          <w:szCs w:val="18"/>
          <w:vertAlign w:val="baseline"/>
          <w:rtl w:val="0"/>
        </w:rPr>
        <w:t xml:space="preserve"> and lists potentially relevant studies with reasons of exclusion. The baseline features of the included studies are presented in </w:t>
      </w:r>
      <w:hyperlink r:id="rId267">
        <w:r w:rsidDel="00000000" w:rsidR="00000000" w:rsidRPr="00000000">
          <w:rPr>
            <w:rFonts w:ascii="Cambria" w:cs="Cambria" w:eastAsia="Cambria" w:hAnsi="Cambria"/>
            <w:color w:val="231f20"/>
            <w:sz w:val="18"/>
            <w:szCs w:val="18"/>
            <w:vertAlign w:val="baseline"/>
            <w:rtl w:val="0"/>
          </w:rPr>
          <w:t xml:space="preserve">online supplemental table S3.</w:t>
        </w:r>
      </w:hyperlink>
      <w:r w:rsidDel="00000000" w:rsidR="00000000" w:rsidRPr="00000000">
        <w:rPr>
          <w:rFonts w:ascii="Cambria" w:cs="Cambria" w:eastAsia="Cambria" w:hAnsi="Cambria"/>
          <w:color w:val="231f20"/>
          <w:sz w:val="18"/>
          <w:szCs w:val="18"/>
          <w:vertAlign w:val="baseline"/>
          <w:rtl w:val="0"/>
        </w:rPr>
        <w:t xml:space="preserve"> The majority of studies were retrospective. The follow-up duration varied from 11.7 to 60 months. Nine out of 19 studies were conducted in the East-Asian region while 2 were derived from Europe, 5 were derived from North America and 3 were </w:t>
      </w:r>
      <w:r w:rsidDel="00000000" w:rsidR="00000000" w:rsidRPr="00000000">
        <w:rPr>
          <w:rFonts w:ascii="Cambria" w:cs="Cambria" w:eastAsia="Cambria" w:hAnsi="Cambria"/>
          <w:color w:val="231f20"/>
          <w:sz w:val="18"/>
          <w:szCs w:val="18"/>
          <w:rtl w:val="0"/>
        </w:rPr>
        <w:t xml:space="preserve">multinational</w:t>
      </w:r>
      <w:r w:rsidDel="00000000" w:rsidR="00000000" w:rsidRPr="00000000">
        <w:rPr>
          <w:rFonts w:ascii="Cambria" w:cs="Cambria" w:eastAsia="Cambria" w:hAnsi="Cambria"/>
          <w:color w:val="231f20"/>
          <w:sz w:val="18"/>
          <w:szCs w:val="18"/>
          <w:vertAlign w:val="baseline"/>
          <w:rtl w:val="0"/>
        </w:rPr>
        <w:t xml:space="preserve">. Mean age of the total population was 65.5±11.7 (ranging from 58.2 to 73.1). The studies varied greatly in the prevalence of hypertension (37.9%–92.7%), diabetes mellitus (13.8%–100%), dyslipidaemia (8.2%–90.6%), chronic kidney disease (3.8%–38.6%), smoking (10.2%–56.6%) and other risk factors. The definitions for MACE used in the included studies are provided in </w:t>
      </w:r>
      <w:hyperlink r:id="rId268">
        <w:r w:rsidDel="00000000" w:rsidR="00000000" w:rsidRPr="00000000">
          <w:rPr>
            <w:rFonts w:ascii="Cambria" w:cs="Cambria" w:eastAsia="Cambria" w:hAnsi="Cambria"/>
            <w:color w:val="231f20"/>
            <w:sz w:val="18"/>
            <w:szCs w:val="18"/>
            <w:vertAlign w:val="baseline"/>
            <w:rtl w:val="0"/>
          </w:rPr>
          <w:t xml:space="preserve">online supplemental table S3.</w:t>
        </w:r>
      </w:hyperlink>
      <w:r w:rsidDel="00000000" w:rsidR="00000000" w:rsidRPr="00000000">
        <w:rPr>
          <w:rtl w:val="0"/>
        </w:rPr>
      </w:r>
    </w:p>
    <w:p w:rsidR="00000000" w:rsidDel="00000000" w:rsidP="00000000" w:rsidRDefault="00000000" w:rsidRPr="00000000" w14:paraId="00000D50">
      <w:pPr>
        <w:spacing w:before="9" w:line="249" w:lineRule="auto"/>
        <w:ind w:left="219" w:right="39" w:firstLine="180"/>
        <w:jc w:val="both"/>
        <w:rPr>
          <w:rFonts w:ascii="Cambria" w:cs="Cambria" w:eastAsia="Cambria" w:hAnsi="Cambria"/>
          <w:sz w:val="18"/>
          <w:szCs w:val="18"/>
        </w:rPr>
      </w:pPr>
      <w:hyperlink r:id="rId269">
        <w:r w:rsidDel="00000000" w:rsidR="00000000" w:rsidRPr="00000000">
          <w:rPr>
            <w:rFonts w:ascii="Cambria" w:cs="Cambria" w:eastAsia="Cambria" w:hAnsi="Cambria"/>
            <w:color w:val="231f20"/>
            <w:sz w:val="18"/>
            <w:szCs w:val="18"/>
            <w:rtl w:val="0"/>
          </w:rPr>
          <w:t xml:space="preserve">Online supplemental table S4</w:t>
        </w:r>
      </w:hyperlink>
      <w:r w:rsidDel="00000000" w:rsidR="00000000" w:rsidRPr="00000000">
        <w:rPr>
          <w:rFonts w:ascii="Cambria" w:cs="Cambria" w:eastAsia="Cambria" w:hAnsi="Cambria"/>
          <w:color w:val="231f20"/>
          <w:sz w:val="18"/>
          <w:szCs w:val="18"/>
          <w:rtl w:val="0"/>
        </w:rPr>
        <w:t xml:space="preserve"> describes the risk of bias assessment. Generally, patients from the included studies adequately represent the population of interest. Study attrition bias was rated as moderate in the studies that did not report percentage of lost to follow-up population.</w:t>
      </w:r>
      <w:hyperlink w:anchor="_heading=h.14ykbeg">
        <w:r w:rsidDel="00000000" w:rsidR="00000000" w:rsidRPr="00000000">
          <w:rPr>
            <w:rFonts w:ascii="Cambria" w:cs="Cambria" w:eastAsia="Cambria" w:hAnsi="Cambria"/>
            <w:color w:val="0000ff"/>
            <w:sz w:val="18"/>
            <w:szCs w:val="18"/>
            <w:vertAlign w:val="superscript"/>
            <w:rtl w:val="0"/>
          </w:rPr>
          <w:t xml:space="preserve">4</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6–9</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11–13</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28</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40</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45</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One study reported 14% missing follow-up data without providing any reasons, that is why this study was regarded as of high risk of attrition bias.</w:t>
      </w:r>
      <w:hyperlink w:anchor="_heading=h.2eclud0">
        <w:r w:rsidDel="00000000" w:rsidR="00000000" w:rsidRPr="00000000">
          <w:rPr>
            <w:rFonts w:ascii="Cambria" w:cs="Cambria" w:eastAsia="Cambria" w:hAnsi="Cambria"/>
            <w:color w:val="0000ff"/>
            <w:sz w:val="18"/>
            <w:szCs w:val="18"/>
            <w:vertAlign w:val="superscript"/>
            <w:rtl w:val="0"/>
          </w:rPr>
          <w:t xml:space="preserve">43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We considered the included studies as low-moderate risk of bias due to prognostic factor measurement since the majority of them had complete data on platelet counts, provided clear definitions and used similar cut-points. In many studies, clinical outcomes were assessed blindly by an independent investigator; therefore, outcome measurement bias was graded as low.</w:t>
      </w:r>
      <w:hyperlink w:anchor="_heading=h.14ykbeg">
        <w:r w:rsidDel="00000000" w:rsidR="00000000" w:rsidRPr="00000000">
          <w:rPr>
            <w:rFonts w:ascii="Cambria" w:cs="Cambria" w:eastAsia="Cambria" w:hAnsi="Cambria"/>
            <w:color w:val="0000ff"/>
            <w:sz w:val="18"/>
            <w:szCs w:val="18"/>
            <w:vertAlign w:val="superscript"/>
            <w:rtl w:val="0"/>
          </w:rPr>
          <w:t xml:space="preserve">4–6</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8</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11–13</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37</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39–42</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We rated one study as having high risk due to confounding bias since this study did not adjust effect estimates for traditional risk factors.</w:t>
      </w:r>
      <w:hyperlink w:anchor="_heading=h.thw4kt">
        <w:r w:rsidDel="00000000" w:rsidR="00000000" w:rsidRPr="00000000">
          <w:rPr>
            <w:rFonts w:ascii="Cambria" w:cs="Cambria" w:eastAsia="Cambria" w:hAnsi="Cambria"/>
            <w:color w:val="0000ff"/>
            <w:sz w:val="18"/>
            <w:szCs w:val="18"/>
            <w:vertAlign w:val="superscript"/>
            <w:rtl w:val="0"/>
          </w:rPr>
          <w:t xml:space="preserve">44</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One report applied univariate regression analyses on propensity score-mat</w:t>
      </w:r>
      <w:r w:rsidDel="00000000" w:rsidR="00000000" w:rsidRPr="00000000">
        <w:rPr>
          <w:color w:val="231f20"/>
          <w:sz w:val="18"/>
          <w:szCs w:val="18"/>
          <w:vertAlign w:val="baseline"/>
          <w:rtl w:val="0"/>
        </w:rPr>
        <w:t xml:space="preserve">с</w:t>
      </w:r>
      <w:r w:rsidDel="00000000" w:rsidR="00000000" w:rsidRPr="00000000">
        <w:rPr>
          <w:rFonts w:ascii="Cambria" w:cs="Cambria" w:eastAsia="Cambria" w:hAnsi="Cambria"/>
          <w:color w:val="231f20"/>
          <w:sz w:val="18"/>
          <w:szCs w:val="18"/>
          <w:vertAlign w:val="baseline"/>
          <w:rtl w:val="0"/>
        </w:rPr>
        <w:t xml:space="preserve">hed population, which potentially could lead to statistical bias.</w:t>
      </w:r>
      <w:hyperlink w:anchor="_heading=h.2eclud0">
        <w:r w:rsidDel="00000000" w:rsidR="00000000" w:rsidRPr="00000000">
          <w:rPr>
            <w:rFonts w:ascii="Cambria" w:cs="Cambria" w:eastAsia="Cambria" w:hAnsi="Cambria"/>
            <w:color w:val="0000ff"/>
            <w:sz w:val="18"/>
            <w:szCs w:val="18"/>
            <w:vertAlign w:val="superscript"/>
            <w:rtl w:val="0"/>
          </w:rPr>
          <w:t xml:space="preserve">43</w:t>
        </w:r>
      </w:hyperlink>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D51">
      <w:pPr>
        <w:spacing w:before="9" w:line="249" w:lineRule="auto"/>
        <w:ind w:left="219" w:right="39" w:firstLine="0"/>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D52">
      <w:pPr>
        <w:spacing w:before="9" w:line="249" w:lineRule="auto"/>
        <w:ind w:left="219" w:right="39" w:firstLine="0"/>
        <w:jc w:val="both"/>
        <w:rPr>
          <w:b w:val="1"/>
        </w:rPr>
      </w:pPr>
      <w:r w:rsidDel="00000000" w:rsidR="00000000" w:rsidRPr="00000000">
        <w:rPr>
          <w:b w:val="1"/>
          <w:color w:val="231f20"/>
          <w:rtl w:val="0"/>
        </w:rPr>
        <w:t xml:space="preserve">Dose–response relationships</w:t>
      </w:r>
      <w:r w:rsidDel="00000000" w:rsidR="00000000" w:rsidRPr="00000000">
        <w:rPr>
          <w:rtl w:val="0"/>
        </w:rPr>
      </w:r>
    </w:p>
    <w:p w:rsidR="00000000" w:rsidDel="00000000" w:rsidP="00000000" w:rsidRDefault="00000000" w:rsidRPr="00000000" w14:paraId="00000D53">
      <w:pPr>
        <w:spacing w:before="7" w:line="249" w:lineRule="auto"/>
        <w:ind w:left="219" w:right="197" w:hanging="1.0000000000000142"/>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A dose–response meta-analysis for postdischarge all-cause mortality included 10 studies with a total population of 106 135 patients (283 520 person-years of follow-up, </w:t>
      </w:r>
      <w:hyperlink w:anchor="_heading=h.1d96cc0">
        <w:r w:rsidDel="00000000" w:rsidR="00000000" w:rsidRPr="00000000">
          <w:rPr>
            <w:rFonts w:ascii="Cambria" w:cs="Cambria" w:eastAsia="Cambria" w:hAnsi="Cambria"/>
            <w:color w:val="0000ff"/>
            <w:sz w:val="18"/>
            <w:szCs w:val="18"/>
            <w:rtl w:val="0"/>
          </w:rPr>
          <w:t xml:space="preserve">figure 2A</w:t>
        </w:r>
      </w:hyperlink>
      <w:r w:rsidDel="00000000" w:rsidR="00000000" w:rsidRPr="00000000">
        <w:rPr>
          <w:rFonts w:ascii="Cambria" w:cs="Cambria" w:eastAsia="Cambria" w:hAnsi="Cambria"/>
          <w:color w:val="231f20"/>
          <w:sz w:val="18"/>
          <w:szCs w:val="18"/>
          <w:rtl w:val="0"/>
        </w:rPr>
        <w:t xml:space="preserve">, </w:t>
      </w:r>
      <w:hyperlink r:id="rId270">
        <w:r w:rsidDel="00000000" w:rsidR="00000000" w:rsidRPr="00000000">
          <w:rPr>
            <w:rFonts w:ascii="Cambria" w:cs="Cambria" w:eastAsia="Cambria" w:hAnsi="Cambria"/>
            <w:color w:val="231f20"/>
            <w:sz w:val="18"/>
            <w:szCs w:val="18"/>
            <w:rtl w:val="0"/>
          </w:rPr>
          <w:t xml:space="preserve">online</w:t>
        </w:r>
      </w:hyperlink>
      <w:r w:rsidDel="00000000" w:rsidR="00000000" w:rsidRPr="00000000">
        <w:rPr>
          <w:rFonts w:ascii="Cambria" w:cs="Cambria" w:eastAsia="Cambria" w:hAnsi="Cambria"/>
          <w:color w:val="231f20"/>
          <w:sz w:val="18"/>
          <w:szCs w:val="18"/>
          <w:rtl w:val="0"/>
        </w:rPr>
        <w:t xml:space="preserve"> </w:t>
      </w:r>
      <w:hyperlink r:id="rId271">
        <w:r w:rsidDel="00000000" w:rsidR="00000000" w:rsidRPr="00000000">
          <w:rPr>
            <w:rFonts w:ascii="Cambria" w:cs="Cambria" w:eastAsia="Cambria" w:hAnsi="Cambria"/>
            <w:color w:val="231f20"/>
            <w:sz w:val="18"/>
            <w:szCs w:val="18"/>
            <w:rtl w:val="0"/>
          </w:rPr>
          <w:t xml:space="preserve">supplemental table</w:t>
        </w:r>
      </w:hyperlink>
      <w:r w:rsidDel="00000000" w:rsidR="00000000" w:rsidRPr="00000000">
        <w:rPr>
          <w:rFonts w:ascii="Cambria" w:cs="Cambria" w:eastAsia="Cambria" w:hAnsi="Cambria"/>
          <w:color w:val="231f20"/>
          <w:sz w:val="18"/>
          <w:szCs w:val="18"/>
          <w:rtl w:val="0"/>
        </w:rPr>
        <w:t xml:space="preserve"> S5). The best fitted model was a restricted cubic spline regression with knots located at 75, 125 and 313. Non-linearity assumption was statistically significant (p&lt;0.001). With a platelet count of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as a reference value, the risk of all-cause death increased with decreasing platelet counts and became significant from the level of 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(HR 1.07, 95% CI 1.03 to 1.11). This non-linear inverse relationship continued further with decreasing platelet counts. For values </w:t>
      </w:r>
      <w:r w:rsidDel="00000000" w:rsidR="00000000" w:rsidRPr="00000000">
        <w:rPr>
          <w:rtl w:val="0"/>
        </w:rPr>
      </w:r>
    </w:p>
    <w:p w:rsidR="00000000" w:rsidDel="00000000" w:rsidP="00000000" w:rsidRDefault="00000000" w:rsidRPr="00000000" w14:paraId="00000D54">
      <w:pPr>
        <w:spacing w:before="7" w:line="249" w:lineRule="auto"/>
        <w:ind w:left="219" w:right="197" w:hanging="1.0000000000000142"/>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5">
      <w:pPr>
        <w:spacing w:before="148" w:line="252.00000000000003" w:lineRule="auto"/>
        <w:ind w:left="219" w:right="219" w:firstLine="0"/>
        <w:jc w:val="left"/>
        <w:rPr>
          <w:rFonts w:ascii="Trebuchet MS" w:cs="Trebuchet MS" w:eastAsia="Trebuchet MS" w:hAnsi="Trebuchet MS"/>
          <w:b w:val="1"/>
          <w:color w:val="231f20"/>
          <w:sz w:val="18"/>
          <w:szCs w:val="18"/>
        </w:rPr>
      </w:pPr>
      <w:bookmarkStart w:colFirst="0" w:colLast="0" w:name="_heading=h.avr63w5x5irf" w:id="69"/>
      <w:bookmarkEnd w:id="69"/>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2262801</wp:posOffset>
            </wp:positionH>
            <wp:positionV relativeFrom="paragraph">
              <wp:posOffset>19050</wp:posOffset>
            </wp:positionV>
            <wp:extent cx="2829057" cy="2063750"/>
            <wp:effectExtent b="0" l="0" r="0" t="0"/>
            <wp:wrapTopAndBottom distB="0" distT="0"/>
            <wp:docPr id="479" name="image41.jpg"/>
            <a:graphic>
              <a:graphicData uri="http://schemas.openxmlformats.org/drawingml/2006/picture">
                <pic:pic>
                  <pic:nvPicPr>
                    <pic:cNvPr id="0" name="image41.jpg"/>
                    <pic:cNvPicPr preferRelativeResize="0"/>
                  </pic:nvPicPr>
                  <pic:blipFill>
                    <a:blip r:embed="rId272"/>
                    <a:srcRect b="0" l="0" r="0" t="0"/>
                    <a:stretch>
                      <a:fillRect/>
                    </a:stretch>
                  </pic:blipFill>
                  <pic:spPr>
                    <a:xfrm>
                      <a:off x="0" y="0"/>
                      <a:ext cx="2829057" cy="2063750"/>
                    </a:xfrm>
                    <a:prstGeom prst="rect"/>
                    <a:ln/>
                  </pic:spPr>
                </pic:pic>
              </a:graphicData>
            </a:graphic>
          </wp:anchor>
        </w:drawing>
      </w:r>
    </w:p>
    <w:p w:rsidR="00000000" w:rsidDel="00000000" w:rsidP="00000000" w:rsidRDefault="00000000" w:rsidRPr="00000000" w14:paraId="00000D56">
      <w:pPr>
        <w:spacing w:before="148" w:line="252.00000000000003" w:lineRule="auto"/>
        <w:ind w:left="219" w:right="219" w:firstLine="0"/>
        <w:jc w:val="left"/>
        <w:rPr>
          <w:rFonts w:ascii="Trebuchet MS" w:cs="Trebuchet MS" w:eastAsia="Trebuchet MS" w:hAnsi="Trebuchet MS"/>
          <w:sz w:val="18"/>
          <w:szCs w:val="18"/>
        </w:rPr>
        <w:sectPr>
          <w:type w:val="continuous"/>
          <w:pgSz w:h="16840" w:w="11920" w:orient="portrait"/>
          <w:pgMar w:bottom="280" w:top="1060" w:left="620" w:right="640" w:header="456" w:footer="579"/>
          <w:cols w:equalWidth="0" w:num="1">
            <w:col w:space="0" w:w="10645.5"/>
          </w:cols>
        </w:sectPr>
      </w:pPr>
      <w:bookmarkStart w:colFirst="0" w:colLast="0" w:name="_heading=h.1d96cc0" w:id="70"/>
      <w:bookmarkEnd w:id="70"/>
      <w:r w:rsidDel="00000000" w:rsidR="00000000" w:rsidRPr="00000000">
        <w:rPr>
          <w:rFonts w:ascii="Trebuchet MS" w:cs="Trebuchet MS" w:eastAsia="Trebuchet MS" w:hAnsi="Trebuchet MS"/>
          <w:b w:val="1"/>
          <w:color w:val="231f20"/>
          <w:sz w:val="18"/>
          <w:szCs w:val="18"/>
          <w:rtl w:val="0"/>
        </w:rPr>
        <w:t xml:space="preserve">Figure 2 </w:t>
      </w:r>
      <w:r w:rsidDel="00000000" w:rsidR="00000000" w:rsidRPr="00000000">
        <w:rPr>
          <w:rFonts w:ascii="Trebuchet MS" w:cs="Trebuchet MS" w:eastAsia="Trebuchet MS" w:hAnsi="Trebuchet MS"/>
          <w:color w:val="231f20"/>
          <w:sz w:val="18"/>
          <w:szCs w:val="18"/>
          <w:rtl w:val="0"/>
        </w:rPr>
        <w:t xml:space="preserve">Dose–response relationships between baseline platelet counts and clinical outcomes. (A) The best fitted restricted cubic spline model for postdischarge all-cause mortality. (B) The best fitted restricted cubic spline model for long-term major adverse cardiovascular events (MACE). (C) The best fitted restricted cubic spline model for long-term major bleeding. (D) The relationship between the risk of MACE and the risk of major bleeding. The red line illustrates the risk for long- term major bleeding, the blue line demonstrates the risk for long-term MACE. The black line represents the ratio of ischaemic/bleeding risks at different platelet counts.</w:t>
      </w:r>
      <w:r w:rsidDel="00000000" w:rsidR="00000000" w:rsidRPr="00000000">
        <w:rPr>
          <w:rtl w:val="0"/>
        </w:rPr>
      </w:r>
    </w:p>
    <w:p w:rsidR="00000000" w:rsidDel="00000000" w:rsidP="00000000" w:rsidRDefault="00000000" w:rsidRPr="00000000" w14:paraId="00000D57">
      <w:pPr>
        <w:spacing w:before="175" w:line="249" w:lineRule="auto"/>
        <w:ind w:left="219"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above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the association approximated a linear equation with significant results coming from a level of 275×10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(HR 1.03, 95% CI 1.01 to 1.05). The model adequately fitted the data with an adjusted R-squared statistics equal to 0.86. The evidence was graded as moderate.</w:t>
      </w:r>
      <w:r w:rsidDel="00000000" w:rsidR="00000000" w:rsidRPr="00000000">
        <w:rPr>
          <w:rtl w:val="0"/>
        </w:rPr>
      </w:r>
    </w:p>
    <w:p w:rsidR="00000000" w:rsidDel="00000000" w:rsidP="00000000" w:rsidRDefault="00000000" w:rsidRPr="00000000" w14:paraId="00000D58">
      <w:pPr>
        <w:spacing w:before="3" w:line="249" w:lineRule="auto"/>
        <w:ind w:left="219" w:right="3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An analysis for long-term MACE included seven studies with 76 903 participants (220 949 person-years of follow-up, </w:t>
      </w:r>
      <w:hyperlink w:anchor="_heading=h.1d96cc0">
        <w:r w:rsidDel="00000000" w:rsidR="00000000" w:rsidRPr="00000000">
          <w:rPr>
            <w:rFonts w:ascii="Cambria" w:cs="Cambria" w:eastAsia="Cambria" w:hAnsi="Cambria"/>
            <w:color w:val="0000ff"/>
            <w:sz w:val="18"/>
            <w:szCs w:val="18"/>
            <w:rtl w:val="0"/>
          </w:rPr>
          <w:t xml:space="preserve">figure 2B</w:t>
        </w:r>
      </w:hyperlink>
      <w:r w:rsidDel="00000000" w:rsidR="00000000" w:rsidRPr="00000000">
        <w:rPr>
          <w:rFonts w:ascii="Cambria" w:cs="Cambria" w:eastAsia="Cambria" w:hAnsi="Cambria"/>
          <w:color w:val="231f20"/>
          <w:sz w:val="18"/>
          <w:szCs w:val="18"/>
          <w:rtl w:val="0"/>
        </w:rPr>
        <w:t xml:space="preserve">, </w:t>
      </w:r>
      <w:hyperlink r:id="rId273">
        <w:r w:rsidDel="00000000" w:rsidR="00000000" w:rsidRPr="00000000">
          <w:rPr>
            <w:rFonts w:ascii="Cambria" w:cs="Cambria" w:eastAsia="Cambria" w:hAnsi="Cambria"/>
            <w:color w:val="231f20"/>
            <w:sz w:val="18"/>
            <w:szCs w:val="18"/>
            <w:rtl w:val="0"/>
          </w:rPr>
          <w:t xml:space="preserve">online supplemental table</w:t>
        </w:r>
      </w:hyperlink>
      <w:r w:rsidDel="00000000" w:rsidR="00000000" w:rsidRPr="00000000">
        <w:rPr>
          <w:rFonts w:ascii="Cambria" w:cs="Cambria" w:eastAsia="Cambria" w:hAnsi="Cambria"/>
          <w:color w:val="231f20"/>
          <w:sz w:val="18"/>
          <w:szCs w:val="18"/>
          <w:rtl w:val="0"/>
        </w:rPr>
        <w:t xml:space="preserve"> S5). Departure from linearity was significant (p&lt;0.001). Among all models, a spline regression with knots at 82, 175 and 237 had the highest AIC. For platelet numbers below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the risk of MACE decreased up to the level of 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and then increased non-proportionally with statistical significance reaching from a value of 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(HR 1.46, 95% CI 1.04 to 2.06). Similar to mortality, the risk of MACE increased in an almost linear fashion for platelet count values above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The adjusted R-squared statistics was at 0.36. We rated the grade of evidence as low.</w:t>
      </w:r>
      <w:r w:rsidDel="00000000" w:rsidR="00000000" w:rsidRPr="00000000">
        <w:rPr>
          <w:rtl w:val="0"/>
        </w:rPr>
      </w:r>
    </w:p>
    <w:p w:rsidR="00000000" w:rsidDel="00000000" w:rsidP="00000000" w:rsidRDefault="00000000" w:rsidRPr="00000000" w14:paraId="00000D59">
      <w:pPr>
        <w:spacing w:before="6" w:line="249" w:lineRule="auto"/>
        <w:ind w:left="220" w:right="3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We also found curvilinear inverse association between a baseline platelet count and the risk of major bleeding. This analysis was based on five studies with a total of 83 763 individuals (247 638 person-years, </w:t>
      </w:r>
      <w:hyperlink w:anchor="_heading=h.1d96cc0">
        <w:r w:rsidDel="00000000" w:rsidR="00000000" w:rsidRPr="00000000">
          <w:rPr>
            <w:rFonts w:ascii="Cambria" w:cs="Cambria" w:eastAsia="Cambria" w:hAnsi="Cambria"/>
            <w:color w:val="0000ff"/>
            <w:sz w:val="18"/>
            <w:szCs w:val="18"/>
            <w:rtl w:val="0"/>
          </w:rPr>
          <w:t xml:space="preserve">figure 2C</w:t>
        </w:r>
      </w:hyperlink>
      <w:r w:rsidDel="00000000" w:rsidR="00000000" w:rsidRPr="00000000">
        <w:rPr>
          <w:rFonts w:ascii="Cambria" w:cs="Cambria" w:eastAsia="Cambria" w:hAnsi="Cambria"/>
          <w:color w:val="231f20"/>
          <w:sz w:val="18"/>
          <w:szCs w:val="18"/>
          <w:rtl w:val="0"/>
        </w:rPr>
        <w:t xml:space="preserve">, </w:t>
      </w:r>
      <w:hyperlink r:id="rId274">
        <w:r w:rsidDel="00000000" w:rsidR="00000000" w:rsidRPr="00000000">
          <w:rPr>
            <w:rFonts w:ascii="Cambria" w:cs="Cambria" w:eastAsia="Cambria" w:hAnsi="Cambria"/>
            <w:color w:val="231f20"/>
            <w:sz w:val="18"/>
            <w:szCs w:val="18"/>
            <w:rtl w:val="0"/>
          </w:rPr>
          <w:t xml:space="preserve">online supplemental table</w:t>
        </w:r>
      </w:hyperlink>
      <w:r w:rsidDel="00000000" w:rsidR="00000000" w:rsidRPr="00000000">
        <w:rPr>
          <w:rFonts w:ascii="Cambria" w:cs="Cambria" w:eastAsia="Cambria" w:hAnsi="Cambria"/>
          <w:color w:val="231f20"/>
          <w:sz w:val="18"/>
          <w:szCs w:val="18"/>
          <w:rtl w:val="0"/>
        </w:rPr>
        <w:t xml:space="preserve"> S5). The relationship was adequately described with a spline regression model with the best knots located at 79.5, 125 and 236. Non-linear assumption was supported with p&lt;0.001. The risk of major bleeding demonstrated a non-proportional upward trend with decreasing baseline platelet counts. Significant results appeared from a level of 150×10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(HR 1.13, 95% CI 1.04 to 1.22). Unlike other endpoints, the risk of major bleeding remained stable for baseline platelet counts above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The high adjusted R-squared statistics (0.91) did not imply any lack of fit. The quality of evidence was considered as moderate. A visual inspection of the decorrelated residuals is described in </w:t>
      </w:r>
      <w:hyperlink r:id="rId275">
        <w:r w:rsidDel="00000000" w:rsidR="00000000" w:rsidRPr="00000000">
          <w:rPr>
            <w:rFonts w:ascii="Cambria" w:cs="Cambria" w:eastAsia="Cambria" w:hAnsi="Cambria"/>
            <w:color w:val="231f20"/>
            <w:sz w:val="18"/>
            <w:szCs w:val="18"/>
            <w:vertAlign w:val="baseline"/>
            <w:rtl w:val="0"/>
          </w:rPr>
          <w:t xml:space="preserve">online supplemental figure S1.</w:t>
        </w:r>
      </w:hyperlink>
      <w:r w:rsidDel="00000000" w:rsidR="00000000" w:rsidRPr="00000000">
        <w:rPr>
          <w:rtl w:val="0"/>
        </w:rPr>
      </w:r>
    </w:p>
    <w:p w:rsidR="00000000" w:rsidDel="00000000" w:rsidP="00000000" w:rsidRDefault="00000000" w:rsidRPr="00000000" w14:paraId="00000D5A">
      <w:pPr>
        <w:spacing w:before="9" w:line="249" w:lineRule="auto"/>
        <w:ind w:left="220" w:right="38" w:firstLine="180"/>
        <w:jc w:val="both"/>
        <w:rPr>
          <w:rFonts w:ascii="Cambria" w:cs="Cambria" w:eastAsia="Cambria" w:hAnsi="Cambria"/>
          <w:sz w:val="18"/>
          <w:szCs w:val="18"/>
        </w:rPr>
      </w:pPr>
      <w:hyperlink w:anchor="_heading=h.1d96cc0">
        <w:r w:rsidDel="00000000" w:rsidR="00000000" w:rsidRPr="00000000">
          <w:rPr>
            <w:rFonts w:ascii="Cambria" w:cs="Cambria" w:eastAsia="Cambria" w:hAnsi="Cambria"/>
            <w:color w:val="0000ff"/>
            <w:sz w:val="18"/>
            <w:szCs w:val="18"/>
            <w:rtl w:val="0"/>
          </w:rPr>
          <w:t xml:space="preserve">Figure 2D</w:t>
        </w:r>
      </w:hyperlink>
      <w:r w:rsidDel="00000000" w:rsidR="00000000" w:rsidRPr="00000000">
        <w:rPr>
          <w:rFonts w:ascii="Cambria" w:cs="Cambria" w:eastAsia="Cambria" w:hAnsi="Cambria"/>
          <w:color w:val="0000ff"/>
          <w:sz w:val="18"/>
          <w:szCs w:val="18"/>
          <w:rtl w:val="0"/>
        </w:rPr>
        <w:t xml:space="preserve"> </w:t>
      </w:r>
      <w:r w:rsidDel="00000000" w:rsidR="00000000" w:rsidRPr="00000000">
        <w:rPr>
          <w:rFonts w:ascii="Cambria" w:cs="Cambria" w:eastAsia="Cambria" w:hAnsi="Cambria"/>
          <w:color w:val="231f20"/>
          <w:sz w:val="18"/>
          <w:szCs w:val="18"/>
          <w:rtl w:val="0"/>
        </w:rPr>
        <w:t xml:space="preserve">illustrates how the ratio of ischaemic/bleeding risk varies at different platelet counts. The risk of haemorrhagic events exceeded the risk of thrombotic events at low platelet</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231f20"/>
          <w:sz w:val="18"/>
          <w:szCs w:val="18"/>
          <w:rtl w:val="0"/>
        </w:rPr>
        <w:t xml:space="preserve">counts, while a predominant ischaemic risk was observed at high platelet counts. The trend became more prominent for platelet counts below 150×10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The difference between the risk of ischaemic and bleeding outcomes was statistically significant across all continuum of thrombocyte counts, except for the range of 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to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w:t>
      </w:r>
      <w:hyperlink r:id="rId276">
        <w:r w:rsidDel="00000000" w:rsidR="00000000" w:rsidRPr="00000000">
          <w:rPr>
            <w:rFonts w:ascii="Cambria" w:cs="Cambria" w:eastAsia="Cambria" w:hAnsi="Cambria"/>
            <w:color w:val="231f20"/>
            <w:sz w:val="18"/>
            <w:szCs w:val="18"/>
            <w:vertAlign w:val="baseline"/>
            <w:rtl w:val="0"/>
          </w:rPr>
          <w:t xml:space="preserve">(online supplemental table</w:t>
        </w:r>
      </w:hyperlink>
      <w:r w:rsidDel="00000000" w:rsidR="00000000" w:rsidRPr="00000000">
        <w:rPr>
          <w:rFonts w:ascii="Cambria" w:cs="Cambria" w:eastAsia="Cambria" w:hAnsi="Cambria"/>
          <w:color w:val="231f20"/>
          <w:sz w:val="18"/>
          <w:szCs w:val="18"/>
          <w:vertAlign w:val="baseline"/>
          <w:rtl w:val="0"/>
        </w:rPr>
        <w:t xml:space="preserve"> </w:t>
      </w:r>
      <w:hyperlink r:id="rId277">
        <w:r w:rsidDel="00000000" w:rsidR="00000000" w:rsidRPr="00000000">
          <w:rPr>
            <w:rFonts w:ascii="Cambria" w:cs="Cambria" w:eastAsia="Cambria" w:hAnsi="Cambria"/>
            <w:color w:val="231f20"/>
            <w:sz w:val="18"/>
            <w:szCs w:val="18"/>
            <w:vertAlign w:val="baseline"/>
            <w:rtl w:val="0"/>
          </w:rPr>
          <w:t xml:space="preserve">S6).</w:t>
        </w:r>
      </w:hyperlink>
      <w:r w:rsidDel="00000000" w:rsidR="00000000" w:rsidRPr="00000000">
        <w:rPr>
          <w:rtl w:val="0"/>
        </w:rPr>
      </w:r>
    </w:p>
    <w:p w:rsidR="00000000" w:rsidDel="00000000" w:rsidP="00000000" w:rsidRDefault="00000000" w:rsidRPr="00000000" w14:paraId="00000D5B">
      <w:pPr>
        <w:spacing w:before="0" w:line="252.00000000000003" w:lineRule="auto"/>
        <w:ind w:left="219" w:right="19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For all dose–response analyses, heterogeneity was low with VPC approximating zero. During leave-one-out sensitivity analyses, the shape of relationships did not change significantly with omitting one study after another </w:t>
      </w:r>
      <w:hyperlink r:id="rId278">
        <w:r w:rsidDel="00000000" w:rsidR="00000000" w:rsidRPr="00000000">
          <w:rPr>
            <w:rFonts w:ascii="Cambria" w:cs="Cambria" w:eastAsia="Cambria" w:hAnsi="Cambria"/>
            <w:color w:val="231f20"/>
            <w:sz w:val="18"/>
            <w:szCs w:val="18"/>
            <w:rtl w:val="0"/>
          </w:rPr>
          <w:t xml:space="preserve">(online supplemental figure</w:t>
        </w:r>
      </w:hyperlink>
      <w:r w:rsidDel="00000000" w:rsidR="00000000" w:rsidRPr="00000000">
        <w:rPr>
          <w:rFonts w:ascii="Cambria" w:cs="Cambria" w:eastAsia="Cambria" w:hAnsi="Cambria"/>
          <w:color w:val="231f20"/>
          <w:sz w:val="18"/>
          <w:szCs w:val="18"/>
          <w:rtl w:val="0"/>
        </w:rPr>
        <w:t xml:space="preserve"> S2).</w:t>
      </w:r>
      <w:r w:rsidDel="00000000" w:rsidR="00000000" w:rsidRPr="00000000">
        <w:rPr>
          <w:rtl w:val="0"/>
        </w:rPr>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5D">
      <w:pPr>
        <w:pStyle w:val="Heading4"/>
        <w:spacing w:line="249" w:lineRule="auto"/>
        <w:ind w:firstLine="220"/>
        <w:rPr/>
      </w:pPr>
      <w:r w:rsidDel="00000000" w:rsidR="00000000" w:rsidRPr="00000000">
        <w:rPr>
          <w:color w:val="231f20"/>
          <w:rtl w:val="0"/>
        </w:rPr>
        <w:t xml:space="preserve">Pairwise meta-analyses for thrombocytopenia versus normal values of a platelet count</w:t>
      </w:r>
      <w:r w:rsidDel="00000000" w:rsidR="00000000" w:rsidRPr="00000000">
        <w:rPr>
          <w:rtl w:val="0"/>
        </w:rPr>
      </w:r>
    </w:p>
    <w:p w:rsidR="00000000" w:rsidDel="00000000" w:rsidP="00000000" w:rsidRDefault="00000000" w:rsidRPr="00000000" w14:paraId="00000D5E">
      <w:pPr>
        <w:spacing w:before="0" w:line="252.00000000000003" w:lineRule="auto"/>
        <w:ind w:left="220" w:right="198" w:firstLine="0"/>
        <w:jc w:val="both"/>
        <w:rPr>
          <w:rFonts w:ascii="Cambria" w:cs="Cambria" w:eastAsia="Cambria" w:hAnsi="Cambria"/>
          <w:sz w:val="18"/>
          <w:szCs w:val="18"/>
        </w:rPr>
        <w:sectPr>
          <w:type w:val="nextPage"/>
          <w:pgSz w:h="16840" w:w="11920" w:orient="portrait"/>
          <w:pgMar w:bottom="760" w:top="740" w:left="620" w:right="640" w:header="410" w:footer="579"/>
          <w:cols w:equalWidth="0" w:num="1">
            <w:col w:space="0" w:w="10645.5"/>
          </w:cols>
        </w:sectPr>
      </w:pPr>
      <w:r w:rsidDel="00000000" w:rsidR="00000000" w:rsidRPr="00000000">
        <w:rPr>
          <w:rFonts w:ascii="Cambria" w:cs="Cambria" w:eastAsia="Cambria" w:hAnsi="Cambria"/>
          <w:color w:val="231f20"/>
          <w:sz w:val="18"/>
          <w:szCs w:val="18"/>
          <w:rtl w:val="0"/>
        </w:rPr>
        <w:t xml:space="preserve">The majority of the included studies defined thrombocytopenia as a preprocedural platelet count below 150×10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Four studies used a cut-point of 100×10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for patients with thrombocytopenia.</w:t>
      </w:r>
      <w:hyperlink w:anchor="_heading=h.1f7o1he">
        <w:r w:rsidDel="00000000" w:rsidR="00000000" w:rsidRPr="00000000">
          <w:rPr>
            <w:rFonts w:ascii="Cambria" w:cs="Cambria" w:eastAsia="Cambria" w:hAnsi="Cambria"/>
            <w:color w:val="0000ff"/>
            <w:sz w:val="18"/>
            <w:szCs w:val="18"/>
            <w:vertAlign w:val="superscript"/>
            <w:rtl w:val="0"/>
          </w:rPr>
          <w:t xml:space="preserve">38–40</w:t>
        </w:r>
      </w:hyperlink>
      <w:hyperlink w:anchor="_heading=h.1f7o1he">
        <w:r w:rsidDel="00000000" w:rsidR="00000000" w:rsidRPr="00000000">
          <w:rPr>
            <w:rFonts w:ascii="Cambria" w:cs="Cambria" w:eastAsia="Cambria" w:hAnsi="Cambria"/>
            <w:color w:val="0000ff"/>
            <w:sz w:val="18"/>
            <w:szCs w:val="18"/>
            <w:vertAlign w:val="baseline"/>
            <w:rtl w:val="0"/>
          </w:rPr>
          <w:t xml:space="preserve"> </w:t>
        </w:r>
      </w:hyperlink>
      <w:hyperlink w:anchor="_heading=h.1f7o1he">
        <w:r w:rsidDel="00000000" w:rsidR="00000000" w:rsidRPr="00000000">
          <w:rPr>
            <w:rFonts w:ascii="Cambria" w:cs="Cambria" w:eastAsia="Cambria" w:hAnsi="Cambria"/>
            <w:color w:val="0000ff"/>
            <w:sz w:val="18"/>
            <w:szCs w:val="18"/>
            <w:vertAlign w:val="superscript"/>
            <w:rtl w:val="0"/>
          </w:rPr>
          <w:t xml:space="preserve">43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For one study, the cut-point choice was based on tertiles of a platelet count.</w:t>
      </w:r>
      <w:hyperlink w:anchor="_heading=h.338fx5o">
        <w:r w:rsidDel="00000000" w:rsidR="00000000" w:rsidRPr="00000000">
          <w:rPr>
            <w:rFonts w:ascii="Cambria" w:cs="Cambria" w:eastAsia="Cambria" w:hAnsi="Cambria"/>
            <w:color w:val="0000ff"/>
            <w:sz w:val="18"/>
            <w:szCs w:val="18"/>
            <w:vertAlign w:val="superscript"/>
            <w:rtl w:val="0"/>
          </w:rPr>
          <w:t xml:space="preserve">11</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An analysis for postdischarge all-cause mortality included 11 studies with a total of 111 305 patients (</w:t>
      </w:r>
      <w:hyperlink w:anchor="_heading=h.2ce457m">
        <w:r w:rsidDel="00000000" w:rsidR="00000000" w:rsidRPr="00000000">
          <w:rPr>
            <w:rFonts w:ascii="Cambria" w:cs="Cambria" w:eastAsia="Cambria" w:hAnsi="Cambria"/>
            <w:color w:val="0000ff"/>
            <w:sz w:val="18"/>
            <w:szCs w:val="18"/>
            <w:vertAlign w:val="baseline"/>
            <w:rtl w:val="0"/>
          </w:rPr>
          <w:t xml:space="preserve">figure 3A</w:t>
        </w:r>
      </w:hyperlink>
      <w:r w:rsidDel="00000000" w:rsidR="00000000" w:rsidRPr="00000000">
        <w:rPr>
          <w:rFonts w:ascii="Cambria" w:cs="Cambria" w:eastAsia="Cambria" w:hAnsi="Cambria"/>
          <w:color w:val="231f20"/>
          <w:sz w:val="18"/>
          <w:szCs w:val="18"/>
          <w:vertAlign w:val="baseline"/>
          <w:rtl w:val="0"/>
        </w:rPr>
        <w:t xml:space="preserve">). The association between thrombocytopenia and long-term mortality was significant with an HR of </w:t>
      </w:r>
      <w:r w:rsidDel="00000000" w:rsidR="00000000" w:rsidRPr="00000000">
        <w:rPr>
          <w:rFonts w:ascii="Cambria" w:cs="Cambria" w:eastAsia="Cambria" w:hAnsi="Cambria"/>
          <w:color w:val="231f20"/>
          <w:sz w:val="18"/>
          <w:szCs w:val="18"/>
          <w:rtl w:val="0"/>
        </w:rPr>
        <w:t xml:space="preserve">1.39 (95% CI 1.30 to 1.49). Between-study heterogeneity was low but statistically significant (I</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=0%, p=0.03). According to a meta-analysis of eight studies (87 126 patients), thrombocytopenia was not predictive for long-term MACE (HR 1.1, 95% CI 0.97 to 1.25, </w:t>
      </w:r>
      <w:hyperlink w:anchor="_heading=h.2ce457m">
        <w:r w:rsidDel="00000000" w:rsidR="00000000" w:rsidRPr="00000000">
          <w:rPr>
            <w:rFonts w:ascii="Cambria" w:cs="Cambria" w:eastAsia="Cambria" w:hAnsi="Cambria"/>
            <w:color w:val="0000ff"/>
            <w:sz w:val="18"/>
            <w:szCs w:val="18"/>
            <w:vertAlign w:val="baseline"/>
            <w:rtl w:val="0"/>
          </w:rPr>
          <w:t xml:space="preserve">figure 3B</w:t>
        </w:r>
      </w:hyperlink>
      <w:r w:rsidDel="00000000" w:rsidR="00000000" w:rsidRPr="00000000">
        <w:rPr>
          <w:rFonts w:ascii="Cambria" w:cs="Cambria" w:eastAsia="Cambria" w:hAnsi="Cambria"/>
          <w:color w:val="231f20"/>
          <w:sz w:val="18"/>
          <w:szCs w:val="18"/>
          <w:vertAlign w:val="baseline"/>
          <w:rtl w:val="0"/>
        </w:rPr>
        <w:t xml:space="preserve">). A meta-analysis of seven studies (92 905 patients) demonstrated a prognostic value of thrombocytopenia in prediction of long-term major bleeding (HR 1.39, 95% CI 1.18 to 1.65, I</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=51.5%, p for heterogeneity 0.04, </w:t>
      </w:r>
      <w:hyperlink w:anchor="_heading=h.2ce457m">
        <w:r w:rsidDel="00000000" w:rsidR="00000000" w:rsidRPr="00000000">
          <w:rPr>
            <w:rFonts w:ascii="Cambria" w:cs="Cambria" w:eastAsia="Cambria" w:hAnsi="Cambria"/>
            <w:color w:val="0000ff"/>
            <w:sz w:val="18"/>
            <w:szCs w:val="18"/>
            <w:vertAlign w:val="baseline"/>
            <w:rtl w:val="0"/>
          </w:rPr>
          <w:t xml:space="preserve">figure 3C</w:t>
        </w:r>
      </w:hyperlink>
      <w:r w:rsidDel="00000000" w:rsidR="00000000" w:rsidRPr="00000000">
        <w:rPr>
          <w:rFonts w:ascii="Cambria" w:cs="Cambria" w:eastAsia="Cambria" w:hAnsi="Cambria"/>
          <w:color w:val="231f20"/>
          <w:sz w:val="18"/>
          <w:szCs w:val="18"/>
          <w:vertAlign w:val="baseline"/>
          <w:rtl w:val="0"/>
        </w:rPr>
        <w:t xml:space="preserve">). Similarly, a meta-analysis of seven studies (106 496 individuals) found a link between thrombocytopenia and the risk of in-hospital mortality (HR 1.65, 95% CI 1.15 to 2.38, I</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=78.6%, p for heterogeneity &lt;0.01, </w:t>
      </w:r>
      <w:hyperlink w:anchor="_heading=h.2ce457m">
        <w:r w:rsidDel="00000000" w:rsidR="00000000" w:rsidRPr="00000000">
          <w:rPr>
            <w:rFonts w:ascii="Cambria" w:cs="Cambria" w:eastAsia="Cambria" w:hAnsi="Cambria"/>
            <w:color w:val="0000ff"/>
            <w:sz w:val="18"/>
            <w:szCs w:val="18"/>
            <w:vertAlign w:val="baseline"/>
            <w:rtl w:val="0"/>
          </w:rPr>
          <w:t xml:space="preserve">figure 3D</w:t>
        </w:r>
      </w:hyperlink>
      <w:r w:rsidDel="00000000" w:rsidR="00000000" w:rsidRPr="00000000">
        <w:rPr>
          <w:rFonts w:ascii="Cambria" w:cs="Cambria" w:eastAsia="Cambria" w:hAnsi="Cambria"/>
          <w:color w:val="231f20"/>
          <w:sz w:val="18"/>
          <w:szCs w:val="18"/>
          <w:vertAlign w:val="baseline"/>
          <w:rtl w:val="0"/>
        </w:rPr>
        <w:t xml:space="preserve">). Other estimation methods provided similar results </w:t>
      </w:r>
      <w:hyperlink r:id="rId279">
        <w:r w:rsidDel="00000000" w:rsidR="00000000" w:rsidRPr="00000000">
          <w:rPr>
            <w:rFonts w:ascii="Cambria" w:cs="Cambria" w:eastAsia="Cambria" w:hAnsi="Cambria"/>
            <w:color w:val="231f20"/>
            <w:sz w:val="18"/>
            <w:szCs w:val="18"/>
            <w:vertAlign w:val="baseline"/>
            <w:rtl w:val="0"/>
          </w:rPr>
          <w:t xml:space="preserve">(online supplemental figure</w:t>
        </w:r>
      </w:hyperlink>
      <w:r w:rsidDel="00000000" w:rsidR="00000000" w:rsidRPr="00000000">
        <w:rPr>
          <w:rFonts w:ascii="Cambria" w:cs="Cambria" w:eastAsia="Cambria" w:hAnsi="Cambria"/>
          <w:color w:val="231f20"/>
          <w:sz w:val="18"/>
          <w:szCs w:val="18"/>
          <w:vertAlign w:val="baseline"/>
          <w:rtl w:val="0"/>
        </w:rPr>
        <w:t xml:space="preserve"> S3). For</w:t>
      </w:r>
      <w:r w:rsidDel="00000000" w:rsidR="00000000" w:rsidRPr="00000000">
        <w:rPr>
          <w:rtl w:val="0"/>
        </w:rPr>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87"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6498248" cy="3127248"/>
            <wp:effectExtent b="0" l="0" r="0" t="0"/>
            <wp:docPr id="475" name="image14.png"/>
            <a:graphic>
              <a:graphicData uri="http://schemas.openxmlformats.org/drawingml/2006/picture">
                <pic:pic>
                  <pic:nvPicPr>
                    <pic:cNvPr id="0" name="image14.png"/>
                    <pic:cNvPicPr preferRelativeResize="0"/>
                  </pic:nvPicPr>
                  <pic:blipFill>
                    <a:blip r:embed="rId280"/>
                    <a:srcRect b="0" l="0" r="0" t="0"/>
                    <a:stretch>
                      <a:fillRect/>
                    </a:stretch>
                  </pic:blipFill>
                  <pic:spPr>
                    <a:xfrm>
                      <a:off x="0" y="0"/>
                      <a:ext cx="6498248" cy="3127248"/>
                    </a:xfrm>
                    <a:prstGeom prst="rect"/>
                    <a:ln/>
                  </pic:spPr>
                </pic:pic>
              </a:graphicData>
            </a:graphic>
          </wp:inline>
        </w:drawing>
      </w:r>
      <w:r w:rsidDel="00000000" w:rsidR="00000000" w:rsidRPr="00000000">
        <w:rPr>
          <w:rtl w:val="0"/>
        </w:rPr>
      </w:r>
    </w:p>
    <w:p w:rsidR="00000000" w:rsidDel="00000000" w:rsidP="00000000" w:rsidRDefault="00000000" w:rsidRPr="00000000" w14:paraId="00000D61">
      <w:pPr>
        <w:spacing w:before="147" w:line="252.00000000000003" w:lineRule="auto"/>
        <w:ind w:left="219" w:right="451" w:firstLine="0"/>
        <w:jc w:val="both"/>
        <w:rPr>
          <w:rFonts w:ascii="Trebuchet MS" w:cs="Trebuchet MS" w:eastAsia="Trebuchet MS" w:hAnsi="Trebuchet MS"/>
          <w:sz w:val="18"/>
          <w:szCs w:val="18"/>
        </w:rPr>
        <w:sectPr>
          <w:type w:val="continuous"/>
          <w:pgSz w:h="16840" w:w="11920" w:orient="portrait"/>
          <w:pgMar w:bottom="280" w:top="1060" w:left="620" w:right="640" w:header="410" w:footer="579"/>
        </w:sectPr>
      </w:pPr>
      <w:bookmarkStart w:colFirst="0" w:colLast="0" w:name="_heading=h.2ce457m" w:id="71"/>
      <w:bookmarkEnd w:id="71"/>
      <w:r w:rsidDel="00000000" w:rsidR="00000000" w:rsidRPr="00000000">
        <w:rPr>
          <w:rFonts w:ascii="Trebuchet MS" w:cs="Trebuchet MS" w:eastAsia="Trebuchet MS" w:hAnsi="Trebuchet MS"/>
          <w:b w:val="1"/>
          <w:color w:val="231f20"/>
          <w:sz w:val="18"/>
          <w:szCs w:val="18"/>
          <w:rtl w:val="0"/>
        </w:rPr>
        <w:t xml:space="preserve">Figure 3 </w:t>
      </w:r>
      <w:r w:rsidDel="00000000" w:rsidR="00000000" w:rsidRPr="00000000">
        <w:rPr>
          <w:rFonts w:ascii="Trebuchet MS" w:cs="Trebuchet MS" w:eastAsia="Trebuchet MS" w:hAnsi="Trebuchet MS"/>
          <w:color w:val="231f20"/>
          <w:sz w:val="18"/>
          <w:szCs w:val="18"/>
          <w:rtl w:val="0"/>
        </w:rPr>
        <w:t xml:space="preserve">Pairwise meta-analyses for baseline thrombocytopenia versus normal values of platelet counts. Due to non-availability of the published data, the number of events for the study of Kikkert </w:t>
      </w:r>
      <w:r w:rsidDel="00000000" w:rsidR="00000000" w:rsidRPr="00000000">
        <w:rPr>
          <w:rFonts w:ascii="Trebuchet MS" w:cs="Trebuchet MS" w:eastAsia="Trebuchet MS" w:hAnsi="Trebuchet MS"/>
          <w:i w:val="1"/>
          <w:color w:val="231f20"/>
          <w:sz w:val="18"/>
          <w:szCs w:val="18"/>
          <w:rtl w:val="0"/>
        </w:rPr>
        <w:t xml:space="preserve">et al</w:t>
      </w:r>
      <w:hyperlink w:anchor="_heading=h.3z7bk57">
        <w:r w:rsidDel="00000000" w:rsidR="00000000" w:rsidRPr="00000000">
          <w:rPr>
            <w:rFonts w:ascii="Trebuchet MS" w:cs="Trebuchet MS" w:eastAsia="Trebuchet MS" w:hAnsi="Trebuchet MS"/>
            <w:color w:val="0000ff"/>
            <w:sz w:val="18"/>
            <w:szCs w:val="18"/>
            <w:vertAlign w:val="superscript"/>
            <w:rtl w:val="0"/>
          </w:rPr>
          <w:t xml:space="preserve">41</w:t>
        </w:r>
      </w:hyperlink>
      <w:r w:rsidDel="00000000" w:rsidR="00000000" w:rsidRPr="00000000">
        <w:rPr>
          <w:rFonts w:ascii="Trebuchet MS" w:cs="Trebuchet MS" w:eastAsia="Trebuchet MS" w:hAnsi="Trebuchet MS"/>
          <w:color w:val="0000ff"/>
          <w:sz w:val="18"/>
          <w:szCs w:val="18"/>
          <w:vertAlign w:val="baseline"/>
          <w:rtl w:val="0"/>
        </w:rPr>
        <w:t xml:space="preserve"> </w:t>
      </w:r>
      <w:r w:rsidDel="00000000" w:rsidR="00000000" w:rsidRPr="00000000">
        <w:rPr>
          <w:rFonts w:ascii="Trebuchet MS" w:cs="Trebuchet MS" w:eastAsia="Trebuchet MS" w:hAnsi="Trebuchet MS"/>
          <w:color w:val="231f20"/>
          <w:sz w:val="18"/>
          <w:szCs w:val="18"/>
          <w:vertAlign w:val="baseline"/>
          <w:rtl w:val="0"/>
        </w:rPr>
        <w:t xml:space="preserve">also included patients with thrombocytosis. MACE, major adverse cardiovascular events; ML, maximum likelihood; RE, random effects.</w:t>
      </w:r>
      <w:r w:rsidDel="00000000" w:rsidR="00000000" w:rsidRPr="00000000">
        <w:rPr>
          <w:rtl w:val="0"/>
        </w:rPr>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9"/>
          <w:szCs w:val="9"/>
          <w:u w:val="none"/>
          <w:shd w:fill="auto" w:val="clear"/>
          <w:vertAlign w:val="baseline"/>
        </w:rPr>
        <w:sectPr>
          <w:type w:val="nextPage"/>
          <w:pgSz w:h="16840" w:w="11920" w:orient="portrait"/>
          <w:pgMar w:bottom="760" w:top="700" w:left="620" w:right="640" w:header="456" w:footer="579"/>
        </w:sectPr>
      </w:pPr>
      <w:r w:rsidDel="00000000" w:rsidR="00000000" w:rsidRPr="00000000">
        <w:rPr>
          <w:rtl w:val="0"/>
        </w:rPr>
      </w:r>
    </w:p>
    <w:p w:rsidR="00000000" w:rsidDel="00000000" w:rsidP="00000000" w:rsidRDefault="00000000" w:rsidRPr="00000000" w14:paraId="00000D63">
      <w:pPr>
        <w:spacing w:before="102" w:line="249" w:lineRule="auto"/>
        <w:ind w:left="220" w:right="39"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other endpoints, the results were non-significant or were based on a low number of studies </w:t>
      </w:r>
      <w:hyperlink r:id="rId281">
        <w:r w:rsidDel="00000000" w:rsidR="00000000" w:rsidRPr="00000000">
          <w:rPr>
            <w:rFonts w:ascii="Cambria" w:cs="Cambria" w:eastAsia="Cambria" w:hAnsi="Cambria"/>
            <w:color w:val="231f20"/>
            <w:sz w:val="18"/>
            <w:szCs w:val="18"/>
            <w:rtl w:val="0"/>
          </w:rPr>
          <w:t xml:space="preserve">(online supplemental figure</w:t>
        </w:r>
      </w:hyperlink>
      <w:r w:rsidDel="00000000" w:rsidR="00000000" w:rsidRPr="00000000">
        <w:rPr>
          <w:rFonts w:ascii="Cambria" w:cs="Cambria" w:eastAsia="Cambria" w:hAnsi="Cambria"/>
          <w:color w:val="231f20"/>
          <w:sz w:val="18"/>
          <w:szCs w:val="18"/>
          <w:rtl w:val="0"/>
        </w:rPr>
        <w:t xml:space="preserve"> S4).</w:t>
      </w:r>
      <w:r w:rsidDel="00000000" w:rsidR="00000000" w:rsidRPr="00000000">
        <w:rPr>
          <w:rtl w:val="0"/>
        </w:rPr>
      </w:r>
    </w:p>
    <w:p w:rsidR="00000000" w:rsidDel="00000000" w:rsidP="00000000" w:rsidRDefault="00000000" w:rsidRPr="00000000" w14:paraId="00000D64">
      <w:pPr>
        <w:spacing w:before="1" w:line="249" w:lineRule="auto"/>
        <w:ind w:left="219" w:right="3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Prespecified subgroup analyses were not feasible due to the absence of the required published data. The meta-analysis restricted to only patients with acute MI provides analogous results (HR 1.59, 95% CI 1.27 to 1.99, </w:t>
      </w:r>
      <w:hyperlink r:id="rId282">
        <w:r w:rsidDel="00000000" w:rsidR="00000000" w:rsidRPr="00000000">
          <w:rPr>
            <w:rFonts w:ascii="Cambria" w:cs="Cambria" w:eastAsia="Cambria" w:hAnsi="Cambria"/>
            <w:color w:val="231f20"/>
            <w:sz w:val="18"/>
            <w:szCs w:val="18"/>
            <w:rtl w:val="0"/>
          </w:rPr>
          <w:t xml:space="preserve">online supplemental</w:t>
        </w:r>
      </w:hyperlink>
      <w:r w:rsidDel="00000000" w:rsidR="00000000" w:rsidRPr="00000000">
        <w:rPr>
          <w:rFonts w:ascii="Cambria" w:cs="Cambria" w:eastAsia="Cambria" w:hAnsi="Cambria"/>
          <w:color w:val="231f20"/>
          <w:sz w:val="18"/>
          <w:szCs w:val="18"/>
          <w:rtl w:val="0"/>
        </w:rPr>
        <w:t xml:space="preserve"> </w:t>
      </w:r>
      <w:hyperlink r:id="rId283">
        <w:r w:rsidDel="00000000" w:rsidR="00000000" w:rsidRPr="00000000">
          <w:rPr>
            <w:rFonts w:ascii="Cambria" w:cs="Cambria" w:eastAsia="Cambria" w:hAnsi="Cambria"/>
            <w:color w:val="231f20"/>
            <w:sz w:val="18"/>
            <w:szCs w:val="18"/>
            <w:rtl w:val="0"/>
          </w:rPr>
          <w:t xml:space="preserve">figure</w:t>
        </w:r>
      </w:hyperlink>
      <w:r w:rsidDel="00000000" w:rsidR="00000000" w:rsidRPr="00000000">
        <w:rPr>
          <w:rFonts w:ascii="Cambria" w:cs="Cambria" w:eastAsia="Cambria" w:hAnsi="Cambria"/>
          <w:color w:val="231f20"/>
          <w:sz w:val="18"/>
          <w:szCs w:val="18"/>
          <w:rtl w:val="0"/>
        </w:rPr>
        <w:t xml:space="preserve"> S5). However, whether the prognostic value of baseline platelet counts varies across different clinical groups is unclear as the test for interaction could not be calculated. The meta-regression analyses did not reveal any significant association between the available study-level variables (percentage of patients with MI, acute coronary syndrome, unstable angina, hypertension, diabetes mellitus, dyslipidaemia, smoking, prior MI, mean age and male proportion) and all-cause mortality. The influential case diagnostics regarded the study of Ito </w:t>
      </w:r>
      <w:r w:rsidDel="00000000" w:rsidR="00000000" w:rsidRPr="00000000">
        <w:rPr>
          <w:rFonts w:ascii="Cambria" w:cs="Cambria" w:eastAsia="Cambria" w:hAnsi="Cambria"/>
          <w:i w:val="1"/>
          <w:color w:val="231f20"/>
          <w:sz w:val="18"/>
          <w:szCs w:val="18"/>
          <w:rtl w:val="0"/>
        </w:rPr>
        <w:t xml:space="preserve">et al</w:t>
      </w:r>
      <w:hyperlink w:anchor="_heading=h.243i4a2">
        <w:r w:rsidDel="00000000" w:rsidR="00000000" w:rsidRPr="00000000">
          <w:rPr>
            <w:rFonts w:ascii="Cambria" w:cs="Cambria" w:eastAsia="Cambria" w:hAnsi="Cambria"/>
            <w:color w:val="0000ff"/>
            <w:sz w:val="18"/>
            <w:szCs w:val="18"/>
            <w:vertAlign w:val="superscript"/>
            <w:rtl w:val="0"/>
          </w:rPr>
          <w:t xml:space="preserve">6</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as influential for long-term all-cause death and the study of Cheng </w:t>
      </w:r>
      <w:r w:rsidDel="00000000" w:rsidR="00000000" w:rsidRPr="00000000">
        <w:rPr>
          <w:rFonts w:ascii="Cambria" w:cs="Cambria" w:eastAsia="Cambria" w:hAnsi="Cambria"/>
          <w:i w:val="1"/>
          <w:color w:val="231f20"/>
          <w:sz w:val="18"/>
          <w:szCs w:val="18"/>
          <w:vertAlign w:val="baseline"/>
          <w:rtl w:val="0"/>
        </w:rPr>
        <w:t xml:space="preserve">et al</w:t>
      </w:r>
      <w:hyperlink w:anchor="_heading=h.1idq7dh">
        <w:r w:rsidDel="00000000" w:rsidR="00000000" w:rsidRPr="00000000">
          <w:rPr>
            <w:rFonts w:ascii="Cambria" w:cs="Cambria" w:eastAsia="Cambria" w:hAnsi="Cambria"/>
            <w:color w:val="0000ff"/>
            <w:sz w:val="18"/>
            <w:szCs w:val="18"/>
            <w:vertAlign w:val="superscript"/>
            <w:rtl w:val="0"/>
          </w:rPr>
          <w:t xml:space="preserve">13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for in-hospital mortality. However, leave-one-out sensitivity analyses did not alter the results for long-term mortality and major bleeding. After removing one study, the results became non-significant for in-hospital all-cause mortality </w:t>
      </w:r>
      <w:hyperlink r:id="rId284">
        <w:r w:rsidDel="00000000" w:rsidR="00000000" w:rsidRPr="00000000">
          <w:rPr>
            <w:rFonts w:ascii="Cambria" w:cs="Cambria" w:eastAsia="Cambria" w:hAnsi="Cambria"/>
            <w:color w:val="231f20"/>
            <w:sz w:val="18"/>
            <w:szCs w:val="18"/>
            <w:vertAlign w:val="baseline"/>
            <w:rtl w:val="0"/>
          </w:rPr>
          <w:t xml:space="preserve">(online</w:t>
        </w:r>
      </w:hyperlink>
      <w:r w:rsidDel="00000000" w:rsidR="00000000" w:rsidRPr="00000000">
        <w:rPr>
          <w:rFonts w:ascii="Cambria" w:cs="Cambria" w:eastAsia="Cambria" w:hAnsi="Cambria"/>
          <w:color w:val="231f20"/>
          <w:sz w:val="18"/>
          <w:szCs w:val="18"/>
          <w:vertAlign w:val="baseline"/>
          <w:rtl w:val="0"/>
        </w:rPr>
        <w:t xml:space="preserve"> </w:t>
      </w:r>
      <w:hyperlink r:id="rId285">
        <w:r w:rsidDel="00000000" w:rsidR="00000000" w:rsidRPr="00000000">
          <w:rPr>
            <w:rFonts w:ascii="Cambria" w:cs="Cambria" w:eastAsia="Cambria" w:hAnsi="Cambria"/>
            <w:color w:val="231f20"/>
            <w:sz w:val="18"/>
            <w:szCs w:val="18"/>
            <w:vertAlign w:val="baseline"/>
            <w:rtl w:val="0"/>
          </w:rPr>
          <w:t xml:space="preserve">supplemental table</w:t>
        </w:r>
      </w:hyperlink>
      <w:r w:rsidDel="00000000" w:rsidR="00000000" w:rsidRPr="00000000">
        <w:rPr>
          <w:rFonts w:ascii="Cambria" w:cs="Cambria" w:eastAsia="Cambria" w:hAnsi="Cambria"/>
          <w:color w:val="231f20"/>
          <w:sz w:val="18"/>
          <w:szCs w:val="18"/>
          <w:vertAlign w:val="baseline"/>
          <w:rtl w:val="0"/>
        </w:rPr>
        <w:t xml:space="preserve"> S7). The rank correlation and regression tests for funnel plot asymmetry did not imply any publication bias. Furthermore, trim and fill analyses still supported a prognostic utility of thrombocytopenia for postdischarge all-cause mortality and major bleeding. However, a trim and fill method indicated the presence of publication bias for in-hospital all-cause mortality since the results became non-significant </w:t>
      </w:r>
      <w:hyperlink r:id="rId286">
        <w:r w:rsidDel="00000000" w:rsidR="00000000" w:rsidRPr="00000000">
          <w:rPr>
            <w:rFonts w:ascii="Cambria" w:cs="Cambria" w:eastAsia="Cambria" w:hAnsi="Cambria"/>
            <w:color w:val="231f20"/>
            <w:sz w:val="18"/>
            <w:szCs w:val="18"/>
            <w:vertAlign w:val="baseline"/>
            <w:rtl w:val="0"/>
          </w:rPr>
          <w:t xml:space="preserve">(online supplemental</w:t>
        </w:r>
      </w:hyperlink>
      <w:r w:rsidDel="00000000" w:rsidR="00000000" w:rsidRPr="00000000">
        <w:rPr>
          <w:rFonts w:ascii="Cambria" w:cs="Cambria" w:eastAsia="Cambria" w:hAnsi="Cambria"/>
          <w:color w:val="231f20"/>
          <w:sz w:val="18"/>
          <w:szCs w:val="18"/>
          <w:vertAlign w:val="baseline"/>
          <w:rtl w:val="0"/>
        </w:rPr>
        <w:t xml:space="preserve"> </w:t>
      </w:r>
      <w:hyperlink r:id="rId287">
        <w:r w:rsidDel="00000000" w:rsidR="00000000" w:rsidRPr="00000000">
          <w:rPr>
            <w:rFonts w:ascii="Cambria" w:cs="Cambria" w:eastAsia="Cambria" w:hAnsi="Cambria"/>
            <w:color w:val="231f20"/>
            <w:sz w:val="18"/>
            <w:szCs w:val="18"/>
            <w:vertAlign w:val="baseline"/>
            <w:rtl w:val="0"/>
          </w:rPr>
          <w:t xml:space="preserve">figure</w:t>
        </w:r>
      </w:hyperlink>
      <w:r w:rsidDel="00000000" w:rsidR="00000000" w:rsidRPr="00000000">
        <w:rPr>
          <w:rFonts w:ascii="Cambria" w:cs="Cambria" w:eastAsia="Cambria" w:hAnsi="Cambria"/>
          <w:color w:val="231f20"/>
          <w:sz w:val="18"/>
          <w:szCs w:val="18"/>
          <w:vertAlign w:val="baseline"/>
          <w:rtl w:val="0"/>
        </w:rPr>
        <w:t xml:space="preserve"> S5). Cumulative meta-analyses are presented in </w:t>
      </w:r>
      <w:hyperlink r:id="rId288">
        <w:r w:rsidDel="00000000" w:rsidR="00000000" w:rsidRPr="00000000">
          <w:rPr>
            <w:rFonts w:ascii="Cambria" w:cs="Cambria" w:eastAsia="Cambria" w:hAnsi="Cambria"/>
            <w:color w:val="231f20"/>
            <w:sz w:val="18"/>
            <w:szCs w:val="18"/>
            <w:vertAlign w:val="baseline"/>
            <w:rtl w:val="0"/>
          </w:rPr>
          <w:t xml:space="preserve">online</w:t>
        </w:r>
      </w:hyperlink>
      <w:r w:rsidDel="00000000" w:rsidR="00000000" w:rsidRPr="00000000">
        <w:rPr>
          <w:rFonts w:ascii="Cambria" w:cs="Cambria" w:eastAsia="Cambria" w:hAnsi="Cambria"/>
          <w:color w:val="231f20"/>
          <w:sz w:val="18"/>
          <w:szCs w:val="18"/>
          <w:vertAlign w:val="baseline"/>
          <w:rtl w:val="0"/>
        </w:rPr>
        <w:t xml:space="preserve"> </w:t>
      </w:r>
      <w:hyperlink r:id="rId289">
        <w:r w:rsidDel="00000000" w:rsidR="00000000" w:rsidRPr="00000000">
          <w:rPr>
            <w:rFonts w:ascii="Cambria" w:cs="Cambria" w:eastAsia="Cambria" w:hAnsi="Cambria"/>
            <w:color w:val="231f20"/>
            <w:sz w:val="18"/>
            <w:szCs w:val="18"/>
            <w:vertAlign w:val="baseline"/>
            <w:rtl w:val="0"/>
          </w:rPr>
          <w:t xml:space="preserve">supplemental figure S6.</w:t>
        </w:r>
      </w:hyperlink>
      <w:r w:rsidDel="00000000" w:rsidR="00000000" w:rsidRPr="00000000">
        <w:rPr>
          <w:rFonts w:ascii="Cambria" w:cs="Cambria" w:eastAsia="Cambria" w:hAnsi="Cambria"/>
          <w:color w:val="231f20"/>
          <w:sz w:val="18"/>
          <w:szCs w:val="18"/>
          <w:vertAlign w:val="baseline"/>
          <w:rtl w:val="0"/>
        </w:rPr>
        <w:t xml:space="preserve"> The evidence was graded as low quality for in-hospital mortality and moderate quality for postdischarge all-cause mortality and major bleeding.</w:t>
      </w:r>
      <w:r w:rsidDel="00000000" w:rsidR="00000000" w:rsidRPr="00000000">
        <w:rPr>
          <w:rtl w:val="0"/>
        </w:rPr>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66">
      <w:pPr>
        <w:pStyle w:val="Heading4"/>
        <w:spacing w:before="1" w:line="249" w:lineRule="auto"/>
        <w:ind w:firstLine="220"/>
        <w:rPr/>
      </w:pPr>
      <w:r w:rsidDel="00000000" w:rsidR="00000000" w:rsidRPr="00000000">
        <w:rPr>
          <w:color w:val="231f20"/>
          <w:rtl w:val="0"/>
        </w:rPr>
        <w:t xml:space="preserve">Pairwise meta-analyses for thrombocytosis versus normal values of a platelet count</w:t>
      </w:r>
      <w:r w:rsidDel="00000000" w:rsidR="00000000" w:rsidRPr="00000000">
        <w:rPr>
          <w:rtl w:val="0"/>
        </w:rPr>
      </w:r>
    </w:p>
    <w:p w:rsidR="00000000" w:rsidDel="00000000" w:rsidP="00000000" w:rsidRDefault="00000000" w:rsidRPr="00000000" w14:paraId="00000D67">
      <w:pPr>
        <w:spacing w:before="0" w:line="249" w:lineRule="auto"/>
        <w:ind w:left="219" w:right="39"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Definitions for thrombocytosis varied widely from 250×10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to 450×10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w:t>
      </w:r>
      <w:hyperlink w:anchor="_heading=h.338fx5o">
        <w:r w:rsidDel="00000000" w:rsidR="00000000" w:rsidRPr="00000000">
          <w:rPr>
            <w:rFonts w:ascii="Cambria" w:cs="Cambria" w:eastAsia="Cambria" w:hAnsi="Cambria"/>
            <w:color w:val="0000ff"/>
            <w:sz w:val="18"/>
            <w:szCs w:val="18"/>
            <w:vertAlign w:val="superscript"/>
            <w:rtl w:val="0"/>
          </w:rPr>
          <w:t xml:space="preserve">11–13</w:t>
        </w:r>
      </w:hyperlink>
      <w:hyperlink w:anchor="_heading=h.338fx5o">
        <w:r w:rsidDel="00000000" w:rsidR="00000000" w:rsidRPr="00000000">
          <w:rPr>
            <w:rFonts w:ascii="Cambria" w:cs="Cambria" w:eastAsia="Cambria" w:hAnsi="Cambria"/>
            <w:color w:val="0000ff"/>
            <w:sz w:val="18"/>
            <w:szCs w:val="18"/>
            <w:vertAlign w:val="baseline"/>
            <w:rtl w:val="0"/>
          </w:rPr>
          <w:t xml:space="preserve"> </w:t>
        </w:r>
      </w:hyperlink>
      <w:hyperlink w:anchor="_heading=h.338fx5o">
        <w:r w:rsidDel="00000000" w:rsidR="00000000" w:rsidRPr="00000000">
          <w:rPr>
            <w:rFonts w:ascii="Cambria" w:cs="Cambria" w:eastAsia="Cambria" w:hAnsi="Cambria"/>
            <w:color w:val="0000ff"/>
            <w:sz w:val="18"/>
            <w:szCs w:val="18"/>
            <w:vertAlign w:val="superscript"/>
            <w:rtl w:val="0"/>
          </w:rPr>
          <w:t xml:space="preserve">28</w:t>
        </w:r>
      </w:hyperlink>
      <w:hyperlink w:anchor="_heading=h.338fx5o">
        <w:r w:rsidDel="00000000" w:rsidR="00000000" w:rsidRPr="00000000">
          <w:rPr>
            <w:rFonts w:ascii="Cambria" w:cs="Cambria" w:eastAsia="Cambria" w:hAnsi="Cambria"/>
            <w:color w:val="0000ff"/>
            <w:sz w:val="18"/>
            <w:szCs w:val="18"/>
            <w:vertAlign w:val="baseline"/>
            <w:rtl w:val="0"/>
          </w:rPr>
          <w:t xml:space="preserve"> </w:t>
        </w:r>
      </w:hyperlink>
      <w:hyperlink w:anchor="_heading=h.338fx5o">
        <w:r w:rsidDel="00000000" w:rsidR="00000000" w:rsidRPr="00000000">
          <w:rPr>
            <w:rFonts w:ascii="Cambria" w:cs="Cambria" w:eastAsia="Cambria" w:hAnsi="Cambria"/>
            <w:color w:val="0000ff"/>
            <w:sz w:val="18"/>
            <w:szCs w:val="18"/>
            <w:vertAlign w:val="superscript"/>
            <w:rtl w:val="0"/>
          </w:rPr>
          <w:t xml:space="preserve">41</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 meta-analysis of four studies with a total of 33 385 patients revealed a significant association between</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231f20"/>
          <w:sz w:val="18"/>
          <w:szCs w:val="18"/>
          <w:rtl w:val="0"/>
        </w:rPr>
        <w:t xml:space="preserve">thrombocytosis and postdischarge all-cause mortality (HR 1.6, 95% CI 1.29 to 1.98, I</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=0%, p for heterogeneity=0.37, </w:t>
      </w:r>
      <w:hyperlink w:anchor="_heading=h.3bj1y38">
        <w:r w:rsidDel="00000000" w:rsidR="00000000" w:rsidRPr="00000000">
          <w:rPr>
            <w:rFonts w:ascii="Cambria" w:cs="Cambria" w:eastAsia="Cambria" w:hAnsi="Cambria"/>
            <w:color w:val="0000ff"/>
            <w:sz w:val="18"/>
            <w:szCs w:val="18"/>
            <w:vertAlign w:val="baseline"/>
            <w:rtl w:val="0"/>
          </w:rPr>
          <w:t xml:space="preserve">figure 4A</w:t>
        </w:r>
      </w:hyperlink>
      <w:r w:rsidDel="00000000" w:rsidR="00000000" w:rsidRPr="00000000">
        <w:rPr>
          <w:rFonts w:ascii="Cambria" w:cs="Cambria" w:eastAsia="Cambria" w:hAnsi="Cambria"/>
          <w:color w:val="231f20"/>
          <w:sz w:val="18"/>
          <w:szCs w:val="18"/>
          <w:vertAlign w:val="baseline"/>
          <w:rtl w:val="0"/>
        </w:rPr>
        <w:t xml:space="preserve">). Also, based on the analysis of three studies (16 038 patients), thrombocytosis predicted the development of long-term MACE (HR 1.47, 95% CI 1.22 to 1.78, I</w:t>
      </w:r>
      <w:r w:rsidDel="00000000" w:rsidR="00000000" w:rsidRPr="00000000">
        <w:rPr>
          <w:rFonts w:ascii="Cambria" w:cs="Cambria" w:eastAsia="Cambria" w:hAnsi="Cambria"/>
          <w:color w:val="231f20"/>
          <w:sz w:val="18"/>
          <w:szCs w:val="18"/>
          <w:vertAlign w:val="superscript"/>
          <w:rtl w:val="0"/>
        </w:rPr>
        <w:t xml:space="preserve">2</w:t>
      </w:r>
      <w:r w:rsidDel="00000000" w:rsidR="00000000" w:rsidRPr="00000000">
        <w:rPr>
          <w:rFonts w:ascii="Cambria" w:cs="Cambria" w:eastAsia="Cambria" w:hAnsi="Cambria"/>
          <w:color w:val="231f20"/>
          <w:sz w:val="18"/>
          <w:szCs w:val="18"/>
          <w:vertAlign w:val="baseline"/>
          <w:rtl w:val="0"/>
        </w:rPr>
        <w:t xml:space="preserve">=0%, p for </w:t>
      </w:r>
      <w:r w:rsidDel="00000000" w:rsidR="00000000" w:rsidRPr="00000000">
        <w:rPr>
          <w:rFonts w:ascii="Cambria" w:cs="Cambria" w:eastAsia="Cambria" w:hAnsi="Cambria"/>
          <w:color w:val="231f20"/>
          <w:sz w:val="18"/>
          <w:szCs w:val="18"/>
          <w:rtl w:val="0"/>
        </w:rPr>
        <w:t xml:space="preserve">heterogeneity=0.49, </w:t>
      </w:r>
      <w:hyperlink w:anchor="_heading=h.3bj1y38">
        <w:r w:rsidDel="00000000" w:rsidR="00000000" w:rsidRPr="00000000">
          <w:rPr>
            <w:rFonts w:ascii="Cambria" w:cs="Cambria" w:eastAsia="Cambria" w:hAnsi="Cambria"/>
            <w:color w:val="0000ff"/>
            <w:sz w:val="18"/>
            <w:szCs w:val="18"/>
            <w:rtl w:val="0"/>
          </w:rPr>
          <w:t xml:space="preserve">figure 4B</w:t>
        </w:r>
      </w:hyperlink>
      <w:r w:rsidDel="00000000" w:rsidR="00000000" w:rsidRPr="00000000">
        <w:rPr>
          <w:rFonts w:ascii="Cambria" w:cs="Cambria" w:eastAsia="Cambria" w:hAnsi="Cambria"/>
          <w:color w:val="231f20"/>
          <w:sz w:val="18"/>
          <w:szCs w:val="18"/>
          <w:rtl w:val="0"/>
        </w:rPr>
        <w:t xml:space="preserve">). Due to the limited number of studies, other analyses were not feasible.</w:t>
      </w:r>
      <w:r w:rsidDel="00000000" w:rsidR="00000000" w:rsidRPr="00000000">
        <w:rPr>
          <w:rtl w:val="0"/>
        </w:rPr>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69">
      <w:pPr>
        <w:pStyle w:val="Heading3"/>
        <w:ind w:firstLine="220"/>
        <w:rPr/>
      </w:pPr>
      <w:r w:rsidDel="00000000" w:rsidR="00000000" w:rsidRPr="00000000">
        <w:rPr>
          <w:color w:val="231f20"/>
          <w:rtl w:val="0"/>
        </w:rPr>
        <w:t xml:space="preserve">DISCUSSION</w:t>
      </w:r>
      <w:r w:rsidDel="00000000" w:rsidR="00000000" w:rsidRPr="00000000">
        <w:rPr>
          <w:rtl w:val="0"/>
        </w:rPr>
      </w:r>
    </w:p>
    <w:p w:rsidR="00000000" w:rsidDel="00000000" w:rsidP="00000000" w:rsidRDefault="00000000" w:rsidRPr="00000000" w14:paraId="00000D6A">
      <w:pPr>
        <w:spacing w:before="7" w:line="249" w:lineRule="auto"/>
        <w:ind w:left="220" w:right="14.078740157481207"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Our current analysis of 19 studies and with 217 459 participants suggests that the association between preprocedural thrombocyte counts and the risk of postdischarge all-cause mortality and MACE following PCI is J shaped, with a non-linear inverse relationship for low platelet counts (&lt;175×10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and</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231f20"/>
          <w:sz w:val="18"/>
          <w:szCs w:val="18"/>
          <w:rtl w:val="0"/>
        </w:rPr>
        <w:t xml:space="preserve">&lt;75×10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respectively) and a linear proportional relationship for high platelet counts (&gt;275×10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Our analysis suggests that linear equations used in previous analyses fail to capture the complex relationships between baseline platelet counts and clinical outcomes in patients treated with PCI. The link between initial platelet counts and long-term major bleeding is reverse J shaped, with no significant increase in bleeding risk observed in high baseline platelet counts. Finally, we quantify the overall balance of ischaemic versus bleeding risk varies across different platelet counts, with major bleeding the predominant risk at low platelet counts (&lt;175×10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while ischaemic events are more important at high platelet counts (&gt;275×10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This differential risk of bleeding versus ischaemic events at different platelet counts may be relevant clinically and may support more personalised antiplatelet regimes in patients with abnormal baseline platelet count, both in terms of potency of antiplatelet type and duration of dual antiplatelet regime.</w:t>
      </w:r>
      <w:r w:rsidDel="00000000" w:rsidR="00000000" w:rsidRPr="00000000">
        <w:rPr>
          <w:rtl w:val="0"/>
        </w:rPr>
      </w:r>
    </w:p>
    <w:p w:rsidR="00000000" w:rsidDel="00000000" w:rsidP="00000000" w:rsidRDefault="00000000" w:rsidRPr="00000000" w14:paraId="00000D6B">
      <w:pPr>
        <w:spacing w:before="9" w:line="249" w:lineRule="auto"/>
        <w:ind w:left="220" w:right="14.078740157481207" w:firstLine="180"/>
        <w:jc w:val="both"/>
        <w:rPr>
          <w:rFonts w:ascii="Cambria" w:cs="Cambria" w:eastAsia="Cambria" w:hAnsi="Cambria"/>
          <w:sz w:val="18"/>
          <w:szCs w:val="18"/>
        </w:rPr>
        <w:sectPr>
          <w:type w:val="continuous"/>
          <w:pgSz w:h="16840" w:w="11920" w:orient="portrait"/>
          <w:pgMar w:bottom="280" w:top="1060" w:left="620" w:right="640" w:header="456" w:footer="579"/>
          <w:cols w:equalWidth="0" w:num="1">
            <w:col w:space="0" w:w="10645.5"/>
          </w:cols>
        </w:sectPr>
      </w:pPr>
      <w:r w:rsidDel="00000000" w:rsidR="00000000" w:rsidRPr="00000000">
        <w:rPr>
          <w:rFonts w:ascii="Cambria" w:cs="Cambria" w:eastAsia="Cambria" w:hAnsi="Cambria"/>
          <w:color w:val="231f20"/>
          <w:sz w:val="18"/>
          <w:szCs w:val="18"/>
          <w:rtl w:val="0"/>
        </w:rPr>
        <w:t xml:space="preserve">To the best of our knowledge, this is the first dose–response meta-analysis that has generated evidence on non-linear relationships between preprocedural platelet counts and adverse events after PCI. We also found cut-point levels that better delineate a group of patients at risk. For major bleeding, the risk became statistically significant from a level of 150×10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For</w:t>
      </w:r>
      <w:r w:rsidDel="00000000" w:rsidR="00000000" w:rsidRPr="00000000">
        <w:rPr>
          <w:rtl w:val="0"/>
        </w:rPr>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6498803" cy="3133343"/>
            <wp:effectExtent b="0" l="0" r="0" t="0"/>
            <wp:docPr id="476" name="image15.png"/>
            <a:graphic>
              <a:graphicData uri="http://schemas.openxmlformats.org/drawingml/2006/picture">
                <pic:pic>
                  <pic:nvPicPr>
                    <pic:cNvPr id="0" name="image15.png"/>
                    <pic:cNvPicPr preferRelativeResize="0"/>
                  </pic:nvPicPr>
                  <pic:blipFill>
                    <a:blip r:embed="rId290"/>
                    <a:srcRect b="0" l="0" r="0" t="0"/>
                    <a:stretch>
                      <a:fillRect/>
                    </a:stretch>
                  </pic:blipFill>
                  <pic:spPr>
                    <a:xfrm>
                      <a:off x="0" y="0"/>
                      <a:ext cx="6498803" cy="3133343"/>
                    </a:xfrm>
                    <a:prstGeom prst="rect"/>
                    <a:ln/>
                  </pic:spPr>
                </pic:pic>
              </a:graphicData>
            </a:graphic>
          </wp:inline>
        </w:drawing>
      </w:r>
      <w:r w:rsidDel="00000000" w:rsidR="00000000" w:rsidRPr="00000000">
        <w:rPr>
          <w:rtl w:val="0"/>
        </w:rPr>
      </w:r>
    </w:p>
    <w:p w:rsidR="00000000" w:rsidDel="00000000" w:rsidP="00000000" w:rsidRDefault="00000000" w:rsidRPr="00000000" w14:paraId="00000D6E">
      <w:pPr>
        <w:spacing w:before="146" w:line="252.00000000000003" w:lineRule="auto"/>
        <w:ind w:left="220" w:right="153" w:firstLine="0"/>
        <w:jc w:val="left"/>
        <w:rPr>
          <w:rFonts w:ascii="Trebuchet MS" w:cs="Trebuchet MS" w:eastAsia="Trebuchet MS" w:hAnsi="Trebuchet MS"/>
          <w:sz w:val="18"/>
          <w:szCs w:val="18"/>
        </w:rPr>
        <w:sectPr>
          <w:type w:val="continuous"/>
          <w:pgSz w:h="16840" w:w="11920" w:orient="portrait"/>
          <w:pgMar w:bottom="280" w:top="1060" w:left="620" w:right="640" w:header="456" w:footer="579"/>
        </w:sectPr>
      </w:pPr>
      <w:bookmarkStart w:colFirst="0" w:colLast="0" w:name="_heading=h.3bj1y38" w:id="72"/>
      <w:bookmarkEnd w:id="72"/>
      <w:r w:rsidDel="00000000" w:rsidR="00000000" w:rsidRPr="00000000">
        <w:rPr>
          <w:rFonts w:ascii="Trebuchet MS" w:cs="Trebuchet MS" w:eastAsia="Trebuchet MS" w:hAnsi="Trebuchet MS"/>
          <w:b w:val="1"/>
          <w:color w:val="231f20"/>
          <w:sz w:val="18"/>
          <w:szCs w:val="18"/>
          <w:rtl w:val="0"/>
        </w:rPr>
        <w:t xml:space="preserve">Figure 4 </w:t>
      </w:r>
      <w:r w:rsidDel="00000000" w:rsidR="00000000" w:rsidRPr="00000000">
        <w:rPr>
          <w:rFonts w:ascii="Trebuchet MS" w:cs="Trebuchet MS" w:eastAsia="Trebuchet MS" w:hAnsi="Trebuchet MS"/>
          <w:color w:val="231f20"/>
          <w:sz w:val="18"/>
          <w:szCs w:val="18"/>
          <w:rtl w:val="0"/>
        </w:rPr>
        <w:t xml:space="preserve">Pairwise meta-analyses for baseline thrombocytosis versus normal values of platelet counts. MACE, major adverse cardiovascular events; ML, maximum likelihood; RE, random effects; REML, restricted maximum likelihood.</w:t>
      </w:r>
      <w:r w:rsidDel="00000000" w:rsidR="00000000" w:rsidRPr="00000000">
        <w:rPr>
          <w:rtl w:val="0"/>
        </w:rPr>
      </w:r>
    </w:p>
    <w:p w:rsidR="00000000" w:rsidDel="00000000" w:rsidP="00000000" w:rsidRDefault="00000000" w:rsidRPr="00000000" w14:paraId="00000D6F">
      <w:pPr>
        <w:spacing w:before="175" w:line="249" w:lineRule="auto"/>
        <w:ind w:left="220"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long-term all-cause death and MACE, the best fitted cut-points were located at 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and 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respectively. For high values of platelet numbers, the risk of follow-up mortality and MACE increased in a linear fashion.</w:t>
      </w:r>
      <w:r w:rsidDel="00000000" w:rsidR="00000000" w:rsidRPr="00000000">
        <w:rPr>
          <w:rtl w:val="0"/>
        </w:rPr>
      </w:r>
    </w:p>
    <w:p w:rsidR="00000000" w:rsidDel="00000000" w:rsidP="00000000" w:rsidRDefault="00000000" w:rsidRPr="00000000" w14:paraId="00000D70">
      <w:pPr>
        <w:spacing w:before="2" w:line="249" w:lineRule="auto"/>
        <w:ind w:left="220" w:right="3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In addition, we investigated how the relationship between the ischaemic and bleeding risks varied at different platelet counts. While the risk of haemorrhagic events was greater than thrombotic risk for low platelet counts, patients with high initial platelet counts were at greater risk for ischaemic events. These findings are informative for tailoring both the duration and type of antiplatelet regimen employed at different platelet counts following PCI. Our investigation on the trade-off between ischaemic and bleeding risks suggests that antiplatelet therapy should be guided to minimise bleeding burden in patients with baseline thrombocytopenia. These strategies might include shortening the duration of antiplatelet therapy, selecting clopidogrel as a P2Y12 receptor inhibitor, administration of proton pump inhibitors and avoidance of glycoprotein IIb/IIIa inhibitors.</w:t>
      </w:r>
      <w:hyperlink w:anchor="_heading=h.2pta16n">
        <w:r w:rsidDel="00000000" w:rsidR="00000000" w:rsidRPr="00000000">
          <w:rPr>
            <w:rFonts w:ascii="Cambria" w:cs="Cambria" w:eastAsia="Cambria" w:hAnsi="Cambria"/>
            <w:color w:val="0000ff"/>
            <w:sz w:val="18"/>
            <w:szCs w:val="18"/>
            <w:vertAlign w:val="superscript"/>
            <w:rtl w:val="0"/>
          </w:rPr>
          <w:t xml:space="preserve">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For individuals with preprocedural thrombocytosis, our meta-analysis supports the antithrombotic strategies targeted to maximise thrombotic protection. These strategies could be realised as selecting potent P2Y12 receptor inhibitors (ticagrelor, prasugrel) instead of clopidogrel or extending the duration of dual antiplatelet therapy (DAPT).</w:t>
      </w:r>
      <w:hyperlink w:anchor="_heading=h.2pta16n">
        <w:r w:rsidDel="00000000" w:rsidR="00000000" w:rsidRPr="00000000">
          <w:rPr>
            <w:rFonts w:ascii="Cambria" w:cs="Cambria" w:eastAsia="Cambria" w:hAnsi="Cambria"/>
            <w:color w:val="0000ff"/>
            <w:sz w:val="18"/>
            <w:szCs w:val="18"/>
            <w:vertAlign w:val="superscript"/>
            <w:rtl w:val="0"/>
          </w:rPr>
          <w:t xml:space="preserve">3</w:t>
        </w:r>
      </w:hyperlink>
      <w:r w:rsidDel="00000000" w:rsidR="00000000" w:rsidRPr="00000000">
        <w:rPr>
          <w:rtl w:val="0"/>
        </w:rPr>
      </w:r>
    </w:p>
    <w:p w:rsidR="00000000" w:rsidDel="00000000" w:rsidP="00000000" w:rsidRDefault="00000000" w:rsidRPr="00000000" w14:paraId="00000D71">
      <w:pPr>
        <w:spacing w:before="11" w:line="249" w:lineRule="auto"/>
        <w:ind w:left="219" w:right="3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The J-shaped relationship between baseline platelet counts and clinical outcomes can be explained from a pathophysiological point of view. Platelets play a pivotal role in both haemostasis and thrombosis. Platelets participate in all stages of haemostasis, including platelet adhesion, activation, aggregation and blood coagulation cascade.</w:t>
      </w:r>
      <w:hyperlink w:anchor="_heading=h.3dhjn8m">
        <w:r w:rsidDel="00000000" w:rsidR="00000000" w:rsidRPr="00000000">
          <w:rPr>
            <w:rFonts w:ascii="Cambria" w:cs="Cambria" w:eastAsia="Cambria" w:hAnsi="Cambria"/>
            <w:color w:val="0000ff"/>
            <w:sz w:val="18"/>
            <w:szCs w:val="18"/>
            <w:vertAlign w:val="superscript"/>
            <w:rtl w:val="0"/>
          </w:rPr>
          <w:t xml:space="preserve">46</w:t>
        </w:r>
      </w:hyperlink>
      <w:hyperlink w:anchor="_heading=h.3dhjn8m">
        <w:r w:rsidDel="00000000" w:rsidR="00000000" w:rsidRPr="00000000">
          <w:rPr>
            <w:rFonts w:ascii="Cambria" w:cs="Cambria" w:eastAsia="Cambria" w:hAnsi="Cambria"/>
            <w:color w:val="0000ff"/>
            <w:sz w:val="18"/>
            <w:szCs w:val="18"/>
            <w:vertAlign w:val="baseline"/>
            <w:rtl w:val="0"/>
          </w:rPr>
          <w:t xml:space="preserve"> </w:t>
        </w:r>
      </w:hyperlink>
      <w:hyperlink w:anchor="_heading=h.3dhjn8m">
        <w:r w:rsidDel="00000000" w:rsidR="00000000" w:rsidRPr="00000000">
          <w:rPr>
            <w:rFonts w:ascii="Cambria" w:cs="Cambria" w:eastAsia="Cambria" w:hAnsi="Cambria"/>
            <w:color w:val="0000ff"/>
            <w:sz w:val="18"/>
            <w:szCs w:val="18"/>
            <w:vertAlign w:val="superscript"/>
            <w:rtl w:val="0"/>
          </w:rPr>
          <w:t xml:space="preserve">47</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Recent studies have also found that platelets contribute to a ‘protein wave’ of haemostasis that occurs prior to platelet adhesion.</w:t>
      </w:r>
      <w:hyperlink w:anchor="_heading=h.3dhjn8m">
        <w:r w:rsidDel="00000000" w:rsidR="00000000" w:rsidRPr="00000000">
          <w:rPr>
            <w:rFonts w:ascii="Cambria" w:cs="Cambria" w:eastAsia="Cambria" w:hAnsi="Cambria"/>
            <w:color w:val="0000ff"/>
            <w:sz w:val="18"/>
            <w:szCs w:val="18"/>
            <w:vertAlign w:val="superscript"/>
            <w:rtl w:val="0"/>
          </w:rPr>
          <w:t xml:space="preserve">46</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Baseline thrombocytopenia may be due to chronic conditions, such as immune thrombocytopenia, cancer, leukaemia, liver diseases, anaemia, alcohol abuse and use of some drugs.</w:t>
      </w:r>
      <w:hyperlink w:anchor="_heading=h.1smtxgf">
        <w:r w:rsidDel="00000000" w:rsidR="00000000" w:rsidRPr="00000000">
          <w:rPr>
            <w:rFonts w:ascii="Cambria" w:cs="Cambria" w:eastAsia="Cambria" w:hAnsi="Cambria"/>
            <w:color w:val="0000ff"/>
            <w:sz w:val="18"/>
            <w:szCs w:val="18"/>
            <w:vertAlign w:val="superscript"/>
            <w:rtl w:val="0"/>
          </w:rPr>
          <w:t xml:space="preserve">48</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Abnormal platelet counts may relate to underlying comorbidities and any relationship with adverse outcomes may be driven by comorbidities, rather than the platelet count per se. Indeed, several primary studies in our meta-analysis reported a greater burden of comorbid conditions in patients with abnormal platelet counts.</w:t>
      </w:r>
      <w:hyperlink w:anchor="_heading=h.14ykbeg">
        <w:r w:rsidDel="00000000" w:rsidR="00000000" w:rsidRPr="00000000">
          <w:rPr>
            <w:rFonts w:ascii="Cambria" w:cs="Cambria" w:eastAsia="Cambria" w:hAnsi="Cambria"/>
            <w:color w:val="0000ff"/>
            <w:sz w:val="18"/>
            <w:szCs w:val="18"/>
            <w:vertAlign w:val="superscript"/>
            <w:rtl w:val="0"/>
          </w:rPr>
          <w:t xml:space="preserve">4–6</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8</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12</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37</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39</w:t>
        </w:r>
      </w:hyperlink>
      <w:hyperlink w:anchor="_heading=h.14ykbeg">
        <w:r w:rsidDel="00000000" w:rsidR="00000000" w:rsidRPr="00000000">
          <w:rPr>
            <w:rFonts w:ascii="Cambria" w:cs="Cambria" w:eastAsia="Cambria" w:hAnsi="Cambria"/>
            <w:color w:val="0000ff"/>
            <w:sz w:val="18"/>
            <w:szCs w:val="18"/>
            <w:vertAlign w:val="baseline"/>
            <w:rtl w:val="0"/>
          </w:rPr>
          <w:t xml:space="preserve"> </w:t>
        </w:r>
      </w:hyperlink>
      <w:hyperlink w:anchor="_heading=h.14ykbeg">
        <w:r w:rsidDel="00000000" w:rsidR="00000000" w:rsidRPr="00000000">
          <w:rPr>
            <w:rFonts w:ascii="Cambria" w:cs="Cambria" w:eastAsia="Cambria" w:hAnsi="Cambria"/>
            <w:color w:val="0000ff"/>
            <w:sz w:val="18"/>
            <w:szCs w:val="18"/>
            <w:vertAlign w:val="superscript"/>
            <w:rtl w:val="0"/>
          </w:rPr>
          <w:t xml:space="preserve">43</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In order to mitigate the effects of this, we extracted only the effect estimates that were adjusted for these differences in multivariate analyses, although the variables that were adjusted for varied by study. Furthermore, many studies did not provide adequate data on baseline comorbid conditions.</w:t>
      </w:r>
      <w:hyperlink w:anchor="_heading=h.j8sehv">
        <w:r w:rsidDel="00000000" w:rsidR="00000000" w:rsidRPr="00000000">
          <w:rPr>
            <w:rFonts w:ascii="Cambria" w:cs="Cambria" w:eastAsia="Cambria" w:hAnsi="Cambria"/>
            <w:color w:val="0000ff"/>
            <w:sz w:val="18"/>
            <w:szCs w:val="18"/>
            <w:vertAlign w:val="superscript"/>
            <w:rtl w:val="0"/>
          </w:rPr>
          <w:t xml:space="preserve">7</w:t>
        </w:r>
      </w:hyperlink>
      <w:hyperlink w:anchor="_heading=h.j8sehv">
        <w:r w:rsidDel="00000000" w:rsidR="00000000" w:rsidRPr="00000000">
          <w:rPr>
            <w:rFonts w:ascii="Cambria" w:cs="Cambria" w:eastAsia="Cambria" w:hAnsi="Cambria"/>
            <w:color w:val="0000ff"/>
            <w:sz w:val="18"/>
            <w:szCs w:val="18"/>
            <w:vertAlign w:val="baseline"/>
            <w:rtl w:val="0"/>
          </w:rPr>
          <w:t xml:space="preserve"> </w:t>
        </w:r>
      </w:hyperlink>
      <w:hyperlink w:anchor="_heading=h.j8sehv">
        <w:r w:rsidDel="00000000" w:rsidR="00000000" w:rsidRPr="00000000">
          <w:rPr>
            <w:rFonts w:ascii="Cambria" w:cs="Cambria" w:eastAsia="Cambria" w:hAnsi="Cambria"/>
            <w:color w:val="0000ff"/>
            <w:sz w:val="18"/>
            <w:szCs w:val="18"/>
            <w:vertAlign w:val="superscript"/>
            <w:rtl w:val="0"/>
          </w:rPr>
          <w:t xml:space="preserve">13</w:t>
        </w:r>
      </w:hyperlink>
      <w:hyperlink w:anchor="_heading=h.j8sehv">
        <w:r w:rsidDel="00000000" w:rsidR="00000000" w:rsidRPr="00000000">
          <w:rPr>
            <w:rFonts w:ascii="Cambria" w:cs="Cambria" w:eastAsia="Cambria" w:hAnsi="Cambria"/>
            <w:color w:val="0000ff"/>
            <w:sz w:val="18"/>
            <w:szCs w:val="18"/>
            <w:vertAlign w:val="baseline"/>
            <w:rtl w:val="0"/>
          </w:rPr>
          <w:t xml:space="preserve"> </w:t>
        </w:r>
      </w:hyperlink>
      <w:hyperlink w:anchor="_heading=h.j8sehv">
        <w:r w:rsidDel="00000000" w:rsidR="00000000" w:rsidRPr="00000000">
          <w:rPr>
            <w:rFonts w:ascii="Cambria" w:cs="Cambria" w:eastAsia="Cambria" w:hAnsi="Cambria"/>
            <w:color w:val="0000ff"/>
            <w:sz w:val="18"/>
            <w:szCs w:val="18"/>
            <w:vertAlign w:val="superscript"/>
            <w:rtl w:val="0"/>
          </w:rPr>
          <w:t xml:space="preserve">38</w:t>
        </w:r>
      </w:hyperlink>
      <w:hyperlink w:anchor="_heading=h.j8sehv">
        <w:r w:rsidDel="00000000" w:rsidR="00000000" w:rsidRPr="00000000">
          <w:rPr>
            <w:rFonts w:ascii="Cambria" w:cs="Cambria" w:eastAsia="Cambria" w:hAnsi="Cambria"/>
            <w:color w:val="0000ff"/>
            <w:sz w:val="18"/>
            <w:szCs w:val="18"/>
            <w:vertAlign w:val="baseline"/>
            <w:rtl w:val="0"/>
          </w:rPr>
          <w:t xml:space="preserve"> </w:t>
        </w:r>
      </w:hyperlink>
      <w:hyperlink w:anchor="_heading=h.j8sehv">
        <w:r w:rsidDel="00000000" w:rsidR="00000000" w:rsidRPr="00000000">
          <w:rPr>
            <w:rFonts w:ascii="Cambria" w:cs="Cambria" w:eastAsia="Cambria" w:hAnsi="Cambria"/>
            <w:color w:val="0000ff"/>
            <w:sz w:val="18"/>
            <w:szCs w:val="18"/>
            <w:vertAlign w:val="superscript"/>
            <w:rtl w:val="0"/>
          </w:rPr>
          <w:t xml:space="preserve">40–42</w:t>
        </w:r>
      </w:hyperlink>
      <w:hyperlink w:anchor="_heading=h.j8sehv">
        <w:r w:rsidDel="00000000" w:rsidR="00000000" w:rsidRPr="00000000">
          <w:rPr>
            <w:rFonts w:ascii="Cambria" w:cs="Cambria" w:eastAsia="Cambria" w:hAnsi="Cambria"/>
            <w:color w:val="0000ff"/>
            <w:sz w:val="18"/>
            <w:szCs w:val="18"/>
            <w:vertAlign w:val="baseline"/>
            <w:rtl w:val="0"/>
          </w:rPr>
          <w:t xml:space="preserve"> </w:t>
        </w:r>
      </w:hyperlink>
      <w:hyperlink w:anchor="_heading=h.j8sehv">
        <w:r w:rsidDel="00000000" w:rsidR="00000000" w:rsidRPr="00000000">
          <w:rPr>
            <w:rFonts w:ascii="Cambria" w:cs="Cambria" w:eastAsia="Cambria" w:hAnsi="Cambria"/>
            <w:color w:val="0000ff"/>
            <w:sz w:val="18"/>
            <w:szCs w:val="18"/>
            <w:vertAlign w:val="superscript"/>
            <w:rtl w:val="0"/>
          </w:rPr>
          <w:t xml:space="preserve">44</w:t>
        </w:r>
      </w:hyperlink>
      <w:hyperlink w:anchor="_heading=h.j8sehv">
        <w:r w:rsidDel="00000000" w:rsidR="00000000" w:rsidRPr="00000000">
          <w:rPr>
            <w:rFonts w:ascii="Cambria" w:cs="Cambria" w:eastAsia="Cambria" w:hAnsi="Cambria"/>
            <w:color w:val="0000ff"/>
            <w:sz w:val="18"/>
            <w:szCs w:val="18"/>
            <w:vertAlign w:val="baseline"/>
            <w:rtl w:val="0"/>
          </w:rPr>
          <w:t xml:space="preserve"> </w:t>
        </w:r>
      </w:hyperlink>
      <w:hyperlink w:anchor="_heading=h.j8sehv">
        <w:r w:rsidDel="00000000" w:rsidR="00000000" w:rsidRPr="00000000">
          <w:rPr>
            <w:rFonts w:ascii="Cambria" w:cs="Cambria" w:eastAsia="Cambria" w:hAnsi="Cambria"/>
            <w:color w:val="0000ff"/>
            <w:sz w:val="18"/>
            <w:szCs w:val="18"/>
            <w:vertAlign w:val="superscript"/>
            <w:rtl w:val="0"/>
          </w:rPr>
          <w:t xml:space="preserve">45</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Therefore, it remains possible that differences in comorbid burden not adjusted for in studies used in the current analysis may in part contribute to our findings.</w:t>
      </w:r>
      <w:r w:rsidDel="00000000" w:rsidR="00000000" w:rsidRPr="00000000">
        <w:rPr>
          <w:rtl w:val="0"/>
        </w:rPr>
      </w:r>
    </w:p>
    <w:p w:rsidR="00000000" w:rsidDel="00000000" w:rsidP="00000000" w:rsidRDefault="00000000" w:rsidRPr="00000000" w14:paraId="00000D72">
      <w:pPr>
        <w:spacing w:before="13" w:line="249" w:lineRule="auto"/>
        <w:ind w:left="219" w:right="38"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In patients with baseline high platelet counts, thrombocytosis could be related to primary diseases (essential thrombocythaemia, leukaemia and other haemoproliferative disorders).</w:t>
      </w:r>
      <w:hyperlink w:anchor="_heading=h.4cmhg48">
        <w:r w:rsidDel="00000000" w:rsidR="00000000" w:rsidRPr="00000000">
          <w:rPr>
            <w:rFonts w:ascii="Cambria" w:cs="Cambria" w:eastAsia="Cambria" w:hAnsi="Cambria"/>
            <w:color w:val="0000ff"/>
            <w:sz w:val="18"/>
            <w:szCs w:val="18"/>
            <w:vertAlign w:val="superscript"/>
            <w:rtl w:val="0"/>
          </w:rPr>
          <w:t xml:space="preserve">49</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However, more commonly, thrombocytosis is a secondary process related to inflammation, infection, malignancy or stress.</w:t>
      </w:r>
      <w:hyperlink w:anchor="_heading=h.4cmhg48">
        <w:r w:rsidDel="00000000" w:rsidR="00000000" w:rsidRPr="00000000">
          <w:rPr>
            <w:rFonts w:ascii="Cambria" w:cs="Cambria" w:eastAsia="Cambria" w:hAnsi="Cambria"/>
            <w:color w:val="0000ff"/>
            <w:sz w:val="18"/>
            <w:szCs w:val="18"/>
            <w:vertAlign w:val="superscript"/>
            <w:rtl w:val="0"/>
          </w:rPr>
          <w:t xml:space="preserve">49</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Therefore, the degree of thrombocytosis could reflect the severity of thromboinflammation. An interplay between platelets and leucocytes is a cornerstone of thromboinflammation.</w:t>
      </w:r>
      <w:hyperlink w:anchor="_heading=h.3dhjn8m">
        <w:r w:rsidDel="00000000" w:rsidR="00000000" w:rsidRPr="00000000">
          <w:rPr>
            <w:rFonts w:ascii="Cambria" w:cs="Cambria" w:eastAsia="Cambria" w:hAnsi="Cambria"/>
            <w:color w:val="0000ff"/>
            <w:sz w:val="18"/>
            <w:szCs w:val="18"/>
            <w:vertAlign w:val="superscript"/>
            <w:rtl w:val="0"/>
          </w:rPr>
          <w:t xml:space="preserve">47</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Platelets initiate and augment the process of thrombi formation on a ruptured atherosclerotic plaque and mitigate early and late stages of atherosclerosis, predisposing patients to CV events.</w:t>
      </w:r>
      <w:hyperlink w:anchor="_heading=h.3dhjn8m">
        <w:r w:rsidDel="00000000" w:rsidR="00000000" w:rsidRPr="00000000">
          <w:rPr>
            <w:rFonts w:ascii="Cambria" w:cs="Cambria" w:eastAsia="Cambria" w:hAnsi="Cambria"/>
            <w:color w:val="0000ff"/>
            <w:sz w:val="18"/>
            <w:szCs w:val="18"/>
            <w:vertAlign w:val="superscript"/>
            <w:rtl w:val="0"/>
          </w:rPr>
          <w:t xml:space="preserve">47</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Despite the crucial importance of platelets in haemostasis, thrombosis and thromboinflammation, the prognostic value of elevated platelet counts is not considered in contemporary risk scores.</w:t>
      </w:r>
      <w:hyperlink w:anchor="_heading=h.2pta16n">
        <w:r w:rsidDel="00000000" w:rsidR="00000000" w:rsidRPr="00000000">
          <w:rPr>
            <w:rFonts w:ascii="Cambria" w:cs="Cambria" w:eastAsia="Cambria" w:hAnsi="Cambria"/>
            <w:color w:val="0000ff"/>
            <w:sz w:val="18"/>
            <w:szCs w:val="18"/>
            <w:vertAlign w:val="superscript"/>
            <w:rtl w:val="0"/>
          </w:rPr>
          <w:t xml:space="preserve">3</w:t>
        </w:r>
      </w:hyperlink>
      <w:hyperlink w:anchor="_heading=h.2pta16n">
        <w:r w:rsidDel="00000000" w:rsidR="00000000" w:rsidRPr="00000000">
          <w:rPr>
            <w:rFonts w:ascii="Cambria" w:cs="Cambria" w:eastAsia="Cambria" w:hAnsi="Cambria"/>
            <w:color w:val="0000ff"/>
            <w:sz w:val="18"/>
            <w:szCs w:val="18"/>
            <w:vertAlign w:val="baseline"/>
            <w:rtl w:val="0"/>
          </w:rPr>
          <w:t xml:space="preserve"> </w:t>
        </w:r>
      </w:hyperlink>
      <w:hyperlink w:anchor="_heading=h.2pta16n">
        <w:r w:rsidDel="00000000" w:rsidR="00000000" w:rsidRPr="00000000">
          <w:rPr>
            <w:rFonts w:ascii="Cambria" w:cs="Cambria" w:eastAsia="Cambria" w:hAnsi="Cambria"/>
            <w:color w:val="0000ff"/>
            <w:sz w:val="18"/>
            <w:szCs w:val="18"/>
            <w:vertAlign w:val="superscript"/>
            <w:rtl w:val="0"/>
          </w:rPr>
          <w:t xml:space="preserve">10</w:t>
        </w:r>
      </w:hyperlink>
      <w:r w:rsidDel="00000000" w:rsidR="00000000" w:rsidRPr="00000000">
        <w:rPr>
          <w:rtl w:val="0"/>
        </w:rPr>
      </w:r>
    </w:p>
    <w:p w:rsidR="00000000" w:rsidDel="00000000" w:rsidP="00000000" w:rsidRDefault="00000000" w:rsidRPr="00000000" w14:paraId="00000D73">
      <w:pPr>
        <w:spacing w:before="8" w:line="249" w:lineRule="auto"/>
        <w:ind w:left="220" w:right="39"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Previously, one study reported a paradoxical borderline increase in haemorrhagic risk in patients with thrombocytosis</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231f20"/>
          <w:sz w:val="18"/>
          <w:szCs w:val="18"/>
          <w:rtl w:val="0"/>
        </w:rPr>
        <w:t xml:space="preserve">calling for additional studies. This phenomenon is described for patients with essential thrombocythaemia and could be explained by functional deficiency of von Willebrand factor.</w:t>
      </w:r>
      <w:hyperlink w:anchor="_heading=h.2rrrqc1">
        <w:r w:rsidDel="00000000" w:rsidR="00000000" w:rsidRPr="00000000">
          <w:rPr>
            <w:rFonts w:ascii="Cambria" w:cs="Cambria" w:eastAsia="Cambria" w:hAnsi="Cambria"/>
            <w:color w:val="0000ff"/>
            <w:sz w:val="18"/>
            <w:szCs w:val="18"/>
            <w:vertAlign w:val="superscript"/>
            <w:rtl w:val="0"/>
          </w:rPr>
          <w:t xml:space="preserve">50</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Our meta-analysis did not reveal any increase in bleeding events at high platelet counts. It is possible that any small increases in bleeding risk at higher platelet counts were offset by prescription of less potent antiplatelets and shorter duration dual antiplatelet regimes or de-escalation to less potent regimes by operators. Alternatively, the small number of patients with essential thrombocythaemia may mean the study is underpowered to detect small increases in bleeding risk, or such patients present with bleeding events that do not require medical attention.</w:t>
      </w:r>
      <w:r w:rsidDel="00000000" w:rsidR="00000000" w:rsidRPr="00000000">
        <w:rPr>
          <w:rtl w:val="0"/>
        </w:rPr>
      </w:r>
    </w:p>
    <w:p w:rsidR="00000000" w:rsidDel="00000000" w:rsidP="00000000" w:rsidRDefault="00000000" w:rsidRPr="00000000" w14:paraId="00000D74">
      <w:pPr>
        <w:spacing w:before="0" w:line="252.00000000000003" w:lineRule="auto"/>
        <w:ind w:left="219" w:right="14.078740157481207" w:firstLine="18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The primary studies included in the meta-analysis used different definitions for MACE and major bleeding </w:t>
      </w:r>
      <w:hyperlink r:id="rId291">
        <w:r w:rsidDel="00000000" w:rsidR="00000000" w:rsidRPr="00000000">
          <w:rPr>
            <w:rFonts w:ascii="Cambria" w:cs="Cambria" w:eastAsia="Cambria" w:hAnsi="Cambria"/>
            <w:color w:val="231f20"/>
            <w:sz w:val="18"/>
            <w:szCs w:val="18"/>
            <w:rtl w:val="0"/>
          </w:rPr>
          <w:t xml:space="preserve">(online</w:t>
        </w:r>
      </w:hyperlink>
      <w:r w:rsidDel="00000000" w:rsidR="00000000" w:rsidRPr="00000000">
        <w:rPr>
          <w:rFonts w:ascii="Cambria" w:cs="Cambria" w:eastAsia="Cambria" w:hAnsi="Cambria"/>
          <w:color w:val="231f20"/>
          <w:sz w:val="18"/>
          <w:szCs w:val="18"/>
          <w:rtl w:val="0"/>
        </w:rPr>
        <w:t xml:space="preserve"> </w:t>
      </w:r>
      <w:hyperlink r:id="rId292">
        <w:r w:rsidDel="00000000" w:rsidR="00000000" w:rsidRPr="00000000">
          <w:rPr>
            <w:rFonts w:ascii="Cambria" w:cs="Cambria" w:eastAsia="Cambria" w:hAnsi="Cambria"/>
            <w:color w:val="231f20"/>
            <w:sz w:val="18"/>
            <w:szCs w:val="18"/>
            <w:rtl w:val="0"/>
          </w:rPr>
          <w:t xml:space="preserve">supplemental table</w:t>
        </w:r>
      </w:hyperlink>
      <w:r w:rsidDel="00000000" w:rsidR="00000000" w:rsidRPr="00000000">
        <w:rPr>
          <w:rFonts w:ascii="Cambria" w:cs="Cambria" w:eastAsia="Cambria" w:hAnsi="Cambria"/>
          <w:color w:val="231f20"/>
          <w:sz w:val="18"/>
          <w:szCs w:val="18"/>
          <w:rtl w:val="0"/>
        </w:rPr>
        <w:t xml:space="preserve"> S3). For example, MACE was defined as a combination of MI and stroke in a study of Ito </w:t>
      </w:r>
      <w:r w:rsidDel="00000000" w:rsidR="00000000" w:rsidRPr="00000000">
        <w:rPr>
          <w:rFonts w:ascii="Cambria" w:cs="Cambria" w:eastAsia="Cambria" w:hAnsi="Cambria"/>
          <w:i w:val="1"/>
          <w:color w:val="231f20"/>
          <w:sz w:val="18"/>
          <w:szCs w:val="18"/>
          <w:rtl w:val="0"/>
        </w:rPr>
        <w:t xml:space="preserve">et al</w:t>
      </w:r>
      <w:r w:rsidDel="00000000" w:rsidR="00000000" w:rsidRPr="00000000">
        <w:rPr>
          <w:rFonts w:ascii="Cambria" w:cs="Cambria" w:eastAsia="Cambria" w:hAnsi="Cambria"/>
          <w:color w:val="231f20"/>
          <w:sz w:val="18"/>
          <w:szCs w:val="18"/>
          <w:rtl w:val="0"/>
        </w:rPr>
        <w:t xml:space="preserve">, and as a composite of cardiac death, MI or ST in a study of Giustino </w:t>
      </w:r>
      <w:r w:rsidDel="00000000" w:rsidR="00000000" w:rsidRPr="00000000">
        <w:rPr>
          <w:rFonts w:ascii="Cambria" w:cs="Cambria" w:eastAsia="Cambria" w:hAnsi="Cambria"/>
          <w:i w:val="1"/>
          <w:color w:val="231f20"/>
          <w:sz w:val="18"/>
          <w:szCs w:val="18"/>
          <w:rtl w:val="0"/>
        </w:rPr>
        <w:t xml:space="preserve">et al</w:t>
      </w:r>
      <w:r w:rsidDel="00000000" w:rsidR="00000000" w:rsidRPr="00000000">
        <w:rPr>
          <w:rFonts w:ascii="Cambria" w:cs="Cambria" w:eastAsia="Cambria" w:hAnsi="Cambria"/>
          <w:color w:val="231f20"/>
          <w:sz w:val="18"/>
          <w:szCs w:val="18"/>
          <w:rtl w:val="0"/>
        </w:rPr>
        <w:t xml:space="preserve">.</w:t>
      </w:r>
      <w:hyperlink w:anchor="_heading=h.243i4a2">
        <w:r w:rsidDel="00000000" w:rsidR="00000000" w:rsidRPr="00000000">
          <w:rPr>
            <w:rFonts w:ascii="Cambria" w:cs="Cambria" w:eastAsia="Cambria" w:hAnsi="Cambria"/>
            <w:color w:val="0000ff"/>
            <w:sz w:val="18"/>
            <w:szCs w:val="18"/>
            <w:vertAlign w:val="superscript"/>
            <w:rtl w:val="0"/>
          </w:rPr>
          <w:t xml:space="preserve">6</w:t>
        </w:r>
      </w:hyperlink>
      <w:hyperlink w:anchor="_heading=h.243i4a2">
        <w:r w:rsidDel="00000000" w:rsidR="00000000" w:rsidRPr="00000000">
          <w:rPr>
            <w:rFonts w:ascii="Cambria" w:cs="Cambria" w:eastAsia="Cambria" w:hAnsi="Cambria"/>
            <w:color w:val="0000ff"/>
            <w:sz w:val="18"/>
            <w:szCs w:val="18"/>
            <w:vertAlign w:val="baseline"/>
            <w:rtl w:val="0"/>
          </w:rPr>
          <w:t xml:space="preserve"> </w:t>
        </w:r>
      </w:hyperlink>
      <w:hyperlink w:anchor="_heading=h.243i4a2">
        <w:r w:rsidDel="00000000" w:rsidR="00000000" w:rsidRPr="00000000">
          <w:rPr>
            <w:rFonts w:ascii="Cambria" w:cs="Cambria" w:eastAsia="Cambria" w:hAnsi="Cambria"/>
            <w:color w:val="0000ff"/>
            <w:sz w:val="18"/>
            <w:szCs w:val="18"/>
            <w:vertAlign w:val="superscript"/>
            <w:rtl w:val="0"/>
          </w:rPr>
          <w:t xml:space="preserve">11</w:t>
        </w:r>
      </w:hyperlink>
      <w:r w:rsidDel="00000000" w:rsidR="00000000" w:rsidRPr="00000000">
        <w:rPr>
          <w:rFonts w:ascii="Cambria" w:cs="Cambria" w:eastAsia="Cambria" w:hAnsi="Cambria"/>
          <w:color w:val="0000ff"/>
          <w:sz w:val="18"/>
          <w:szCs w:val="18"/>
          <w:vertAlign w:val="baseline"/>
          <w:rtl w:val="0"/>
        </w:rPr>
        <w:t xml:space="preserve"> </w:t>
      </w:r>
      <w:r w:rsidDel="00000000" w:rsidR="00000000" w:rsidRPr="00000000">
        <w:rPr>
          <w:rFonts w:ascii="Cambria" w:cs="Cambria" w:eastAsia="Cambria" w:hAnsi="Cambria"/>
          <w:color w:val="231f20"/>
          <w:sz w:val="18"/>
          <w:szCs w:val="18"/>
          <w:vertAlign w:val="baseline"/>
          <w:rtl w:val="0"/>
        </w:rPr>
        <w:t xml:space="preserve">There are also differences in how MI was defined, particularly whether hsTn assays were used, or older Tn assays/CK-MB. Therefore, even individual endpoints such as MI would be </w:t>
      </w:r>
      <w:r w:rsidDel="00000000" w:rsidR="00000000" w:rsidRPr="00000000">
        <w:rPr>
          <w:rFonts w:ascii="Cambria" w:cs="Cambria" w:eastAsia="Cambria" w:hAnsi="Cambria"/>
          <w:color w:val="231f20"/>
          <w:sz w:val="18"/>
          <w:szCs w:val="18"/>
          <w:rtl w:val="0"/>
        </w:rPr>
        <w:t xml:space="preserve">heterogenous</w:t>
      </w:r>
      <w:r w:rsidDel="00000000" w:rsidR="00000000" w:rsidRPr="00000000">
        <w:rPr>
          <w:rFonts w:ascii="Cambria" w:cs="Cambria" w:eastAsia="Cambria" w:hAnsi="Cambria"/>
          <w:color w:val="231f20"/>
          <w:sz w:val="18"/>
          <w:szCs w:val="18"/>
          <w:vertAlign w:val="baseline"/>
          <w:rtl w:val="0"/>
        </w:rPr>
        <w:t xml:space="preserve">. Measures of significant heterogeneity in some of our reported finding results could be partially related to inconsistency of applied definitions. Also, the lack of consensus in used definitions makes it difficult to speculate on the degree of the association between different components of MACE and baseline platelet counts.</w:t>
      </w:r>
      <w:r w:rsidDel="00000000" w:rsidR="00000000" w:rsidRPr="00000000">
        <w:rPr>
          <w:rtl w:val="0"/>
        </w:rPr>
      </w:r>
    </w:p>
    <w:p w:rsidR="00000000" w:rsidDel="00000000" w:rsidP="00000000" w:rsidRDefault="00000000" w:rsidRPr="00000000" w14:paraId="00000D75">
      <w:pPr>
        <w:spacing w:before="0" w:line="240" w:lineRule="auto"/>
        <w:ind w:left="240" w:right="0" w:firstLine="185.1968503937006"/>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Our systematic review has several limitations. Dose–response</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231f20"/>
          <w:sz w:val="18"/>
          <w:szCs w:val="18"/>
          <w:rtl w:val="0"/>
        </w:rPr>
        <w:t xml:space="preserve">meta-analyses were not feasible for long-term MI, ST, stroke and in-hospital mortality due to the limited number of retrieved primary studies. For this reason, we also removed those studies that reported effect estimates for a per-unit increase in platelet counts. Considering a lack of available evidence, we were not able to conduct pairwise meta-analyses for some clinical outcomes. As the primary studies predominantly reported data on major bleeding as a composite endpoint, we did not perform separate statistical analyses for procedural-related bleeding and non-procedural bleeding as these data were not reported. Furthermore, the majority of primary studies were of retrospective design; herein, selection bias could not be excluded. Some missing data did not allow us to perform subgroup analyses for patients with different forms of CAD and diabetes mellitus. Finally, considering predominantly observational design of included studies, we can only postulate an associative rather than causal link between baseline platelet counts and clinical outcomes after PCI. Some of the relationships we describe may be an indirect effect of antiplatelet choice of operators that are based on platelet count at baseline and the perceived bleeding/ ischaemic risk of patients. For example, an increase of thrombotic events in patients with initial thrombocytopenia might be a result of shortening of DAPT duration or administration of less potent P2Y12 inhibitors. Due to limited data, we were unable to investigate the impact of antiplatelet choice/regimes, baseline haemoglobin, creatinine levels, procedural characteristics and other variables on the association between platelet count and clinical outcomes in meta-regression analyses.</w:t>
      </w:r>
      <w:r w:rsidDel="00000000" w:rsidR="00000000" w:rsidRPr="00000000">
        <w:rPr>
          <w:rtl w:val="0"/>
        </w:rPr>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77">
      <w:pPr>
        <w:pStyle w:val="Heading3"/>
        <w:ind w:left="219" w:firstLine="0"/>
        <w:rPr/>
      </w:pPr>
      <w:r w:rsidDel="00000000" w:rsidR="00000000" w:rsidRPr="00000000">
        <w:rPr>
          <w:color w:val="231f20"/>
          <w:rtl w:val="0"/>
        </w:rPr>
        <w:t xml:space="preserve">CONCLUSION</w:t>
      </w:r>
      <w:r w:rsidDel="00000000" w:rsidR="00000000" w:rsidRPr="00000000">
        <w:rPr>
          <w:rtl w:val="0"/>
        </w:rPr>
      </w:r>
    </w:p>
    <w:p w:rsidR="00000000" w:rsidDel="00000000" w:rsidP="00000000" w:rsidRDefault="00000000" w:rsidRPr="00000000" w14:paraId="00000D78">
      <w:pPr>
        <w:spacing w:before="7" w:line="252.00000000000003" w:lineRule="auto"/>
        <w:ind w:left="219" w:right="-12" w:firstLine="0"/>
        <w:jc w:val="both"/>
        <w:rPr>
          <w:rFonts w:ascii="Cambria" w:cs="Cambria" w:eastAsia="Cambria" w:hAnsi="Cambria"/>
          <w:sz w:val="18"/>
          <w:szCs w:val="18"/>
        </w:rPr>
        <w:sectPr>
          <w:type w:val="nextPage"/>
          <w:pgSz w:h="16840" w:w="11920" w:orient="portrait"/>
          <w:pgMar w:bottom="760" w:top="740" w:left="620" w:right="640" w:header="410" w:footer="579"/>
          <w:cols w:equalWidth="0" w:num="1">
            <w:col w:space="0" w:w="10645.5"/>
          </w:cols>
        </w:sectPr>
      </w:pPr>
      <w:r w:rsidDel="00000000" w:rsidR="00000000" w:rsidRPr="00000000">
        <w:rPr>
          <w:rFonts w:ascii="Cambria" w:cs="Cambria" w:eastAsia="Cambria" w:hAnsi="Cambria"/>
          <w:color w:val="231f20"/>
          <w:sz w:val="18"/>
          <w:szCs w:val="18"/>
          <w:rtl w:val="0"/>
        </w:rPr>
        <w:t xml:space="preserve">Our current analysis of 19 studies and with 217 459 participants suggests that the association between preprocedural thrombocyte counts and the risk of postdischarge all-cause mortality and MACE following PCI is J shaped, with a non-linear inverse relationship for low platelet counts (&lt;175×10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and &lt;75×10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respectively) and a linear proportional relationship for high</w:t>
      </w:r>
      <w:r w:rsidDel="00000000" w:rsidR="00000000" w:rsidRPr="00000000">
        <w:rPr>
          <w:rtl w:val="0"/>
        </w:rPr>
      </w:r>
    </w:p>
    <w:p w:rsidR="00000000" w:rsidDel="00000000" w:rsidP="00000000" w:rsidRDefault="00000000" w:rsidRPr="00000000" w14:paraId="00000D79">
      <w:pPr>
        <w:spacing w:before="208" w:line="252.00000000000003" w:lineRule="auto"/>
        <w:ind w:left="219" w:right="38" w:firstLine="0"/>
        <w:jc w:val="both"/>
        <w:rPr>
          <w:rFonts w:ascii="Cambria" w:cs="Cambria" w:eastAsia="Cambria" w:hAnsi="Cambria"/>
          <w:sz w:val="18"/>
          <w:szCs w:val="18"/>
        </w:rPr>
      </w:pPr>
      <w:r w:rsidDel="00000000" w:rsidR="00000000" w:rsidRPr="00000000">
        <w:rPr>
          <w:rFonts w:ascii="Cambria" w:cs="Cambria" w:eastAsia="Cambria" w:hAnsi="Cambria"/>
          <w:color w:val="231f20"/>
          <w:sz w:val="18"/>
          <w:szCs w:val="18"/>
          <w:rtl w:val="0"/>
        </w:rPr>
        <w:t xml:space="preserve">platelet counts (&gt;275×10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We report a reverse J-shaped relationship between initial platelet counts and long-term major bleeding, with no significant increase in bleeding risk observed in high baseline platelet counts. Our findings suggest that the balance between ischaemic and bleeding events varies according to platelet count. At low platelet counts (&lt;175×10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we report that the predominant risk following PCI is major bleeding events, while at higher platelet counts (&gt;275×10</w:t>
      </w:r>
      <w:r w:rsidDel="00000000" w:rsidR="00000000" w:rsidRPr="00000000">
        <w:rPr>
          <w:rFonts w:ascii="Cambria" w:cs="Cambria" w:eastAsia="Cambria" w:hAnsi="Cambria"/>
          <w:color w:val="231f20"/>
          <w:sz w:val="18"/>
          <w:szCs w:val="18"/>
          <w:vertAlign w:val="superscript"/>
          <w:rtl w:val="0"/>
        </w:rPr>
        <w:t xml:space="preserve">9</w:t>
      </w:r>
      <w:r w:rsidDel="00000000" w:rsidR="00000000" w:rsidRPr="00000000">
        <w:rPr>
          <w:rFonts w:ascii="Cambria" w:cs="Cambria" w:eastAsia="Cambria" w:hAnsi="Cambria"/>
          <w:color w:val="231f20"/>
          <w:sz w:val="18"/>
          <w:szCs w:val="18"/>
          <w:vertAlign w:val="baseline"/>
          <w:rtl w:val="0"/>
        </w:rPr>
        <w:t xml:space="preserve">/L) the risk is predominantly ischaemic events. This may have implications for antiplatelet regime choice in patients undergoing PCI, particularly when balancing ischaemic versus bleeding risk.</w:t>
      </w:r>
      <w:r w:rsidDel="00000000" w:rsidR="00000000" w:rsidRPr="00000000">
        <w:rPr>
          <w:rtl w:val="0"/>
        </w:rPr>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16"/>
          <w:szCs w:val="16"/>
          <w:u w:val="none"/>
          <w:shd w:fill="auto" w:val="clear"/>
          <w:vertAlign w:val="baseline"/>
          <w:rtl w:val="0"/>
        </w:rPr>
        <w:t xml:space="preserve">Twitter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Akhmetzhan Galimzhanov </w:t>
      </w:r>
      <w:hyperlink r:id="rId293">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@AkhmetzhanG</w:t>
        </w:r>
      </w:hyperlink>
      <w:r w:rsidDel="00000000" w:rsidR="00000000" w:rsidRPr="00000000">
        <w:rPr>
          <w:rtl w:val="0"/>
        </w:rPr>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32" w:lineRule="auto"/>
        <w:ind w:left="219" w:right="14.078740157481207" w:firstLine="0"/>
        <w:jc w:val="both"/>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16"/>
          <w:szCs w:val="16"/>
          <w:u w:val="none"/>
          <w:shd w:fill="auto" w:val="clear"/>
          <w:vertAlign w:val="baseline"/>
          <w:rtl w:val="0"/>
        </w:rPr>
        <w:t xml:space="preserve">Contributors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All authors contributed to the study design and conception, screening, extraction, data preparation, analyses, interpretation of the results and manuscript writing. All authors read and approved the final version of the manuscript. All authors guarantee the accuracy and integrity of the work.</w:t>
      </w:r>
      <w:r w:rsidDel="00000000" w:rsidR="00000000" w:rsidRPr="00000000">
        <w:rPr>
          <w:rtl w:val="0"/>
        </w:rPr>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32" w:lineRule="auto"/>
        <w:ind w:left="220" w:right="14.078740157481207" w:firstLine="0"/>
        <w:jc w:val="both"/>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16"/>
          <w:szCs w:val="16"/>
          <w:u w:val="none"/>
          <w:shd w:fill="auto" w:val="clear"/>
          <w:vertAlign w:val="baseline"/>
          <w:rtl w:val="0"/>
        </w:rPr>
        <w:t xml:space="preserve">Funding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The authors have not declared a specific grant for this research from any funding agency in the public, commercial or not-for-profit sectors.</w:t>
      </w:r>
      <w:r w:rsidDel="00000000" w:rsidR="00000000" w:rsidRPr="00000000">
        <w:rPr>
          <w:rtl w:val="0"/>
        </w:rPr>
      </w:r>
    </w:p>
    <w:p w:rsidR="00000000" w:rsidDel="00000000" w:rsidP="00000000" w:rsidRDefault="00000000" w:rsidRPr="00000000" w14:paraId="00000D7E">
      <w:pPr>
        <w:spacing w:before="77" w:lineRule="auto"/>
        <w:ind w:left="220" w:right="0" w:firstLine="0"/>
        <w:jc w:val="left"/>
        <w:rPr>
          <w:rFonts w:ascii="Trebuchet MS" w:cs="Trebuchet MS" w:eastAsia="Trebuchet MS" w:hAnsi="Trebuchet MS"/>
          <w:sz w:val="16"/>
          <w:szCs w:val="16"/>
        </w:rPr>
      </w:pPr>
      <w:r w:rsidDel="00000000" w:rsidR="00000000" w:rsidRPr="00000000">
        <w:rPr>
          <w:rFonts w:ascii="Trebuchet MS" w:cs="Trebuchet MS" w:eastAsia="Trebuchet MS" w:hAnsi="Trebuchet MS"/>
          <w:b w:val="1"/>
          <w:color w:val="231f20"/>
          <w:sz w:val="16"/>
          <w:szCs w:val="16"/>
          <w:rtl w:val="0"/>
        </w:rPr>
        <w:t xml:space="preserve">Competing interests </w:t>
      </w:r>
      <w:r w:rsidDel="00000000" w:rsidR="00000000" w:rsidRPr="00000000">
        <w:rPr>
          <w:rFonts w:ascii="Trebuchet MS" w:cs="Trebuchet MS" w:eastAsia="Trebuchet MS" w:hAnsi="Trebuchet MS"/>
          <w:color w:val="231f20"/>
          <w:sz w:val="16"/>
          <w:szCs w:val="16"/>
          <w:rtl w:val="0"/>
        </w:rPr>
        <w:t xml:space="preserve">None declared.</w:t>
      </w:r>
      <w:r w:rsidDel="00000000" w:rsidR="00000000" w:rsidRPr="00000000">
        <w:rPr>
          <w:rtl w:val="0"/>
        </w:rPr>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32" w:lineRule="auto"/>
        <w:ind w:left="220" w:right="14.078740157481207" w:firstLine="0"/>
        <w:jc w:val="both"/>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16"/>
          <w:szCs w:val="16"/>
          <w:u w:val="none"/>
          <w:shd w:fill="auto" w:val="clear"/>
          <w:vertAlign w:val="baseline"/>
          <w:rtl w:val="0"/>
        </w:rPr>
        <w:t xml:space="preserve">Patient and public involvement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Patients and/or the public were not involved in the design, or conduct, or reporting, or dissemination plans of this research.</w:t>
      </w:r>
      <w:r w:rsidDel="00000000" w:rsidR="00000000" w:rsidRPr="00000000">
        <w:rPr>
          <w:rtl w:val="0"/>
        </w:rPr>
      </w:r>
    </w:p>
    <w:p w:rsidR="00000000" w:rsidDel="00000000" w:rsidP="00000000" w:rsidRDefault="00000000" w:rsidRPr="00000000" w14:paraId="00000D80">
      <w:pPr>
        <w:spacing w:before="77" w:lineRule="auto"/>
        <w:ind w:left="220" w:right="0" w:firstLine="0"/>
        <w:jc w:val="left"/>
        <w:rPr>
          <w:rFonts w:ascii="Trebuchet MS" w:cs="Trebuchet MS" w:eastAsia="Trebuchet MS" w:hAnsi="Trebuchet MS"/>
          <w:sz w:val="16"/>
          <w:szCs w:val="16"/>
        </w:rPr>
      </w:pPr>
      <w:r w:rsidDel="00000000" w:rsidR="00000000" w:rsidRPr="00000000">
        <w:rPr>
          <w:rFonts w:ascii="Trebuchet MS" w:cs="Trebuchet MS" w:eastAsia="Trebuchet MS" w:hAnsi="Trebuchet MS"/>
          <w:b w:val="1"/>
          <w:color w:val="231f20"/>
          <w:sz w:val="16"/>
          <w:szCs w:val="16"/>
          <w:rtl w:val="0"/>
        </w:rPr>
        <w:t xml:space="preserve">Patient consent for publication </w:t>
      </w:r>
      <w:r w:rsidDel="00000000" w:rsidR="00000000" w:rsidRPr="00000000">
        <w:rPr>
          <w:rFonts w:ascii="Trebuchet MS" w:cs="Trebuchet MS" w:eastAsia="Trebuchet MS" w:hAnsi="Trebuchet MS"/>
          <w:color w:val="231f20"/>
          <w:sz w:val="16"/>
          <w:szCs w:val="16"/>
          <w:rtl w:val="0"/>
        </w:rPr>
        <w:t xml:space="preserve">Not required.</w:t>
      </w:r>
      <w:r w:rsidDel="00000000" w:rsidR="00000000" w:rsidRPr="00000000">
        <w:rPr>
          <w:rtl w:val="0"/>
        </w:rPr>
      </w:r>
    </w:p>
    <w:p w:rsidR="00000000" w:rsidDel="00000000" w:rsidP="00000000" w:rsidRDefault="00000000" w:rsidRPr="00000000" w14:paraId="00000D81">
      <w:pPr>
        <w:spacing w:before="75" w:lineRule="auto"/>
        <w:ind w:left="220" w:right="0" w:firstLine="0"/>
        <w:jc w:val="left"/>
        <w:rPr>
          <w:rFonts w:ascii="Trebuchet MS" w:cs="Trebuchet MS" w:eastAsia="Trebuchet MS" w:hAnsi="Trebuchet MS"/>
          <w:sz w:val="16"/>
          <w:szCs w:val="16"/>
        </w:rPr>
      </w:pPr>
      <w:r w:rsidDel="00000000" w:rsidR="00000000" w:rsidRPr="00000000">
        <w:rPr>
          <w:rFonts w:ascii="Trebuchet MS" w:cs="Trebuchet MS" w:eastAsia="Trebuchet MS" w:hAnsi="Trebuchet MS"/>
          <w:b w:val="1"/>
          <w:color w:val="231f20"/>
          <w:sz w:val="16"/>
          <w:szCs w:val="16"/>
          <w:rtl w:val="0"/>
        </w:rPr>
        <w:t xml:space="preserve">Provenance and peer review </w:t>
      </w:r>
      <w:r w:rsidDel="00000000" w:rsidR="00000000" w:rsidRPr="00000000">
        <w:rPr>
          <w:rFonts w:ascii="Trebuchet MS" w:cs="Trebuchet MS" w:eastAsia="Trebuchet MS" w:hAnsi="Trebuchet MS"/>
          <w:color w:val="231f20"/>
          <w:sz w:val="16"/>
          <w:szCs w:val="16"/>
          <w:rtl w:val="0"/>
        </w:rPr>
        <w:t xml:space="preserve">Not commissioned; externally peer reviewed.</w:t>
      </w:r>
      <w:r w:rsidDel="00000000" w:rsidR="00000000" w:rsidRPr="00000000">
        <w:rPr>
          <w:rtl w:val="0"/>
        </w:rPr>
      </w:r>
    </w:p>
    <w:p w:rsidR="00000000" w:rsidDel="00000000" w:rsidP="00000000" w:rsidRDefault="00000000" w:rsidRPr="00000000" w14:paraId="00000D82">
      <w:pPr>
        <w:spacing w:before="79" w:line="232" w:lineRule="auto"/>
        <w:ind w:left="220" w:right="0" w:firstLine="0"/>
        <w:jc w:val="left"/>
        <w:rPr>
          <w:rFonts w:ascii="Trebuchet MS" w:cs="Trebuchet MS" w:eastAsia="Trebuchet MS" w:hAnsi="Trebuchet MS"/>
          <w:sz w:val="16"/>
          <w:szCs w:val="16"/>
        </w:rPr>
      </w:pPr>
      <w:r w:rsidDel="00000000" w:rsidR="00000000" w:rsidRPr="00000000">
        <w:rPr>
          <w:rFonts w:ascii="Trebuchet MS" w:cs="Trebuchet MS" w:eastAsia="Trebuchet MS" w:hAnsi="Trebuchet MS"/>
          <w:b w:val="1"/>
          <w:color w:val="231f20"/>
          <w:sz w:val="16"/>
          <w:szCs w:val="16"/>
          <w:rtl w:val="0"/>
        </w:rPr>
        <w:t xml:space="preserve">Data availability statement </w:t>
      </w:r>
      <w:r w:rsidDel="00000000" w:rsidR="00000000" w:rsidRPr="00000000">
        <w:rPr>
          <w:rFonts w:ascii="Trebuchet MS" w:cs="Trebuchet MS" w:eastAsia="Trebuchet MS" w:hAnsi="Trebuchet MS"/>
          <w:color w:val="231f20"/>
          <w:sz w:val="16"/>
          <w:szCs w:val="16"/>
          <w:rtl w:val="0"/>
        </w:rPr>
        <w:t xml:space="preserve">All data relevant to the study are included in the article or uploaded as supplementary information.</w:t>
      </w:r>
      <w:r w:rsidDel="00000000" w:rsidR="00000000" w:rsidRPr="00000000">
        <w:rPr>
          <w:rtl w:val="0"/>
        </w:rPr>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32" w:lineRule="auto"/>
        <w:ind w:left="220" w:right="14.078740157481207" w:firstLine="0"/>
        <w:jc w:val="both"/>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1"/>
          <w:i w:val="0"/>
          <w:smallCaps w:val="0"/>
          <w:strike w:val="0"/>
          <w:color w:val="231f20"/>
          <w:sz w:val="16"/>
          <w:szCs w:val="16"/>
          <w:u w:val="none"/>
          <w:shd w:fill="auto" w:val="clear"/>
          <w:vertAlign w:val="baseline"/>
          <w:rtl w:val="0"/>
        </w:rPr>
        <w:t xml:space="preserve">Supplemental material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This content has been supplied by the author(s). It has not been vetted by BMJ Publishing Group Limited (BMJ) and may not have been peer-reviewed. Any opinions or recommendations discussed are solely those of the author(s) and are not endorsed by BMJ. BMJ disclaims all liability and responsibility arising from any reliance placed on the content. Where the content</w:t>
      </w:r>
      <w:r w:rsidDel="00000000" w:rsidR="00000000" w:rsidRPr="00000000">
        <w:rPr>
          <w:rFonts w:ascii="Trebuchet MS" w:cs="Trebuchet MS" w:eastAsia="Trebuchet MS" w:hAnsi="Trebuchet MS"/>
          <w:sz w:val="16"/>
          <w:szCs w:val="16"/>
          <w:rtl w:val="0"/>
        </w:rPr>
        <w:t xml:space="preserve"> </w:t>
      </w: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includes any translated material, BMJ does not warrant the accuracy and reliability of the translations (including but not limited to local regulations, clinical guidelines, terminology, drug names and drug dosages), and is not responsible for any error and/or omissions arising from translation and adaptation or otherwise.</w:t>
      </w:r>
      <w:r w:rsidDel="00000000" w:rsidR="00000000" w:rsidRPr="00000000">
        <w:rPr>
          <w:rtl w:val="0"/>
        </w:rPr>
      </w:r>
    </w:p>
    <w:p w:rsidR="00000000" w:rsidDel="00000000" w:rsidP="00000000" w:rsidRDefault="00000000" w:rsidRPr="00000000" w14:paraId="00000D84">
      <w:pPr>
        <w:spacing w:before="157" w:line="183" w:lineRule="auto"/>
        <w:ind w:left="220" w:right="0" w:firstLine="0"/>
        <w:jc w:val="left"/>
        <w:rPr>
          <w:rFonts w:ascii="Trebuchet MS" w:cs="Trebuchet MS" w:eastAsia="Trebuchet MS" w:hAnsi="Trebuchet MS"/>
          <w:b w:val="1"/>
          <w:sz w:val="16"/>
          <w:szCs w:val="16"/>
        </w:rPr>
      </w:pPr>
      <w:r w:rsidDel="00000000" w:rsidR="00000000" w:rsidRPr="00000000">
        <w:rPr>
          <w:rFonts w:ascii="Trebuchet MS" w:cs="Trebuchet MS" w:eastAsia="Trebuchet MS" w:hAnsi="Trebuchet MS"/>
          <w:b w:val="1"/>
          <w:color w:val="231f20"/>
          <w:sz w:val="16"/>
          <w:szCs w:val="16"/>
          <w:rtl w:val="0"/>
        </w:rPr>
        <w:t xml:space="preserve">ORCID iD</w:t>
      </w:r>
      <w:r w:rsidDel="00000000" w:rsidR="00000000" w:rsidRPr="00000000">
        <w:rPr>
          <w:rtl w:val="0"/>
        </w:rPr>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22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6"/>
          <w:szCs w:val="16"/>
          <w:u w:val="none"/>
          <w:shd w:fill="auto" w:val="clear"/>
          <w:vertAlign w:val="baseline"/>
          <w:rtl w:val="0"/>
        </w:rPr>
        <w:t xml:space="preserve">Akhmetzhan Galimzhanov </w:t>
      </w:r>
      <w:hyperlink r:id="rId294">
        <w:r w:rsidDel="00000000" w:rsidR="00000000" w:rsidRPr="00000000">
          <w:rPr>
            <w:rFonts w:ascii="Trebuchet MS" w:cs="Trebuchet MS" w:eastAsia="Trebuchet MS" w:hAnsi="Trebuchet MS"/>
            <w:b w:val="0"/>
            <w:i w:val="0"/>
            <w:smallCaps w:val="0"/>
            <w:strike w:val="0"/>
            <w:color w:val="0000ff"/>
            <w:sz w:val="16"/>
            <w:szCs w:val="16"/>
            <w:u w:val="none"/>
            <w:shd w:fill="auto" w:val="clear"/>
            <w:vertAlign w:val="baseline"/>
            <w:rtl w:val="0"/>
          </w:rPr>
          <w:t xml:space="preserve">http://orcid.org/0000-0002-1605-9512</w:t>
        </w:r>
      </w:hyperlink>
      <w:r w:rsidDel="00000000" w:rsidR="00000000" w:rsidRPr="00000000">
        <w:rPr>
          <w:rtl w:val="0"/>
        </w:rPr>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88">
      <w:pPr>
        <w:pStyle w:val="Heading3"/>
        <w:spacing w:before="1" w:line="219" w:lineRule="auto"/>
        <w:ind w:firstLine="220"/>
        <w:rPr/>
      </w:pPr>
      <w:bookmarkStart w:colFirst="0" w:colLast="0" w:name="_heading=h.1qoc8b1" w:id="73"/>
      <w:bookmarkEnd w:id="73"/>
      <w:r w:rsidDel="00000000" w:rsidR="00000000" w:rsidRPr="00000000">
        <w:rPr>
          <w:color w:val="231f20"/>
          <w:rtl w:val="0"/>
        </w:rPr>
        <w:t xml:space="preserve">REFERENCES</w:t>
      </w:r>
      <w:r w:rsidDel="00000000" w:rsidR="00000000" w:rsidRPr="00000000">
        <w:rPr>
          <w:rtl w:val="0"/>
        </w:rPr>
      </w:r>
    </w:p>
    <w:p w:rsidR="00000000" w:rsidDel="00000000" w:rsidP="00000000" w:rsidRDefault="00000000" w:rsidRPr="00000000" w14:paraId="00000D8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0" w:line="249" w:lineRule="auto"/>
        <w:ind w:left="472" w:right="129" w:hanging="180"/>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4anzqyu" w:id="74"/>
      <w:bookmarkEnd w:id="74"/>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Inohara T, Kohsaka S, Spertus JA,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Comparative trends in percutaneous coronary intervention in Japan and the United States, 2013 to 2017. </w:t>
      </w:r>
      <w:hyperlink r:id="rId295">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Am Coll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2020;76:1328–40.</w:t>
      </w:r>
      <w:r w:rsidDel="00000000" w:rsidR="00000000" w:rsidRPr="00000000">
        <w:rPr>
          <w:rtl w:val="0"/>
        </w:rPr>
      </w:r>
    </w:p>
    <w:p w:rsidR="00000000" w:rsidDel="00000000" w:rsidP="00000000" w:rsidRDefault="00000000" w:rsidRPr="00000000" w14:paraId="00000D8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52.00000000000003" w:lineRule="auto"/>
        <w:ind w:left="471" w:right="240" w:hanging="180"/>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pta16n" w:id="75"/>
      <w:bookmarkEnd w:id="75"/>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Brener SJ, Tarantini G, Leon MB,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Cardiovascular and Noncardiovascular death after percutaneous coronary intervention. </w:t>
      </w:r>
      <w:hyperlink r:id="rId296">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Circulation</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2018;11:e006488.</w:t>
      </w:r>
      <w:r w:rsidDel="00000000" w:rsidR="00000000" w:rsidRPr="00000000">
        <w:rPr>
          <w:rtl w:val="0"/>
        </w:rPr>
      </w:r>
    </w:p>
    <w:p w:rsidR="00000000" w:rsidDel="00000000" w:rsidP="00000000" w:rsidRDefault="00000000" w:rsidRPr="00000000" w14:paraId="00000D8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52.00000000000003" w:lineRule="auto"/>
        <w:ind w:left="471" w:right="60" w:hanging="180"/>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4ykbeg" w:id="76"/>
      <w:bookmarkEnd w:id="76"/>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Valgimigli M, Bueno H, Byrne RA,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w:t>
      </w:r>
      <w:hyperlink r:id="rId297">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Eur Heart J</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2018;39:213–60.</w:t>
      </w:r>
      <w:r w:rsidDel="00000000" w:rsidR="00000000" w:rsidRPr="00000000">
        <w:rPr>
          <w:rtl w:val="0"/>
        </w:rPr>
      </w:r>
    </w:p>
    <w:p w:rsidR="00000000" w:rsidDel="00000000" w:rsidP="00000000" w:rsidRDefault="00000000" w:rsidRPr="00000000" w14:paraId="00000D8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52.00000000000003" w:lineRule="auto"/>
        <w:ind w:left="471" w:right="45" w:hanging="180"/>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oy7u29" w:id="77"/>
      <w:bookmarkEnd w:id="77"/>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Park S, Ahn J-M, Kim TO,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Incidence and impact of thrombocytopenia in patients undergoing percutaneous coronary intervention with drug-eluting stents. </w:t>
      </w:r>
      <w:hyperlink r:id="rId298">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Am J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2020;134:55–61.</w:t>
      </w:r>
      <w:r w:rsidDel="00000000" w:rsidR="00000000" w:rsidRPr="00000000">
        <w:rPr>
          <w:rtl w:val="0"/>
        </w:rPr>
      </w:r>
    </w:p>
    <w:p w:rsidR="00000000" w:rsidDel="00000000" w:rsidP="00000000" w:rsidRDefault="00000000" w:rsidRPr="00000000" w14:paraId="00000D8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52.00000000000003" w:lineRule="auto"/>
        <w:ind w:left="471" w:right="199" w:hanging="180"/>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43i4a2" w:id="78"/>
      <w:bookmarkEnd w:id="78"/>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Ali ZA, Qureshi YH, Karimi Galougahi K,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Effects of baseline and early acquired thrombocytopaenia on long-term mortality in patients undergoing percutaneous coronary intervention with bivalirudin. </w:t>
      </w:r>
      <w:hyperlink r:id="rId299">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EuroIntervention</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2016;11:e1627–38.</w:t>
      </w:r>
      <w:r w:rsidDel="00000000" w:rsidR="00000000" w:rsidRPr="00000000">
        <w:rPr>
          <w:rtl w:val="0"/>
        </w:rPr>
      </w:r>
    </w:p>
    <w:p w:rsidR="00000000" w:rsidDel="00000000" w:rsidP="00000000" w:rsidRDefault="00000000" w:rsidRPr="00000000" w14:paraId="00000D8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0" w:line="252.00000000000003" w:lineRule="auto"/>
        <w:ind w:left="472" w:right="487" w:hanging="180"/>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j8sehv" w:id="79"/>
      <w:bookmarkEnd w:id="79"/>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Ito S, Watanabe H, Morimoto T,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Impact of baseline thrombocytopenia on bleeding and mortality after percutaneous coronary intervention. </w:t>
      </w:r>
      <w:hyperlink r:id="rId300">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Am J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2018;121:1304–14.</w:t>
      </w:r>
      <w:r w:rsidDel="00000000" w:rsidR="00000000" w:rsidRPr="00000000">
        <w:rPr>
          <w:rtl w:val="0"/>
        </w:rPr>
      </w:r>
    </w:p>
    <w:p w:rsidR="00000000" w:rsidDel="00000000" w:rsidP="00000000" w:rsidRDefault="00000000" w:rsidRPr="00000000" w14:paraId="00000D8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52.00000000000003" w:lineRule="auto"/>
        <w:ind w:left="471" w:right="142" w:hanging="180"/>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Liu S, Song C, Zhao Y,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Impact of baseline thrombocytopenia on the long-term outcome of patients undergoing elective percutaneous coronary intervention: an analysis of 9,897 consecutive patients. </w:t>
      </w:r>
      <w:hyperlink r:id="rId301">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Catheter Cardiovasc Interv</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2019;93:764–71.</w:t>
      </w:r>
      <w:r w:rsidDel="00000000" w:rsidR="00000000" w:rsidRPr="00000000">
        <w:rPr>
          <w:rtl w:val="0"/>
        </w:rPr>
      </w:r>
    </w:p>
    <w:p w:rsidR="00000000" w:rsidDel="00000000" w:rsidP="00000000" w:rsidRDefault="00000000" w:rsidRPr="00000000" w14:paraId="00000D9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0" w:line="252.00000000000003" w:lineRule="auto"/>
        <w:ind w:left="472" w:right="431" w:hanging="180"/>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Yadav M, Généreux P, Giustino G,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Effect of baseline thrombocytopenia on ischemic outcomes in patients with acute coronary syndromes who undergo percutaneous coronary intervention. </w:t>
      </w:r>
      <w:hyperlink r:id="rId302">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Can J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2016;32:226–33.</w:t>
      </w:r>
      <w:r w:rsidDel="00000000" w:rsidR="00000000" w:rsidRPr="00000000">
        <w:rPr>
          <w:rtl w:val="0"/>
        </w:rPr>
      </w:r>
    </w:p>
    <w:p w:rsidR="00000000" w:rsidDel="00000000" w:rsidP="00000000" w:rsidRDefault="00000000" w:rsidRPr="00000000" w14:paraId="00000D9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52.00000000000003" w:lineRule="auto"/>
        <w:ind w:left="471" w:right="211" w:hanging="180"/>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Wang L, Su W, Xue J,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Association of thrombocytopenia and infection in patients with ST-elevation myocardial infarction undergoing percutaneous coronary intervention. </w:t>
      </w:r>
      <w:hyperlink r:id="rId303">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BMC Cardiovasc Disord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2021;21:404.</w:t>
      </w:r>
      <w:r w:rsidDel="00000000" w:rsidR="00000000" w:rsidRPr="00000000">
        <w:rPr>
          <w:rtl w:val="0"/>
        </w:rPr>
      </w:r>
    </w:p>
    <w:p w:rsidR="00000000" w:rsidDel="00000000" w:rsidP="00000000" w:rsidRDefault="00000000" w:rsidRPr="00000000" w14:paraId="00000D9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0" w:line="249" w:lineRule="auto"/>
        <w:ind w:left="472" w:right="191"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Ahsan MJ, Lateef N, Latif A,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 systematic review and meta-analysis of impact of baseline thrombocytopenia on cardiovascular outcomes and mortality in patients</w:t>
      </w:r>
      <w:r w:rsidDel="00000000" w:rsidR="00000000" w:rsidRPr="00000000">
        <w:rPr>
          <w:rFonts w:ascii="Trebuchet MS" w:cs="Trebuchet MS" w:eastAsia="Trebuchet MS" w:hAnsi="Trebuchet MS"/>
          <w:sz w:val="15"/>
          <w:szCs w:val="15"/>
          <w:rtl w:val="0"/>
        </w:rPr>
        <w:t xml:space="preserve"> </w:t>
      </w:r>
      <w:r w:rsidDel="00000000" w:rsidR="00000000" w:rsidRPr="00000000">
        <w:rPr>
          <w:rFonts w:ascii="Trebuchet MS" w:cs="Trebuchet MS" w:eastAsia="Trebuchet MS" w:hAnsi="Trebuchet MS"/>
          <w:color w:val="231f20"/>
          <w:sz w:val="15"/>
          <w:szCs w:val="15"/>
          <w:rtl w:val="0"/>
        </w:rPr>
        <w:t xml:space="preserve">undergoing percutaneous coronary intervention. </w:t>
      </w:r>
      <w:hyperlink r:id="rId304">
        <w:r w:rsidDel="00000000" w:rsidR="00000000" w:rsidRPr="00000000">
          <w:rPr>
            <w:rFonts w:ascii="Trebuchet MS" w:cs="Trebuchet MS" w:eastAsia="Trebuchet MS" w:hAnsi="Trebuchet MS"/>
            <w:i w:val="1"/>
            <w:color w:val="0000ff"/>
            <w:sz w:val="15"/>
            <w:szCs w:val="15"/>
            <w:rtl w:val="0"/>
          </w:rPr>
          <w:t xml:space="preserve">Catheter Cardiovasc Interv</w:t>
        </w:r>
      </w:hyperlink>
      <w:r w:rsidDel="00000000" w:rsidR="00000000" w:rsidRPr="00000000">
        <w:rPr>
          <w:rtl w:val="0"/>
        </w:rPr>
      </w:r>
    </w:p>
    <w:p w:rsidR="00000000" w:rsidDel="00000000" w:rsidP="00000000" w:rsidRDefault="00000000" w:rsidRPr="00000000" w14:paraId="00000D93">
      <w:pPr>
        <w:spacing w:before="6" w:lineRule="auto"/>
        <w:ind w:left="471" w:right="0" w:firstLine="0"/>
        <w:jc w:val="both"/>
        <w:rPr>
          <w:rFonts w:ascii="Trebuchet MS" w:cs="Trebuchet MS" w:eastAsia="Trebuchet MS" w:hAnsi="Trebuchet MS"/>
          <w:sz w:val="15"/>
          <w:szCs w:val="15"/>
        </w:rPr>
      </w:pPr>
      <w:bookmarkStart w:colFirst="0" w:colLast="0" w:name="_heading=h.338fx5o" w:id="80"/>
      <w:bookmarkEnd w:id="80"/>
      <w:r w:rsidDel="00000000" w:rsidR="00000000" w:rsidRPr="00000000">
        <w:rPr>
          <w:rFonts w:ascii="Trebuchet MS" w:cs="Trebuchet MS" w:eastAsia="Trebuchet MS" w:hAnsi="Trebuchet MS"/>
          <w:color w:val="231f20"/>
          <w:sz w:val="15"/>
          <w:szCs w:val="15"/>
          <w:rtl w:val="0"/>
        </w:rPr>
        <w:t xml:space="preserve">2021;97:E778–88.</w:t>
      </w:r>
      <w:r w:rsidDel="00000000" w:rsidR="00000000" w:rsidRPr="00000000">
        <w:rPr>
          <w:rtl w:val="0"/>
        </w:rPr>
      </w:r>
    </w:p>
    <w:p w:rsidR="00000000" w:rsidDel="00000000" w:rsidP="00000000" w:rsidRDefault="00000000" w:rsidRPr="00000000" w14:paraId="00000D9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6" w:line="246.99999999999994" w:lineRule="auto"/>
        <w:ind w:left="471" w:right="230"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Giustino G, Kirtane AJ, Généreux P,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Relation between platelet count and platelet reactivity to thrombotic and bleeding risk: from the assessment of dual antiplatelet therapy with drug-eluting stents study. </w:t>
      </w:r>
      <w:hyperlink r:id="rId305">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Am J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2016;117:1703–13.</w:t>
      </w:r>
      <w:r w:rsidDel="00000000" w:rsidR="00000000" w:rsidRPr="00000000">
        <w:rPr>
          <w:rtl w:val="0"/>
        </w:rPr>
      </w:r>
    </w:p>
    <w:p w:rsidR="00000000" w:rsidDel="00000000" w:rsidP="00000000" w:rsidRDefault="00000000" w:rsidRPr="00000000" w14:paraId="00000D9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46.99999999999994" w:lineRule="auto"/>
        <w:ind w:left="471" w:right="540"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idq7dh" w:id="81"/>
      <w:bookmarkEnd w:id="81"/>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Roh JW, Lim S, Hwang Y,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Ischemic and bleeding events associated with thrombocytopenia and thrombocytosis after percutaneous coronary intervention in patients with acute myocardial infarction. </w:t>
      </w:r>
      <w:hyperlink r:id="rId306">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Clin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2020;9. doi:10.3390/ jcm9103370. [Epub ahead of print: 21 10 2020].</w:t>
      </w:r>
      <w:r w:rsidDel="00000000" w:rsidR="00000000" w:rsidRPr="00000000">
        <w:rPr>
          <w:rtl w:val="0"/>
        </w:rPr>
      </w:r>
    </w:p>
    <w:p w:rsidR="00000000" w:rsidDel="00000000" w:rsidP="00000000" w:rsidRDefault="00000000" w:rsidRPr="00000000" w14:paraId="00000D9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3" w:line="246.99999999999994" w:lineRule="auto"/>
        <w:ind w:left="471" w:right="347"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42ddq1a" w:id="82"/>
      <w:bookmarkEnd w:id="82"/>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Cheng W-J, Yang S-W, Gao F,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Association between baseline platelet count and severe adverse outcomes following percutaneous coronary intervention. </w:t>
      </w:r>
      <w:hyperlink r:id="rId307">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Geriatr</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hyperlink r:id="rId308">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2018;15:346–55.</w:t>
      </w:r>
      <w:r w:rsidDel="00000000" w:rsidR="00000000" w:rsidRPr="00000000">
        <w:rPr>
          <w:rtl w:val="0"/>
        </w:rPr>
      </w:r>
    </w:p>
    <w:p w:rsidR="00000000" w:rsidDel="00000000" w:rsidP="00000000" w:rsidRDefault="00000000" w:rsidRPr="00000000" w14:paraId="00000D9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3" w:line="246.99999999999994" w:lineRule="auto"/>
        <w:ind w:left="471" w:right="461"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Stone SG, Serrao GW, Mehran R,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Incidence, predictors, and implications of reinfarction after primary percutaneous coronary intervention in ST-segment-</w:t>
      </w:r>
      <w:r w:rsidDel="00000000" w:rsidR="00000000" w:rsidRPr="00000000">
        <w:rPr>
          <w:rFonts w:ascii="Trebuchet MS" w:cs="Trebuchet MS" w:eastAsia="Trebuchet MS" w:hAnsi="Trebuchet MS"/>
          <w:color w:val="231f20"/>
          <w:sz w:val="15"/>
          <w:szCs w:val="15"/>
          <w:rtl w:val="0"/>
        </w:rPr>
        <w:t xml:space="preserve">elevation myocardial infarction: the Harmonizing outcomes with revascularization and stents in acute myocardial infarction trial. </w:t>
      </w:r>
      <w:hyperlink r:id="rId309">
        <w:r w:rsidDel="00000000" w:rsidR="00000000" w:rsidRPr="00000000">
          <w:rPr>
            <w:rFonts w:ascii="Trebuchet MS" w:cs="Trebuchet MS" w:eastAsia="Trebuchet MS" w:hAnsi="Trebuchet MS"/>
            <w:i w:val="1"/>
            <w:color w:val="0000ff"/>
            <w:sz w:val="15"/>
            <w:szCs w:val="15"/>
            <w:rtl w:val="0"/>
          </w:rPr>
          <w:t xml:space="preserve">Circ Cardiovasc Interv</w:t>
        </w:r>
      </w:hyperlink>
      <w:r w:rsidDel="00000000" w:rsidR="00000000" w:rsidRPr="00000000">
        <w:rPr>
          <w:rFonts w:ascii="Trebuchet MS" w:cs="Trebuchet MS" w:eastAsia="Trebuchet MS" w:hAnsi="Trebuchet MS"/>
          <w:i w:val="1"/>
          <w:color w:val="0000ff"/>
          <w:sz w:val="15"/>
          <w:szCs w:val="15"/>
          <w:rtl w:val="0"/>
        </w:rPr>
        <w:t xml:space="preserve"> </w:t>
      </w:r>
      <w:r w:rsidDel="00000000" w:rsidR="00000000" w:rsidRPr="00000000">
        <w:rPr>
          <w:rFonts w:ascii="Trebuchet MS" w:cs="Trebuchet MS" w:eastAsia="Trebuchet MS" w:hAnsi="Trebuchet MS"/>
          <w:color w:val="231f20"/>
          <w:sz w:val="15"/>
          <w:szCs w:val="15"/>
          <w:rtl w:val="0"/>
        </w:rPr>
        <w:t xml:space="preserve">2014;7:543–51.</w:t>
      </w:r>
      <w:r w:rsidDel="00000000" w:rsidR="00000000" w:rsidRPr="00000000">
        <w:rPr>
          <w:rtl w:val="0"/>
        </w:rPr>
      </w:r>
    </w:p>
    <w:p w:rsidR="00000000" w:rsidDel="00000000" w:rsidP="00000000" w:rsidRDefault="00000000" w:rsidRPr="00000000" w14:paraId="00000D9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680"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wnyagw" w:id="83"/>
      <w:bookmarkEnd w:id="83"/>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Page MJ, McKenzie JE, Bossuyt PM. The PRISMA 2020 statement: an updated guideline for reporting systematic reviews. </w:t>
      </w:r>
      <w:hyperlink r:id="rId310">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BMJ</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2021;372.</w:t>
      </w:r>
      <w:r w:rsidDel="00000000" w:rsidR="00000000" w:rsidRPr="00000000">
        <w:rPr>
          <w:rtl w:val="0"/>
        </w:rPr>
      </w:r>
    </w:p>
    <w:p w:rsidR="00000000" w:rsidDel="00000000" w:rsidP="00000000" w:rsidRDefault="00000000" w:rsidRPr="00000000" w14:paraId="00000D9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200"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gnlt4p" w:id="84"/>
      <w:bookmarkEnd w:id="84"/>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Riley RD, Moons KGM, Snell KIE,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 guide to systematic review and meta-analysis of prognostic factor studies. </w:t>
      </w:r>
      <w:hyperlink r:id="rId311">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BMJ</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2019;364:k4597.</w:t>
      </w:r>
      <w:r w:rsidDel="00000000" w:rsidR="00000000" w:rsidRPr="00000000">
        <w:rPr>
          <w:rtl w:val="0"/>
        </w:rPr>
      </w:r>
    </w:p>
    <w:p w:rsidR="00000000" w:rsidDel="00000000" w:rsidP="00000000" w:rsidRDefault="00000000" w:rsidRPr="00000000" w14:paraId="00000D9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1" w:line="246.99999999999994" w:lineRule="auto"/>
        <w:ind w:left="472" w:right="223"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Janssens ACJW, Gwinn M, Brockman JE,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Novel citation-based search method for scientific literature: a validation study. </w:t>
      </w:r>
      <w:hyperlink r:id="rId312">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BMC Med Res Methodol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2020;20:25.</w:t>
      </w:r>
      <w:r w:rsidDel="00000000" w:rsidR="00000000" w:rsidRPr="00000000">
        <w:rPr>
          <w:rtl w:val="0"/>
        </w:rPr>
      </w:r>
    </w:p>
    <w:p w:rsidR="00000000" w:rsidDel="00000000" w:rsidP="00000000" w:rsidRDefault="00000000" w:rsidRPr="00000000" w14:paraId="00000D9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491"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vsw3ci" w:id="85"/>
      <w:bookmarkEnd w:id="85"/>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McWeeny S, Choe J, Norton E.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SnowGlobe: an iterative search tool for systematic reviews and meta-analyses</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2021.</w:t>
      </w:r>
      <w:r w:rsidDel="00000000" w:rsidR="00000000" w:rsidRPr="00000000">
        <w:rPr>
          <w:rtl w:val="0"/>
        </w:rPr>
      </w:r>
    </w:p>
    <w:p w:rsidR="00000000" w:rsidDel="00000000" w:rsidP="00000000" w:rsidRDefault="00000000" w:rsidRPr="00000000" w14:paraId="00000D9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40" w:lineRule="auto"/>
        <w:ind w:left="471" w:right="0" w:hanging="251"/>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Hook DW, Porter SJ, Herzog C. Dimensions: building context for search and evaluation.</w:t>
      </w:r>
      <w:r w:rsidDel="00000000" w:rsidR="00000000" w:rsidRPr="00000000">
        <w:rPr>
          <w:rFonts w:ascii="Trebuchet MS" w:cs="Trebuchet MS" w:eastAsia="Trebuchet MS" w:hAnsi="Trebuchet MS"/>
          <w:sz w:val="15"/>
          <w:szCs w:val="15"/>
          <w:rtl w:val="0"/>
        </w:rPr>
        <w:t xml:space="preserve"> </w:t>
      </w:r>
      <w:hyperlink r:id="rId313">
        <w:r w:rsidDel="00000000" w:rsidR="00000000" w:rsidRPr="00000000">
          <w:rPr>
            <w:rFonts w:ascii="Trebuchet MS" w:cs="Trebuchet MS" w:eastAsia="Trebuchet MS" w:hAnsi="Trebuchet MS"/>
            <w:i w:val="1"/>
            <w:color w:val="0000ff"/>
            <w:sz w:val="15"/>
            <w:szCs w:val="15"/>
            <w:rtl w:val="0"/>
          </w:rPr>
          <w:t xml:space="preserve">Front Res Metr Anal</w:t>
        </w:r>
      </w:hyperlink>
      <w:r w:rsidDel="00000000" w:rsidR="00000000" w:rsidRPr="00000000">
        <w:rPr>
          <w:rFonts w:ascii="Trebuchet MS" w:cs="Trebuchet MS" w:eastAsia="Trebuchet MS" w:hAnsi="Trebuchet MS"/>
          <w:i w:val="1"/>
          <w:color w:val="0000ff"/>
          <w:sz w:val="15"/>
          <w:szCs w:val="15"/>
          <w:rtl w:val="0"/>
        </w:rPr>
        <w:t xml:space="preserve"> </w:t>
      </w:r>
      <w:r w:rsidDel="00000000" w:rsidR="00000000" w:rsidRPr="00000000">
        <w:rPr>
          <w:rFonts w:ascii="Trebuchet MS" w:cs="Trebuchet MS" w:eastAsia="Trebuchet MS" w:hAnsi="Trebuchet MS"/>
          <w:color w:val="231f20"/>
          <w:sz w:val="15"/>
          <w:szCs w:val="15"/>
          <w:rtl w:val="0"/>
        </w:rPr>
        <w:t xml:space="preserve">2018;3:23.</w:t>
      </w:r>
      <w:r w:rsidDel="00000000" w:rsidR="00000000" w:rsidRPr="00000000">
        <w:rPr>
          <w:rtl w:val="0"/>
        </w:rPr>
      </w:r>
    </w:p>
    <w:p w:rsidR="00000000" w:rsidDel="00000000" w:rsidP="00000000" w:rsidRDefault="00000000" w:rsidRPr="00000000" w14:paraId="00000D9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6" w:line="246.99999999999994" w:lineRule="auto"/>
        <w:ind w:left="472" w:right="382"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uxtw84" w:id="86"/>
      <w:bookmarkEnd w:id="86"/>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Haddaway N, McGuinness L.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PRISMA2020: R package and ShinyApp for producing PRISMA 2020 compliant flow diagrams (version 0.0.1)</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Zenodo, 2020.</w:t>
      </w:r>
      <w:r w:rsidDel="00000000" w:rsidR="00000000" w:rsidRPr="00000000">
        <w:rPr>
          <w:rtl w:val="0"/>
        </w:rPr>
      </w:r>
    </w:p>
    <w:p w:rsidR="00000000" w:rsidDel="00000000" w:rsidP="00000000" w:rsidRDefault="00000000" w:rsidRPr="00000000" w14:paraId="00000D9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567"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Ouzzani M, Hammady H, Fedorowicz Z,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Rayyan-a web and mobile APP for systematic reviews. </w:t>
      </w:r>
      <w:hyperlink r:id="rId314">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Syst Rev</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2016;5:210.</w:t>
      </w:r>
      <w:r w:rsidDel="00000000" w:rsidR="00000000" w:rsidRPr="00000000">
        <w:rPr>
          <w:rtl w:val="0"/>
        </w:rPr>
      </w:r>
    </w:p>
    <w:p w:rsidR="00000000" w:rsidDel="00000000" w:rsidP="00000000" w:rsidRDefault="00000000" w:rsidRPr="00000000" w14:paraId="00000D9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1" w:line="246.99999999999994" w:lineRule="auto"/>
        <w:ind w:left="472" w:right="196"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a346fx" w:id="87"/>
      <w:bookmarkEnd w:id="87"/>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Moons KGM, de Groot JAH, Bouwmeester W,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Critical appraisal and data extraction for systematic reviews of prediction modelling studies: the charms checklist. </w:t>
      </w:r>
      <w:hyperlink r:id="rId315">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PLoS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2014;11:e1001744.</w:t>
      </w:r>
      <w:r w:rsidDel="00000000" w:rsidR="00000000" w:rsidRPr="00000000">
        <w:rPr>
          <w:rtl w:val="0"/>
        </w:rPr>
      </w:r>
    </w:p>
    <w:p w:rsidR="00000000" w:rsidDel="00000000" w:rsidP="00000000" w:rsidRDefault="00000000" w:rsidRPr="00000000" w14:paraId="00000DA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3" w:line="246.99999999999994" w:lineRule="auto"/>
        <w:ind w:left="472" w:right="402"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Higgins L, j D. Choosing effect measures and computing estimates of effect. In: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Cochrane Handbook for systematic reviews of interventions version 6.0</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Cochrane, 2019.</w:t>
      </w:r>
      <w:r w:rsidDel="00000000" w:rsidR="00000000" w:rsidRPr="00000000">
        <w:rPr>
          <w:rtl w:val="0"/>
        </w:rPr>
      </w:r>
    </w:p>
    <w:p w:rsidR="00000000" w:rsidDel="00000000" w:rsidP="00000000" w:rsidRDefault="00000000" w:rsidRPr="00000000" w14:paraId="00000DA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211" w:hanging="252"/>
        <w:jc w:val="left"/>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u2rp3q" w:id="88"/>
      <w:bookmarkEnd w:id="88"/>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Wan X, Wang W, Liu J,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Estimating the sample mean and standard deviation from the sample size, median, range and/or interquartile range. </w:t>
      </w:r>
      <w:hyperlink r:id="rId316">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BMC Med Res Methodol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2014;14:135.</w:t>
      </w:r>
      <w:r w:rsidDel="00000000" w:rsidR="00000000" w:rsidRPr="00000000">
        <w:rPr>
          <w:rtl w:val="0"/>
        </w:rPr>
      </w:r>
    </w:p>
    <w:p w:rsidR="00000000" w:rsidDel="00000000" w:rsidP="00000000" w:rsidRDefault="00000000" w:rsidRPr="00000000" w14:paraId="00000DA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647"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981zbj" w:id="89"/>
      <w:bookmarkEnd w:id="89"/>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Hayden JA, van der Windt DA, Cartwright JL,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Assessing bias in studies of prognostic factors. </w:t>
      </w:r>
      <w:hyperlink r:id="rId317">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Ann Intern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2013;158:280–6.</w:t>
      </w:r>
      <w:r w:rsidDel="00000000" w:rsidR="00000000" w:rsidRPr="00000000">
        <w:rPr>
          <w:rtl w:val="0"/>
        </w:rPr>
      </w:r>
    </w:p>
    <w:p w:rsidR="00000000" w:rsidDel="00000000" w:rsidP="00000000" w:rsidRDefault="00000000" w:rsidRPr="00000000" w14:paraId="00000DA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327"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odc9jc" w:id="90"/>
      <w:bookmarkEnd w:id="90"/>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Galimzhanov A, Sabitov Y, Tenekecioglu E,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The prognostic value of a baseline platelet count in patients treated with percutaneous coronary intervention: a systematic review and dose-response meta-analysis. Available: </w:t>
      </w:r>
      <w:hyperlink r:id="rId318">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https://srdr.ahrq.gov/</w:t>
        </w:r>
      </w:hyperlink>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w:t>
      </w:r>
      <w:hyperlink r:id="rId319">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projects</w:t>
        </w:r>
      </w:hyperlink>
      <w:r w:rsidDel="00000000" w:rsidR="00000000" w:rsidRPr="00000000">
        <w:rPr>
          <w:rtl w:val="0"/>
        </w:rPr>
      </w:r>
    </w:p>
    <w:p w:rsidR="00000000" w:rsidDel="00000000" w:rsidP="00000000" w:rsidRDefault="00000000" w:rsidRPr="00000000" w14:paraId="00000DA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3" w:line="246.99999999999994" w:lineRule="auto"/>
        <w:ind w:left="472" w:right="403"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8czs75" w:id="91"/>
      <w:bookmarkEnd w:id="91"/>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Crippa A, Discacciati A, Bottai M,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One-stage dose-response meta-analysis for aggregated data. </w:t>
      </w:r>
      <w:hyperlink r:id="rId320">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Stat Methods Med Res</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2019;28:1579–96.</w:t>
      </w:r>
      <w:r w:rsidDel="00000000" w:rsidR="00000000" w:rsidRPr="00000000">
        <w:rPr>
          <w:rtl w:val="0"/>
        </w:rPr>
      </w:r>
    </w:p>
    <w:p w:rsidR="00000000" w:rsidDel="00000000" w:rsidP="00000000" w:rsidRDefault="00000000" w:rsidRPr="00000000" w14:paraId="00000DA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1" w:line="246.99999999999994" w:lineRule="auto"/>
        <w:ind w:left="472" w:right="390"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nia2ey" w:id="92"/>
      <w:bookmarkEnd w:id="92"/>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Wan G-X, Xia W-B, Ji L-H,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Triglyceride to high density lipoprotein cholesterol ratio may serve as a useful predictor of major adverse coronary event in female revascularized ST-elevation myocardial infarction. </w:t>
      </w:r>
      <w:hyperlink r:id="rId321">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Clin Chim Acta</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2018;485:166–72.</w:t>
      </w:r>
      <w:r w:rsidDel="00000000" w:rsidR="00000000" w:rsidRPr="00000000">
        <w:rPr>
          <w:rtl w:val="0"/>
        </w:rPr>
      </w:r>
    </w:p>
    <w:p w:rsidR="00000000" w:rsidDel="00000000" w:rsidP="00000000" w:rsidRDefault="00000000" w:rsidRPr="00000000" w14:paraId="00000DA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3" w:line="246.99999999999994" w:lineRule="auto"/>
        <w:ind w:left="472" w:right="577"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47hxl2r" w:id="93"/>
      <w:bookmarkEnd w:id="93"/>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Crippa A, Orsini N. Multivariate dose-response meta-analysis: the dosresmeta R package.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J Stat Softw Code Snippets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2016;72:1–15.</w:t>
      </w:r>
      <w:r w:rsidDel="00000000" w:rsidR="00000000" w:rsidRPr="00000000">
        <w:rPr>
          <w:rtl w:val="0"/>
        </w:rPr>
      </w:r>
    </w:p>
    <w:p w:rsidR="00000000" w:rsidDel="00000000" w:rsidP="00000000" w:rsidRDefault="00000000" w:rsidRPr="00000000" w14:paraId="00000D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202"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mn7vak" w:id="94"/>
      <w:bookmarkEnd w:id="94"/>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Desquilbet L, Mariotti F. Dose-response analyses using restricted cubic spline functions in public health research. </w:t>
      </w:r>
      <w:hyperlink r:id="rId322">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Stat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2010;29:n/a–1057.</w:t>
      </w:r>
      <w:r w:rsidDel="00000000" w:rsidR="00000000" w:rsidRPr="00000000">
        <w:rPr>
          <w:rtl w:val="0"/>
        </w:rPr>
      </w:r>
    </w:p>
    <w:p w:rsidR="00000000" w:rsidDel="00000000" w:rsidP="00000000" w:rsidRDefault="00000000" w:rsidRPr="00000000" w14:paraId="00000DA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1" w:line="246.99999999999994" w:lineRule="auto"/>
        <w:ind w:left="472" w:right="241"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1si5id" w:id="95"/>
      <w:bookmarkEnd w:id="95"/>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Biino G, Santimone I, Minelli C,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Age- and sex-related variations in platelet count in Italy: a proposal of reference ranges based on 40987 subjects’ data. </w:t>
      </w:r>
      <w:hyperlink r:id="rId323">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PLoS One</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2013;8:e54289.</w:t>
      </w:r>
      <w:r w:rsidDel="00000000" w:rsidR="00000000" w:rsidRPr="00000000">
        <w:rPr>
          <w:rtl w:val="0"/>
        </w:rPr>
      </w:r>
    </w:p>
    <w:p w:rsidR="00000000" w:rsidDel="00000000" w:rsidP="00000000" w:rsidRDefault="00000000" w:rsidRPr="00000000" w14:paraId="00000DA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3" w:line="246.99999999999994" w:lineRule="auto"/>
        <w:ind w:left="472" w:right="305"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ls5o66" w:id="96"/>
      <w:bookmarkEnd w:id="96"/>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Rubio-Aparicio M, López-López JA, Viechtbauer W,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Testing categorical Moderators in mixed-effects meta-analysis in the presence of heteroscedasticity. </w:t>
      </w:r>
      <w:hyperlink r:id="rId324">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The</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hyperlink r:id="rId325">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Journal of Experimental Education</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2020;88:288–310.</w:t>
      </w:r>
      <w:r w:rsidDel="00000000" w:rsidR="00000000" w:rsidRPr="00000000">
        <w:rPr>
          <w:rtl w:val="0"/>
        </w:rPr>
      </w:r>
    </w:p>
    <w:p w:rsidR="00000000" w:rsidDel="00000000" w:rsidP="00000000" w:rsidRDefault="00000000" w:rsidRPr="00000000" w14:paraId="00000DA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441"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0xfydz" w:id="97"/>
      <w:bookmarkEnd w:id="97"/>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Hamling J, Lee P, Weitkunat R,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Facilitating meta-analyses by deriving relative effect and precision estimates for alternative comparisons from a set of estimates presented by exposure level or disease category. </w:t>
      </w:r>
      <w:hyperlink r:id="rId326">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Stat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2008;27:954–70.</w:t>
      </w:r>
      <w:r w:rsidDel="00000000" w:rsidR="00000000" w:rsidRPr="00000000">
        <w:rPr>
          <w:rtl w:val="0"/>
        </w:rPr>
      </w:r>
    </w:p>
    <w:p w:rsidR="00000000" w:rsidDel="00000000" w:rsidP="00000000" w:rsidRDefault="00000000" w:rsidRPr="00000000" w14:paraId="00000DA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211"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4kx3h1s" w:id="98"/>
      <w:bookmarkEnd w:id="98"/>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Hartung J, Knapp G. A refined method for the meta-analysis of controlled clinical trials with binary outcome. </w:t>
      </w:r>
      <w:hyperlink r:id="rId327">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Stat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2001;20:3875–89.</w:t>
      </w:r>
      <w:r w:rsidDel="00000000" w:rsidR="00000000" w:rsidRPr="00000000">
        <w:rPr>
          <w:rtl w:val="0"/>
        </w:rPr>
      </w:r>
    </w:p>
    <w:p w:rsidR="00000000" w:rsidDel="00000000" w:rsidP="00000000" w:rsidRDefault="00000000" w:rsidRPr="00000000" w14:paraId="00000DA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531"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02dr9l" w:id="99"/>
      <w:bookmarkEnd w:id="99"/>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Viechtbauer W. Conducting Meta-Analyses in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R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with the metafor Package. </w:t>
      </w:r>
      <w:hyperlink r:id="rId328">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Stat</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hyperlink r:id="rId329">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Softw</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2010;36:1–48.</w:t>
      </w:r>
      <w:r w:rsidDel="00000000" w:rsidR="00000000" w:rsidRPr="00000000">
        <w:rPr>
          <w:rtl w:val="0"/>
        </w:rPr>
      </w:r>
    </w:p>
    <w:p w:rsidR="00000000" w:rsidDel="00000000" w:rsidP="00000000" w:rsidRDefault="00000000" w:rsidRPr="00000000" w14:paraId="00000DA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1" w:line="246.99999999999994" w:lineRule="auto"/>
        <w:ind w:left="472" w:right="522"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Schünemann H, Brożek J, Guyatt G,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Grade Handbook for grading quality of evidence and strength of recommendations. updated October 2013. The grade Working group</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2013.</w:t>
      </w:r>
      <w:r w:rsidDel="00000000" w:rsidR="00000000" w:rsidRPr="00000000">
        <w:rPr>
          <w:rtl w:val="0"/>
        </w:rPr>
      </w:r>
    </w:p>
    <w:p w:rsidR="00000000" w:rsidDel="00000000" w:rsidP="00000000" w:rsidRDefault="00000000" w:rsidRPr="00000000" w14:paraId="00000DA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2" w:line="246.99999999999994" w:lineRule="auto"/>
        <w:ind w:left="472" w:right="250"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f7o1he" w:id="100"/>
      <w:bookmarkEnd w:id="100"/>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Ayoub K, Marji M, Ogunbayo G,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Impact of Chronic Thrombocytopenia on In- Hospital Outcomes After Percutaneous Coronary Intervention. </w:t>
      </w:r>
      <w:hyperlink r:id="rId330">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JACC Cardiovasc Interv</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2018;11:1862–8.</w:t>
      </w:r>
      <w:r w:rsidDel="00000000" w:rsidR="00000000" w:rsidRPr="00000000">
        <w:rPr>
          <w:rtl w:val="0"/>
        </w:rPr>
      </w:r>
    </w:p>
    <w:p w:rsidR="00000000" w:rsidDel="00000000" w:rsidP="00000000" w:rsidRDefault="00000000" w:rsidRPr="00000000" w14:paraId="00000DA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3" w:line="246.99999999999994" w:lineRule="auto"/>
        <w:ind w:left="472" w:right="388"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Cao D, Mehran R, Dangas G,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Validation of the academic research Consortium high bleeding risk definition in contemporary PCI patients. </w:t>
      </w:r>
      <w:hyperlink r:id="rId331">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Am Coll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2020;75:2711–22.</w:t>
      </w:r>
      <w:r w:rsidDel="00000000" w:rsidR="00000000" w:rsidRPr="00000000">
        <w:rPr>
          <w:rtl w:val="0"/>
        </w:rPr>
      </w:r>
    </w:p>
    <w:p w:rsidR="00000000" w:rsidDel="00000000" w:rsidP="00000000" w:rsidRDefault="00000000" w:rsidRPr="00000000" w14:paraId="00000DB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0" w:line="246.99999999999994" w:lineRule="auto"/>
        <w:ind w:left="471" w:right="521"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Chen Z, Liu Z, Li N,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Impact of thrombocytopenia on in-hospital outcome in patients undergoing percutaneous coronary intervention. </w:t>
      </w:r>
      <w:hyperlink r:id="rId332">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Cardiovasc Ther</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2021;2021:1–9.</w:t>
      </w:r>
      <w:r w:rsidDel="00000000" w:rsidR="00000000" w:rsidRPr="00000000">
        <w:rPr>
          <w:rtl w:val="0"/>
        </w:rPr>
      </w:r>
    </w:p>
    <w:p w:rsidR="00000000" w:rsidDel="00000000" w:rsidP="00000000" w:rsidRDefault="00000000" w:rsidRPr="00000000" w14:paraId="00000DB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46.99999999999994" w:lineRule="auto"/>
        <w:ind w:left="471" w:right="38"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z7bk57" w:id="101"/>
      <w:bookmarkEnd w:id="101"/>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Goel R, Cao D, Chandiramani R,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Comparative influence of bleeding and ischemic risk factors on diabetic patients undergoing percutaneous coronary intervention with everolimus-eluting stents. </w:t>
      </w:r>
      <w:hyperlink r:id="rId333">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Catheter Cardiovasc Interv</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2021;98:1111–9.</w:t>
      </w:r>
      <w:r w:rsidDel="00000000" w:rsidR="00000000" w:rsidRPr="00000000">
        <w:rPr>
          <w:rtl w:val="0"/>
        </w:rPr>
      </w:r>
    </w:p>
    <w:p w:rsidR="00000000" w:rsidDel="00000000" w:rsidP="00000000" w:rsidRDefault="00000000" w:rsidRPr="00000000" w14:paraId="00000DB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46.99999999999994" w:lineRule="auto"/>
        <w:ind w:left="471" w:right="168"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Kikkert WJ, van Geloven N, van der Laan MH,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The prognostic value of bleeding academic research consortium (BARC)-defined bleeding complications in ST- segment elevation myocardial infarction: a comparison with the TIMI (Thrombolysis In Myocardial Infarction), GUSTO (Global Utilization of Streptokinase and Tissue Plasminogen Activator for Occluded Coronary Arteries), and ISTH (International Society on Thrombosis and Haemostasis) bleeding classifications. </w:t>
      </w:r>
      <w:hyperlink r:id="rId334">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Am Coll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2014;63:1866–75.</w:t>
      </w:r>
      <w:r w:rsidDel="00000000" w:rsidR="00000000" w:rsidRPr="00000000">
        <w:rPr>
          <w:rtl w:val="0"/>
        </w:rPr>
      </w:r>
    </w:p>
    <w:p w:rsidR="00000000" w:rsidDel="00000000" w:rsidP="00000000" w:rsidRDefault="00000000" w:rsidRPr="00000000" w14:paraId="00000DB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4" w:line="246.99999999999994" w:lineRule="auto"/>
        <w:ind w:left="472" w:right="39" w:hanging="252"/>
        <w:jc w:val="both"/>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eclud0" w:id="102"/>
      <w:bookmarkEnd w:id="102"/>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Overgaard CB, Ivanov J, Seidelin PH,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Thrombocytopenia at baseline is a predictor of inhospital mortality in patients undergoing percutaneous coronary intervention. </w:t>
      </w:r>
      <w:hyperlink r:id="rId335">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Am</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hyperlink r:id="rId336">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Heart J</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2008;156:120–4.</w:t>
      </w:r>
      <w:r w:rsidDel="00000000" w:rsidR="00000000" w:rsidRPr="00000000">
        <w:rPr>
          <w:rtl w:val="0"/>
        </w:rPr>
      </w:r>
    </w:p>
    <w:p w:rsidR="00000000" w:rsidDel="00000000" w:rsidP="00000000" w:rsidRDefault="00000000" w:rsidRPr="00000000" w14:paraId="00000DB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46.99999999999994" w:lineRule="auto"/>
        <w:ind w:left="471" w:right="371"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Raphael CE, Spoon DB, Bell MR,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Effect of Preprocedural thrombocytopenia on prognosis after percutaneous coronary intervention. </w:t>
      </w:r>
      <w:hyperlink r:id="rId337">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Mayo Clin Proc</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2016;91:1035–44.</w:t>
      </w:r>
      <w:r w:rsidDel="00000000" w:rsidR="00000000" w:rsidRPr="00000000">
        <w:rPr>
          <w:rtl w:val="0"/>
        </w:rPr>
      </w:r>
    </w:p>
    <w:p w:rsidR="00000000" w:rsidDel="00000000" w:rsidP="00000000" w:rsidRDefault="00000000" w:rsidRPr="00000000" w14:paraId="00000DB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0" w:line="261" w:lineRule="auto"/>
        <w:ind w:left="472" w:right="235" w:hanging="252"/>
        <w:jc w:val="left"/>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thw4kt" w:id="103"/>
      <w:bookmarkEnd w:id="103"/>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Goriki Y, Tanaka A, Nishihira K,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A novel predictive model for in-hospital mortality based on a combination of multiple blood variables in patients with ST-segment-elevation myocardial infarction. </w:t>
      </w:r>
      <w:hyperlink r:id="rId338">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Clin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2020;9. doi:10.3390/jcm9030852. [Epub ahead of print: 20 03 2020].</w:t>
      </w:r>
      <w:r w:rsidDel="00000000" w:rsidR="00000000" w:rsidRPr="00000000">
        <w:rPr>
          <w:rtl w:val="0"/>
        </w:rPr>
      </w:r>
    </w:p>
    <w:p w:rsidR="00000000" w:rsidDel="00000000" w:rsidP="00000000" w:rsidRDefault="00000000" w:rsidRPr="00000000" w14:paraId="00000DB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61" w:lineRule="auto"/>
        <w:ind w:left="471" w:right="370" w:hanging="252"/>
        <w:jc w:val="both"/>
        <w:rPr>
          <w:rFonts w:ascii="Trebuchet MS" w:cs="Trebuchet MS" w:eastAsia="Trebuchet MS" w:hAnsi="Trebuchet MS"/>
          <w:b w:val="0"/>
          <w:i w:val="0"/>
          <w:smallCaps w:val="0"/>
          <w:strike w:val="0"/>
          <w:color w:val="000000"/>
          <w:sz w:val="15"/>
          <w:szCs w:val="15"/>
          <w:u w:val="none"/>
          <w:shd w:fill="auto" w:val="clear"/>
          <w:vertAlign w:val="baseline"/>
        </w:r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Kiviniemi T, Karjalainen P, Rubboli A,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Thrombocytopenia in patients with atrial fibrillation on oral anticoagulation undergoing percutaneous coronary intervention. </w:t>
      </w:r>
      <w:hyperlink r:id="rId339">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Am J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2013;112:493–8.</w:t>
      </w:r>
      <w:r w:rsidDel="00000000" w:rsidR="00000000" w:rsidRPr="00000000">
        <w:rPr>
          <w:rtl w:val="0"/>
        </w:rPr>
      </w:r>
    </w:p>
    <w:p w:rsidR="00000000" w:rsidDel="00000000" w:rsidP="00000000" w:rsidRDefault="00000000" w:rsidRPr="00000000" w14:paraId="00000DB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2" w:line="261" w:lineRule="auto"/>
        <w:ind w:left="471" w:right="202" w:hanging="252"/>
        <w:jc w:val="left"/>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3dhjn8m" w:id="104"/>
      <w:bookmarkEnd w:id="104"/>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Hou Y, Carrim N, Wang Y,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Platelets in hemostasis and thrombosis: novel mechanisms of fibrinogen-independent platelet aggregation and fibronectin-mediated protein wave of hemostasis. </w:t>
      </w:r>
      <w:hyperlink r:id="rId340">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J Biomed Res</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2015;29:437–44.</w:t>
      </w:r>
      <w:r w:rsidDel="00000000" w:rsidR="00000000" w:rsidRPr="00000000">
        <w:rPr>
          <w:rtl w:val="0"/>
        </w:rPr>
      </w:r>
    </w:p>
    <w:p w:rsidR="00000000" w:rsidDel="00000000" w:rsidP="00000000" w:rsidRDefault="00000000" w:rsidRPr="00000000" w14:paraId="00000DB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2"/>
        </w:tabs>
        <w:spacing w:after="0" w:before="1" w:line="261" w:lineRule="auto"/>
        <w:ind w:left="472" w:right="986" w:hanging="252"/>
        <w:jc w:val="left"/>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1smtxgf" w:id="105"/>
      <w:bookmarkEnd w:id="105"/>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Stark K, Massberg S. Interplay between inflammation and thrombosis in cardiovascular pathology. </w:t>
      </w:r>
      <w:hyperlink r:id="rId341">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Nat Rev Cardiol</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2021;18:666–82.</w:t>
      </w:r>
      <w:r w:rsidDel="00000000" w:rsidR="00000000" w:rsidRPr="00000000">
        <w:rPr>
          <w:rtl w:val="0"/>
        </w:rPr>
      </w:r>
    </w:p>
    <w:p w:rsidR="00000000" w:rsidDel="00000000" w:rsidP="00000000" w:rsidRDefault="00000000" w:rsidRPr="00000000" w14:paraId="00000DB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1" w:line="240" w:lineRule="auto"/>
        <w:ind w:left="471" w:right="0" w:hanging="251"/>
        <w:jc w:val="left"/>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4cmhg48" w:id="106"/>
      <w:bookmarkEnd w:id="106"/>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Gauer RL, Braun MM. Thrombocytopenia. </w:t>
      </w:r>
      <w:hyperlink r:id="rId342">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Am Fam Physician</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2012;85:612–22.</w:t>
      </w:r>
      <w:r w:rsidDel="00000000" w:rsidR="00000000" w:rsidRPr="00000000">
        <w:rPr>
          <w:rtl w:val="0"/>
        </w:rPr>
      </w:r>
    </w:p>
    <w:p w:rsidR="00000000" w:rsidDel="00000000" w:rsidP="00000000" w:rsidRDefault="00000000" w:rsidRPr="00000000" w14:paraId="00000DB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16" w:line="240" w:lineRule="auto"/>
        <w:ind w:left="471" w:right="0" w:hanging="251"/>
        <w:jc w:val="left"/>
        <w:rPr>
          <w:rFonts w:ascii="Trebuchet MS" w:cs="Trebuchet MS" w:eastAsia="Trebuchet MS" w:hAnsi="Trebuchet MS"/>
          <w:b w:val="0"/>
          <w:i w:val="0"/>
          <w:smallCaps w:val="0"/>
          <w:strike w:val="0"/>
          <w:color w:val="000000"/>
          <w:sz w:val="15"/>
          <w:szCs w:val="15"/>
          <w:u w:val="none"/>
          <w:shd w:fill="auto" w:val="clear"/>
          <w:vertAlign w:val="baseline"/>
        </w:rPr>
      </w:pPr>
      <w:bookmarkStart w:colFirst="0" w:colLast="0" w:name="_heading=h.2rrrqc1" w:id="107"/>
      <w:bookmarkEnd w:id="107"/>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Schafer AI. Thrombocytosis. </w:t>
      </w:r>
      <w:hyperlink r:id="rId343">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N Engl J Med</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2004;350:1211–9.</w:t>
      </w:r>
      <w:r w:rsidDel="00000000" w:rsidR="00000000" w:rsidRPr="00000000">
        <w:rPr>
          <w:rtl w:val="0"/>
        </w:rPr>
      </w:r>
    </w:p>
    <w:p w:rsidR="00000000" w:rsidDel="00000000" w:rsidP="00000000" w:rsidRDefault="00000000" w:rsidRPr="00000000" w14:paraId="00000DB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71"/>
        </w:tabs>
        <w:spacing w:after="0" w:before="17" w:line="261" w:lineRule="auto"/>
        <w:ind w:left="471" w:right="427" w:hanging="252"/>
        <w:jc w:val="left"/>
        <w:rPr>
          <w:rFonts w:ascii="Trebuchet MS" w:cs="Trebuchet MS" w:eastAsia="Trebuchet MS" w:hAnsi="Trebuchet MS"/>
          <w:b w:val="0"/>
          <w:i w:val="0"/>
          <w:smallCaps w:val="0"/>
          <w:strike w:val="0"/>
          <w:color w:val="000000"/>
          <w:sz w:val="15"/>
          <w:szCs w:val="15"/>
          <w:u w:val="none"/>
          <w:shd w:fill="auto" w:val="clear"/>
          <w:vertAlign w:val="baseline"/>
        </w:rPr>
        <w:sectPr>
          <w:type w:val="nextPage"/>
          <w:pgSz w:h="16840" w:w="11920" w:orient="portrait"/>
          <w:pgMar w:bottom="760" w:top="700" w:left="620" w:right="640" w:header="456" w:footer="579"/>
          <w:cols w:equalWidth="0" w:num="1">
            <w:col w:space="0" w:w="10645.5"/>
          </w:cols>
        </w:sectPr>
      </w:pP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Michiels JJ, Berneman Z, Schroyens W, </w:t>
      </w:r>
      <w:r w:rsidDel="00000000" w:rsidR="00000000" w:rsidRPr="00000000">
        <w:rPr>
          <w:rFonts w:ascii="Trebuchet MS" w:cs="Trebuchet MS" w:eastAsia="Trebuchet MS" w:hAnsi="Trebuchet MS"/>
          <w:b w:val="0"/>
          <w:i w:val="1"/>
          <w:smallCaps w:val="0"/>
          <w:strike w:val="0"/>
          <w:color w:val="231f20"/>
          <w:sz w:val="15"/>
          <w:szCs w:val="15"/>
          <w:u w:val="none"/>
          <w:shd w:fill="auto" w:val="clear"/>
          <w:vertAlign w:val="baseline"/>
          <w:rtl w:val="0"/>
        </w:rPr>
        <w:t xml:space="preserve">et al</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 The paradox of platelet activation and impaired function: platelet-von Willebrand factor interactions, and the etiology of thrombotic and hemorrhagic manifestations in essential thrombocythemia and polycythemia vera. </w:t>
      </w:r>
      <w:hyperlink r:id="rId344">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Semin Thromb Hemost</w:t>
        </w:r>
      </w:hyperlink>
      <w:r w:rsidDel="00000000" w:rsidR="00000000" w:rsidRPr="00000000">
        <w:rPr>
          <w:rFonts w:ascii="Trebuchet MS" w:cs="Trebuchet MS" w:eastAsia="Trebuchet MS" w:hAnsi="Trebuchet MS"/>
          <w:b w:val="0"/>
          <w:i w:val="1"/>
          <w:smallCaps w:val="0"/>
          <w:strike w:val="0"/>
          <w:color w:val="0000ff"/>
          <w:sz w:val="15"/>
          <w:szCs w:val="15"/>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231f20"/>
          <w:sz w:val="15"/>
          <w:szCs w:val="15"/>
          <w:u w:val="none"/>
          <w:shd w:fill="auto" w:val="clear"/>
          <w:vertAlign w:val="baseline"/>
          <w:rtl w:val="0"/>
        </w:rPr>
        <w:t xml:space="preserve">2006;32:589–604.</w:t>
      </w:r>
      <w:r w:rsidDel="00000000" w:rsidR="00000000" w:rsidRPr="00000000">
        <w:rPr>
          <w:rtl w:val="0"/>
        </w:rPr>
      </w:r>
    </w:p>
    <w:p w:rsidR="00000000" w:rsidDel="00000000" w:rsidP="00000000" w:rsidRDefault="00000000" w:rsidRPr="00000000" w14:paraId="00000DBC">
      <w:pPr>
        <w:spacing w:before="78" w:lineRule="auto"/>
        <w:ind w:left="20" w:right="15" w:firstLine="0"/>
        <w:jc w:val="center"/>
        <w:rPr>
          <w:rFonts w:ascii="Georgia" w:cs="Georgia" w:eastAsia="Georgia" w:hAnsi="Georgia"/>
          <w:sz w:val="14"/>
          <w:szCs w:val="14"/>
        </w:rPr>
      </w:pPr>
      <w:hyperlink r:id="rId345">
        <w:r w:rsidDel="00000000" w:rsidR="00000000" w:rsidRPr="00000000">
          <w:rPr>
            <w:rFonts w:ascii="Georgia" w:cs="Georgia" w:eastAsia="Georgia" w:hAnsi="Georgia"/>
            <w:color w:val="00769f"/>
            <w:sz w:val="14"/>
            <w:szCs w:val="14"/>
            <w:rtl w:val="0"/>
          </w:rPr>
          <w:t xml:space="preserve">International Journal of Cardiology 374 (2023) 12–19</w:t>
        </w:r>
      </w:hyperlink>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3175" cy="12700"/>
                <wp:effectExtent b="0" l="0" r="0" t="0"/>
                <wp:wrapNone/>
                <wp:docPr id="448" name=""/>
                <a:graphic>
                  <a:graphicData uri="http://schemas.microsoft.com/office/word/2010/wordprocessingShape">
                    <wps:wsp>
                      <wps:cNvSpPr/>
                      <wps:cNvPr id="98" name="Shape 98"/>
                      <wps:spPr>
                        <a:xfrm>
                          <a:off x="2492628" y="3778413"/>
                          <a:ext cx="5706745" cy="3175"/>
                        </a:xfrm>
                        <a:custGeom>
                          <a:rect b="b" l="l" r="r" t="t"/>
                          <a:pathLst>
                            <a:path extrusionOk="0" h="3175" w="5706745">
                              <a:moveTo>
                                <a:pt x="5706428" y="0"/>
                              </a:moveTo>
                              <a:lnTo>
                                <a:pt x="0" y="0"/>
                              </a:lnTo>
                              <a:lnTo>
                                <a:pt x="0" y="3162"/>
                              </a:lnTo>
                              <a:lnTo>
                                <a:pt x="5706428" y="3162"/>
                              </a:lnTo>
                              <a:lnTo>
                                <a:pt x="570642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3175" cy="12700"/>
                <wp:effectExtent b="0" l="0" r="0" t="0"/>
                <wp:wrapNone/>
                <wp:docPr id="448" name="image131.png"/>
                <a:graphic>
                  <a:graphicData uri="http://schemas.openxmlformats.org/drawingml/2006/picture">
                    <pic:pic>
                      <pic:nvPicPr>
                        <pic:cNvPr id="0" name="image131.png"/>
                        <pic:cNvPicPr preferRelativeResize="0"/>
                      </pic:nvPicPr>
                      <pic:blipFill>
                        <a:blip r:embed="rId346"/>
                        <a:srcRect/>
                        <a:stretch>
                          <a:fillRect/>
                        </a:stretch>
                      </pic:blipFill>
                      <pic:spPr>
                        <a:xfrm>
                          <a:off x="0" y="0"/>
                          <a:ext cx="31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990600</wp:posOffset>
                </wp:positionH>
                <wp:positionV relativeFrom="paragraph">
                  <wp:posOffset>355600</wp:posOffset>
                </wp:positionV>
                <wp:extent cx="4798060" cy="847725"/>
                <wp:effectExtent b="0" l="0" r="0" t="0"/>
                <wp:wrapNone/>
                <wp:docPr id="447" name=""/>
                <a:graphic>
                  <a:graphicData uri="http://schemas.microsoft.com/office/word/2010/wordprocessingShape">
                    <wps:wsp>
                      <wps:cNvSpPr/>
                      <wps:cNvPr id="97" name="Shape 97"/>
                      <wps:spPr>
                        <a:xfrm>
                          <a:off x="2956495" y="3365663"/>
                          <a:ext cx="4779010" cy="828675"/>
                        </a:xfrm>
                        <a:prstGeom prst="rect">
                          <a:avLst/>
                        </a:prstGeom>
                        <a:solidFill>
                          <a:srgbClr val="E6E6E6"/>
                        </a:solidFill>
                        <a:ln>
                          <a:noFill/>
                        </a:ln>
                      </wps:spPr>
                      <wps:txbx>
                        <w:txbxContent>
                          <w:p w:rsidR="00000000" w:rsidDel="00000000" w:rsidP="00000000" w:rsidRDefault="00000000" w:rsidRPr="00000000">
                            <w:pPr>
                              <w:spacing w:after="0" w:before="0" w:line="180"/>
                              <w:ind w:left="1.0000000149011612" w:right="1.0000000149011612" w:firstLine="1.0000000149011612"/>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Contents lists available at </w:t>
                            </w:r>
                            <w:r w:rsidDel="00000000" w:rsidR="00000000" w:rsidRPr="00000000">
                              <w:rPr>
                                <w:rFonts w:ascii="Times New Roman" w:cs="Times New Roman" w:eastAsia="Times New Roman" w:hAnsi="Times New Roman"/>
                                <w:b w:val="0"/>
                                <w:i w:val="0"/>
                                <w:smallCaps w:val="0"/>
                                <w:strike w:val="0"/>
                                <w:color w:val="2196d1"/>
                                <w:sz w:val="16"/>
                                <w:vertAlign w:val="baseline"/>
                              </w:rPr>
                              <w:t xml:space="preserve">ScienceDirect</w:t>
                            </w:r>
                          </w:p>
                          <w:p w:rsidR="00000000" w:rsidDel="00000000" w:rsidP="00000000" w:rsidRDefault="00000000" w:rsidRPr="00000000">
                            <w:pPr>
                              <w:spacing w:after="0" w:before="76.99999809265137"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196d1"/>
                                <w:sz w:val="16"/>
                                <w:vertAlign w:val="baseline"/>
                              </w:rPr>
                            </w:r>
                          </w:p>
                          <w:p w:rsidR="00000000" w:rsidDel="00000000" w:rsidP="00000000" w:rsidRDefault="00000000" w:rsidRPr="00000000">
                            <w:pPr>
                              <w:spacing w:after="0" w:before="1.0000000149011612" w:line="240"/>
                              <w:ind w:left="1.0000000149011612" w:right="1.0000000149011612"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2196d1"/>
                                <w:sz w:val="16"/>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International Journal of Cardiology</w:t>
                            </w:r>
                          </w:p>
                          <w:p w:rsidR="00000000" w:rsidDel="00000000" w:rsidP="00000000" w:rsidRDefault="00000000" w:rsidRPr="00000000">
                            <w:pPr>
                              <w:spacing w:after="0" w:before="22.999999523162842"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1.0000000149011612" w:line="240"/>
                              <w:ind w:left="1.0000000149011612" w:right="0" w:firstLine="1.0000000149011612"/>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6"/>
                                <w:vertAlign w:val="baseline"/>
                              </w:rPr>
                              <w:t xml:space="preserve">journal homepage: </w:t>
                            </w:r>
                            <w:r w:rsidDel="00000000" w:rsidR="00000000" w:rsidRPr="00000000">
                              <w:rPr>
                                <w:rFonts w:ascii="Arial" w:cs="Arial" w:eastAsia="Arial" w:hAnsi="Arial"/>
                                <w:b w:val="0"/>
                                <w:i w:val="0"/>
                                <w:smallCaps w:val="0"/>
                                <w:strike w:val="0"/>
                                <w:color w:val="2196d1"/>
                                <w:sz w:val="16"/>
                                <w:vertAlign w:val="baseline"/>
                              </w:rPr>
                              <w:t xml:space="preserve">www.elsevier.com/locate/ijcard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990600</wp:posOffset>
                </wp:positionH>
                <wp:positionV relativeFrom="paragraph">
                  <wp:posOffset>355600</wp:posOffset>
                </wp:positionV>
                <wp:extent cx="4798060" cy="847725"/>
                <wp:effectExtent b="0" l="0" r="0" t="0"/>
                <wp:wrapNone/>
                <wp:docPr id="447" name="image130.png"/>
                <a:graphic>
                  <a:graphicData uri="http://schemas.openxmlformats.org/drawingml/2006/picture">
                    <pic:pic>
                      <pic:nvPicPr>
                        <pic:cNvPr id="0" name="image130.png"/>
                        <pic:cNvPicPr preferRelativeResize="0"/>
                      </pic:nvPicPr>
                      <pic:blipFill>
                        <a:blip r:embed="rId347"/>
                        <a:srcRect/>
                        <a:stretch>
                          <a:fillRect/>
                        </a:stretch>
                      </pic:blipFill>
                      <pic:spPr>
                        <a:xfrm>
                          <a:off x="0" y="0"/>
                          <a:ext cx="4798060" cy="84772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73580</wp:posOffset>
            </wp:positionH>
            <wp:positionV relativeFrom="paragraph">
              <wp:posOffset>384354</wp:posOffset>
            </wp:positionV>
            <wp:extent cx="754899" cy="826007"/>
            <wp:effectExtent b="0" l="0" r="0" t="0"/>
            <wp:wrapNone/>
            <wp:docPr descr="Imprint logo" id="489" name="image77.jpg"/>
            <a:graphic>
              <a:graphicData uri="http://schemas.openxmlformats.org/drawingml/2006/picture">
                <pic:pic>
                  <pic:nvPicPr>
                    <pic:cNvPr descr="Imprint logo" id="0" name="image77.jpg"/>
                    <pic:cNvPicPr preferRelativeResize="0"/>
                  </pic:nvPicPr>
                  <pic:blipFill>
                    <a:blip r:embed="rId348"/>
                    <a:srcRect b="0" l="0" r="0" t="0"/>
                    <a:stretch>
                      <a:fillRect/>
                    </a:stretch>
                  </pic:blipFill>
                  <pic:spPr>
                    <a:xfrm>
                      <a:off x="0" y="0"/>
                      <a:ext cx="754899" cy="82600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5969660</wp:posOffset>
            </wp:positionH>
            <wp:positionV relativeFrom="paragraph">
              <wp:posOffset>301555</wp:posOffset>
            </wp:positionV>
            <wp:extent cx="719733" cy="908303"/>
            <wp:effectExtent b="0" l="0" r="0" t="0"/>
            <wp:wrapNone/>
            <wp:docPr descr="Journal logo" id="488" name="image74.jpg"/>
            <a:graphic>
              <a:graphicData uri="http://schemas.openxmlformats.org/drawingml/2006/picture">
                <pic:pic>
                  <pic:nvPicPr>
                    <pic:cNvPr descr="Journal logo" id="0" name="image74.jpg"/>
                    <pic:cNvPicPr preferRelativeResize="0"/>
                  </pic:nvPicPr>
                  <pic:blipFill>
                    <a:blip r:embed="rId349"/>
                    <a:srcRect b="0" l="0" r="0" t="0"/>
                    <a:stretch>
                      <a:fillRect/>
                    </a:stretch>
                  </pic:blipFill>
                  <pic:spPr>
                    <a:xfrm>
                      <a:off x="0" y="0"/>
                      <a:ext cx="719733" cy="908303"/>
                    </a:xfrm>
                    <a:prstGeom prst="rect"/>
                    <a:ln/>
                  </pic:spPr>
                </pic:pic>
              </a:graphicData>
            </a:graphic>
          </wp:anchor>
        </w:drawing>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6623684" cy="57150"/>
                <wp:effectExtent b="0" l="0" r="0" t="0"/>
                <wp:wrapTopAndBottom distB="0" distT="0"/>
                <wp:docPr id="451" name=""/>
                <a:graphic>
                  <a:graphicData uri="http://schemas.microsoft.com/office/word/2010/wordprocessingShape">
                    <wps:wsp>
                      <wps:cNvSpPr/>
                      <wps:cNvPr id="101" name="Shape 101"/>
                      <wps:spPr>
                        <a:xfrm>
                          <a:off x="2043683" y="3760950"/>
                          <a:ext cx="6604634" cy="38100"/>
                        </a:xfrm>
                        <a:custGeom>
                          <a:rect b="b" l="l" r="r" t="t"/>
                          <a:pathLst>
                            <a:path extrusionOk="0" h="38100" w="6604634">
                              <a:moveTo>
                                <a:pt x="6604636" y="0"/>
                              </a:moveTo>
                              <a:lnTo>
                                <a:pt x="0" y="0"/>
                              </a:lnTo>
                              <a:lnTo>
                                <a:pt x="0" y="37960"/>
                              </a:lnTo>
                              <a:lnTo>
                                <a:pt x="6604636" y="37960"/>
                              </a:lnTo>
                              <a:lnTo>
                                <a:pt x="660463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6623684" cy="57150"/>
                <wp:effectExtent b="0" l="0" r="0" t="0"/>
                <wp:wrapTopAndBottom distB="0" distT="0"/>
                <wp:docPr id="451" name="image134.png"/>
                <a:graphic>
                  <a:graphicData uri="http://schemas.openxmlformats.org/drawingml/2006/picture">
                    <pic:pic>
                      <pic:nvPicPr>
                        <pic:cNvPr id="0" name="image134.png"/>
                        <pic:cNvPicPr preferRelativeResize="0"/>
                      </pic:nvPicPr>
                      <pic:blipFill>
                        <a:blip r:embed="rId350"/>
                        <a:srcRect/>
                        <a:stretch>
                          <a:fillRect/>
                        </a:stretch>
                      </pic:blipFill>
                      <pic:spPr>
                        <a:xfrm>
                          <a:off x="0" y="0"/>
                          <a:ext cx="6623684" cy="57150"/>
                        </a:xfrm>
                        <a:prstGeom prst="rect"/>
                        <a:ln/>
                      </pic:spPr>
                    </pic:pic>
                  </a:graphicData>
                </a:graphic>
              </wp:anchor>
            </w:drawing>
          </mc:Fallback>
        </mc:AlternateConten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C5">
      <w:pPr>
        <w:pStyle w:val="Heading1"/>
        <w:spacing w:before="1" w:line="266" w:lineRule="auto"/>
        <w:ind w:right="1516" w:firstLine="131"/>
        <w:rPr/>
      </w:pPr>
      <w:r w:rsidDel="00000000" w:rsidR="00000000" w:rsidRPr="00000000">
        <w:rPr>
          <w:rtl w:val="0"/>
        </w:rPr>
        <w:t xml:space="preserve">Phenotyping for percutaneous coronary intervention and long-term recurrent weighted outcomes</w:t>
      </w:r>
      <w:r w:rsidDel="00000000" w:rsidR="00000000" w:rsidRPr="00000000">
        <w:drawing>
          <wp:anchor allowOverlap="1" behindDoc="0" distB="0" distT="0" distL="0" distR="0" hidden="0" layoutInCell="1" locked="0" relativeHeight="0" simplePos="0">
            <wp:simplePos x="0" y="0"/>
            <wp:positionH relativeFrom="column">
              <wp:posOffset>5969482</wp:posOffset>
            </wp:positionH>
            <wp:positionV relativeFrom="paragraph">
              <wp:posOffset>-198848</wp:posOffset>
            </wp:positionV>
            <wp:extent cx="361368" cy="361363"/>
            <wp:effectExtent b="0" l="0" r="0" t="0"/>
            <wp:wrapNone/>
            <wp:docPr id="482" name="image64.png"/>
            <a:graphic>
              <a:graphicData uri="http://schemas.openxmlformats.org/drawingml/2006/picture">
                <pic:pic>
                  <pic:nvPicPr>
                    <pic:cNvPr id="0" name="image64.png"/>
                    <pic:cNvPicPr preferRelativeResize="0"/>
                  </pic:nvPicPr>
                  <pic:blipFill>
                    <a:blip r:embed="rId351"/>
                    <a:srcRect b="0" l="0" r="0" t="0"/>
                    <a:stretch>
                      <a:fillRect/>
                    </a:stretch>
                  </pic:blipFill>
                  <pic:spPr>
                    <a:xfrm>
                      <a:off x="0" y="0"/>
                      <a:ext cx="361368" cy="361363"/>
                    </a:xfrm>
                    <a:prstGeom prst="rect"/>
                    <a:ln/>
                  </pic:spPr>
                </pic:pic>
              </a:graphicData>
            </a:graphic>
          </wp:anchor>
        </w:drawing>
      </w:r>
    </w:p>
    <w:p w:rsidR="00000000" w:rsidDel="00000000" w:rsidP="00000000" w:rsidRDefault="00000000" w:rsidRPr="00000000" w14:paraId="00000DC6">
      <w:pPr>
        <w:pStyle w:val="Heading2"/>
        <w:spacing w:before="211" w:lineRule="auto"/>
        <w:ind w:firstLine="131"/>
        <w:rPr>
          <w:sz w:val="21"/>
          <w:szCs w:val="21"/>
        </w:rPr>
      </w:pPr>
      <w:r w:rsidDel="00000000" w:rsidR="00000000" w:rsidRPr="00000000">
        <w:rPr>
          <w:rtl w:val="0"/>
        </w:rPr>
        <w:t xml:space="preserve">Akhmetzhan Galimzhanov </w:t>
      </w:r>
      <w:hyperlink w:anchor="_heading=h.3qwpj7n">
        <w:r w:rsidDel="00000000" w:rsidR="00000000" w:rsidRPr="00000000">
          <w:rPr>
            <w:color w:val="2196d1"/>
            <w:vertAlign w:val="superscript"/>
            <w:rtl w:val="0"/>
          </w:rPr>
          <w:t xml:space="preserve">a</w:t>
        </w:r>
      </w:hyperlink>
      <w:hyperlink w:anchor="_heading=h.3qwpj7n">
        <w:r w:rsidDel="00000000" w:rsidR="00000000" w:rsidRPr="00000000">
          <w:rPr>
            <w:vertAlign w:val="superscript"/>
            <w:rtl w:val="0"/>
          </w:rPr>
          <w:t xml:space="preserve">,</w:t>
        </w:r>
      </w:hyperlink>
      <w:hyperlink w:anchor="_heading=h.261ztfg">
        <w:r w:rsidDel="00000000" w:rsidR="00000000" w:rsidRPr="00000000">
          <w:rPr>
            <w:color w:val="2196d1"/>
            <w:vertAlign w:val="superscript"/>
            <w:rtl w:val="0"/>
          </w:rPr>
          <w:t xml:space="preserve">b</w:t>
        </w:r>
      </w:hyperlink>
      <w:hyperlink w:anchor="_heading=h.261ztfg">
        <w:r w:rsidDel="00000000" w:rsidR="00000000" w:rsidRPr="00000000">
          <w:rPr>
            <w:vertAlign w:val="superscript"/>
            <w:rtl w:val="0"/>
          </w:rPr>
          <w:t xml:space="preserve">,</w:t>
        </w:r>
      </w:hyperlink>
      <w:hyperlink w:anchor="_heading=h.44bvf6o">
        <w:r w:rsidDel="00000000" w:rsidR="00000000" w:rsidRPr="00000000">
          <w:rPr>
            <w:color w:val="2196d1"/>
            <w:vertAlign w:val="superscript"/>
            <w:rtl w:val="0"/>
          </w:rPr>
          <w:t xml:space="preserve">*</w:t>
        </w:r>
      </w:hyperlink>
      <w:hyperlink w:anchor="_heading=h.44bvf6o">
        <w:r w:rsidDel="00000000" w:rsidR="00000000" w:rsidRPr="00000000">
          <w:rPr>
            <w:vertAlign w:val="baseline"/>
            <w:rtl w:val="0"/>
          </w:rPr>
          <w:t xml:space="preserve">, Yersin Sabitov</w:t>
        </w:r>
      </w:hyperlink>
      <w:r w:rsidDel="00000000" w:rsidR="00000000" w:rsidRPr="00000000">
        <w:rPr>
          <w:vertAlign w:val="baseline"/>
          <w:rtl w:val="0"/>
        </w:rPr>
        <w:t xml:space="preserve"> </w:t>
      </w:r>
      <w:r w:rsidDel="00000000" w:rsidR="00000000" w:rsidRPr="00000000">
        <w:rPr>
          <w:color w:val="2196d1"/>
          <w:vertAlign w:val="superscript"/>
          <w:rtl w:val="0"/>
        </w:rPr>
        <w:t xml:space="preserve">a</w:t>
      </w:r>
      <w:hyperlink w:anchor="_heading=h.3qwpj7n">
        <w:r w:rsidDel="00000000" w:rsidR="00000000" w:rsidRPr="00000000">
          <w:rPr>
            <w:vertAlign w:val="baseline"/>
            <w:rtl w:val="0"/>
          </w:rPr>
          <w:t xml:space="preserve">, Elif Guclu</w:t>
        </w:r>
      </w:hyperlink>
      <w:r w:rsidDel="00000000" w:rsidR="00000000" w:rsidRPr="00000000">
        <w:rPr>
          <w:vertAlign w:val="baseline"/>
          <w:rtl w:val="0"/>
        </w:rPr>
        <w:t xml:space="preserve"> </w:t>
      </w:r>
      <w:hyperlink w:anchor="_heading=h.l7a3n9">
        <w:r w:rsidDel="00000000" w:rsidR="00000000" w:rsidRPr="00000000">
          <w:rPr>
            <w:color w:val="2196d1"/>
            <w:vertAlign w:val="superscript"/>
            <w:rtl w:val="0"/>
          </w:rPr>
          <w:t xml:space="preserve">c</w:t>
        </w:r>
      </w:hyperlink>
      <w:r w:rsidDel="00000000" w:rsidR="00000000" w:rsidRPr="00000000">
        <w:rPr>
          <w:vertAlign w:val="baseline"/>
          <w:rtl w:val="0"/>
        </w:rPr>
        <w:t xml:space="preserve">, Erhan Tenekecioglu </w:t>
      </w:r>
      <w:hyperlink w:anchor="_heading=h.l7a3n9">
        <w:r w:rsidDel="00000000" w:rsidR="00000000" w:rsidRPr="00000000">
          <w:rPr>
            <w:color w:val="2196d1"/>
            <w:vertAlign w:val="superscript"/>
            <w:rtl w:val="0"/>
          </w:rPr>
          <w:t xml:space="preserve">c</w:t>
        </w:r>
      </w:hyperlink>
      <w:hyperlink w:anchor="_heading=h.l7a3n9">
        <w:r w:rsidDel="00000000" w:rsidR="00000000" w:rsidRPr="00000000">
          <w:rPr>
            <w:vertAlign w:val="superscript"/>
            <w:rtl w:val="0"/>
          </w:rPr>
          <w:t xml:space="preserve">,</w:t>
        </w:r>
      </w:hyperlink>
      <w:r w:rsidDel="00000000" w:rsidR="00000000" w:rsidRPr="00000000">
        <w:rPr>
          <w:color w:val="2196d1"/>
          <w:vertAlign w:val="superscript"/>
          <w:rtl w:val="0"/>
        </w:rPr>
        <w:t xml:space="preserve">d</w:t>
      </w:r>
      <w:hyperlink w:anchor="_heading=h.356xmb2">
        <w:r w:rsidDel="00000000" w:rsidR="00000000" w:rsidRPr="00000000">
          <w:rPr>
            <w:vertAlign w:val="baseline"/>
            <w:rtl w:val="0"/>
          </w:rPr>
          <w:t xml:space="preserve">,</w:t>
        </w:r>
      </w:hyperlink>
      <w:r w:rsidDel="00000000" w:rsidR="00000000" w:rsidRPr="00000000">
        <w:rPr>
          <w:rtl w:val="0"/>
        </w:rPr>
        <w:t xml:space="preserve"> </w:t>
      </w:r>
      <w:r w:rsidDel="00000000" w:rsidR="00000000" w:rsidRPr="00000000">
        <w:rPr>
          <w:sz w:val="21"/>
          <w:szCs w:val="21"/>
          <w:rtl w:val="0"/>
        </w:rPr>
        <w:t xml:space="preserve">Mamas A. Mamas </w:t>
      </w:r>
      <w:r w:rsidDel="00000000" w:rsidR="00000000" w:rsidRPr="00000000">
        <w:rPr>
          <w:color w:val="2196d1"/>
          <w:sz w:val="21"/>
          <w:szCs w:val="21"/>
          <w:vertAlign w:val="superscript"/>
          <w:rtl w:val="0"/>
        </w:rPr>
        <w:t xml:space="preserve">b</w:t>
      </w:r>
      <w:r w:rsidDel="00000000" w:rsidR="00000000" w:rsidRPr="00000000">
        <w:rPr>
          <w:rtl w:val="0"/>
        </w:rPr>
      </w:r>
    </w:p>
    <w:p w:rsidR="00000000" w:rsidDel="00000000" w:rsidP="00000000" w:rsidRDefault="00000000" w:rsidRPr="00000000" w14:paraId="00000DC7">
      <w:pPr>
        <w:spacing w:before="171" w:lineRule="auto"/>
        <w:ind w:left="131" w:right="0" w:firstLine="0"/>
        <w:jc w:val="left"/>
        <w:rPr>
          <w:i w:val="1"/>
          <w:sz w:val="12"/>
          <w:szCs w:val="12"/>
        </w:rPr>
      </w:pPr>
      <w:bookmarkStart w:colFirst="0" w:colLast="0" w:name="_heading=h.3qwpj7n" w:id="108"/>
      <w:bookmarkEnd w:id="108"/>
      <w:r w:rsidDel="00000000" w:rsidR="00000000" w:rsidRPr="00000000">
        <w:rPr>
          <w:sz w:val="12"/>
          <w:szCs w:val="12"/>
          <w:vertAlign w:val="superscript"/>
          <w:rtl w:val="0"/>
        </w:rPr>
        <w:t xml:space="preserve">a</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Propedeutics of Internal Disease, Semey Medical University, Semey, Kazakhstan</w:t>
      </w:r>
      <w:r w:rsidDel="00000000" w:rsidR="00000000" w:rsidRPr="00000000">
        <w:rPr>
          <w:rtl w:val="0"/>
        </w:rPr>
      </w:r>
    </w:p>
    <w:p w:rsidR="00000000" w:rsidDel="00000000" w:rsidP="00000000" w:rsidRDefault="00000000" w:rsidRPr="00000000" w14:paraId="00000DC8">
      <w:pPr>
        <w:spacing w:before="34" w:lineRule="auto"/>
        <w:ind w:left="131" w:right="0" w:firstLine="0"/>
        <w:jc w:val="left"/>
        <w:rPr>
          <w:i w:val="1"/>
          <w:sz w:val="12"/>
          <w:szCs w:val="12"/>
        </w:rPr>
      </w:pPr>
      <w:bookmarkStart w:colFirst="0" w:colLast="0" w:name="_heading=h.261ztfg" w:id="109"/>
      <w:bookmarkEnd w:id="109"/>
      <w:r w:rsidDel="00000000" w:rsidR="00000000" w:rsidRPr="00000000">
        <w:rPr>
          <w:sz w:val="12"/>
          <w:szCs w:val="12"/>
          <w:vertAlign w:val="superscript"/>
          <w:rtl w:val="0"/>
        </w:rPr>
        <w:t xml:space="preserve">b</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Keele Cardiovascular Research Group, Keele University, Keele, UK</w:t>
      </w:r>
      <w:r w:rsidDel="00000000" w:rsidR="00000000" w:rsidRPr="00000000">
        <w:rPr>
          <w:rtl w:val="0"/>
        </w:rPr>
      </w:r>
    </w:p>
    <w:p w:rsidR="00000000" w:rsidDel="00000000" w:rsidP="00000000" w:rsidRDefault="00000000" w:rsidRPr="00000000" w14:paraId="00000DC9">
      <w:pPr>
        <w:spacing w:before="34" w:lineRule="auto"/>
        <w:ind w:left="131" w:right="0" w:firstLine="0"/>
        <w:jc w:val="left"/>
        <w:rPr>
          <w:i w:val="1"/>
          <w:sz w:val="12"/>
          <w:szCs w:val="12"/>
        </w:rPr>
      </w:pPr>
      <w:bookmarkStart w:colFirst="0" w:colLast="0" w:name="_heading=h.l7a3n9" w:id="110"/>
      <w:bookmarkEnd w:id="110"/>
      <w:r w:rsidDel="00000000" w:rsidR="00000000" w:rsidRPr="00000000">
        <w:rPr>
          <w:sz w:val="12"/>
          <w:szCs w:val="12"/>
          <w:vertAlign w:val="superscript"/>
          <w:rtl w:val="0"/>
        </w:rPr>
        <w:t xml:space="preserve">c</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Cardiology, Bursa Education and Research Hospital, Health Sciences University, Bursa, Turkey</w:t>
      </w:r>
      <w:r w:rsidDel="00000000" w:rsidR="00000000" w:rsidRPr="00000000">
        <w:rPr>
          <w:rtl w:val="0"/>
        </w:rPr>
      </w:r>
    </w:p>
    <w:p w:rsidR="00000000" w:rsidDel="00000000" w:rsidP="00000000" w:rsidRDefault="00000000" w:rsidRPr="00000000" w14:paraId="00000DCA">
      <w:pPr>
        <w:spacing w:before="33" w:lineRule="auto"/>
        <w:ind w:left="131" w:right="0" w:firstLine="0"/>
        <w:jc w:val="left"/>
        <w:rPr>
          <w:i w:val="1"/>
          <w:sz w:val="12"/>
          <w:szCs w:val="12"/>
        </w:rPr>
      </w:pPr>
      <w:bookmarkStart w:colFirst="0" w:colLast="0" w:name="_heading=h.356xmb2" w:id="111"/>
      <w:bookmarkEnd w:id="111"/>
      <w:r w:rsidDel="00000000" w:rsidR="00000000" w:rsidRPr="00000000">
        <w:rPr>
          <w:sz w:val="12"/>
          <w:szCs w:val="12"/>
          <w:vertAlign w:val="superscript"/>
          <w:rtl w:val="0"/>
        </w:rPr>
        <w:t xml:space="preserve">d</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Cardiology, Erasmus MC, Thorax Center, Erasmus University, Rotterdam, the Netherlands</w:t>
      </w:r>
      <w:r w:rsidDel="00000000" w:rsidR="00000000" w:rsidRPr="00000000">
        <w:rPr>
          <w:rtl w:val="0"/>
        </w:rPr>
      </w:r>
    </w:p>
    <w:p w:rsidR="00000000" w:rsidDel="00000000" w:rsidP="00000000" w:rsidRDefault="00000000" w:rsidRPr="00000000" w14:paraId="00000DCB">
      <w:pPr>
        <w:spacing w:before="32" w:lineRule="auto"/>
        <w:ind w:left="232" w:firstLine="0"/>
        <w:rPr>
          <w:sz w:val="14"/>
          <w:szCs w:val="14"/>
        </w:rPr>
      </w:pPr>
      <w:bookmarkStart w:colFirst="0" w:colLast="0" w:name="_heading=h.y828prc60wv" w:id="112"/>
      <w:bookmarkEnd w:id="112"/>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2336800</wp:posOffset>
                </wp:positionH>
                <wp:positionV relativeFrom="paragraph">
                  <wp:posOffset>152400</wp:posOffset>
                </wp:positionV>
                <wp:extent cx="3175" cy="12700"/>
                <wp:effectExtent b="0" l="0" r="0" t="0"/>
                <wp:wrapTopAndBottom distB="0" distT="0"/>
                <wp:docPr id="449" name=""/>
                <a:graphic>
                  <a:graphicData uri="http://schemas.microsoft.com/office/word/2010/wordprocessingShape">
                    <wps:wsp>
                      <wps:cNvSpPr/>
                      <wps:cNvPr id="99" name="Shape 99"/>
                      <wps:spPr>
                        <a:xfrm>
                          <a:off x="3087623" y="3778413"/>
                          <a:ext cx="4516755" cy="3175"/>
                        </a:xfrm>
                        <a:custGeom>
                          <a:rect b="b" l="l" r="r" t="t"/>
                          <a:pathLst>
                            <a:path extrusionOk="0" h="3175" w="4516755">
                              <a:moveTo>
                                <a:pt x="4516640" y="0"/>
                              </a:moveTo>
                              <a:lnTo>
                                <a:pt x="0" y="0"/>
                              </a:lnTo>
                              <a:lnTo>
                                <a:pt x="0" y="3162"/>
                              </a:lnTo>
                              <a:lnTo>
                                <a:pt x="4516640" y="3162"/>
                              </a:lnTo>
                              <a:lnTo>
                                <a:pt x="45166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2336800</wp:posOffset>
                </wp:positionH>
                <wp:positionV relativeFrom="paragraph">
                  <wp:posOffset>152400</wp:posOffset>
                </wp:positionV>
                <wp:extent cx="3175" cy="12700"/>
                <wp:effectExtent b="0" l="0" r="0" t="0"/>
                <wp:wrapTopAndBottom distB="0" distT="0"/>
                <wp:docPr id="449" name="image132.png"/>
                <a:graphic>
                  <a:graphicData uri="http://schemas.openxmlformats.org/drawingml/2006/picture">
                    <pic:pic>
                      <pic:nvPicPr>
                        <pic:cNvPr id="0" name="image132.png"/>
                        <pic:cNvPicPr preferRelativeResize="0"/>
                      </pic:nvPicPr>
                      <pic:blipFill>
                        <a:blip r:embed="rId352"/>
                        <a:srcRect/>
                        <a:stretch>
                          <a:fillRect/>
                        </a:stretch>
                      </pic:blipFill>
                      <pic:spPr>
                        <a:xfrm>
                          <a:off x="0" y="0"/>
                          <a:ext cx="3175" cy="12700"/>
                        </a:xfrm>
                        <a:prstGeom prst="rect"/>
                        <a:ln/>
                      </pic:spPr>
                    </pic:pic>
                  </a:graphicData>
                </a:graphic>
              </wp:anchor>
            </w:drawing>
          </mc:Fallback>
        </mc:AlternateContent>
      </w:r>
    </w:p>
    <w:p w:rsidR="00000000" w:rsidDel="00000000" w:rsidP="00000000" w:rsidRDefault="00000000" w:rsidRPr="00000000" w14:paraId="00000DCC">
      <w:pPr>
        <w:spacing w:before="32" w:lineRule="auto"/>
        <w:ind w:left="232" w:firstLine="0"/>
        <w:rPr>
          <w:sz w:val="14"/>
          <w:szCs w:val="14"/>
        </w:rPr>
      </w:pPr>
      <w:bookmarkStart w:colFirst="0" w:colLast="0" w:name="_heading=h.kycoorgqsw2v" w:id="113"/>
      <w:bookmarkEnd w:id="113"/>
      <w:r w:rsidDel="00000000" w:rsidR="00000000" w:rsidRPr="00000000">
        <w:rPr>
          <w:rtl w:val="0"/>
        </w:rPr>
      </w:r>
    </w:p>
    <w:p w:rsidR="00000000" w:rsidDel="00000000" w:rsidP="00000000" w:rsidRDefault="00000000" w:rsidRPr="00000000" w14:paraId="00000DCD">
      <w:pPr>
        <w:spacing w:before="32" w:lineRule="auto"/>
        <w:ind w:left="232" w:firstLine="0"/>
        <w:rPr>
          <w:sz w:val="14"/>
          <w:szCs w:val="14"/>
        </w:rPr>
      </w:pPr>
      <w:bookmarkStart w:colFirst="0" w:colLast="0" w:name="_heading=h.44bvf6o" w:id="114"/>
      <w:bookmarkEnd w:id="114"/>
      <w:r w:rsidDel="00000000" w:rsidR="00000000" w:rsidRPr="00000000">
        <w:rPr>
          <w:sz w:val="14"/>
          <w:szCs w:val="14"/>
          <w:rtl w:val="0"/>
        </w:rPr>
        <w:t xml:space="preserve">* Corresponding author at: Department of Propedeutics of Internal Disease, No. 103 Abai Street, Semey Medical University, Semey 071400, Kazakhstan.</w:t>
      </w:r>
    </w:p>
    <w:p w:rsidR="00000000" w:rsidDel="00000000" w:rsidP="00000000" w:rsidRDefault="00000000" w:rsidRPr="00000000" w14:paraId="00000DCE">
      <w:pPr>
        <w:spacing w:before="31" w:lineRule="auto"/>
        <w:ind w:left="370" w:firstLine="0"/>
        <w:rPr>
          <w:sz w:val="14"/>
          <w:szCs w:val="14"/>
        </w:rPr>
      </w:pPr>
      <w:r w:rsidDel="00000000" w:rsidR="00000000" w:rsidRPr="00000000">
        <w:rPr>
          <w:i w:val="1"/>
          <w:sz w:val="14"/>
          <w:szCs w:val="14"/>
          <w:rtl w:val="0"/>
        </w:rPr>
        <w:t xml:space="preserve">E-mail address: </w:t>
      </w:r>
      <w:hyperlink r:id="rId353">
        <w:r w:rsidDel="00000000" w:rsidR="00000000" w:rsidRPr="00000000">
          <w:rPr>
            <w:color w:val="2196d1"/>
            <w:sz w:val="14"/>
            <w:szCs w:val="14"/>
            <w:rtl w:val="0"/>
          </w:rPr>
          <w:t xml:space="preserve">ahmed.galimzhan@gmail.com</w:t>
        </w:r>
      </w:hyperlink>
      <w:r w:rsidDel="00000000" w:rsidR="00000000" w:rsidRPr="00000000">
        <w:rPr>
          <w:color w:val="2196d1"/>
          <w:sz w:val="14"/>
          <w:szCs w:val="14"/>
          <w:rtl w:val="0"/>
        </w:rPr>
        <w:t xml:space="preserve"> </w:t>
      </w:r>
      <w:r w:rsidDel="00000000" w:rsidR="00000000" w:rsidRPr="00000000">
        <w:rPr>
          <w:sz w:val="14"/>
          <w:szCs w:val="14"/>
          <w:rtl w:val="0"/>
        </w:rPr>
        <w:t xml:space="preserve">(A. Galimzhanov).</w:t>
      </w:r>
    </w:p>
    <w:p w:rsidR="00000000" w:rsidDel="00000000" w:rsidP="00000000" w:rsidRDefault="00000000" w:rsidRPr="00000000" w14:paraId="00000DCF">
      <w:pPr>
        <w:spacing w:before="18" w:lineRule="auto"/>
        <w:rPr>
          <w:sz w:val="14"/>
          <w:szCs w:val="14"/>
        </w:rPr>
      </w:pPr>
      <w:r w:rsidDel="00000000" w:rsidR="00000000" w:rsidRPr="00000000">
        <w:rPr>
          <w:rtl w:val="0"/>
        </w:rPr>
      </w:r>
    </w:p>
    <w:p w:rsidR="00000000" w:rsidDel="00000000" w:rsidP="00000000" w:rsidRDefault="00000000" w:rsidRPr="00000000" w14:paraId="00000DD0">
      <w:pPr>
        <w:ind w:left="131" w:firstLine="0"/>
        <w:rPr>
          <w:sz w:val="14"/>
          <w:szCs w:val="14"/>
        </w:rPr>
      </w:pPr>
      <w:hyperlink r:id="rId354">
        <w:r w:rsidDel="00000000" w:rsidR="00000000" w:rsidRPr="00000000">
          <w:rPr>
            <w:color w:val="2196d1"/>
            <w:sz w:val="14"/>
            <w:szCs w:val="14"/>
            <w:rtl w:val="0"/>
          </w:rPr>
          <w:t xml:space="preserve">https://doi.org/10.1016/j.ijcard.2022.12.035</w:t>
        </w:r>
      </w:hyperlink>
      <w:r w:rsidDel="00000000" w:rsidR="00000000" w:rsidRPr="00000000">
        <w:rPr>
          <w:rtl w:val="0"/>
        </w:rPr>
      </w:r>
    </w:p>
    <w:p w:rsidR="00000000" w:rsidDel="00000000" w:rsidP="00000000" w:rsidRDefault="00000000" w:rsidRPr="00000000" w14:paraId="00000DD1">
      <w:pPr>
        <w:spacing w:before="29" w:lineRule="auto"/>
        <w:ind w:left="131" w:firstLine="0"/>
        <w:rPr>
          <w:sz w:val="14"/>
          <w:szCs w:val="14"/>
        </w:rPr>
      </w:pPr>
      <w:r w:rsidDel="00000000" w:rsidR="00000000" w:rsidRPr="00000000">
        <w:rPr>
          <w:sz w:val="14"/>
          <w:szCs w:val="14"/>
          <w:rtl w:val="0"/>
        </w:rPr>
        <w:t xml:space="preserve">Received 21 September 2022; Received in revised form 21 November 2022; Accepted 19 December 2022</w:t>
      </w:r>
    </w:p>
    <w:p w:rsidR="00000000" w:rsidDel="00000000" w:rsidP="00000000" w:rsidRDefault="00000000" w:rsidRPr="00000000" w14:paraId="00000DD2">
      <w:pPr>
        <w:spacing w:before="32" w:lineRule="auto"/>
        <w:ind w:left="130" w:firstLine="0"/>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Available online 24 December 2022</w:t>
      </w:r>
    </w:p>
    <w:p w:rsidR="00000000" w:rsidDel="00000000" w:rsidP="00000000" w:rsidRDefault="00000000" w:rsidRPr="00000000" w14:paraId="00000DD3">
      <w:pPr>
        <w:spacing w:before="3" w:lineRule="auto"/>
        <w:ind w:left="130" w:firstLine="0"/>
        <w:rPr>
          <w:sz w:val="14"/>
          <w:szCs w:val="14"/>
        </w:rPr>
      </w:pPr>
      <w:r w:rsidDel="00000000" w:rsidR="00000000" w:rsidRPr="00000000">
        <w:rPr>
          <w:rFonts w:ascii="Georgia" w:cs="Georgia" w:eastAsia="Georgia" w:hAnsi="Georgia"/>
          <w:sz w:val="14"/>
          <w:szCs w:val="14"/>
          <w:rtl w:val="0"/>
        </w:rPr>
        <w:t xml:space="preserve">0167-5273/© 2022 Elsevier B.V. All rights reserved.</w:t>
      </w:r>
      <w:r w:rsidDel="00000000" w:rsidR="00000000" w:rsidRPr="00000000">
        <w:rPr>
          <w:rtl w:val="0"/>
        </w:rPr>
      </w:r>
    </w:p>
    <w:p w:rsidR="00000000" w:rsidDel="00000000" w:rsidP="00000000" w:rsidRDefault="00000000" w:rsidRPr="00000000" w14:paraId="00000DD4">
      <w:pPr>
        <w:spacing w:before="92" w:lineRule="auto"/>
        <w:ind w:left="131" w:right="0" w:firstLine="0"/>
        <w:jc w:val="left"/>
        <w:rPr>
          <w:sz w:val="14"/>
          <w:szCs w:val="14"/>
        </w:rPr>
      </w:pPr>
      <w:r w:rsidDel="00000000" w:rsidR="00000000" w:rsidRPr="00000000">
        <w:rPr>
          <w:rtl w:val="0"/>
        </w:rPr>
      </w:r>
    </w:p>
    <w:p w:rsidR="00000000" w:rsidDel="00000000" w:rsidP="00000000" w:rsidRDefault="00000000" w:rsidRPr="00000000" w14:paraId="00000DD5">
      <w:pPr>
        <w:spacing w:before="92" w:lineRule="auto"/>
        <w:ind w:left="131" w:right="0" w:firstLine="0"/>
        <w:jc w:val="left"/>
        <w:rPr>
          <w:sz w:val="14"/>
          <w:szCs w:val="14"/>
        </w:rPr>
      </w:pPr>
      <w:r w:rsidDel="00000000" w:rsidR="00000000" w:rsidRPr="00000000">
        <w:rPr>
          <w:sz w:val="14"/>
          <w:szCs w:val="14"/>
          <w:rtl w:val="0"/>
        </w:rPr>
        <w:t xml:space="preserve">A R T I C L E I N F O </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D7">
      <w:pPr>
        <w:spacing w:before="0" w:lineRule="auto"/>
        <w:ind w:left="131" w:right="2267.716535433071" w:firstLine="0"/>
        <w:jc w:val="left"/>
        <w:rPr>
          <w:i w:val="1"/>
          <w:sz w:val="12"/>
          <w:szCs w:val="12"/>
        </w:rPr>
      </w:pPr>
      <w:r w:rsidDel="00000000" w:rsidR="00000000" w:rsidRPr="00000000">
        <w:rPr>
          <w:i w:val="1"/>
          <w:sz w:val="12"/>
          <w:szCs w:val="12"/>
          <w:rtl w:val="0"/>
        </w:rPr>
        <w:t xml:space="preserve">Keywords: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-25399</wp:posOffset>
                </wp:positionV>
                <wp:extent cx="3175" cy="12700"/>
                <wp:effectExtent b="0" l="0" r="0" t="0"/>
                <wp:wrapNone/>
                <wp:docPr id="450" name=""/>
                <a:graphic>
                  <a:graphicData uri="http://schemas.microsoft.com/office/word/2010/wordprocessingShape">
                    <wps:wsp>
                      <wps:cNvSpPr/>
                      <wps:cNvPr id="100" name="Shape 100"/>
                      <wps:spPr>
                        <a:xfrm>
                          <a:off x="4499863" y="3778413"/>
                          <a:ext cx="1692275" cy="3175"/>
                        </a:xfrm>
                        <a:custGeom>
                          <a:rect b="b" l="l" r="r" t="t"/>
                          <a:pathLst>
                            <a:path extrusionOk="0" h="3175" w="1692275">
                              <a:moveTo>
                                <a:pt x="1691996" y="0"/>
                              </a:moveTo>
                              <a:lnTo>
                                <a:pt x="0" y="0"/>
                              </a:lnTo>
                              <a:lnTo>
                                <a:pt x="0" y="3162"/>
                              </a:lnTo>
                              <a:lnTo>
                                <a:pt x="1691996" y="3162"/>
                              </a:lnTo>
                              <a:lnTo>
                                <a:pt x="169199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-25399</wp:posOffset>
                </wp:positionV>
                <wp:extent cx="3175" cy="12700"/>
                <wp:effectExtent b="0" l="0" r="0" t="0"/>
                <wp:wrapNone/>
                <wp:docPr id="450" name="image133.png"/>
                <a:graphic>
                  <a:graphicData uri="http://schemas.openxmlformats.org/drawingml/2006/picture">
                    <pic:pic>
                      <pic:nvPicPr>
                        <pic:cNvPr id="0" name="image133.png"/>
                        <pic:cNvPicPr preferRelativeResize="0"/>
                      </pic:nvPicPr>
                      <pic:blipFill>
                        <a:blip r:embed="rId355"/>
                        <a:srcRect/>
                        <a:stretch>
                          <a:fillRect/>
                        </a:stretch>
                      </pic:blipFill>
                      <pic:spPr>
                        <a:xfrm>
                          <a:off x="0" y="0"/>
                          <a:ext cx="3175" cy="12700"/>
                        </a:xfrm>
                        <a:prstGeom prst="rect"/>
                        <a:ln/>
                      </pic:spPr>
                    </pic:pic>
                  </a:graphicData>
                </a:graphic>
              </wp:anchor>
            </w:drawing>
          </mc:Fallback>
        </mc:AlternateContent>
      </w:r>
    </w:p>
    <w:p w:rsidR="00000000" w:rsidDel="00000000" w:rsidP="00000000" w:rsidRDefault="00000000" w:rsidRPr="00000000" w14:paraId="00000DD8">
      <w:pPr>
        <w:spacing w:before="34" w:line="297" w:lineRule="auto"/>
        <w:ind w:left="131" w:right="1639.9606299212605" w:firstLine="0"/>
        <w:jc w:val="left"/>
        <w:rPr>
          <w:sz w:val="12"/>
          <w:szCs w:val="12"/>
        </w:rPr>
      </w:pPr>
      <w:r w:rsidDel="00000000" w:rsidR="00000000" w:rsidRPr="00000000">
        <w:rPr>
          <w:sz w:val="12"/>
          <w:szCs w:val="12"/>
          <w:rtl w:val="0"/>
        </w:rPr>
        <w:t xml:space="preserve">Cluster analyses Coronary artery disease Machine learning</w:t>
      </w:r>
    </w:p>
    <w:p w:rsidR="00000000" w:rsidDel="00000000" w:rsidP="00000000" w:rsidRDefault="00000000" w:rsidRPr="00000000" w14:paraId="00000DD9">
      <w:pPr>
        <w:spacing w:before="1" w:line="297" w:lineRule="auto"/>
        <w:ind w:left="131" w:right="0" w:firstLine="0"/>
        <w:jc w:val="left"/>
        <w:rPr>
          <w:sz w:val="12"/>
          <w:szCs w:val="12"/>
        </w:rPr>
      </w:pPr>
      <w:r w:rsidDel="00000000" w:rsidR="00000000" w:rsidRPr="00000000">
        <w:rPr>
          <w:sz w:val="12"/>
          <w:szCs w:val="12"/>
          <w:rtl w:val="0"/>
        </w:rPr>
        <w:t xml:space="preserve">Percutaneous coronary intervention Prognosis</w:t>
      </w:r>
    </w:p>
    <w:p w:rsidR="00000000" w:rsidDel="00000000" w:rsidP="00000000" w:rsidRDefault="00000000" w:rsidRPr="00000000" w14:paraId="00000DDA">
      <w:pPr>
        <w:spacing w:before="92" w:lineRule="auto"/>
        <w:ind w:left="131" w:right="0" w:firstLine="0"/>
        <w:jc w:val="left"/>
        <w:rPr>
          <w:sz w:val="14"/>
          <w:szCs w:val="14"/>
        </w:rPr>
      </w:pPr>
      <w:r w:rsidDel="00000000" w:rsidR="00000000" w:rsidRPr="00000000">
        <w:rPr>
          <w:sz w:val="14"/>
          <w:szCs w:val="14"/>
          <w:rtl w:val="0"/>
        </w:rPr>
        <w:t xml:space="preserve">A B S T R A C T </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DDC">
      <w:pPr>
        <w:spacing w:before="61" w:line="240" w:lineRule="auto"/>
        <w:ind w:left="131" w:right="-60" w:firstLine="0"/>
        <w:jc w:val="both"/>
        <w:rPr>
          <w:sz w:val="14"/>
          <w:szCs w:val="14"/>
        </w:rPr>
      </w:pPr>
      <w:r w:rsidDel="00000000" w:rsidR="00000000" w:rsidRPr="00000000">
        <w:rPr>
          <w:i w:val="1"/>
          <w:sz w:val="14"/>
          <w:szCs w:val="14"/>
          <w:rtl w:val="0"/>
        </w:rPr>
        <w:t xml:space="preserve">Introduction: </w:t>
      </w:r>
      <w:r w:rsidDel="00000000" w:rsidR="00000000" w:rsidRPr="00000000">
        <w:rPr>
          <w:sz w:val="14"/>
          <w:szCs w:val="14"/>
          <w:rtl w:val="0"/>
        </w:rPr>
        <w:t xml:space="preserve">Percutaneous coronary interventions (PCI) are often performed in multimorbid patients with heterogeneous characteristics and variable clinical outcomes. We aimed to identify distinct clinical phenotypes utilizing machine learning and explore their relationship with long-term recurrent and weighted outcomes.</w:t>
      </w:r>
    </w:p>
    <w:p w:rsidR="00000000" w:rsidDel="00000000" w:rsidP="00000000" w:rsidRDefault="00000000" w:rsidRPr="00000000" w14:paraId="00000DDD">
      <w:pPr>
        <w:spacing w:before="0" w:line="240" w:lineRule="auto"/>
        <w:ind w:left="131" w:right="-60" w:firstLine="0"/>
        <w:jc w:val="both"/>
        <w:rPr>
          <w:sz w:val="14"/>
          <w:szCs w:val="14"/>
        </w:rPr>
      </w:pPr>
      <w:r w:rsidDel="00000000" w:rsidR="00000000" w:rsidRPr="00000000">
        <w:rPr>
          <w:i w:val="1"/>
          <w:sz w:val="14"/>
          <w:szCs w:val="14"/>
          <w:rtl w:val="0"/>
        </w:rPr>
        <w:t xml:space="preserve">Methods: </w:t>
      </w:r>
      <w:r w:rsidDel="00000000" w:rsidR="00000000" w:rsidRPr="00000000">
        <w:rPr>
          <w:sz w:val="14"/>
          <w:szCs w:val="14"/>
          <w:rtl w:val="0"/>
        </w:rPr>
        <w:t xml:space="preserve">This prospective observational cohort study enrolled all-comer PCI patients in 2020-2021. Multiple imputation </w:t>
      </w:r>
      <w:r w:rsidDel="00000000" w:rsidR="00000000" w:rsidRPr="00000000">
        <w:rPr>
          <w:i w:val="1"/>
          <w:sz w:val="14"/>
          <w:szCs w:val="14"/>
          <w:rtl w:val="0"/>
        </w:rPr>
        <w:t xml:space="preserve">k</w:t>
      </w:r>
      <w:r w:rsidDel="00000000" w:rsidR="00000000" w:rsidRPr="00000000">
        <w:rPr>
          <w:sz w:val="14"/>
          <w:szCs w:val="14"/>
          <w:rtl w:val="0"/>
        </w:rPr>
        <w:t xml:space="preserve">-means clustering was utilized to detect specific phenotypes. The study endpoints were patient-oriented and device oriented composite endpoints (POCE, DOCE), its individual components, and major bleeding. We applied semiparametric regression models for recurrent and weighted endpoints.</w:t>
      </w:r>
    </w:p>
    <w:p w:rsidR="00000000" w:rsidDel="00000000" w:rsidP="00000000" w:rsidRDefault="00000000" w:rsidRPr="00000000" w14:paraId="00000DDE">
      <w:pPr>
        <w:spacing w:before="0" w:line="240" w:lineRule="auto"/>
        <w:ind w:left="131" w:right="-60" w:firstLine="0"/>
        <w:jc w:val="both"/>
        <w:rPr>
          <w:sz w:val="14"/>
          <w:szCs w:val="14"/>
        </w:rPr>
      </w:pPr>
      <w:r w:rsidDel="00000000" w:rsidR="00000000" w:rsidRPr="00000000">
        <w:rPr>
          <w:i w:val="1"/>
          <w:sz w:val="14"/>
          <w:szCs w:val="14"/>
          <w:rtl w:val="0"/>
        </w:rPr>
        <w:t xml:space="preserve">Results: </w:t>
      </w:r>
      <w:r w:rsidDel="00000000" w:rsidR="00000000" w:rsidRPr="00000000">
        <w:rPr>
          <w:sz w:val="14"/>
          <w:szCs w:val="14"/>
          <w:rtl w:val="0"/>
        </w:rPr>
        <w:t xml:space="preserve">The study included a total of 643 patients. We unveiled three phenotype clusters: 1) inflammatory (</w:t>
      </w:r>
      <w:r w:rsidDel="00000000" w:rsidR="00000000" w:rsidRPr="00000000">
        <w:rPr>
          <w:i w:val="1"/>
          <w:sz w:val="14"/>
          <w:szCs w:val="14"/>
          <w:rtl w:val="0"/>
        </w:rPr>
        <w:t xml:space="preserve">n </w:t>
      </w:r>
      <w:r w:rsidDel="00000000" w:rsidR="00000000" w:rsidRPr="00000000">
        <w:rPr>
          <w:rFonts w:ascii="Lucida Sans" w:cs="Lucida Sans" w:eastAsia="Lucida Sans" w:hAnsi="Lucida Sans"/>
          <w:sz w:val="14"/>
          <w:szCs w:val="14"/>
          <w:rtl w:val="0"/>
        </w:rPr>
        <w:t xml:space="preserve">= </w:t>
      </w:r>
      <w:r w:rsidDel="00000000" w:rsidR="00000000" w:rsidRPr="00000000">
        <w:rPr>
          <w:sz w:val="14"/>
          <w:szCs w:val="14"/>
          <w:rtl w:val="0"/>
        </w:rPr>
        <w:t xml:space="preserve">44, with high white blood cell counts, high values of C-reactive protein (CRP) and neutrophil-to-lymphocyte ratio), 2) high erythrocyte sedimentation rate (ESR) (</w:t>
      </w:r>
      <w:r w:rsidDel="00000000" w:rsidR="00000000" w:rsidRPr="00000000">
        <w:rPr>
          <w:i w:val="1"/>
          <w:sz w:val="14"/>
          <w:szCs w:val="14"/>
          <w:rtl w:val="0"/>
        </w:rPr>
        <w:t xml:space="preserve">n </w:t>
      </w:r>
      <w:r w:rsidDel="00000000" w:rsidR="00000000" w:rsidRPr="00000000">
        <w:rPr>
          <w:rFonts w:ascii="Lucida Sans" w:cs="Lucida Sans" w:eastAsia="Lucida Sans" w:hAnsi="Lucida Sans"/>
          <w:sz w:val="14"/>
          <w:szCs w:val="14"/>
          <w:rtl w:val="0"/>
        </w:rPr>
        <w:t xml:space="preserve">= </w:t>
      </w:r>
      <w:r w:rsidDel="00000000" w:rsidR="00000000" w:rsidRPr="00000000">
        <w:rPr>
          <w:sz w:val="14"/>
          <w:szCs w:val="14"/>
          <w:rtl w:val="0"/>
        </w:rPr>
        <w:t xml:space="preserve">204), and 3) non-inflammatory (</w:t>
      </w:r>
      <w:r w:rsidDel="00000000" w:rsidR="00000000" w:rsidRPr="00000000">
        <w:rPr>
          <w:i w:val="1"/>
          <w:sz w:val="14"/>
          <w:szCs w:val="14"/>
          <w:rtl w:val="0"/>
        </w:rPr>
        <w:t xml:space="preserve">n </w:t>
      </w:r>
      <w:r w:rsidDel="00000000" w:rsidR="00000000" w:rsidRPr="00000000">
        <w:rPr>
          <w:rFonts w:ascii="Lucida Sans" w:cs="Lucida Sans" w:eastAsia="Lucida Sans" w:hAnsi="Lucida Sans"/>
          <w:sz w:val="14"/>
          <w:szCs w:val="14"/>
          <w:rtl w:val="0"/>
        </w:rPr>
        <w:t xml:space="preserve">= </w:t>
      </w:r>
      <w:r w:rsidDel="00000000" w:rsidR="00000000" w:rsidRPr="00000000">
        <w:rPr>
          <w:sz w:val="14"/>
          <w:szCs w:val="14"/>
          <w:rtl w:val="0"/>
        </w:rPr>
        <w:t xml:space="preserve">395). For ACS-only population, we four distinct phenotypes (high-CRP, high-ESR, high aspartate-aminotransferase, and normal). For all-comer PCI patients, identified phenotypes had a higher risk of POCE (mean ratio (MR) 1.42 (95% confidence interval (CI) 1.11–1.81) and MR 2.01 (95% CI 1.58–2.56), respectively), DOCE (MR 1.61 (95% CI 1.20–2.16), MR 2.60 (95%CI 1.94–3.48), respectively), and stroke (hazard ratio (HR) 2.86 (95% CI 1.10–7.4), 6.83 (95% CI 2.01–23.2)). Similarly, high-ESR and high-CRP phenotypes of ACS patients were significantly associated with the development of clinical composite outcomes.</w:t>
      </w:r>
    </w:p>
    <w:p w:rsidR="00000000" w:rsidDel="00000000" w:rsidP="00000000" w:rsidRDefault="00000000" w:rsidRPr="00000000" w14:paraId="00000DDF">
      <w:pPr>
        <w:spacing w:before="2" w:line="240" w:lineRule="auto"/>
        <w:ind w:left="131" w:right="-60" w:firstLine="0"/>
        <w:jc w:val="both"/>
        <w:rPr>
          <w:sz w:val="14"/>
          <w:szCs w:val="14"/>
        </w:rPr>
      </w:pPr>
      <w:r w:rsidDel="00000000" w:rsidR="00000000" w:rsidRPr="00000000">
        <w:rPr>
          <w:i w:val="1"/>
          <w:sz w:val="14"/>
          <w:szCs w:val="14"/>
          <w:rtl w:val="0"/>
        </w:rPr>
        <w:t xml:space="preserve">Conclusion: </w:t>
      </w:r>
      <w:r w:rsidDel="00000000" w:rsidR="00000000" w:rsidRPr="00000000">
        <w:rPr>
          <w:sz w:val="14"/>
          <w:szCs w:val="14"/>
          <w:rtl w:val="0"/>
        </w:rPr>
        <w:t xml:space="preserve">Machine learning unveiled three distinct phenotype clusters in patients after PCI that were linked with the risk of recurrent and weighted clinical endpoints.</w:t>
      </w:r>
    </w:p>
    <w:p w:rsidR="00000000" w:rsidDel="00000000" w:rsidP="00000000" w:rsidRDefault="00000000" w:rsidRPr="00000000" w14:paraId="00000DE0">
      <w:pPr>
        <w:spacing w:before="0" w:line="240" w:lineRule="auto"/>
        <w:ind w:left="131" w:right="0" w:firstLine="0"/>
        <w:jc w:val="both"/>
        <w:rPr>
          <w:sz w:val="14"/>
          <w:szCs w:val="14"/>
        </w:rPr>
        <w:sectPr>
          <w:headerReference r:id="rId356" w:type="even"/>
          <w:footerReference r:id="rId357" w:type="even"/>
          <w:type w:val="nextPage"/>
          <w:pgSz w:h="16840" w:w="11920" w:orient="portrait"/>
          <w:pgMar w:bottom="280" w:top="620" w:left="620" w:right="640" w:header="0" w:footer="0"/>
        </w:sectPr>
      </w:pPr>
      <w:r w:rsidDel="00000000" w:rsidR="00000000" w:rsidRPr="00000000">
        <w:rPr>
          <w:b w:val="1"/>
          <w:sz w:val="14"/>
          <w:szCs w:val="14"/>
          <w:rtl w:val="0"/>
        </w:rPr>
        <w:t xml:space="preserve">German Clinical Trial Registry number: </w:t>
      </w:r>
      <w:r w:rsidDel="00000000" w:rsidR="00000000" w:rsidRPr="00000000">
        <w:rPr>
          <w:sz w:val="14"/>
          <w:szCs w:val="14"/>
          <w:rtl w:val="0"/>
        </w:rPr>
        <w:t xml:space="preserve">DRKS00020892.</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3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6840" w:w="11920" w:orient="portrait"/>
          <w:pgMar w:bottom="280" w:top="1060" w:left="620" w:right="640" w:header="0"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604634" cy="3175"/>
                <wp:effectExtent b="0" l="0" r="0" t="0"/>
                <wp:docPr id="381" name=""/>
                <a:graphic>
                  <a:graphicData uri="http://schemas.microsoft.com/office/word/2010/wordprocessingGroup">
                    <wpg:wgp>
                      <wpg:cNvGrpSpPr/>
                      <wpg:grpSpPr>
                        <a:xfrm>
                          <a:off x="2043675" y="3778400"/>
                          <a:ext cx="6604634" cy="3175"/>
                          <a:chOff x="2043675" y="3778400"/>
                          <a:chExt cx="6604650" cy="3200"/>
                        </a:xfrm>
                      </wpg:grpSpPr>
                      <wpg:grpSp>
                        <wpg:cNvGrpSpPr/>
                        <wpg:grpSpPr>
                          <a:xfrm>
                            <a:off x="2043683" y="3778413"/>
                            <a:ext cx="6604634" cy="3175"/>
                            <a:chOff x="2043675" y="3778400"/>
                            <a:chExt cx="6604650" cy="3200"/>
                          </a:xfrm>
                        </wpg:grpSpPr>
                        <wps:wsp>
                          <wps:cNvSpPr/>
                          <wps:cNvPr id="3" name="Shape 3"/>
                          <wps:spPr>
                            <a:xfrm>
                              <a:off x="2043675" y="3778400"/>
                              <a:ext cx="6604650" cy="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43683" y="3778413"/>
                              <a:ext cx="6604634" cy="3175"/>
                              <a:chOff x="0" y="0"/>
                              <a:chExt cx="6604634" cy="3175"/>
                            </a:xfrm>
                          </wpg:grpSpPr>
                          <wps:wsp>
                            <wps:cNvSpPr/>
                            <wps:cNvPr id="27" name="Shape 27"/>
                            <wps:spPr>
                              <a:xfrm>
                                <a:off x="0" y="0"/>
                                <a:ext cx="6604625" cy="3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6604634" cy="3175"/>
                              </a:xfrm>
                              <a:custGeom>
                                <a:rect b="b" l="l" r="r" t="t"/>
                                <a:pathLst>
                                  <a:path extrusionOk="0" h="3175" w="6604634">
                                    <a:moveTo>
                                      <a:pt x="6604636" y="0"/>
                                    </a:moveTo>
                                    <a:lnTo>
                                      <a:pt x="0" y="0"/>
                                    </a:lnTo>
                                    <a:lnTo>
                                      <a:pt x="0" y="3162"/>
                                    </a:lnTo>
                                    <a:lnTo>
                                      <a:pt x="6604636" y="3162"/>
                                    </a:lnTo>
                                    <a:lnTo>
                                      <a:pt x="6604636"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604634" cy="3175"/>
                <wp:effectExtent b="0" l="0" r="0" t="0"/>
                <wp:docPr id="381" name="image25.png"/>
                <a:graphic>
                  <a:graphicData uri="http://schemas.openxmlformats.org/drawingml/2006/picture">
                    <pic:pic>
                      <pic:nvPicPr>
                        <pic:cNvPr id="0" name="image25.png"/>
                        <pic:cNvPicPr preferRelativeResize="0"/>
                      </pic:nvPicPr>
                      <pic:blipFill>
                        <a:blip r:embed="rId358"/>
                        <a:srcRect/>
                        <a:stretch>
                          <a:fillRect/>
                        </a:stretch>
                      </pic:blipFill>
                      <pic:spPr>
                        <a:xfrm>
                          <a:off x="0" y="0"/>
                          <a:ext cx="6604634" cy="3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E3">
      <w:pPr>
        <w:pStyle w:val="Heading5"/>
        <w:numPr>
          <w:ilvl w:val="0"/>
          <w:numId w:val="8"/>
        </w:numPr>
        <w:tabs>
          <w:tab w:val="left" w:leader="none" w:pos="375"/>
        </w:tabs>
        <w:spacing w:after="0" w:before="91" w:line="240" w:lineRule="auto"/>
        <w:ind w:left="375" w:right="0" w:hanging="244"/>
        <w:jc w:val="left"/>
        <w:rPr/>
      </w:pPr>
      <w:r w:rsidDel="00000000" w:rsidR="00000000" w:rsidRPr="00000000">
        <w:rPr>
          <w:rtl w:val="0"/>
        </w:rPr>
        <w:t xml:space="preserve">Introduction</w:t>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31" w:right="-96"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Percutaneous coronary intervention (PCI) is a cornerstone treatment for patients with coronary artery disease undergoing revascularization [</w:t>
      </w:r>
      <w:hyperlink w:anchor="_heading=h.1maplo9">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PCI is now performed in a wide range of patients with heterogeneous characteristics and prognosis, who require risk stratification for tailoring treatment [</w:t>
      </w:r>
      <w:hyperlink w:anchor="_heading=h.1maplo9">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Current stratification tools are limited in their predictive power [</w:t>
      </w:r>
      <w:hyperlink w:anchor="_heading=h.46ad4c2">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and there are still patients who do not exhibit traditional risk factors but developed adverse clinical outcomes [</w:t>
      </w:r>
      <w:hyperlink w:anchor="_heading=h.2lfnejv">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10kxoro">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1" w:right="-127.65354330708487"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Unsupervised learning, a type of machine learning, is a data-driven technique that identifies hidden patterns or data clusters without the</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assistance of a human. We hypothesized that unsupervised machine learning could categorize a heterogeneous population of PCI patients into specific homogeneous groups that may provide distinct clinical trajectories. This classification could be used for enhancement of risk stratification and tailoring treatment.</w:t>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27.65354330708487"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0" w:footer="0"/>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Furthermore, the current gold standard for statistical analyses is a time-to-the-first-event survival analysis without taking into account a complex recurrent and weighted nature of cardiovascular outcomes [</w:t>
      </w:r>
      <w:hyperlink w:anchor="_heading=h.3kkl7fh">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1zpvhna">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It is estimated that about 40–50% of events during follow-up in clinical trials are recurrent [</w:t>
      </w:r>
      <w:hyperlink w:anchor="_heading=h.4jpj0b3">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Also, in traditional survival analyses, patients who experienced a non-terminal event and patients who died</w:t>
      </w:r>
    </w:p>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0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31"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459105" cy="2540"/>
                <wp:effectExtent b="0" l="0" r="0" t="0"/>
                <wp:docPr id="382" name=""/>
                <a:graphic>
                  <a:graphicData uri="http://schemas.microsoft.com/office/word/2010/wordprocessingGroup">
                    <wpg:wgp>
                      <wpg:cNvGrpSpPr/>
                      <wpg:grpSpPr>
                        <a:xfrm>
                          <a:off x="5116425" y="3778725"/>
                          <a:ext cx="459105" cy="2540"/>
                          <a:chOff x="5116425" y="3778725"/>
                          <a:chExt cx="459150" cy="2550"/>
                        </a:xfrm>
                      </wpg:grpSpPr>
                      <wpg:grpSp>
                        <wpg:cNvGrpSpPr/>
                        <wpg:grpSpPr>
                          <a:xfrm>
                            <a:off x="5116448" y="3778730"/>
                            <a:ext cx="459105" cy="2540"/>
                            <a:chOff x="5116425" y="3778725"/>
                            <a:chExt cx="459125" cy="2550"/>
                          </a:xfrm>
                        </wpg:grpSpPr>
                        <wps:wsp>
                          <wps:cNvSpPr/>
                          <wps:cNvPr id="3" name="Shape 3"/>
                          <wps:spPr>
                            <a:xfrm>
                              <a:off x="5116425" y="3778725"/>
                              <a:ext cx="459125" cy="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16443" y="3778730"/>
                              <a:ext cx="459105" cy="2540"/>
                              <a:chOff x="-5" y="0"/>
                              <a:chExt cx="459105" cy="2540"/>
                            </a:xfrm>
                          </wpg:grpSpPr>
                          <wps:wsp>
                            <wps:cNvSpPr/>
                            <wps:cNvPr id="31" name="Shape 31"/>
                            <wps:spPr>
                              <a:xfrm>
                                <a:off x="0" y="0"/>
                                <a:ext cx="459100" cy="2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5" y="0"/>
                                <a:ext cx="459105" cy="2540"/>
                              </a:xfrm>
                              <a:custGeom>
                                <a:rect b="b" l="l" r="r" t="t"/>
                                <a:pathLst>
                                  <a:path extrusionOk="0" h="2540" w="459105">
                                    <a:moveTo>
                                      <a:pt x="458762" y="0"/>
                                    </a:moveTo>
                                    <a:lnTo>
                                      <a:pt x="0" y="0"/>
                                    </a:lnTo>
                                    <a:lnTo>
                                      <a:pt x="0" y="1270"/>
                                    </a:lnTo>
                                    <a:lnTo>
                                      <a:pt x="774" y="1270"/>
                                    </a:lnTo>
                                    <a:lnTo>
                                      <a:pt x="774" y="2540"/>
                                    </a:lnTo>
                                    <a:lnTo>
                                      <a:pt x="456882" y="2540"/>
                                    </a:lnTo>
                                    <a:lnTo>
                                      <a:pt x="456882" y="1270"/>
                                    </a:lnTo>
                                    <a:lnTo>
                                      <a:pt x="458762" y="1270"/>
                                    </a:lnTo>
                                    <a:lnTo>
                                      <a:pt x="458762"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59105" cy="2540"/>
                <wp:effectExtent b="0" l="0" r="0" t="0"/>
                <wp:docPr id="382" name="image26.png"/>
                <a:graphic>
                  <a:graphicData uri="http://schemas.openxmlformats.org/drawingml/2006/picture">
                    <pic:pic>
                      <pic:nvPicPr>
                        <pic:cNvPr id="0" name="image26.png"/>
                        <pic:cNvPicPr preferRelativeResize="0"/>
                      </pic:nvPicPr>
                      <pic:blipFill>
                        <a:blip r:embed="rId359"/>
                        <a:srcRect/>
                        <a:stretch>
                          <a:fillRect/>
                        </a:stretch>
                      </pic:blipFill>
                      <pic:spPr>
                        <a:xfrm>
                          <a:off x="0" y="0"/>
                          <a:ext cx="459105" cy="2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E9">
      <w:pPr>
        <w:spacing w:before="3" w:lineRule="auto"/>
        <w:ind w:left="130" w:right="0" w:firstLine="0"/>
        <w:jc w:val="left"/>
        <w:rPr>
          <w:rFonts w:ascii="Georgia" w:cs="Georgia" w:eastAsia="Georgia" w:hAnsi="Georgia"/>
          <w:sz w:val="14"/>
          <w:szCs w:val="14"/>
        </w:rPr>
        <w:sectPr>
          <w:type w:val="continuous"/>
          <w:pgSz w:h="16840" w:w="11920" w:orient="portrait"/>
          <w:pgMar w:bottom="280" w:top="1060" w:left="620" w:right="640" w:header="0" w:footer="0"/>
        </w:sectPr>
      </w:pPr>
      <w:r w:rsidDel="00000000" w:rsidR="00000000" w:rsidRPr="00000000">
        <w:rPr>
          <w:rtl w:val="0"/>
        </w:rPr>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0"/>
          <w:szCs w:val="10"/>
          <w:u w:val="none"/>
          <w:shd w:fill="auto" w:val="clear"/>
          <w:vertAlign w:val="baseline"/>
        </w:rPr>
        <w:sectPr>
          <w:headerReference r:id="rId360" w:type="default"/>
          <w:headerReference r:id="rId361" w:type="even"/>
          <w:footerReference r:id="rId362" w:type="default"/>
          <w:footerReference r:id="rId363" w:type="even"/>
          <w:type w:val="nextPage"/>
          <w:pgSz w:h="16840" w:w="11920" w:orient="portrait"/>
          <w:pgMar w:bottom="740" w:top="840" w:left="620" w:right="640" w:header="655" w:footer="544"/>
          <w:pgNumType w:start="3"/>
        </w:sectPr>
      </w:pPr>
      <w:r w:rsidDel="00000000" w:rsidR="00000000" w:rsidRPr="00000000">
        <w:rPr>
          <w:rtl w:val="0"/>
        </w:rPr>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first are considered equally, which is not meaningful from a clinical point of view [</w:t>
      </w:r>
      <w:hyperlink w:anchor="_heading=h.1zpvhna">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In this regard, semiparametric proportional rate regression analyses allows researchers to analyze combined outcomes considering the entire follow-up data of the study population in a weighted manner [</w:t>
      </w:r>
      <w:hyperlink w:anchor="_heading=h.1zpvhna">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crucial advantage of this method is its non-parametric nature that does not require any modelling assumption.</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Therefore, we aimed to identify distinct phenotypes among patients who underwent PCI and investigate their association with long-term recurrent weighted clinical endpoints.</w:t>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EE">
      <w:pPr>
        <w:pStyle w:val="Heading5"/>
        <w:numPr>
          <w:ilvl w:val="0"/>
          <w:numId w:val="8"/>
        </w:numPr>
        <w:tabs>
          <w:tab w:val="left" w:leader="none" w:pos="375"/>
        </w:tabs>
        <w:spacing w:after="0" w:before="0" w:line="240" w:lineRule="auto"/>
        <w:ind w:left="375" w:right="0" w:hanging="244"/>
        <w:jc w:val="left"/>
        <w:rPr/>
      </w:pPr>
      <w:r w:rsidDel="00000000" w:rsidR="00000000" w:rsidRPr="00000000">
        <w:rPr>
          <w:rtl w:val="0"/>
        </w:rPr>
        <w:t xml:space="preserve">Methods</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496"/>
        </w:tabs>
        <w:spacing w:after="0" w:before="1"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Study design and ethical consideration</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research was an investigator-initiated, prospective, observational cohort study. The study population included consecutive all-comer ischemic heart disease patients (myocardial infarction with and without ST segment elevation (STEMI and NSTEMI), unstable angina, stable coronary artery disease) treated with PCI at the at the University Hospital of Semey Medical University and the Hospital of Emergency Care of Semey (Semey, Kazakhstan) from February 2020 to May 2021. The initial diagnosis of myocardial infarction (MI) was set according to the Fourth Universal Definition of MI [</w:t>
      </w:r>
      <w:hyperlink w:anchor="_heading=h.2yutaiw">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Unstable angina and stable coronary artery disease were defined according to the European Society of cardiology guidelines [</w:t>
      </w:r>
      <w:hyperlink w:anchor="_heading=h.1e03kqp">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3xzr3ei">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Exclusion criteria included: death during index hospital stay, absence of any complete blood count measurements, end-stage renal disease requiring dialysis, end-stage liver insufficiency, cancer (all stages), haematological proliferative diseases,</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pregnancy, age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18 years old.</w:t>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research was conducted according to the principles from the Declaration of Helsinki. All patients provided written informed consent before enrolment. The research protocol was approved by the Local Ethical Committee of Semey Medical University (G041.19.01.31–2013-2, October 18, 2019). The study was prospectively registered at German Clinical Trials Register with an identifier DRKS00020892.</w:t>
      </w:r>
    </w:p>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standardized extraction form was compiled to collect data from hospital medical records and electronic health record system Damumed. This nationwide database incorporates detailed clinical information presented as a combination of text files of patients’ history, demographic characteristics, physical examination, laboratory test results, findings from coronary angiography reports and instrumental investigations, and data on medication use. As specified by hospital protocols, blood samples for laboratory analyses were collected in standardized tubes with ethylenedinitrilo-dipotassium-tetraacetic acid, and all measurements were performed on automated analysers within 2 h after blood collection.</w:t>
      </w:r>
    </w:p>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496"/>
        </w:tabs>
        <w:spacing w:after="0" w:before="1"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Study endpoints</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standardized endpoint definitions from the Academic Research Consortium-2 Consensus Document were utilized in this study [</w:t>
      </w:r>
      <w:hyperlink w:anchor="_heading=h.2d51dmb">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primary outcome was a patient-oriented composite endpoint (POCE) as a combination of all-cause mortality, any stroke, any MI and target vessel revascularization (TVR). The secondary outcomes included a device-oriented composite endpoint (DOCE), stroke, MI, TVR, any emergent readmission related to cardiac reasons, and major bleeding. A DOCE was considered as a combination of cardiovascular death, MI (not related to a non-target artery) and symptomatic TVR. Bleeding Academic Research Consortium defined type 3–5 bleeding was regarded as major bleeding [</w:t>
      </w:r>
      <w:hyperlink w:anchor="_heading=h.sabnu4">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Stroke was defined as any hospital admissions due to symptoms of neurological deficit accompanying related injuries on neuroimaging and assessed by a neurologist. TVR was set as any repeat revascularizations on a target vessel treated initially at index PCI.</w:t>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Data for outcome assessment was collected from in-personal meet- ings, telephone interviewing and reviewing the nationwide cloud-based healthcare system Damumed that provides detailed information on</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outpatient visits and hospital admissions. Outcome adjudication was based on International Classification of Diseases 10th Revision codes combining with treating physicians’ diagnosis who were unaware of study aims. Mortality data was obtained from the National Death Registry.</w:t>
      </w:r>
    </w:p>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Cluster analyses</w:t>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Since our collected data contained missing values, we followed a framework for combining multiple imputation with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-means cluster analyses [</w:t>
      </w:r>
      <w:hyperlink w:anchor="_heading=h.3c9z6hx">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First, we generated 100 imputed datasets with 45 iterations using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mice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package [</w:t>
      </w:r>
      <w:hyperlink w:anchor="_heading=h.1rf9gpq">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Then, cluster analyses with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-means algorithm were performed on each of these datasets with different numbers of clusters,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proposed criteria CritCF was applied to detect the optimal number of clusters with the highest values preferred [</w:t>
      </w:r>
      <w:hyperlink w:anchor="_heading=h.4bewzdj">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After identification of the best number of clusters, the backward sequential selection of variables for cluster analyses was performed with CritCF set as an optimization function. The following continuous parameters were incorporated as potential variables for cluster analyses: white blood cell counts (WBC), red blood cell counts (RBC), platelet count, erythrocyte sedimentation rate (ESR), neutrophil-to-lymphocyte ratio (NLR), total blood protein, alanine aminotransferase, aspartate aminotransferase (AST), glucose, сreatinine, potassium, sodium, C-reactive protein (CRP), international normalized ratio, partial thromboplastin time, fibrinogen. The set of variables with the highest CritCF was chosen as a final combination. Further, the cluster model with the selected number of clusters and selected combination of variables was performed in order to assign each subject to a particular phenotype group. Considering distinct characteristics of acute coronary syndrome patients, we also conducted separate cluster analyses for this group. All the above-mentioned steps of cluster analyses were conducted with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miclust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package [</w:t>
      </w:r>
      <w:hyperlink w:anchor="_heading=h.3c9z6hx">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F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496"/>
        </w:tabs>
        <w:spacing w:after="0" w:before="1"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Statistical analysis</w:t>
      </w:r>
    </w:p>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Continuous variables were presented as mean (standard deviation) or median (interquartile range) for normally and non-normally distributed data, respectively. The normality of distributions were determined with a Shapiro-Wilk test. The one-way analysis of variance test and the Kruskal-Wallis Rank Sum Test were applied to reveal any significant differences between clusters in normally and non-normally distributed data, respectively. The categorical parameters were compared with Chi-squared and Fisher exact tests.</w:t>
      </w:r>
    </w:p>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POCE and DOCE will be analyzed with semiparametric proportional rate regression analyses proposed by Mao et al. [</w:t>
      </w:r>
      <w:hyperlink w:anchor="_heading=h.1zpvhna">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This method takes into account a recurrent and weighted nature of clinical outcomes. The weights were predefined in the protocol according to a Delphi panel of experts as follows: 1.0 for mortality, 0.47 for stroke, 0.38 for MI, and</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0.25 for TVR [</w:t>
      </w:r>
      <w:hyperlink w:anchor="_heading=h.2qk79lc">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First, we conducted univariate regression analyses with the following potential predictors: cluster assignment, gender, race, index diagnosis, hypertension, diabetes mellitus, smoking, history of PCI, MI, stroke, coronary artery bypass grafting, peripheral artery disease, high heart rate, systolic and diastolic arterial pressure, atrial fibrillation, low ejection fraction, diseased coronary arteries and their numbers, bifurcation lesions, restenosis, chronic total occlusion, cardiogenic shock, haemodynamic support, stenting, direct stenting, total stent length, drug-eluting stent placement, TIMI grade flow after PCI, arterial access, complications at PCI, access complications, used P2Y12 agent, COVID-19, and noncompliance to treatment. The significant predictors from the univariate analyses were then incorporated into the final multivariate regression analyses.</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Kaplan-Meier curves were constructed to compare survival across phenotype groups. If survival curves crossed each other, we applied Peto test for significance. We also performed Cox proportional hazards analyses to verify robustness of obtained results, when the assumption for hazards proportionality was fulfilled with Schoenfeld’s</w:t>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test. The stepwise approach was applied to select models with the lowest Akaike information criterion.</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 many cases, recurrent events could be correlated with death. For this reason, the assumptions for non-informative censoring are often violated for survival analyses. Joint frailty models allow researchers to investigate recurrent nature of non-composite endpoints and their association with death. Therefore, we applied joint frailty models for stroke, MI, TVR, major bleeding, and emergent readmission with frailtypack R package [</w:t>
      </w:r>
      <w:hyperlink w:anchor="_heading=h.15phjt5">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Predefined subgroup analyses were conducted according to study population age, race, sex, history of previous coronary revascularization, diabetes mellitus, and clinical presentation. All statistical computations were performed on R version 4.2.1 software (R Foundation for Statistical Computing, Vienna, Austria) [</w:t>
      </w:r>
      <w:hyperlink w:anchor="_heading=h.3pp52g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09">
      <w:pPr>
        <w:pStyle w:val="Heading5"/>
        <w:numPr>
          <w:ilvl w:val="0"/>
          <w:numId w:val="8"/>
        </w:numPr>
        <w:tabs>
          <w:tab w:val="left" w:leader="none" w:pos="375"/>
        </w:tabs>
        <w:spacing w:after="0" w:before="1" w:line="240" w:lineRule="auto"/>
        <w:ind w:left="375" w:right="0" w:hanging="244"/>
        <w:jc w:val="both"/>
        <w:rPr/>
      </w:pPr>
      <w:r w:rsidDel="00000000" w:rsidR="00000000" w:rsidRPr="00000000">
        <w:rPr>
          <w:rtl w:val="0"/>
        </w:rPr>
        <w:t xml:space="preserve">Results</w:t>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study flow chart is presented in Fig. S1. Among the final study cohort</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of 643 patients (mean age 63.9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10.4 years, 71.5% males,</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66.3% Asians), 34.1%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n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219) were obese, 97.5% (627) had a history</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of hypertension, 24.6% (158) had a history of diabetes mellitus and 18%</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(116) were smokers. A total of 25 (3.9%) and 147 (22.9%) had a prior history of coronary artery bypass grafting and PCI, respectively. Table S1-S4 provides the baseline characteristic of the population.</w:t>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majority of index PCIs (84.4%) were performed via the transradial approach. The most prevalent indication for PCI was primary PCI (32.2%). A total of 426 (66.3%) had multivessel disease, 42 (6.5%) had a diseased left main coronary artery, 25 (3.9%) had complications at index PCI, 187 (29.1%) were prescribed ticagrelor as a P2Y12-inhibitor during follow-up.</w:t>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median follow-up duration was 595.5 [457.5–833.5] days. A total of 147 patients experienced at least one POCE, with 23 (15.6%) of them having 2 events and 2 (1.4%) patients having 3 events (</w:t>
      </w:r>
      <w:hyperlink w:anchor="_heading=h.qbtyoq">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hyperlink w:anchor="_heading=h.2b6jogx">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S2). Among them, 70 (10.9% of study population) patients died during the follow-up. There were 102 recurrent events (22 strokes, 57 MIs, 23 TVRs). Regarding readmission for cardiac reasons, a total of 301 patients had at least 1 event, with 35.9% (108 patients) of them having at least 2 events, and 10.1% (31 patients) having at least 4 events (</w:t>
      </w:r>
      <w:hyperlink w:anchor="_heading=h.2b6jogx">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S3). Two patients were readmitted for emergent cardiac reasons 13 times. A total of 12 patients (1.9%) experienced major bleeding, with 3 of them having 2 hemorrhagic events. For ACS patients, a total of 109 patients experienced at least one POCE, with 20 (15%) of them having 2 events and 2 (2%) patients having 3 events (Fig. S4).</w:t>
      </w:r>
    </w:p>
    <w:p w:rsidR="00000000" w:rsidDel="00000000" w:rsidP="00000000" w:rsidRDefault="00000000" w:rsidRPr="00000000" w14:paraId="00000E0E">
      <w:pPr>
        <w:spacing w:before="172" w:lineRule="auto"/>
        <w:ind w:left="193" w:firstLine="0"/>
        <w:rPr>
          <w:sz w:val="20"/>
          <w:szCs w:val="20"/>
        </w:rPr>
      </w:pPr>
      <w:r w:rsidDel="00000000" w:rsidR="00000000" w:rsidRPr="00000000">
        <w:rPr>
          <w:sz w:val="20"/>
          <w:szCs w:val="20"/>
        </w:rPr>
        <w:drawing>
          <wp:inline distB="0" distT="0" distL="0" distR="0">
            <wp:extent cx="3106582" cy="3477767"/>
            <wp:effectExtent b="0" l="0" r="0" t="0"/>
            <wp:docPr id="480" name="image53.jpg"/>
            <a:graphic>
              <a:graphicData uri="http://schemas.openxmlformats.org/drawingml/2006/picture">
                <pic:pic>
                  <pic:nvPicPr>
                    <pic:cNvPr id="0" name="image53.jpg"/>
                    <pic:cNvPicPr preferRelativeResize="0"/>
                  </pic:nvPicPr>
                  <pic:blipFill>
                    <a:blip r:embed="rId364"/>
                    <a:srcRect b="0" l="0" r="0" t="0"/>
                    <a:stretch>
                      <a:fillRect/>
                    </a:stretch>
                  </pic:blipFill>
                  <pic:spPr>
                    <a:xfrm>
                      <a:off x="0" y="0"/>
                      <a:ext cx="3106582" cy="3477767"/>
                    </a:xfrm>
                    <a:prstGeom prst="rect"/>
                    <a:ln/>
                  </pic:spPr>
                </pic:pic>
              </a:graphicData>
            </a:graphic>
          </wp:inline>
        </w:drawing>
      </w:r>
      <w:r w:rsidDel="00000000" w:rsidR="00000000" w:rsidRPr="00000000">
        <w:rPr>
          <w:rtl w:val="0"/>
        </w:rPr>
      </w:r>
    </w:p>
    <w:p w:rsidR="00000000" w:rsidDel="00000000" w:rsidP="00000000" w:rsidRDefault="00000000" w:rsidRPr="00000000" w14:paraId="00000E0F">
      <w:pPr>
        <w:spacing w:line="285" w:lineRule="auto"/>
        <w:ind w:left="131" w:right="110" w:firstLine="0"/>
        <w:jc w:val="both"/>
        <w:rPr>
          <w:sz w:val="14"/>
          <w:szCs w:val="14"/>
        </w:rPr>
      </w:pPr>
      <w:bookmarkStart w:colFirst="0" w:colLast="0" w:name="_heading=h.2b6jogx" w:id="115"/>
      <w:bookmarkEnd w:id="115"/>
      <w:r w:rsidDel="00000000" w:rsidR="00000000" w:rsidRPr="00000000">
        <w:rPr>
          <w:b w:val="1"/>
          <w:sz w:val="14"/>
          <w:szCs w:val="14"/>
          <w:rtl w:val="0"/>
        </w:rPr>
        <w:t xml:space="preserve">Fig. 1. </w:t>
      </w:r>
      <w:r w:rsidDel="00000000" w:rsidR="00000000" w:rsidRPr="00000000">
        <w:rPr>
          <w:sz w:val="14"/>
          <w:szCs w:val="14"/>
          <w:rtl w:val="0"/>
        </w:rPr>
        <w:t xml:space="preserve">The proportion of events. A, POCE; B, readmission for cardiac reasons. POCE, patient-oriented composite endpoints.</w:t>
      </w:r>
    </w:p>
    <w:p w:rsidR="00000000" w:rsidDel="00000000" w:rsidP="00000000" w:rsidRDefault="00000000" w:rsidRPr="00000000" w14:paraId="00000E10">
      <w:pPr>
        <w:spacing w:before="172" w:lineRule="auto"/>
        <w:ind w:left="193" w:firstLine="0"/>
        <w:rPr>
          <w:sz w:val="20"/>
          <w:szCs w:val="20"/>
        </w:rPr>
      </w:pPr>
      <w:r w:rsidDel="00000000" w:rsidR="00000000" w:rsidRPr="00000000">
        <w:rPr>
          <w:rtl w:val="0"/>
        </w:rPr>
      </w:r>
    </w:p>
    <w:p w:rsidR="00000000" w:rsidDel="00000000" w:rsidP="00000000" w:rsidRDefault="00000000" w:rsidRPr="00000000" w14:paraId="00000E1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Cluster analysis for the all-comer PCI population</w:t>
      </w:r>
    </w:p>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1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630"/>
        </w:tabs>
        <w:spacing w:after="0" w:before="1" w:line="240" w:lineRule="auto"/>
        <w:ind w:left="630" w:right="0" w:hanging="499"/>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 baseline characteristics of phenotype groups</w:t>
      </w:r>
    </w:p>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3" w:lineRule="auto"/>
        <w:ind w:left="131" w:right="20.078740157480297"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 identified three phenogroups for the overall population (Fig. S5–6). ESR, RBC counts, WBC counts, CRP, and NLR were selected as classification criteria. Three detected phenogroups were defined as inflammatory, non-inflammatory and high-ESR groups.</w:t>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96" w:right="20.078740157480297" w:firstLine="212.59842519685037"/>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inflammatory phenogroup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n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44) was characterized with the</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highest WBC counts, the highest values of CRP and NLR, a moderate level of ESR, and low RBC counts. The high-ESR phenogroup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n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204) demonstrated the highest values of ESR, lowest level of NLR with other</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variables being within normal ranges. The third, non-inflammatory, phenogroup was associated with normal values for all cluster-based features. The differences between classification characteristics of three phenotypes could be easily visualized on a parallel coordinate plot (</w:t>
      </w:r>
      <w:hyperlink w:anchor="_heading=h.3abhhcj">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20.078740157480297"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 is noteworthy that the differences between clusters went beyond their classification criteria, thus indicating the presence of distinct phenotypes (Table S1–2, Figs. S6–15). The proportion of females was the highest in the high-ESR group (52.5%) with the lowest percentage in the non-inflammatory group (16.5%). The patients in the non-inflammatory group were predominantly Asians compared to other patients (70.6%). The proportion of Caucasians was the highest in the high-ESR group (41.7%). The patients from the high-ESR phenogroup were the oldest (68.14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9.79 years). The body mass index was the lowest in the inflammatory group, and only 18.2% of them were obese. The majority of patients in the inflammatory group were admitted with STEMI (86.4%), while the proportion of individuals with chronic coronary syndrome was the highest in the high-ESR group (18.6%). The high-ESR group exhibited the highest rate of history of diabetes mellitus (30.9%),</w:t>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7"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7" w:line="240" w:lineRule="auto"/>
        <w:ind w:left="0" w:right="0" w:firstLine="0"/>
        <w:jc w:val="left"/>
        <w:rPr>
          <w:sz w:val="20"/>
          <w:szCs w:val="20"/>
        </w:rPr>
      </w:pPr>
      <w:r w:rsidDel="00000000" w:rsidR="00000000" w:rsidRPr="00000000">
        <w:rPr>
          <w:rtl w:val="0"/>
        </w:rPr>
      </w:r>
    </w:p>
    <w:tbl>
      <w:tblPr>
        <w:tblStyle w:val="Table24"/>
        <w:tblW w:w="10401.0" w:type="dxa"/>
        <w:jc w:val="left"/>
        <w:tblInd w:w="13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945"/>
        <w:gridCol w:w="601"/>
        <w:gridCol w:w="715"/>
        <w:gridCol w:w="1139"/>
        <w:gridCol w:w="715"/>
        <w:gridCol w:w="903"/>
        <w:gridCol w:w="715"/>
        <w:gridCol w:w="1410"/>
        <w:gridCol w:w="716"/>
        <w:gridCol w:w="422"/>
        <w:gridCol w:w="120"/>
        <w:tblGridChange w:id="0">
          <w:tblGrid>
            <w:gridCol w:w="2945"/>
            <w:gridCol w:w="601"/>
            <w:gridCol w:w="715"/>
            <w:gridCol w:w="1139"/>
            <w:gridCol w:w="715"/>
            <w:gridCol w:w="903"/>
            <w:gridCol w:w="715"/>
            <w:gridCol w:w="1410"/>
            <w:gridCol w:w="716"/>
            <w:gridCol w:w="422"/>
            <w:gridCol w:w="120"/>
          </w:tblGrid>
        </w:tblGridChange>
      </w:tblGrid>
      <w:tr>
        <w:trPr>
          <w:cantSplit w:val="0"/>
          <w:trHeight w:val="396" w:hRule="atLeast"/>
          <w:tblHeader w:val="0"/>
        </w:trPr>
        <w:tc>
          <w:tcPr>
            <w:tcBorders>
              <w:bottom w:color="000000" w:space="0" w:sz="4" w:val="single"/>
            </w:tcBorders>
          </w:tcPr>
          <w:p w:rsidR="00000000" w:rsidDel="00000000" w:rsidP="00000000" w:rsidRDefault="00000000" w:rsidRPr="00000000" w14:paraId="00000E1C">
            <w:pPr>
              <w:keepNext w:val="0"/>
              <w:keepLines w:val="0"/>
              <w:widowControl w:val="0"/>
              <w:pBdr>
                <w:top w:space="0" w:sz="0" w:val="nil"/>
                <w:left w:space="0" w:sz="0" w:val="nil"/>
                <w:bottom w:space="0" w:sz="0" w:val="nil"/>
                <w:right w:space="0" w:sz="0" w:val="nil"/>
                <w:between w:space="0" w:sz="0" w:val="nil"/>
              </w:pBdr>
              <w:shd w:fill="auto" w:val="clear"/>
              <w:spacing w:after="0" w:before="0" w:line="156"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bookmarkStart w:colFirst="0" w:colLast="0" w:name="_heading=h.qbtyoq" w:id="116"/>
            <w:bookmarkEnd w:id="116"/>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Table 1</w:t>
            </w:r>
          </w:p>
          <w:p w:rsidR="00000000" w:rsidDel="00000000" w:rsidP="00000000" w:rsidRDefault="00000000" w:rsidRPr="00000000" w14:paraId="00000E1D">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The outcome data of the study population.</w:t>
            </w:r>
          </w:p>
        </w:tc>
        <w:tc>
          <w:tcPr>
            <w:gridSpan w:val="10"/>
            <w:tcBorders>
              <w:bottom w:color="000000" w:space="0" w:sz="4" w:val="single"/>
            </w:tcBorders>
          </w:tcPr>
          <w:p w:rsidR="00000000" w:rsidDel="00000000" w:rsidP="00000000" w:rsidRDefault="00000000" w:rsidRPr="00000000" w14:paraId="00000E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53" w:hRule="atLeast"/>
          <w:tblHeader w:val="0"/>
        </w:trPr>
        <w:tc>
          <w:tcPr>
            <w:tcBorders>
              <w:top w:color="000000" w:space="0" w:sz="4" w:val="single"/>
            </w:tcBorders>
          </w:tcPr>
          <w:p w:rsidR="00000000" w:rsidDel="00000000" w:rsidP="00000000" w:rsidRDefault="00000000" w:rsidRPr="00000000" w14:paraId="00000E28">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29">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119"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1339850" cy="6350"/>
                      <wp:effectExtent b="0" l="0" r="0" t="0"/>
                      <wp:docPr id="380" name=""/>
                      <a:graphic>
                        <a:graphicData uri="http://schemas.microsoft.com/office/word/2010/wordprocessingGroup">
                          <wpg:wgp>
                            <wpg:cNvGrpSpPr/>
                            <wpg:grpSpPr>
                              <a:xfrm>
                                <a:off x="4676075" y="3776825"/>
                                <a:ext cx="1339850" cy="6350"/>
                                <a:chOff x="4676075" y="3776825"/>
                                <a:chExt cx="1339850" cy="6350"/>
                              </a:xfrm>
                            </wpg:grpSpPr>
                            <wpg:grpSp>
                              <wpg:cNvGrpSpPr/>
                              <wpg:grpSpPr>
                                <a:xfrm>
                                  <a:off x="4676075" y="3776825"/>
                                  <a:ext cx="1339850" cy="6350"/>
                                  <a:chOff x="4676075" y="3776825"/>
                                  <a:chExt cx="1339850" cy="6350"/>
                                </a:xfrm>
                              </wpg:grpSpPr>
                              <wps:wsp>
                                <wps:cNvSpPr/>
                                <wps:cNvPr id="3" name="Shape 3"/>
                                <wps:spPr>
                                  <a:xfrm>
                                    <a:off x="4676075" y="3776825"/>
                                    <a:ext cx="13398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76075" y="3776825"/>
                                    <a:ext cx="1339850" cy="6350"/>
                                    <a:chOff x="0" y="0"/>
                                    <a:chExt cx="1339850" cy="6350"/>
                                  </a:xfrm>
                                </wpg:grpSpPr>
                                <wps:wsp>
                                  <wps:cNvSpPr/>
                                  <wps:cNvPr id="23" name="Shape 23"/>
                                  <wps:spPr>
                                    <a:xfrm>
                                      <a:off x="0" y="0"/>
                                      <a:ext cx="13398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1339850" cy="6350"/>
                                    </a:xfrm>
                                    <a:custGeom>
                                      <a:rect b="b" l="l" r="r" t="t"/>
                                      <a:pathLst>
                                        <a:path extrusionOk="0" h="6350" w="1339850">
                                          <a:moveTo>
                                            <a:pt x="1339639" y="0"/>
                                          </a:moveTo>
                                          <a:lnTo>
                                            <a:pt x="0" y="0"/>
                                          </a:lnTo>
                                          <a:lnTo>
                                            <a:pt x="0" y="6324"/>
                                          </a:lnTo>
                                          <a:lnTo>
                                            <a:pt x="1339639" y="6324"/>
                                          </a:lnTo>
                                          <a:lnTo>
                                            <a:pt x="1339639"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339850" cy="6350"/>
                      <wp:effectExtent b="0" l="0" r="0" t="0"/>
                      <wp:docPr id="380" name="image24.png"/>
                      <a:graphic>
                        <a:graphicData uri="http://schemas.openxmlformats.org/drawingml/2006/picture">
                          <pic:pic>
                            <pic:nvPicPr>
                              <pic:cNvPr id="0" name="image24.png"/>
                              <pic:cNvPicPr preferRelativeResize="0"/>
                            </pic:nvPicPr>
                            <pic:blipFill>
                              <a:blip r:embed="rId365"/>
                              <a:srcRect/>
                              <a:stretch>
                                <a:fillRect/>
                              </a:stretch>
                            </pic:blipFill>
                            <pic:spPr>
                              <a:xfrm>
                                <a:off x="0" y="0"/>
                                <a:ext cx="1339850" cy="6350"/>
                              </a:xfrm>
                              <a:prstGeom prst="rect"/>
                              <a:ln/>
                            </pic:spPr>
                          </pic:pic>
                        </a:graphicData>
                      </a:graphic>
                    </wp:inline>
                  </w:drawing>
                </mc:Fallback>
              </mc:AlternateConten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2A">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Overall</w:t>
            </w:r>
          </w:p>
        </w:tc>
        <w:tc>
          <w:tcPr>
            <w:tcBorders>
              <w:top w:color="000000" w:space="0" w:sz="4" w:val="single"/>
            </w:tcBorders>
          </w:tcPr>
          <w:p w:rsidR="00000000" w:rsidDel="00000000" w:rsidP="00000000" w:rsidRDefault="00000000" w:rsidRPr="00000000" w14:paraId="00000E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2C">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Inflammatory group</w:t>
            </w:r>
          </w:p>
        </w:tc>
        <w:tc>
          <w:tcPr>
            <w:tcBorders>
              <w:top w:color="000000" w:space="0" w:sz="4" w:val="single"/>
            </w:tcBorders>
          </w:tcPr>
          <w:p w:rsidR="00000000" w:rsidDel="00000000" w:rsidP="00000000" w:rsidRDefault="00000000" w:rsidRPr="00000000" w14:paraId="00000E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2E">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High ESR group</w:t>
            </w:r>
          </w:p>
        </w:tc>
        <w:tc>
          <w:tcPr>
            <w:tcBorders>
              <w:top w:color="000000" w:space="0" w:sz="4" w:val="single"/>
            </w:tcBorders>
          </w:tcPr>
          <w:p w:rsidR="00000000" w:rsidDel="00000000" w:rsidP="00000000" w:rsidRDefault="00000000" w:rsidRPr="00000000" w14:paraId="00000E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30">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1" w:right="-1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Non-inflammatory group</w:t>
            </w:r>
          </w:p>
        </w:tc>
        <w:tc>
          <w:tcPr>
            <w:tcBorders>
              <w:top w:color="000000" w:space="0" w:sz="4" w:val="single"/>
            </w:tcBorders>
          </w:tcPr>
          <w:p w:rsidR="00000000" w:rsidDel="00000000" w:rsidP="00000000" w:rsidRDefault="00000000" w:rsidRPr="00000000" w14:paraId="00000E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32">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2"/>
                <w:szCs w:val="12"/>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value</w:t>
            </w:r>
          </w:p>
        </w:tc>
        <w:tc>
          <w:tcPr>
            <w:tcBorders>
              <w:top w:color="000000" w:space="0" w:sz="4" w:val="single"/>
            </w:tcBorders>
          </w:tcPr>
          <w:p w:rsidR="00000000" w:rsidDel="00000000" w:rsidP="00000000" w:rsidRDefault="00000000" w:rsidRPr="00000000" w14:paraId="00000E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32" w:hRule="atLeast"/>
          <w:tblHeader w:val="0"/>
        </w:trPr>
        <w:tc>
          <w:tcPr>
            <w:tcBorders>
              <w:bottom w:color="000000" w:space="0" w:sz="4" w:val="single"/>
            </w:tcBorders>
          </w:tcPr>
          <w:p w:rsidR="00000000" w:rsidDel="00000000" w:rsidP="00000000" w:rsidRDefault="00000000" w:rsidRPr="00000000" w14:paraId="00000E3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w:t>
            </w:r>
          </w:p>
        </w:tc>
        <w:tc>
          <w:tcPr>
            <w:tcBorders>
              <w:top w:color="000000" w:space="0" w:sz="4" w:val="single"/>
              <w:bottom w:color="000000" w:space="0" w:sz="4" w:val="single"/>
            </w:tcBorders>
          </w:tcPr>
          <w:p w:rsidR="00000000" w:rsidDel="00000000" w:rsidP="00000000" w:rsidRDefault="00000000" w:rsidRPr="00000000" w14:paraId="00000E3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643</w:t>
            </w:r>
          </w:p>
        </w:tc>
        <w:tc>
          <w:tcPr>
            <w:tcBorders>
              <w:bottom w:color="000000" w:space="0" w:sz="4" w:val="single"/>
            </w:tcBorders>
          </w:tcPr>
          <w:p w:rsidR="00000000" w:rsidDel="00000000" w:rsidP="00000000" w:rsidRDefault="00000000" w:rsidRPr="00000000" w14:paraId="00000E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37">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44</w:t>
            </w:r>
          </w:p>
        </w:tc>
        <w:tc>
          <w:tcPr>
            <w:tcBorders>
              <w:bottom w:color="000000" w:space="0" w:sz="4" w:val="single"/>
            </w:tcBorders>
          </w:tcPr>
          <w:p w:rsidR="00000000" w:rsidDel="00000000" w:rsidP="00000000" w:rsidRDefault="00000000" w:rsidRPr="00000000" w14:paraId="00000E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3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204</w:t>
            </w:r>
          </w:p>
        </w:tc>
        <w:tc>
          <w:tcPr>
            <w:tcBorders>
              <w:bottom w:color="000000" w:space="0" w:sz="4" w:val="single"/>
            </w:tcBorders>
          </w:tcPr>
          <w:p w:rsidR="00000000" w:rsidDel="00000000" w:rsidP="00000000" w:rsidRDefault="00000000" w:rsidRPr="00000000" w14:paraId="00000E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3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395</w:t>
            </w:r>
          </w:p>
        </w:tc>
        <w:tc>
          <w:tcPr>
            <w:tcBorders>
              <w:bottom w:color="000000" w:space="0" w:sz="4" w:val="single"/>
            </w:tcBorders>
          </w:tcPr>
          <w:p w:rsidR="00000000" w:rsidDel="00000000" w:rsidP="00000000" w:rsidRDefault="00000000" w:rsidRPr="00000000" w14:paraId="00000E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E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8" w:hRule="atLeast"/>
          <w:tblHeader w:val="0"/>
        </w:trPr>
        <w:tc>
          <w:tcPr>
            <w:tcBorders>
              <w:top w:color="000000" w:space="0" w:sz="4" w:val="single"/>
            </w:tcBorders>
          </w:tcPr>
          <w:p w:rsidR="00000000" w:rsidDel="00000000" w:rsidP="00000000" w:rsidRDefault="00000000" w:rsidRPr="00000000" w14:paraId="00000E3F">
            <w:pPr>
              <w:keepNext w:val="0"/>
              <w:keepLines w:val="0"/>
              <w:widowControl w:val="0"/>
              <w:pBdr>
                <w:top w:space="0" w:sz="0" w:val="nil"/>
                <w:left w:space="0" w:sz="0" w:val="nil"/>
                <w:bottom w:space="0" w:sz="0" w:val="nil"/>
                <w:right w:space="0" w:sz="0" w:val="nil"/>
                <w:between w:space="0" w:sz="0" w:val="nil"/>
              </w:pBdr>
              <w:shd w:fill="auto" w:val="clear"/>
              <w:spacing w:after="0" w:before="61"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POCE (%)</w:t>
            </w:r>
          </w:p>
        </w:tc>
        <w:tc>
          <w:tcPr>
            <w:tcBorders>
              <w:top w:color="000000" w:space="0" w:sz="4" w:val="single"/>
            </w:tcBorders>
          </w:tcPr>
          <w:p w:rsidR="00000000" w:rsidDel="00000000" w:rsidP="00000000" w:rsidRDefault="00000000" w:rsidRPr="00000000" w14:paraId="00000E40">
            <w:pPr>
              <w:keepNext w:val="0"/>
              <w:keepLines w:val="0"/>
              <w:widowControl w:val="0"/>
              <w:pBdr>
                <w:top w:space="0" w:sz="0" w:val="nil"/>
                <w:left w:space="0" w:sz="0" w:val="nil"/>
                <w:bottom w:space="0" w:sz="0" w:val="nil"/>
                <w:right w:space="0" w:sz="0" w:val="nil"/>
                <w:between w:space="0" w:sz="0" w:val="nil"/>
              </w:pBdr>
              <w:shd w:fill="auto" w:val="clear"/>
              <w:spacing w:after="0" w:before="61"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172 (26.7)</w:t>
            </w:r>
          </w:p>
        </w:tc>
        <w:tc>
          <w:tcPr>
            <w:tcBorders>
              <w:top w:color="000000" w:space="0" w:sz="4" w:val="single"/>
            </w:tcBorders>
          </w:tcPr>
          <w:p w:rsidR="00000000" w:rsidDel="00000000" w:rsidP="00000000" w:rsidRDefault="00000000" w:rsidRPr="00000000" w14:paraId="00000E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E42">
            <w:pPr>
              <w:keepNext w:val="0"/>
              <w:keepLines w:val="0"/>
              <w:widowControl w:val="0"/>
              <w:pBdr>
                <w:top w:space="0" w:sz="0" w:val="nil"/>
                <w:left w:space="0" w:sz="0" w:val="nil"/>
                <w:bottom w:space="0" w:sz="0" w:val="nil"/>
                <w:right w:space="0" w:sz="0" w:val="nil"/>
                <w:between w:space="0" w:sz="0" w:val="nil"/>
              </w:pBdr>
              <w:shd w:fill="auto" w:val="clear"/>
              <w:spacing w:after="0" w:before="61"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 (50)</w:t>
            </w:r>
          </w:p>
        </w:tc>
        <w:tc>
          <w:tcPr>
            <w:tcBorders>
              <w:top w:color="000000" w:space="0" w:sz="4" w:val="single"/>
            </w:tcBorders>
          </w:tcPr>
          <w:p w:rsidR="00000000" w:rsidDel="00000000" w:rsidP="00000000" w:rsidRDefault="00000000" w:rsidRPr="00000000" w14:paraId="00000E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E44">
            <w:pPr>
              <w:keepNext w:val="0"/>
              <w:keepLines w:val="0"/>
              <w:widowControl w:val="0"/>
              <w:pBdr>
                <w:top w:space="0" w:sz="0" w:val="nil"/>
                <w:left w:space="0" w:sz="0" w:val="nil"/>
                <w:bottom w:space="0" w:sz="0" w:val="nil"/>
                <w:right w:space="0" w:sz="0" w:val="nil"/>
                <w:between w:space="0" w:sz="0" w:val="nil"/>
              </w:pBdr>
              <w:shd w:fill="auto" w:val="clear"/>
              <w:spacing w:after="0" w:before="61"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62 (30.4)</w:t>
            </w:r>
          </w:p>
        </w:tc>
        <w:tc>
          <w:tcPr>
            <w:tcBorders>
              <w:top w:color="000000" w:space="0" w:sz="4" w:val="single"/>
            </w:tcBorders>
          </w:tcPr>
          <w:p w:rsidR="00000000" w:rsidDel="00000000" w:rsidP="00000000" w:rsidRDefault="00000000" w:rsidRPr="00000000" w14:paraId="00000E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E46">
            <w:pPr>
              <w:keepNext w:val="0"/>
              <w:keepLines w:val="0"/>
              <w:widowControl w:val="0"/>
              <w:pBdr>
                <w:top w:space="0" w:sz="0" w:val="nil"/>
                <w:left w:space="0" w:sz="0" w:val="nil"/>
                <w:bottom w:space="0" w:sz="0" w:val="nil"/>
                <w:right w:space="0" w:sz="0" w:val="nil"/>
                <w:between w:space="0" w:sz="0" w:val="nil"/>
              </w:pBdr>
              <w:shd w:fill="auto" w:val="clear"/>
              <w:spacing w:after="0" w:before="61" w:line="137"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88 (22.2)</w:t>
            </w:r>
          </w:p>
        </w:tc>
        <w:tc>
          <w:tcPr>
            <w:tcBorders>
              <w:top w:color="000000" w:space="0" w:sz="4" w:val="single"/>
            </w:tcBorders>
          </w:tcPr>
          <w:p w:rsidR="00000000" w:rsidDel="00000000" w:rsidP="00000000" w:rsidRDefault="00000000" w:rsidRPr="00000000" w14:paraId="00000E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E48">
            <w:pPr>
              <w:keepNext w:val="0"/>
              <w:keepLines w:val="0"/>
              <w:widowControl w:val="0"/>
              <w:pBdr>
                <w:top w:space="0" w:sz="0" w:val="nil"/>
                <w:left w:space="0" w:sz="0" w:val="nil"/>
                <w:bottom w:space="0" w:sz="0" w:val="nil"/>
                <w:right w:space="0" w:sz="0" w:val="nil"/>
                <w:between w:space="0" w:sz="0" w:val="nil"/>
              </w:pBdr>
              <w:shd w:fill="auto" w:val="clear"/>
              <w:spacing w:after="0" w:before="41" w:line="157" w:lineRule="auto"/>
              <w:ind w:left="1" w:right="-15"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c>
          <w:tcPr>
            <w:tcBorders>
              <w:top w:color="000000" w:space="0" w:sz="4" w:val="single"/>
            </w:tcBorders>
          </w:tcPr>
          <w:p w:rsidR="00000000" w:rsidDel="00000000" w:rsidP="00000000" w:rsidRDefault="00000000" w:rsidRPr="00000000" w14:paraId="00000E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E4A">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24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All-cause mortality (%)</w:t>
            </w:r>
          </w:p>
        </w:tc>
        <w:tc>
          <w:tcPr/>
          <w:p w:rsidR="00000000" w:rsidDel="00000000" w:rsidP="00000000" w:rsidRDefault="00000000" w:rsidRPr="00000000" w14:paraId="00000E4B">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70 (10.9)</w:t>
            </w:r>
          </w:p>
        </w:tc>
        <w:tc>
          <w:tcPr/>
          <w:p w:rsidR="00000000" w:rsidDel="00000000" w:rsidP="00000000" w:rsidRDefault="00000000" w:rsidRPr="00000000" w14:paraId="00000E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4D">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 (38.6)</w:t>
            </w:r>
          </w:p>
        </w:tc>
        <w:tc>
          <w:tcPr/>
          <w:p w:rsidR="00000000" w:rsidDel="00000000" w:rsidP="00000000" w:rsidRDefault="00000000" w:rsidRPr="00000000" w14:paraId="00000E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4F">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24 (11.8)</w:t>
            </w:r>
          </w:p>
        </w:tc>
        <w:tc>
          <w:tcPr/>
          <w:p w:rsidR="00000000" w:rsidDel="00000000" w:rsidP="00000000" w:rsidRDefault="00000000" w:rsidRPr="00000000" w14:paraId="00000E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1">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29 (7.3)</w:t>
            </w:r>
          </w:p>
        </w:tc>
        <w:tc>
          <w:tcPr/>
          <w:p w:rsidR="00000000" w:rsidDel="00000000" w:rsidP="00000000" w:rsidRDefault="00000000" w:rsidRPr="00000000" w14:paraId="00000E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55">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24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Stroke (%)</w:t>
            </w:r>
          </w:p>
        </w:tc>
        <w:tc>
          <w:tcPr/>
          <w:p w:rsidR="00000000" w:rsidDel="00000000" w:rsidP="00000000" w:rsidRDefault="00000000" w:rsidRPr="00000000" w14:paraId="00000E56">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 (3.4)</w:t>
            </w:r>
          </w:p>
        </w:tc>
        <w:tc>
          <w:tcPr/>
          <w:p w:rsidR="00000000" w:rsidDel="00000000" w:rsidP="00000000" w:rsidRDefault="00000000" w:rsidRPr="00000000" w14:paraId="00000E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8">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 (9.1)</w:t>
            </w:r>
          </w:p>
        </w:tc>
        <w:tc>
          <w:tcPr/>
          <w:p w:rsidR="00000000" w:rsidDel="00000000" w:rsidP="00000000" w:rsidRDefault="00000000" w:rsidRPr="00000000" w14:paraId="00000E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A">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 (4.9)</w:t>
            </w:r>
          </w:p>
        </w:tc>
        <w:tc>
          <w:tcPr/>
          <w:p w:rsidR="00000000" w:rsidDel="00000000" w:rsidP="00000000" w:rsidRDefault="00000000" w:rsidRPr="00000000" w14:paraId="00000E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C">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 (2.0)</w:t>
            </w:r>
          </w:p>
        </w:tc>
        <w:tc>
          <w:tcPr/>
          <w:p w:rsidR="00000000" w:rsidDel="00000000" w:rsidP="00000000" w:rsidRDefault="00000000" w:rsidRPr="00000000" w14:paraId="00000E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6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4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Myocardial infarction (%)</w:t>
            </w:r>
          </w:p>
        </w:tc>
        <w:tc>
          <w:tcPr/>
          <w:p w:rsidR="00000000" w:rsidDel="00000000" w:rsidP="00000000" w:rsidRDefault="00000000" w:rsidRPr="00000000" w14:paraId="00000E61">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57 (8.9)</w:t>
            </w:r>
          </w:p>
        </w:tc>
        <w:tc>
          <w:tcPr/>
          <w:p w:rsidR="00000000" w:rsidDel="00000000" w:rsidP="00000000" w:rsidRDefault="00000000" w:rsidRPr="00000000" w14:paraId="00000E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6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w:t>
            </w:r>
          </w:p>
        </w:tc>
        <w:tc>
          <w:tcPr/>
          <w:p w:rsidR="00000000" w:rsidDel="00000000" w:rsidP="00000000" w:rsidRDefault="00000000" w:rsidRPr="00000000" w14:paraId="00000E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65">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 (9.8)</w:t>
            </w:r>
          </w:p>
        </w:tc>
        <w:tc>
          <w:tcPr/>
          <w:p w:rsidR="00000000" w:rsidDel="00000000" w:rsidP="00000000" w:rsidRDefault="00000000" w:rsidRPr="00000000" w14:paraId="00000E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37 (9.4)</w:t>
            </w:r>
          </w:p>
        </w:tc>
        <w:tc>
          <w:tcPr/>
          <w:p w:rsidR="00000000" w:rsidDel="00000000" w:rsidP="00000000" w:rsidRDefault="00000000" w:rsidRPr="00000000" w14:paraId="00000E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6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4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Target vessel revascularization (%)</w:t>
            </w:r>
          </w:p>
        </w:tc>
        <w:tc>
          <w:tcPr/>
          <w:p w:rsidR="00000000" w:rsidDel="00000000" w:rsidP="00000000" w:rsidRDefault="00000000" w:rsidRPr="00000000" w14:paraId="00000E6C">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23 (3.6)</w:t>
            </w:r>
          </w:p>
        </w:tc>
        <w:tc>
          <w:tcPr/>
          <w:p w:rsidR="00000000" w:rsidDel="00000000" w:rsidP="00000000" w:rsidRDefault="00000000" w:rsidRPr="00000000" w14:paraId="00000E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6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 (2.3)</w:t>
            </w:r>
          </w:p>
        </w:tc>
        <w:tc>
          <w:tcPr/>
          <w:p w:rsidR="00000000" w:rsidDel="00000000" w:rsidP="00000000" w:rsidRDefault="00000000" w:rsidRPr="00000000" w14:paraId="00000E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 (3.9)</w:t>
            </w:r>
          </w:p>
        </w:tc>
        <w:tc>
          <w:tcPr/>
          <w:p w:rsidR="00000000" w:rsidDel="00000000" w:rsidP="00000000" w:rsidRDefault="00000000" w:rsidRPr="00000000" w14:paraId="00000E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 (3.5)</w:t>
            </w:r>
          </w:p>
        </w:tc>
        <w:tc>
          <w:tcPr/>
          <w:p w:rsidR="00000000" w:rsidDel="00000000" w:rsidP="00000000" w:rsidRDefault="00000000" w:rsidRPr="00000000" w14:paraId="00000E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2" w:hRule="atLeast"/>
          <w:tblHeader w:val="0"/>
        </w:trPr>
        <w:tc>
          <w:tcPr/>
          <w:p w:rsidR="00000000" w:rsidDel="00000000" w:rsidP="00000000" w:rsidRDefault="00000000" w:rsidRPr="00000000" w14:paraId="00000E76">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DOCE (%)</w:t>
            </w:r>
          </w:p>
        </w:tc>
        <w:tc>
          <w:tcPr/>
          <w:p w:rsidR="00000000" w:rsidDel="00000000" w:rsidP="00000000" w:rsidRDefault="00000000" w:rsidRPr="00000000" w14:paraId="00000E77">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112 (17.4)</w:t>
            </w:r>
          </w:p>
        </w:tc>
        <w:tc>
          <w:tcPr/>
          <w:p w:rsidR="00000000" w:rsidDel="00000000" w:rsidP="00000000" w:rsidRDefault="00000000" w:rsidRPr="00000000" w14:paraId="00000E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9">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 (34.1)</w:t>
            </w:r>
          </w:p>
        </w:tc>
        <w:tc>
          <w:tcPr/>
          <w:p w:rsidR="00000000" w:rsidDel="00000000" w:rsidP="00000000" w:rsidRDefault="00000000" w:rsidRPr="00000000" w14:paraId="00000E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B">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52 (25.5)</w:t>
            </w:r>
          </w:p>
        </w:tc>
        <w:tc>
          <w:tcPr/>
          <w:p w:rsidR="00000000" w:rsidDel="00000000" w:rsidP="00000000" w:rsidRDefault="00000000" w:rsidRPr="00000000" w14:paraId="00000E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D">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45 (11.4)</w:t>
            </w:r>
          </w:p>
        </w:tc>
        <w:tc>
          <w:tcPr/>
          <w:p w:rsidR="00000000" w:rsidDel="00000000" w:rsidP="00000000" w:rsidRDefault="00000000" w:rsidRPr="00000000" w14:paraId="00000E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E7F">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1" w:right="-15"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c>
          <w:tcPr/>
          <w:p w:rsidR="00000000" w:rsidDel="00000000" w:rsidP="00000000" w:rsidRDefault="00000000" w:rsidRPr="00000000" w14:paraId="00000E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205" w:hRule="atLeast"/>
          <w:tblHeader w:val="0"/>
        </w:trPr>
        <w:tc>
          <w:tcPr>
            <w:tcBorders>
              <w:bottom w:color="000000" w:space="0" w:sz="4" w:val="single"/>
            </w:tcBorders>
          </w:tcPr>
          <w:p w:rsidR="00000000" w:rsidDel="00000000" w:rsidP="00000000" w:rsidRDefault="00000000" w:rsidRPr="00000000" w14:paraId="00000E81">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Readmission (%)</w:t>
            </w:r>
          </w:p>
        </w:tc>
        <w:tc>
          <w:tcPr>
            <w:tcBorders>
              <w:bottom w:color="000000" w:space="0" w:sz="4" w:val="single"/>
            </w:tcBorders>
          </w:tcPr>
          <w:p w:rsidR="00000000" w:rsidDel="00000000" w:rsidP="00000000" w:rsidRDefault="00000000" w:rsidRPr="00000000" w14:paraId="00000E82">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441(68.6)</w:t>
            </w:r>
          </w:p>
        </w:tc>
        <w:tc>
          <w:tcPr>
            <w:tcBorders>
              <w:bottom w:color="000000" w:space="0" w:sz="4" w:val="single"/>
            </w:tcBorders>
          </w:tcPr>
          <w:p w:rsidR="00000000" w:rsidDel="00000000" w:rsidP="00000000" w:rsidRDefault="00000000" w:rsidRPr="00000000" w14:paraId="00000E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E84">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 (61.4)</w:t>
            </w:r>
          </w:p>
        </w:tc>
        <w:tc>
          <w:tcPr>
            <w:tcBorders>
              <w:bottom w:color="000000" w:space="0" w:sz="4" w:val="single"/>
            </w:tcBorders>
          </w:tcPr>
          <w:p w:rsidR="00000000" w:rsidDel="00000000" w:rsidP="00000000" w:rsidRDefault="00000000" w:rsidRPr="00000000" w14:paraId="00000E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E86">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158 (77.5)</w:t>
            </w:r>
          </w:p>
        </w:tc>
        <w:tc>
          <w:tcPr>
            <w:tcBorders>
              <w:bottom w:color="000000" w:space="0" w:sz="4" w:val="single"/>
            </w:tcBorders>
          </w:tcPr>
          <w:p w:rsidR="00000000" w:rsidDel="00000000" w:rsidP="00000000" w:rsidRDefault="00000000" w:rsidRPr="00000000" w14:paraId="00000E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E88">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256 (64.8)</w:t>
            </w:r>
          </w:p>
        </w:tc>
        <w:tc>
          <w:tcPr>
            <w:tcBorders>
              <w:bottom w:color="000000" w:space="0" w:sz="4" w:val="single"/>
            </w:tcBorders>
          </w:tcPr>
          <w:p w:rsidR="00000000" w:rsidDel="00000000" w:rsidP="00000000" w:rsidRDefault="00000000" w:rsidRPr="00000000" w14:paraId="00000E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E8A">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0" w:right="94"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0.364</w:t>
            </w:r>
          </w:p>
        </w:tc>
        <w:tc>
          <w:tcPr>
            <w:tcBorders>
              <w:bottom w:color="000000" w:space="0" w:sz="4" w:val="single"/>
            </w:tcBorders>
          </w:tcPr>
          <w:p w:rsidR="00000000" w:rsidDel="00000000" w:rsidP="00000000" w:rsidRDefault="00000000" w:rsidRPr="00000000" w14:paraId="00000E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E8C">
      <w:pPr>
        <w:spacing w:before="66" w:lineRule="auto"/>
        <w:ind w:left="131" w:right="0" w:firstLine="0"/>
        <w:jc w:val="left"/>
        <w:rPr>
          <w:sz w:val="14"/>
          <w:szCs w:val="14"/>
        </w:rPr>
        <w:sectPr>
          <w:type w:val="continuous"/>
          <w:pgSz w:h="16840" w:w="11920" w:orient="portrait"/>
          <w:pgMar w:bottom="280" w:top="1060" w:left="620" w:right="640" w:header="655" w:footer="544"/>
        </w:sectPr>
      </w:pPr>
      <w:r w:rsidDel="00000000" w:rsidR="00000000" w:rsidRPr="00000000">
        <w:rPr>
          <w:sz w:val="14"/>
          <w:szCs w:val="14"/>
          <w:rtl w:val="0"/>
        </w:rPr>
        <w:t xml:space="preserve">DOCE, device-oriented composite endpoints; ESR, erythrocyte sedimentation rate; POCE, patient-oriented composite endpoints.</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319625" cy="4535424"/>
            <wp:effectExtent b="0" l="0" r="0" t="0"/>
            <wp:docPr id="466" name="image4.jpg"/>
            <a:graphic>
              <a:graphicData uri="http://schemas.openxmlformats.org/drawingml/2006/picture">
                <pic:pic>
                  <pic:nvPicPr>
                    <pic:cNvPr id="0" name="image4.jpg"/>
                    <pic:cNvPicPr preferRelativeResize="0"/>
                  </pic:nvPicPr>
                  <pic:blipFill>
                    <a:blip r:embed="rId366"/>
                    <a:srcRect b="0" l="0" r="0" t="0"/>
                    <a:stretch>
                      <a:fillRect/>
                    </a:stretch>
                  </pic:blipFill>
                  <pic:spPr>
                    <a:xfrm>
                      <a:off x="0" y="0"/>
                      <a:ext cx="4319625" cy="4535424"/>
                    </a:xfrm>
                    <a:prstGeom prst="rect"/>
                    <a:ln/>
                  </pic:spPr>
                </pic:pic>
              </a:graphicData>
            </a:graphic>
          </wp:inline>
        </w:drawing>
      </w:r>
      <w:r w:rsidDel="00000000" w:rsidR="00000000" w:rsidRPr="00000000">
        <w:rPr>
          <w:rtl w:val="0"/>
        </w:rPr>
      </w:r>
    </w:p>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E90">
      <w:pPr>
        <w:spacing w:before="0" w:line="285" w:lineRule="auto"/>
        <w:ind w:left="131" w:right="110" w:firstLine="0"/>
        <w:jc w:val="both"/>
        <w:rPr>
          <w:sz w:val="14"/>
          <w:szCs w:val="14"/>
        </w:rPr>
        <w:sectPr>
          <w:type w:val="nextPage"/>
          <w:pgSz w:h="16840" w:w="11920" w:orient="portrait"/>
          <w:pgMar w:bottom="740" w:top="840" w:left="620" w:right="640" w:header="655" w:footer="544"/>
        </w:sectPr>
      </w:pPr>
      <w:bookmarkStart w:colFirst="0" w:colLast="0" w:name="_heading=h.3abhhcj" w:id="117"/>
      <w:bookmarkEnd w:id="117"/>
      <w:r w:rsidDel="00000000" w:rsidR="00000000" w:rsidRPr="00000000">
        <w:rPr>
          <w:b w:val="1"/>
          <w:sz w:val="14"/>
          <w:szCs w:val="14"/>
          <w:rtl w:val="0"/>
        </w:rPr>
        <w:t xml:space="preserve">Fig. 2. </w:t>
      </w:r>
      <w:r w:rsidDel="00000000" w:rsidR="00000000" w:rsidRPr="00000000">
        <w:rPr>
          <w:sz w:val="14"/>
          <w:szCs w:val="14"/>
          <w:rtl w:val="0"/>
        </w:rPr>
        <w:t xml:space="preserve">Parallel coordinate plot for visualisation of classification features of the study phenotype groups. ACS, acute coronary syndrome; CRP, C-reactive protein; ESR, erythrocyte sedimentation rate; Fib, fibrinogen; NLR, neutrophil-to-lymphocyte ratio; PCI, percutaneous coronary intervention; RBC, red blood cell counts; WBC, white blood cell counts. (For interpretation of the references to colour in this figure legend, the reader is referred to the web version of this article.)</w:t>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0"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myocardial infarction (34.3%), peripheral artery disease (4.9%). A total 25% were smokers and 27.3% had atrial fibrillation in the inflammatory group, which were the highest percentages across all phenotypes. Systolic arterial pressure was the lowest (120 mmHg) and heart was the highest (85 beats per min) in the inflammatory group compared to other patients. The level of hemoglobin was low in the high-ESR group (127.00 (116.00–135.00) g/l), while the inflammatory group demonstrated the highest values of platelet count, alanine aminotransferase, aspartate aminotransferase, prothrombin time, international normalized ratio. The level of fibrinogen was high in both the inflammatory group and high-ESR group compared to those in the non-inflammatory group. The proportion of primary PCIs was the highest in the inflammatory phenogroup (72.7%), while elective PCIs were performed most often in the high-ESR group (18.6%). The high-ESR phenotype was associated with the high prevalence of left main coronary artery disease (10.8%)</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and femoral arterial access (21.1%, Table S2).</w:t>
      </w:r>
    </w:p>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9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hanging="499"/>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Association between phenotype clusters and POCE</w:t>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38" w:firstLine="2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 the multivariate analysis, patients from the high-ESR and inflammatory groups demonstrated a higher risk of POCE with mean ratios (MRs) of 1.42 (95% confidence interval (CI) 1.11–1.81) and 2.01 (95% CI 1.58–2.56), respectively (</w:t>
      </w:r>
      <w:hyperlink w:anchor="_heading=h.3nqndb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hyperlink w:anchor="_heading=h.2gb3ji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Other independent predictors were index diagnosis, history of MI, high heart rate, low ejection fraction, arterial access complications, COVID-19, and non-compliance to treatment (</w:t>
      </w:r>
      <w:hyperlink w:anchor="_heading=h.3nqndb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3.46456692913387"/>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These findings were further supported by multivariate Cox analyses with hazard ratios (HRs) for the inflammatory phenotype 2.25 (95% </w:t>
      </w:r>
      <w:r w:rsidDel="00000000" w:rsidR="00000000" w:rsidRPr="00000000">
        <w:rPr>
          <w:sz w:val="16"/>
          <w:szCs w:val="16"/>
          <w:rtl w:val="0"/>
        </w:rPr>
        <w:t xml:space="preserve">CI 1.29–3.92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Table S3, Fig. S16). The survival plots are presented in </w:t>
      </w:r>
      <w:hyperlink w:anchor="_heading=h.vgdtq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9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hanging="499"/>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Association between phenotype clusters and DOCE</w:t>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73" w:lineRule="auto"/>
        <w:ind w:left="0" w:right="109" w:firstLine="2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There were significant links between phenotype clusters and recurrent weighted DOCE with MRs 1.61 (95% CI 1.20–2.16) and 2.60 (95% CI 1.94–3.48) for the high-ESR and inflammatory groups, respectively (</w:t>
      </w:r>
      <w:hyperlink w:anchor="_heading=h.3nqndb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hyperlink w:anchor="_heading=h.2gb3ji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risk of DOCE was also associated with index diagnosis, history of MI, high heart rate, and low ejection fraction (</w:t>
      </w:r>
      <w:hyperlink w:anchor="_heading=h.3nqndb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Due to non-proportionality of hazard functions, the Cox hazards regression analyses were not feasible (</w:t>
      </w:r>
      <w:hyperlink w:anchor="_heading=h.1ulbmlt">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9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hanging="499"/>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Association between phenotype clusters and all-cause mortality</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73" w:lineRule="auto"/>
        <w:ind w:left="0" w:right="109" w:firstLine="24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model derived with stepwise variable selection included the cluster assignment as an independent predictor of all-cause mortality with HR 2.54 (95% CI 1.19–5.41) for the inflammatory vs non-inflammatory phenotypes (Table S3, Fig. S17). Other independent predictors were age, history of MI, heart rate, ejection fraction, and chronic total occlusion. The survival plots are provided in Fig. S18.</w:t>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9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630" w:right="0" w:hanging="499"/>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Association between phenotype clusters and other endpoints</w:t>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73" w:lineRule="auto"/>
        <w:ind w:left="0" w:right="109" w:firstLine="240"/>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Patients with both inflammatory and high-ESR phenotypes were more likely to develop stroke compared with those with the non-inflammatory phenotype with HRs 6.83 (95% CI 2.01–23.2) and 2.86 (95% CI 1.10–7.4), respectively (Table S3, Fig. S19–20). In a joint frailty model, high-ESR and inflammatory clusters remained to be independent</w:t>
      </w:r>
    </w:p>
    <w:p w:rsidR="00000000" w:rsidDel="00000000" w:rsidP="00000000" w:rsidRDefault="00000000" w:rsidRPr="00000000" w14:paraId="00000E9F">
      <w:pPr>
        <w:spacing w:before="115" w:lineRule="auto"/>
        <w:ind w:left="131" w:firstLine="0"/>
        <w:rPr>
          <w:b w:val="1"/>
          <w:sz w:val="14"/>
          <w:szCs w:val="14"/>
        </w:rPr>
      </w:pPr>
      <w:bookmarkStart w:colFirst="0" w:colLast="0" w:name="_heading=h.3nqndbk" w:id="118"/>
      <w:bookmarkEnd w:id="118"/>
      <w:r w:rsidDel="00000000" w:rsidR="00000000" w:rsidRPr="00000000">
        <w:rPr>
          <w:b w:val="1"/>
          <w:sz w:val="14"/>
          <w:szCs w:val="14"/>
          <w:rtl w:val="0"/>
        </w:rPr>
        <w:t xml:space="preserve">Table 2</w:t>
      </w:r>
    </w:p>
    <w:p w:rsidR="00000000" w:rsidDel="00000000" w:rsidP="00000000" w:rsidRDefault="00000000" w:rsidRPr="00000000" w14:paraId="00000EA0">
      <w:pPr>
        <w:spacing w:before="31" w:lineRule="auto"/>
        <w:ind w:left="131" w:firstLine="0"/>
        <w:rPr>
          <w:sz w:val="14"/>
          <w:szCs w:val="14"/>
        </w:rPr>
      </w:pPr>
      <w:r w:rsidDel="00000000" w:rsidR="00000000" w:rsidRPr="00000000">
        <w:rPr>
          <w:sz w:val="14"/>
          <w:szCs w:val="14"/>
          <w:rtl w:val="0"/>
        </w:rPr>
        <w:t xml:space="preserve">The results of regression analyses for recurrent weighted composite endpoints.</w:t>
      </w:r>
    </w:p>
    <w:p w:rsidR="00000000" w:rsidDel="00000000" w:rsidP="00000000" w:rsidRDefault="00000000" w:rsidRPr="00000000" w14:paraId="00000EA1">
      <w:pPr>
        <w:spacing w:before="31" w:lineRule="auto"/>
        <w:ind w:left="131" w:firstLine="0"/>
        <w:rPr>
          <w:sz w:val="14"/>
          <w:szCs w:val="14"/>
        </w:rPr>
      </w:pPr>
      <w:r w:rsidDel="00000000" w:rsidR="00000000" w:rsidRPr="00000000">
        <w:rPr>
          <w:rtl w:val="0"/>
        </w:rPr>
      </w:r>
    </w:p>
    <w:p w:rsidR="00000000" w:rsidDel="00000000" w:rsidP="00000000" w:rsidRDefault="00000000" w:rsidRPr="00000000" w14:paraId="00000EA2">
      <w:pPr>
        <w:tabs>
          <w:tab w:val="left" w:leader="none" w:pos="831"/>
        </w:tabs>
        <w:ind w:left="831" w:hanging="365"/>
        <w:rPr>
          <w:i w:val="1"/>
          <w:sz w:val="16"/>
          <w:szCs w:val="16"/>
        </w:rPr>
      </w:pPr>
      <w:r w:rsidDel="00000000" w:rsidR="00000000" w:rsidRPr="00000000">
        <w:rPr>
          <w:rtl w:val="0"/>
        </w:rPr>
      </w:r>
    </w:p>
    <w:tbl>
      <w:tblPr>
        <w:tblStyle w:val="Table25"/>
        <w:tblW w:w="5019.0" w:type="dxa"/>
        <w:jc w:val="left"/>
        <w:tblInd w:w="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49"/>
        <w:gridCol w:w="916"/>
        <w:gridCol w:w="1005"/>
        <w:gridCol w:w="933"/>
        <w:gridCol w:w="1016"/>
        <w:tblGridChange w:id="0">
          <w:tblGrid>
            <w:gridCol w:w="1149"/>
            <w:gridCol w:w="916"/>
            <w:gridCol w:w="1005"/>
            <w:gridCol w:w="933"/>
            <w:gridCol w:w="1016"/>
          </w:tblGrid>
        </w:tblGridChange>
      </w:tblGrid>
      <w:tr>
        <w:trPr>
          <w:cantSplit w:val="0"/>
          <w:trHeight w:val="217" w:hRule="atLeast"/>
          <w:tblHeader w:val="0"/>
        </w:trPr>
        <w:tc>
          <w:tcPr>
            <w:tcBorders>
              <w:top w:color="000000" w:space="0" w:sz="4" w:val="single"/>
            </w:tcBorders>
          </w:tcPr>
          <w:p w:rsidR="00000000" w:rsidDel="00000000" w:rsidP="00000000" w:rsidRDefault="00000000" w:rsidRPr="00000000" w14:paraId="00000EA3">
            <w:pPr>
              <w:tabs>
                <w:tab w:val="left" w:leader="none" w:pos="1394"/>
                <w:tab w:val="left" w:leader="none" w:pos="3333"/>
              </w:tabs>
              <w:spacing w:before="52" w:lineRule="auto"/>
              <w:ind w:left="251" w:firstLine="0"/>
              <w:rPr>
                <w:sz w:val="12"/>
                <w:szCs w:val="12"/>
              </w:rPr>
            </w:pPr>
            <w:r w:rsidDel="00000000" w:rsidR="00000000" w:rsidRPr="00000000">
              <w:rPr>
                <w:sz w:val="12"/>
                <w:szCs w:val="12"/>
                <w:rtl w:val="0"/>
              </w:rPr>
              <w:t xml:space="preserve">Variables</w:t>
            </w:r>
          </w:p>
        </w:tc>
        <w:tc>
          <w:tcPr>
            <w:tcBorders>
              <w:top w:color="000000" w:space="0" w:sz="4" w:val="single"/>
            </w:tcBorders>
          </w:tcPr>
          <w:p w:rsidR="00000000" w:rsidDel="00000000" w:rsidP="00000000" w:rsidRDefault="00000000" w:rsidRPr="00000000" w14:paraId="00000EA4">
            <w:pPr>
              <w:tabs>
                <w:tab w:val="left" w:leader="none" w:pos="1394"/>
                <w:tab w:val="left" w:leader="none" w:pos="3333"/>
              </w:tabs>
              <w:spacing w:before="52" w:lineRule="auto"/>
              <w:ind w:left="251" w:firstLine="0"/>
              <w:rPr>
                <w:sz w:val="12"/>
                <w:szCs w:val="12"/>
              </w:rPr>
            </w:pPr>
            <w:r w:rsidDel="00000000" w:rsidR="00000000" w:rsidRPr="00000000">
              <w:rPr>
                <w:sz w:val="12"/>
                <w:szCs w:val="12"/>
                <w:rtl w:val="0"/>
              </w:rPr>
              <w:t xml:space="preserve">POCE</w:t>
            </w:r>
          </w:p>
        </w:tc>
        <w:tc>
          <w:tcPr>
            <w:tcBorders>
              <w:top w:color="000000" w:space="0" w:sz="4" w:val="single"/>
            </w:tcBorders>
          </w:tcPr>
          <w:p w:rsidR="00000000" w:rsidDel="00000000" w:rsidP="00000000" w:rsidRDefault="00000000" w:rsidRPr="00000000" w14:paraId="00000EA5">
            <w:pPr>
              <w:spacing w:before="61" w:line="136" w:lineRule="auto"/>
              <w:ind w:left="129" w:firstLine="0"/>
              <w:rPr>
                <w:sz w:val="12"/>
                <w:szCs w:val="12"/>
              </w:rPr>
            </w:pPr>
            <w:r w:rsidDel="00000000" w:rsidR="00000000" w:rsidRPr="00000000">
              <w:rPr>
                <w:rtl w:val="0"/>
              </w:rPr>
            </w:r>
          </w:p>
        </w:tc>
        <w:tc>
          <w:tcPr>
            <w:tcBorders>
              <w:top w:color="000000" w:space="0" w:sz="4" w:val="single"/>
            </w:tcBorders>
          </w:tcPr>
          <w:p w:rsidR="00000000" w:rsidDel="00000000" w:rsidP="00000000" w:rsidRDefault="00000000" w:rsidRPr="00000000" w14:paraId="00000EA6">
            <w:pPr>
              <w:tabs>
                <w:tab w:val="left" w:leader="none" w:pos="1394"/>
                <w:tab w:val="left" w:leader="none" w:pos="3333"/>
              </w:tabs>
              <w:spacing w:before="52" w:lineRule="auto"/>
              <w:ind w:left="251" w:firstLine="0"/>
              <w:rPr>
                <w:sz w:val="12"/>
                <w:szCs w:val="12"/>
              </w:rPr>
            </w:pPr>
            <w:r w:rsidDel="00000000" w:rsidR="00000000" w:rsidRPr="00000000">
              <w:rPr>
                <w:sz w:val="12"/>
                <w:szCs w:val="12"/>
                <w:rtl w:val="0"/>
              </w:rPr>
              <w:t xml:space="preserve">DOCE</w:t>
            </w:r>
          </w:p>
        </w:tc>
        <w:tc>
          <w:tcPr>
            <w:tcBorders>
              <w:top w:color="000000" w:space="0" w:sz="4" w:val="single"/>
            </w:tcBorders>
          </w:tcPr>
          <w:p w:rsidR="00000000" w:rsidDel="00000000" w:rsidP="00000000" w:rsidRDefault="00000000" w:rsidRPr="00000000" w14:paraId="00000EA7">
            <w:pPr>
              <w:spacing w:before="61" w:line="136" w:lineRule="auto"/>
              <w:ind w:left="130" w:firstLine="0"/>
              <w:rPr>
                <w:sz w:val="12"/>
                <w:szCs w:val="12"/>
              </w:rPr>
            </w:pPr>
            <w:r w:rsidDel="00000000" w:rsidR="00000000" w:rsidRPr="00000000">
              <w:rPr>
                <w:rtl w:val="0"/>
              </w:rPr>
            </w:r>
          </w:p>
        </w:tc>
      </w:tr>
      <w:tr>
        <w:trPr>
          <w:cantSplit w:val="0"/>
          <w:trHeight w:val="217" w:hRule="atLeast"/>
          <w:tblHeader w:val="0"/>
        </w:trPr>
        <w:tc>
          <w:tcPr>
            <w:tcBorders>
              <w:top w:color="000000" w:space="0" w:sz="4" w:val="single"/>
            </w:tcBorders>
          </w:tcPr>
          <w:p w:rsidR="00000000" w:rsidDel="00000000" w:rsidP="00000000" w:rsidRDefault="00000000" w:rsidRPr="00000000" w14:paraId="00000EA8">
            <w:pPr>
              <w:spacing w:before="61" w:line="136" w:lineRule="auto"/>
              <w:ind w:left="119" w:firstLine="0"/>
              <w:rPr>
                <w:sz w:val="12"/>
                <w:szCs w:val="12"/>
              </w:rPr>
            </w:pPr>
            <w:r w:rsidDel="00000000" w:rsidR="00000000" w:rsidRPr="00000000">
              <w:rPr>
                <w:rtl w:val="0"/>
              </w:rPr>
            </w:r>
          </w:p>
        </w:tc>
        <w:tc>
          <w:tcPr>
            <w:tcBorders>
              <w:top w:color="000000" w:space="0" w:sz="4" w:val="single"/>
            </w:tcBorders>
          </w:tcPr>
          <w:p w:rsidR="00000000" w:rsidDel="00000000" w:rsidP="00000000" w:rsidRDefault="00000000" w:rsidRPr="00000000" w14:paraId="00000EA9">
            <w:pPr>
              <w:spacing w:before="61" w:line="240" w:lineRule="auto"/>
              <w:ind w:left="113" w:firstLine="0"/>
              <w:rPr>
                <w:sz w:val="12"/>
                <w:szCs w:val="12"/>
              </w:rPr>
            </w:pPr>
            <w:r w:rsidDel="00000000" w:rsidR="00000000" w:rsidRPr="00000000">
              <w:rPr>
                <w:sz w:val="12"/>
                <w:szCs w:val="12"/>
                <w:rtl w:val="0"/>
              </w:rPr>
              <w:t xml:space="preserve">Univariate</w:t>
            </w:r>
          </w:p>
          <w:p w:rsidR="00000000" w:rsidDel="00000000" w:rsidP="00000000" w:rsidRDefault="00000000" w:rsidRPr="00000000" w14:paraId="00000EAA">
            <w:pPr>
              <w:spacing w:before="61" w:line="240" w:lineRule="auto"/>
              <w:ind w:left="113" w:firstLine="0"/>
              <w:rPr>
                <w:sz w:val="12"/>
                <w:szCs w:val="12"/>
              </w:rPr>
            </w:pPr>
            <w:r w:rsidDel="00000000" w:rsidR="00000000" w:rsidRPr="00000000">
              <w:rPr>
                <w:sz w:val="12"/>
                <w:szCs w:val="12"/>
                <w:rtl w:val="0"/>
              </w:rPr>
              <w:t xml:space="preserve">analyses, MR [95% CI]</w:t>
            </w:r>
          </w:p>
        </w:tc>
        <w:tc>
          <w:tcPr>
            <w:tcBorders>
              <w:top w:color="000000" w:space="0" w:sz="4" w:val="single"/>
            </w:tcBorders>
          </w:tcPr>
          <w:p w:rsidR="00000000" w:rsidDel="00000000" w:rsidP="00000000" w:rsidRDefault="00000000" w:rsidRPr="00000000" w14:paraId="00000EAB">
            <w:pPr>
              <w:spacing w:before="61" w:line="240" w:lineRule="auto"/>
              <w:ind w:left="129" w:firstLine="0"/>
              <w:rPr>
                <w:sz w:val="12"/>
                <w:szCs w:val="12"/>
              </w:rPr>
            </w:pPr>
            <w:r w:rsidDel="00000000" w:rsidR="00000000" w:rsidRPr="00000000">
              <w:rPr>
                <w:sz w:val="12"/>
                <w:szCs w:val="12"/>
                <w:rtl w:val="0"/>
              </w:rPr>
              <w:t xml:space="preserve">Multivariate</w:t>
            </w:r>
          </w:p>
          <w:p w:rsidR="00000000" w:rsidDel="00000000" w:rsidP="00000000" w:rsidRDefault="00000000" w:rsidRPr="00000000" w14:paraId="00000EAC">
            <w:pPr>
              <w:spacing w:before="61" w:line="240" w:lineRule="auto"/>
              <w:ind w:left="129" w:firstLine="0"/>
              <w:rPr>
                <w:sz w:val="12"/>
                <w:szCs w:val="12"/>
              </w:rPr>
            </w:pPr>
            <w:r w:rsidDel="00000000" w:rsidR="00000000" w:rsidRPr="00000000">
              <w:rPr>
                <w:sz w:val="12"/>
                <w:szCs w:val="12"/>
                <w:rtl w:val="0"/>
              </w:rPr>
              <w:t xml:space="preserve">analyses, MR [95% CI]</w:t>
            </w:r>
          </w:p>
        </w:tc>
        <w:tc>
          <w:tcPr>
            <w:tcBorders>
              <w:top w:color="000000" w:space="0" w:sz="4" w:val="single"/>
            </w:tcBorders>
          </w:tcPr>
          <w:p w:rsidR="00000000" w:rsidDel="00000000" w:rsidP="00000000" w:rsidRDefault="00000000" w:rsidRPr="00000000" w14:paraId="00000EAD">
            <w:pPr>
              <w:spacing w:before="61" w:line="240" w:lineRule="auto"/>
              <w:ind w:left="131" w:firstLine="0"/>
              <w:rPr>
                <w:sz w:val="12"/>
                <w:szCs w:val="12"/>
              </w:rPr>
            </w:pPr>
            <w:r w:rsidDel="00000000" w:rsidR="00000000" w:rsidRPr="00000000">
              <w:rPr>
                <w:sz w:val="12"/>
                <w:szCs w:val="12"/>
                <w:rtl w:val="0"/>
              </w:rPr>
              <w:t xml:space="preserve">Univariate</w:t>
            </w:r>
          </w:p>
          <w:p w:rsidR="00000000" w:rsidDel="00000000" w:rsidP="00000000" w:rsidRDefault="00000000" w:rsidRPr="00000000" w14:paraId="00000EAE">
            <w:pPr>
              <w:spacing w:before="61" w:line="240" w:lineRule="auto"/>
              <w:ind w:left="131" w:firstLine="0"/>
              <w:rPr>
                <w:sz w:val="12"/>
                <w:szCs w:val="12"/>
                <w:vertAlign w:val="superscript"/>
              </w:rPr>
            </w:pPr>
            <w:r w:rsidDel="00000000" w:rsidR="00000000" w:rsidRPr="00000000">
              <w:rPr>
                <w:sz w:val="12"/>
                <w:szCs w:val="12"/>
                <w:rtl w:val="0"/>
              </w:rPr>
              <w:t xml:space="preserve">analyses, MR [95% CI]</w:t>
            </w:r>
            <w:r w:rsidDel="00000000" w:rsidR="00000000" w:rsidRPr="00000000">
              <w:rPr>
                <w:sz w:val="12"/>
                <w:szCs w:val="12"/>
                <w:vertAlign w:val="superscript"/>
                <w:rtl w:val="0"/>
              </w:rPr>
              <w:t xml:space="preserve">1</w:t>
            </w:r>
          </w:p>
        </w:tc>
        <w:tc>
          <w:tcPr>
            <w:tcBorders>
              <w:top w:color="000000" w:space="0" w:sz="4" w:val="single"/>
            </w:tcBorders>
          </w:tcPr>
          <w:p w:rsidR="00000000" w:rsidDel="00000000" w:rsidP="00000000" w:rsidRDefault="00000000" w:rsidRPr="00000000" w14:paraId="00000EAF">
            <w:pPr>
              <w:spacing w:before="61" w:line="240" w:lineRule="auto"/>
              <w:ind w:left="130" w:firstLine="0"/>
              <w:rPr>
                <w:sz w:val="12"/>
                <w:szCs w:val="12"/>
              </w:rPr>
            </w:pPr>
            <w:r w:rsidDel="00000000" w:rsidR="00000000" w:rsidRPr="00000000">
              <w:rPr>
                <w:sz w:val="12"/>
                <w:szCs w:val="12"/>
                <w:rtl w:val="0"/>
              </w:rPr>
              <w:t xml:space="preserve">Multivariate</w:t>
            </w:r>
          </w:p>
          <w:p w:rsidR="00000000" w:rsidDel="00000000" w:rsidP="00000000" w:rsidRDefault="00000000" w:rsidRPr="00000000" w14:paraId="00000EB0">
            <w:pPr>
              <w:spacing w:before="61" w:line="240" w:lineRule="auto"/>
              <w:ind w:left="130" w:firstLine="0"/>
              <w:rPr>
                <w:sz w:val="12"/>
                <w:szCs w:val="12"/>
                <w:vertAlign w:val="superscript"/>
              </w:rPr>
            </w:pPr>
            <w:r w:rsidDel="00000000" w:rsidR="00000000" w:rsidRPr="00000000">
              <w:rPr>
                <w:sz w:val="12"/>
                <w:szCs w:val="12"/>
                <w:rtl w:val="0"/>
              </w:rPr>
              <w:t xml:space="preserve">analyses, MR [95% CI]</w:t>
            </w:r>
            <w:r w:rsidDel="00000000" w:rsidR="00000000" w:rsidRPr="00000000">
              <w:rPr>
                <w:sz w:val="12"/>
                <w:szCs w:val="12"/>
                <w:vertAlign w:val="superscript"/>
                <w:rtl w:val="0"/>
              </w:rPr>
              <w:t xml:space="preserve">2</w:t>
            </w:r>
          </w:p>
        </w:tc>
      </w:tr>
      <w:tr>
        <w:trPr>
          <w:cantSplit w:val="0"/>
          <w:trHeight w:val="217" w:hRule="atLeast"/>
          <w:tblHeader w:val="0"/>
        </w:trPr>
        <w:tc>
          <w:tcPr>
            <w:tcBorders>
              <w:top w:color="000000" w:space="0" w:sz="4" w:val="single"/>
            </w:tcBorders>
          </w:tcPr>
          <w:p w:rsidR="00000000" w:rsidDel="00000000" w:rsidP="00000000" w:rsidRDefault="00000000" w:rsidRPr="00000000" w14:paraId="00000EB1">
            <w:pPr>
              <w:spacing w:before="61" w:line="136" w:lineRule="auto"/>
              <w:ind w:left="119" w:firstLine="0"/>
              <w:rPr>
                <w:sz w:val="12"/>
                <w:szCs w:val="12"/>
              </w:rPr>
            </w:pPr>
            <w:r w:rsidDel="00000000" w:rsidR="00000000" w:rsidRPr="00000000">
              <w:rPr>
                <w:sz w:val="12"/>
                <w:szCs w:val="12"/>
                <w:rtl w:val="0"/>
              </w:rPr>
              <w:t xml:space="preserve">High-ESR vs</w:t>
            </w:r>
          </w:p>
        </w:tc>
        <w:tc>
          <w:tcPr>
            <w:tcBorders>
              <w:top w:color="000000" w:space="0" w:sz="4" w:val="single"/>
            </w:tcBorders>
          </w:tcPr>
          <w:p w:rsidR="00000000" w:rsidDel="00000000" w:rsidP="00000000" w:rsidRDefault="00000000" w:rsidRPr="00000000" w14:paraId="00000EB2">
            <w:pPr>
              <w:spacing w:before="61" w:line="136" w:lineRule="auto"/>
              <w:ind w:left="113" w:firstLine="0"/>
              <w:rPr>
                <w:sz w:val="12"/>
                <w:szCs w:val="12"/>
              </w:rPr>
            </w:pPr>
            <w:r w:rsidDel="00000000" w:rsidR="00000000" w:rsidRPr="00000000">
              <w:rPr>
                <w:sz w:val="12"/>
                <w:szCs w:val="12"/>
                <w:rtl w:val="0"/>
              </w:rPr>
              <w:t xml:space="preserve">1.75</w:t>
            </w:r>
          </w:p>
        </w:tc>
        <w:tc>
          <w:tcPr>
            <w:tcBorders>
              <w:top w:color="000000" w:space="0" w:sz="4" w:val="single"/>
            </w:tcBorders>
          </w:tcPr>
          <w:p w:rsidR="00000000" w:rsidDel="00000000" w:rsidP="00000000" w:rsidRDefault="00000000" w:rsidRPr="00000000" w14:paraId="00000EB3">
            <w:pPr>
              <w:spacing w:before="61" w:line="136" w:lineRule="auto"/>
              <w:ind w:left="129" w:firstLine="0"/>
              <w:rPr>
                <w:sz w:val="12"/>
                <w:szCs w:val="12"/>
              </w:rPr>
            </w:pPr>
            <w:r w:rsidDel="00000000" w:rsidR="00000000" w:rsidRPr="00000000">
              <w:rPr>
                <w:sz w:val="12"/>
                <w:szCs w:val="12"/>
                <w:rtl w:val="0"/>
              </w:rPr>
              <w:t xml:space="preserve">1.42</w:t>
            </w:r>
          </w:p>
        </w:tc>
        <w:tc>
          <w:tcPr>
            <w:tcBorders>
              <w:top w:color="000000" w:space="0" w:sz="4" w:val="single"/>
            </w:tcBorders>
          </w:tcPr>
          <w:p w:rsidR="00000000" w:rsidDel="00000000" w:rsidP="00000000" w:rsidRDefault="00000000" w:rsidRPr="00000000" w14:paraId="00000EB4">
            <w:pPr>
              <w:spacing w:before="61" w:line="136" w:lineRule="auto"/>
              <w:ind w:left="131" w:firstLine="0"/>
              <w:rPr>
                <w:sz w:val="12"/>
                <w:szCs w:val="12"/>
              </w:rPr>
            </w:pPr>
            <w:r w:rsidDel="00000000" w:rsidR="00000000" w:rsidRPr="00000000">
              <w:rPr>
                <w:sz w:val="12"/>
                <w:szCs w:val="12"/>
                <w:rtl w:val="0"/>
              </w:rPr>
              <w:t xml:space="preserve">2.08</w:t>
            </w:r>
          </w:p>
        </w:tc>
        <w:tc>
          <w:tcPr>
            <w:tcBorders>
              <w:top w:color="000000" w:space="0" w:sz="4" w:val="single"/>
            </w:tcBorders>
          </w:tcPr>
          <w:p w:rsidR="00000000" w:rsidDel="00000000" w:rsidP="00000000" w:rsidRDefault="00000000" w:rsidRPr="00000000" w14:paraId="00000EB5">
            <w:pPr>
              <w:spacing w:before="61" w:line="136" w:lineRule="auto"/>
              <w:ind w:left="130" w:firstLine="0"/>
              <w:rPr>
                <w:sz w:val="12"/>
                <w:szCs w:val="12"/>
              </w:rPr>
            </w:pPr>
            <w:r w:rsidDel="00000000" w:rsidR="00000000" w:rsidRPr="00000000">
              <w:rPr>
                <w:sz w:val="12"/>
                <w:szCs w:val="12"/>
                <w:rtl w:val="0"/>
              </w:rPr>
              <w:t xml:space="preserve">1.61</w:t>
            </w:r>
          </w:p>
        </w:tc>
      </w:tr>
      <w:tr>
        <w:trPr>
          <w:cantSplit w:val="0"/>
          <w:trHeight w:val="171" w:hRule="atLeast"/>
          <w:tblHeader w:val="0"/>
        </w:trPr>
        <w:tc>
          <w:tcPr/>
          <w:p w:rsidR="00000000" w:rsidDel="00000000" w:rsidP="00000000" w:rsidRDefault="00000000" w:rsidRPr="00000000" w14:paraId="00000EB6">
            <w:pPr>
              <w:spacing w:before="15" w:line="136" w:lineRule="auto"/>
              <w:ind w:left="238" w:firstLine="0"/>
              <w:rPr>
                <w:sz w:val="12"/>
                <w:szCs w:val="12"/>
              </w:rPr>
            </w:pPr>
            <w:r w:rsidDel="00000000" w:rsidR="00000000" w:rsidRPr="00000000">
              <w:rPr>
                <w:sz w:val="12"/>
                <w:szCs w:val="12"/>
                <w:rtl w:val="0"/>
              </w:rPr>
              <w:t xml:space="preserve">non-</w:t>
            </w:r>
          </w:p>
        </w:tc>
        <w:tc>
          <w:tcPr/>
          <w:p w:rsidR="00000000" w:rsidDel="00000000" w:rsidP="00000000" w:rsidRDefault="00000000" w:rsidRPr="00000000" w14:paraId="00000EB7">
            <w:pPr>
              <w:spacing w:before="15" w:line="136" w:lineRule="auto"/>
              <w:ind w:left="113" w:firstLine="0"/>
              <w:rPr>
                <w:sz w:val="12"/>
                <w:szCs w:val="12"/>
              </w:rPr>
            </w:pPr>
            <w:r w:rsidDel="00000000" w:rsidR="00000000" w:rsidRPr="00000000">
              <w:rPr>
                <w:sz w:val="12"/>
                <w:szCs w:val="12"/>
                <w:rtl w:val="0"/>
              </w:rPr>
              <w:t xml:space="preserve">[1.40–2.20]</w:t>
            </w:r>
          </w:p>
        </w:tc>
        <w:tc>
          <w:tcPr/>
          <w:p w:rsidR="00000000" w:rsidDel="00000000" w:rsidP="00000000" w:rsidRDefault="00000000" w:rsidRPr="00000000" w14:paraId="00000EB8">
            <w:pPr>
              <w:spacing w:before="15" w:line="136" w:lineRule="auto"/>
              <w:ind w:left="129" w:firstLine="0"/>
              <w:rPr>
                <w:sz w:val="12"/>
                <w:szCs w:val="12"/>
              </w:rPr>
            </w:pPr>
            <w:r w:rsidDel="00000000" w:rsidR="00000000" w:rsidRPr="00000000">
              <w:rPr>
                <w:sz w:val="12"/>
                <w:szCs w:val="12"/>
                <w:rtl w:val="0"/>
              </w:rPr>
              <w:t xml:space="preserve">[1.11–1.81]</w:t>
            </w:r>
          </w:p>
        </w:tc>
        <w:tc>
          <w:tcPr/>
          <w:p w:rsidR="00000000" w:rsidDel="00000000" w:rsidP="00000000" w:rsidRDefault="00000000" w:rsidRPr="00000000" w14:paraId="00000EB9">
            <w:pPr>
              <w:spacing w:before="15" w:line="136" w:lineRule="auto"/>
              <w:ind w:left="131" w:firstLine="0"/>
              <w:rPr>
                <w:sz w:val="12"/>
                <w:szCs w:val="12"/>
              </w:rPr>
            </w:pPr>
            <w:r w:rsidDel="00000000" w:rsidR="00000000" w:rsidRPr="00000000">
              <w:rPr>
                <w:sz w:val="12"/>
                <w:szCs w:val="12"/>
                <w:rtl w:val="0"/>
              </w:rPr>
              <w:t xml:space="preserve">[1.60–2.70]</w:t>
            </w:r>
          </w:p>
        </w:tc>
        <w:tc>
          <w:tcPr/>
          <w:p w:rsidR="00000000" w:rsidDel="00000000" w:rsidP="00000000" w:rsidRDefault="00000000" w:rsidRPr="00000000" w14:paraId="00000EBA">
            <w:pPr>
              <w:spacing w:before="15" w:line="136" w:lineRule="auto"/>
              <w:ind w:left="130" w:firstLine="0"/>
              <w:rPr>
                <w:sz w:val="12"/>
                <w:szCs w:val="12"/>
              </w:rPr>
            </w:pPr>
            <w:r w:rsidDel="00000000" w:rsidR="00000000" w:rsidRPr="00000000">
              <w:rPr>
                <w:sz w:val="12"/>
                <w:szCs w:val="12"/>
                <w:rtl w:val="0"/>
              </w:rPr>
              <w:t xml:space="preserve">[1.20–2.16]</w:t>
            </w:r>
          </w:p>
        </w:tc>
      </w:tr>
      <w:tr>
        <w:trPr>
          <w:cantSplit w:val="0"/>
          <w:trHeight w:val="171" w:hRule="atLeast"/>
          <w:tblHeader w:val="0"/>
        </w:trPr>
        <w:tc>
          <w:tcPr/>
          <w:p w:rsidR="00000000" w:rsidDel="00000000" w:rsidP="00000000" w:rsidRDefault="00000000" w:rsidRPr="00000000" w14:paraId="00000EBB">
            <w:pPr>
              <w:spacing w:before="15" w:line="136" w:lineRule="auto"/>
              <w:ind w:right="141"/>
              <w:jc w:val="right"/>
              <w:rPr>
                <w:sz w:val="12"/>
                <w:szCs w:val="12"/>
              </w:rPr>
            </w:pPr>
            <w:r w:rsidDel="00000000" w:rsidR="00000000" w:rsidRPr="00000000">
              <w:rPr>
                <w:sz w:val="12"/>
                <w:szCs w:val="12"/>
                <w:rtl w:val="0"/>
              </w:rPr>
              <w:t xml:space="preserve">inflammatory</w:t>
            </w:r>
          </w:p>
        </w:tc>
        <w:tc>
          <w:tcPr/>
          <w:p w:rsidR="00000000" w:rsidDel="00000000" w:rsidP="00000000" w:rsidRDefault="00000000" w:rsidRPr="00000000" w14:paraId="00000EBC">
            <w:pPr>
              <w:rPr>
                <w:sz w:val="10"/>
                <w:szCs w:val="10"/>
              </w:rPr>
            </w:pPr>
            <w:r w:rsidDel="00000000" w:rsidR="00000000" w:rsidRPr="00000000">
              <w:rPr>
                <w:rtl w:val="0"/>
              </w:rPr>
            </w:r>
          </w:p>
        </w:tc>
        <w:tc>
          <w:tcPr/>
          <w:p w:rsidR="00000000" w:rsidDel="00000000" w:rsidP="00000000" w:rsidRDefault="00000000" w:rsidRPr="00000000" w14:paraId="00000EBD">
            <w:pPr>
              <w:rPr>
                <w:sz w:val="10"/>
                <w:szCs w:val="10"/>
              </w:rPr>
            </w:pPr>
            <w:r w:rsidDel="00000000" w:rsidR="00000000" w:rsidRPr="00000000">
              <w:rPr>
                <w:rtl w:val="0"/>
              </w:rPr>
            </w:r>
          </w:p>
        </w:tc>
        <w:tc>
          <w:tcPr/>
          <w:p w:rsidR="00000000" w:rsidDel="00000000" w:rsidP="00000000" w:rsidRDefault="00000000" w:rsidRPr="00000000" w14:paraId="00000EBE">
            <w:pPr>
              <w:rPr>
                <w:sz w:val="10"/>
                <w:szCs w:val="10"/>
              </w:rPr>
            </w:pPr>
            <w:r w:rsidDel="00000000" w:rsidR="00000000" w:rsidRPr="00000000">
              <w:rPr>
                <w:rtl w:val="0"/>
              </w:rPr>
            </w:r>
          </w:p>
        </w:tc>
        <w:tc>
          <w:tcPr/>
          <w:p w:rsidR="00000000" w:rsidDel="00000000" w:rsidP="00000000" w:rsidRDefault="00000000" w:rsidRPr="00000000" w14:paraId="00000EBF">
            <w:pPr>
              <w:rPr>
                <w:sz w:val="10"/>
                <w:szCs w:val="10"/>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C0">
            <w:pPr>
              <w:spacing w:before="15" w:line="136" w:lineRule="auto"/>
              <w:ind w:left="238" w:firstLine="0"/>
              <w:rPr>
                <w:sz w:val="12"/>
                <w:szCs w:val="12"/>
              </w:rPr>
            </w:pPr>
            <w:r w:rsidDel="00000000" w:rsidR="00000000" w:rsidRPr="00000000">
              <w:rPr>
                <w:sz w:val="12"/>
                <w:szCs w:val="12"/>
                <w:rtl w:val="0"/>
              </w:rPr>
              <w:t xml:space="preserve">cluster</w:t>
            </w:r>
          </w:p>
        </w:tc>
        <w:tc>
          <w:tcPr/>
          <w:p w:rsidR="00000000" w:rsidDel="00000000" w:rsidP="00000000" w:rsidRDefault="00000000" w:rsidRPr="00000000" w14:paraId="00000EC1">
            <w:pPr>
              <w:rPr>
                <w:sz w:val="10"/>
                <w:szCs w:val="10"/>
              </w:rPr>
            </w:pPr>
            <w:r w:rsidDel="00000000" w:rsidR="00000000" w:rsidRPr="00000000">
              <w:rPr>
                <w:rtl w:val="0"/>
              </w:rPr>
            </w:r>
          </w:p>
        </w:tc>
        <w:tc>
          <w:tcPr/>
          <w:p w:rsidR="00000000" w:rsidDel="00000000" w:rsidP="00000000" w:rsidRDefault="00000000" w:rsidRPr="00000000" w14:paraId="00000EC2">
            <w:pPr>
              <w:rPr>
                <w:sz w:val="10"/>
                <w:szCs w:val="10"/>
              </w:rPr>
            </w:pPr>
            <w:r w:rsidDel="00000000" w:rsidR="00000000" w:rsidRPr="00000000">
              <w:rPr>
                <w:rtl w:val="0"/>
              </w:rPr>
            </w:r>
          </w:p>
        </w:tc>
        <w:tc>
          <w:tcPr/>
          <w:p w:rsidR="00000000" w:rsidDel="00000000" w:rsidP="00000000" w:rsidRDefault="00000000" w:rsidRPr="00000000" w14:paraId="00000EC3">
            <w:pPr>
              <w:rPr>
                <w:sz w:val="10"/>
                <w:szCs w:val="10"/>
              </w:rPr>
            </w:pPr>
            <w:r w:rsidDel="00000000" w:rsidR="00000000" w:rsidRPr="00000000">
              <w:rPr>
                <w:rtl w:val="0"/>
              </w:rPr>
            </w:r>
          </w:p>
        </w:tc>
        <w:tc>
          <w:tcPr/>
          <w:p w:rsidR="00000000" w:rsidDel="00000000" w:rsidP="00000000" w:rsidRDefault="00000000" w:rsidRPr="00000000" w14:paraId="00000EC4">
            <w:pPr>
              <w:rPr>
                <w:sz w:val="10"/>
                <w:szCs w:val="10"/>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C5">
            <w:pPr>
              <w:spacing w:before="15" w:line="136" w:lineRule="auto"/>
              <w:ind w:left="119" w:firstLine="0"/>
              <w:rPr>
                <w:sz w:val="12"/>
                <w:szCs w:val="12"/>
              </w:rPr>
            </w:pPr>
            <w:r w:rsidDel="00000000" w:rsidR="00000000" w:rsidRPr="00000000">
              <w:rPr>
                <w:sz w:val="12"/>
                <w:szCs w:val="12"/>
                <w:rtl w:val="0"/>
              </w:rPr>
              <w:t xml:space="preserve">Inflammatory vs</w:t>
            </w:r>
          </w:p>
        </w:tc>
        <w:tc>
          <w:tcPr/>
          <w:p w:rsidR="00000000" w:rsidDel="00000000" w:rsidP="00000000" w:rsidRDefault="00000000" w:rsidRPr="00000000" w14:paraId="00000EC6">
            <w:pPr>
              <w:spacing w:before="15" w:line="136" w:lineRule="auto"/>
              <w:ind w:left="113" w:firstLine="0"/>
              <w:rPr>
                <w:sz w:val="12"/>
                <w:szCs w:val="12"/>
              </w:rPr>
            </w:pPr>
            <w:r w:rsidDel="00000000" w:rsidR="00000000" w:rsidRPr="00000000">
              <w:rPr>
                <w:sz w:val="12"/>
                <w:szCs w:val="12"/>
                <w:rtl w:val="0"/>
              </w:rPr>
              <w:t xml:space="preserve">3.08</w:t>
            </w:r>
          </w:p>
        </w:tc>
        <w:tc>
          <w:tcPr/>
          <w:p w:rsidR="00000000" w:rsidDel="00000000" w:rsidP="00000000" w:rsidRDefault="00000000" w:rsidRPr="00000000" w14:paraId="00000EC7">
            <w:pPr>
              <w:spacing w:before="15" w:line="136" w:lineRule="auto"/>
              <w:ind w:left="129" w:firstLine="0"/>
              <w:rPr>
                <w:sz w:val="12"/>
                <w:szCs w:val="12"/>
              </w:rPr>
            </w:pPr>
            <w:r w:rsidDel="00000000" w:rsidR="00000000" w:rsidRPr="00000000">
              <w:rPr>
                <w:sz w:val="12"/>
                <w:szCs w:val="12"/>
                <w:rtl w:val="0"/>
              </w:rPr>
              <w:t xml:space="preserve">2.01</w:t>
            </w:r>
          </w:p>
        </w:tc>
        <w:tc>
          <w:tcPr/>
          <w:p w:rsidR="00000000" w:rsidDel="00000000" w:rsidP="00000000" w:rsidRDefault="00000000" w:rsidRPr="00000000" w14:paraId="00000EC8">
            <w:pPr>
              <w:spacing w:before="15" w:line="136" w:lineRule="auto"/>
              <w:ind w:left="131" w:firstLine="0"/>
              <w:rPr>
                <w:sz w:val="12"/>
                <w:szCs w:val="12"/>
              </w:rPr>
            </w:pPr>
            <w:r w:rsidDel="00000000" w:rsidR="00000000" w:rsidRPr="00000000">
              <w:rPr>
                <w:sz w:val="12"/>
                <w:szCs w:val="12"/>
                <w:rtl w:val="0"/>
              </w:rPr>
              <w:t xml:space="preserve">4.34</w:t>
            </w:r>
          </w:p>
        </w:tc>
        <w:tc>
          <w:tcPr/>
          <w:p w:rsidR="00000000" w:rsidDel="00000000" w:rsidP="00000000" w:rsidRDefault="00000000" w:rsidRPr="00000000" w14:paraId="00000EC9">
            <w:pPr>
              <w:spacing w:before="15" w:line="136" w:lineRule="auto"/>
              <w:ind w:left="130" w:firstLine="0"/>
              <w:rPr>
                <w:sz w:val="12"/>
                <w:szCs w:val="12"/>
              </w:rPr>
            </w:pPr>
            <w:r w:rsidDel="00000000" w:rsidR="00000000" w:rsidRPr="00000000">
              <w:rPr>
                <w:sz w:val="12"/>
                <w:szCs w:val="12"/>
                <w:rtl w:val="0"/>
              </w:rPr>
              <w:t xml:space="preserve">2.60</w:t>
            </w:r>
          </w:p>
        </w:tc>
      </w:tr>
      <w:tr>
        <w:trPr>
          <w:cantSplit w:val="0"/>
          <w:trHeight w:val="171" w:hRule="atLeast"/>
          <w:tblHeader w:val="0"/>
        </w:trPr>
        <w:tc>
          <w:tcPr/>
          <w:p w:rsidR="00000000" w:rsidDel="00000000" w:rsidP="00000000" w:rsidRDefault="00000000" w:rsidRPr="00000000" w14:paraId="00000ECA">
            <w:pPr>
              <w:spacing w:before="15" w:line="137" w:lineRule="auto"/>
              <w:ind w:left="238" w:firstLine="0"/>
              <w:rPr>
                <w:sz w:val="12"/>
                <w:szCs w:val="12"/>
              </w:rPr>
            </w:pPr>
            <w:r w:rsidDel="00000000" w:rsidR="00000000" w:rsidRPr="00000000">
              <w:rPr>
                <w:sz w:val="12"/>
                <w:szCs w:val="12"/>
                <w:rtl w:val="0"/>
              </w:rPr>
              <w:t xml:space="preserve">non-</w:t>
            </w:r>
          </w:p>
        </w:tc>
        <w:tc>
          <w:tcPr/>
          <w:p w:rsidR="00000000" w:rsidDel="00000000" w:rsidP="00000000" w:rsidRDefault="00000000" w:rsidRPr="00000000" w14:paraId="00000ECB">
            <w:pPr>
              <w:spacing w:before="15" w:line="137" w:lineRule="auto"/>
              <w:ind w:left="113" w:firstLine="0"/>
              <w:rPr>
                <w:sz w:val="12"/>
                <w:szCs w:val="12"/>
              </w:rPr>
            </w:pPr>
            <w:r w:rsidDel="00000000" w:rsidR="00000000" w:rsidRPr="00000000">
              <w:rPr>
                <w:sz w:val="12"/>
                <w:szCs w:val="12"/>
                <w:rtl w:val="0"/>
              </w:rPr>
              <w:t xml:space="preserve">[2.45–3.87]</w:t>
            </w:r>
          </w:p>
        </w:tc>
        <w:tc>
          <w:tcPr/>
          <w:p w:rsidR="00000000" w:rsidDel="00000000" w:rsidP="00000000" w:rsidRDefault="00000000" w:rsidRPr="00000000" w14:paraId="00000ECC">
            <w:pPr>
              <w:spacing w:before="15" w:line="137" w:lineRule="auto"/>
              <w:ind w:left="129" w:firstLine="0"/>
              <w:rPr>
                <w:sz w:val="12"/>
                <w:szCs w:val="12"/>
              </w:rPr>
            </w:pPr>
            <w:r w:rsidDel="00000000" w:rsidR="00000000" w:rsidRPr="00000000">
              <w:rPr>
                <w:sz w:val="12"/>
                <w:szCs w:val="12"/>
                <w:rtl w:val="0"/>
              </w:rPr>
              <w:t xml:space="preserve">[1.58–2.56]</w:t>
            </w:r>
          </w:p>
        </w:tc>
        <w:tc>
          <w:tcPr/>
          <w:p w:rsidR="00000000" w:rsidDel="00000000" w:rsidP="00000000" w:rsidRDefault="00000000" w:rsidRPr="00000000" w14:paraId="00000ECD">
            <w:pPr>
              <w:spacing w:before="15" w:line="137" w:lineRule="auto"/>
              <w:ind w:left="131" w:firstLine="0"/>
              <w:rPr>
                <w:sz w:val="12"/>
                <w:szCs w:val="12"/>
              </w:rPr>
            </w:pPr>
            <w:r w:rsidDel="00000000" w:rsidR="00000000" w:rsidRPr="00000000">
              <w:rPr>
                <w:sz w:val="12"/>
                <w:szCs w:val="12"/>
                <w:rtl w:val="0"/>
              </w:rPr>
              <w:t xml:space="preserve">[3.35–5.63]</w:t>
            </w:r>
          </w:p>
        </w:tc>
        <w:tc>
          <w:tcPr/>
          <w:p w:rsidR="00000000" w:rsidDel="00000000" w:rsidP="00000000" w:rsidRDefault="00000000" w:rsidRPr="00000000" w14:paraId="00000ECE">
            <w:pPr>
              <w:spacing w:before="15" w:line="137" w:lineRule="auto"/>
              <w:ind w:left="130" w:firstLine="0"/>
              <w:rPr>
                <w:sz w:val="12"/>
                <w:szCs w:val="12"/>
              </w:rPr>
            </w:pPr>
            <w:r w:rsidDel="00000000" w:rsidR="00000000" w:rsidRPr="00000000">
              <w:rPr>
                <w:sz w:val="12"/>
                <w:szCs w:val="12"/>
                <w:rtl w:val="0"/>
              </w:rPr>
              <w:t xml:space="preserve">[1.94–3.48]</w:t>
            </w:r>
          </w:p>
        </w:tc>
      </w:tr>
      <w:tr>
        <w:trPr>
          <w:cantSplit w:val="0"/>
          <w:trHeight w:val="171" w:hRule="atLeast"/>
          <w:tblHeader w:val="0"/>
        </w:trPr>
        <w:tc>
          <w:tcPr/>
          <w:p w:rsidR="00000000" w:rsidDel="00000000" w:rsidP="00000000" w:rsidRDefault="00000000" w:rsidRPr="00000000" w14:paraId="00000ECF">
            <w:pPr>
              <w:spacing w:before="15" w:line="136" w:lineRule="auto"/>
              <w:ind w:right="141"/>
              <w:jc w:val="right"/>
              <w:rPr>
                <w:sz w:val="12"/>
                <w:szCs w:val="12"/>
              </w:rPr>
            </w:pPr>
            <w:r w:rsidDel="00000000" w:rsidR="00000000" w:rsidRPr="00000000">
              <w:rPr>
                <w:sz w:val="12"/>
                <w:szCs w:val="12"/>
                <w:rtl w:val="0"/>
              </w:rPr>
              <w:t xml:space="preserve">inflammatory</w:t>
            </w:r>
          </w:p>
        </w:tc>
        <w:tc>
          <w:tcPr/>
          <w:p w:rsidR="00000000" w:rsidDel="00000000" w:rsidP="00000000" w:rsidRDefault="00000000" w:rsidRPr="00000000" w14:paraId="00000ED0">
            <w:pPr>
              <w:rPr>
                <w:sz w:val="10"/>
                <w:szCs w:val="10"/>
              </w:rPr>
            </w:pPr>
            <w:r w:rsidDel="00000000" w:rsidR="00000000" w:rsidRPr="00000000">
              <w:rPr>
                <w:rtl w:val="0"/>
              </w:rPr>
            </w:r>
          </w:p>
        </w:tc>
        <w:tc>
          <w:tcPr/>
          <w:p w:rsidR="00000000" w:rsidDel="00000000" w:rsidP="00000000" w:rsidRDefault="00000000" w:rsidRPr="00000000" w14:paraId="00000ED1">
            <w:pPr>
              <w:rPr>
                <w:sz w:val="10"/>
                <w:szCs w:val="10"/>
              </w:rPr>
            </w:pPr>
            <w:r w:rsidDel="00000000" w:rsidR="00000000" w:rsidRPr="00000000">
              <w:rPr>
                <w:rtl w:val="0"/>
              </w:rPr>
            </w:r>
          </w:p>
        </w:tc>
        <w:tc>
          <w:tcPr/>
          <w:p w:rsidR="00000000" w:rsidDel="00000000" w:rsidP="00000000" w:rsidRDefault="00000000" w:rsidRPr="00000000" w14:paraId="00000ED2">
            <w:pPr>
              <w:rPr>
                <w:sz w:val="10"/>
                <w:szCs w:val="10"/>
              </w:rPr>
            </w:pPr>
            <w:r w:rsidDel="00000000" w:rsidR="00000000" w:rsidRPr="00000000">
              <w:rPr>
                <w:rtl w:val="0"/>
              </w:rPr>
            </w:r>
          </w:p>
        </w:tc>
        <w:tc>
          <w:tcPr/>
          <w:p w:rsidR="00000000" w:rsidDel="00000000" w:rsidP="00000000" w:rsidRDefault="00000000" w:rsidRPr="00000000" w14:paraId="00000ED3">
            <w:pPr>
              <w:rPr>
                <w:sz w:val="10"/>
                <w:szCs w:val="10"/>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D4">
            <w:pPr>
              <w:spacing w:before="15" w:line="136" w:lineRule="auto"/>
              <w:ind w:left="238" w:firstLine="0"/>
              <w:rPr>
                <w:sz w:val="12"/>
                <w:szCs w:val="12"/>
              </w:rPr>
            </w:pPr>
            <w:r w:rsidDel="00000000" w:rsidR="00000000" w:rsidRPr="00000000">
              <w:rPr>
                <w:sz w:val="12"/>
                <w:szCs w:val="12"/>
                <w:rtl w:val="0"/>
              </w:rPr>
              <w:t xml:space="preserve">cluster</w:t>
            </w:r>
          </w:p>
        </w:tc>
        <w:tc>
          <w:tcPr/>
          <w:p w:rsidR="00000000" w:rsidDel="00000000" w:rsidP="00000000" w:rsidRDefault="00000000" w:rsidRPr="00000000" w14:paraId="00000ED5">
            <w:pPr>
              <w:rPr>
                <w:sz w:val="10"/>
                <w:szCs w:val="10"/>
              </w:rPr>
            </w:pPr>
            <w:r w:rsidDel="00000000" w:rsidR="00000000" w:rsidRPr="00000000">
              <w:rPr>
                <w:rtl w:val="0"/>
              </w:rPr>
            </w:r>
          </w:p>
        </w:tc>
        <w:tc>
          <w:tcPr/>
          <w:p w:rsidR="00000000" w:rsidDel="00000000" w:rsidP="00000000" w:rsidRDefault="00000000" w:rsidRPr="00000000" w14:paraId="00000ED6">
            <w:pPr>
              <w:rPr>
                <w:sz w:val="10"/>
                <w:szCs w:val="10"/>
              </w:rPr>
            </w:pPr>
            <w:r w:rsidDel="00000000" w:rsidR="00000000" w:rsidRPr="00000000">
              <w:rPr>
                <w:rtl w:val="0"/>
              </w:rPr>
            </w:r>
          </w:p>
        </w:tc>
        <w:tc>
          <w:tcPr/>
          <w:p w:rsidR="00000000" w:rsidDel="00000000" w:rsidP="00000000" w:rsidRDefault="00000000" w:rsidRPr="00000000" w14:paraId="00000ED7">
            <w:pPr>
              <w:rPr>
                <w:sz w:val="10"/>
                <w:szCs w:val="10"/>
              </w:rPr>
            </w:pPr>
            <w:r w:rsidDel="00000000" w:rsidR="00000000" w:rsidRPr="00000000">
              <w:rPr>
                <w:rtl w:val="0"/>
              </w:rPr>
            </w:r>
          </w:p>
        </w:tc>
        <w:tc>
          <w:tcPr/>
          <w:p w:rsidR="00000000" w:rsidDel="00000000" w:rsidP="00000000" w:rsidRDefault="00000000" w:rsidRPr="00000000" w14:paraId="00000ED8">
            <w:pPr>
              <w:rPr>
                <w:sz w:val="10"/>
                <w:szCs w:val="10"/>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D9">
            <w:pPr>
              <w:spacing w:before="15" w:line="136" w:lineRule="auto"/>
              <w:ind w:left="119" w:firstLine="0"/>
              <w:rPr>
                <w:sz w:val="12"/>
                <w:szCs w:val="12"/>
              </w:rPr>
            </w:pPr>
            <w:r w:rsidDel="00000000" w:rsidR="00000000" w:rsidRPr="00000000">
              <w:rPr>
                <w:sz w:val="12"/>
                <w:szCs w:val="12"/>
                <w:rtl w:val="0"/>
              </w:rPr>
              <w:t xml:space="preserve">Diagnosis</w:t>
            </w:r>
          </w:p>
        </w:tc>
        <w:tc>
          <w:tcPr/>
          <w:p w:rsidR="00000000" w:rsidDel="00000000" w:rsidP="00000000" w:rsidRDefault="00000000" w:rsidRPr="00000000" w14:paraId="00000EDA">
            <w:pPr>
              <w:rPr>
                <w:sz w:val="10"/>
                <w:szCs w:val="10"/>
              </w:rPr>
            </w:pPr>
            <w:r w:rsidDel="00000000" w:rsidR="00000000" w:rsidRPr="00000000">
              <w:rPr>
                <w:rtl w:val="0"/>
              </w:rPr>
            </w:r>
          </w:p>
        </w:tc>
        <w:tc>
          <w:tcPr/>
          <w:p w:rsidR="00000000" w:rsidDel="00000000" w:rsidP="00000000" w:rsidRDefault="00000000" w:rsidRPr="00000000" w14:paraId="00000EDB">
            <w:pPr>
              <w:rPr>
                <w:sz w:val="10"/>
                <w:szCs w:val="10"/>
              </w:rPr>
            </w:pPr>
            <w:r w:rsidDel="00000000" w:rsidR="00000000" w:rsidRPr="00000000">
              <w:rPr>
                <w:rtl w:val="0"/>
              </w:rPr>
            </w:r>
          </w:p>
        </w:tc>
        <w:tc>
          <w:tcPr/>
          <w:p w:rsidR="00000000" w:rsidDel="00000000" w:rsidP="00000000" w:rsidRDefault="00000000" w:rsidRPr="00000000" w14:paraId="00000EDC">
            <w:pPr>
              <w:rPr>
                <w:sz w:val="10"/>
                <w:szCs w:val="10"/>
              </w:rPr>
            </w:pPr>
            <w:r w:rsidDel="00000000" w:rsidR="00000000" w:rsidRPr="00000000">
              <w:rPr>
                <w:rtl w:val="0"/>
              </w:rPr>
            </w:r>
          </w:p>
        </w:tc>
        <w:tc>
          <w:tcPr/>
          <w:p w:rsidR="00000000" w:rsidDel="00000000" w:rsidP="00000000" w:rsidRDefault="00000000" w:rsidRPr="00000000" w14:paraId="00000EDD">
            <w:pPr>
              <w:rPr>
                <w:sz w:val="10"/>
                <w:szCs w:val="10"/>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EDE">
            <w:pPr>
              <w:spacing w:before="15" w:line="136" w:lineRule="auto"/>
              <w:ind w:left="119" w:firstLine="0"/>
              <w:rPr>
                <w:sz w:val="12"/>
                <w:szCs w:val="12"/>
              </w:rPr>
            </w:pPr>
            <w:r w:rsidDel="00000000" w:rsidR="00000000" w:rsidRPr="00000000">
              <w:rPr>
                <w:sz w:val="12"/>
                <w:szCs w:val="12"/>
                <w:rtl w:val="0"/>
              </w:rPr>
              <w:t xml:space="preserve">NSTEMI vs</w:t>
            </w:r>
          </w:p>
        </w:tc>
        <w:tc>
          <w:tcPr/>
          <w:p w:rsidR="00000000" w:rsidDel="00000000" w:rsidP="00000000" w:rsidRDefault="00000000" w:rsidRPr="00000000" w14:paraId="00000EDF">
            <w:pPr>
              <w:spacing w:before="15" w:line="136" w:lineRule="auto"/>
              <w:ind w:left="113" w:firstLine="0"/>
              <w:rPr>
                <w:sz w:val="12"/>
                <w:szCs w:val="12"/>
              </w:rPr>
            </w:pPr>
            <w:r w:rsidDel="00000000" w:rsidR="00000000" w:rsidRPr="00000000">
              <w:rPr>
                <w:sz w:val="12"/>
                <w:szCs w:val="12"/>
                <w:rtl w:val="0"/>
              </w:rPr>
              <w:t xml:space="preserve">0.82</w:t>
            </w:r>
          </w:p>
        </w:tc>
        <w:tc>
          <w:tcPr/>
          <w:p w:rsidR="00000000" w:rsidDel="00000000" w:rsidP="00000000" w:rsidRDefault="00000000" w:rsidRPr="00000000" w14:paraId="00000EE0">
            <w:pPr>
              <w:spacing w:before="15" w:line="136" w:lineRule="auto"/>
              <w:ind w:left="129" w:firstLine="0"/>
              <w:rPr>
                <w:sz w:val="12"/>
                <w:szCs w:val="12"/>
              </w:rPr>
            </w:pPr>
            <w:r w:rsidDel="00000000" w:rsidR="00000000" w:rsidRPr="00000000">
              <w:rPr>
                <w:sz w:val="12"/>
                <w:szCs w:val="12"/>
                <w:rtl w:val="0"/>
              </w:rPr>
              <w:t xml:space="preserve">0.83</w:t>
            </w:r>
          </w:p>
        </w:tc>
        <w:tc>
          <w:tcPr/>
          <w:p w:rsidR="00000000" w:rsidDel="00000000" w:rsidP="00000000" w:rsidRDefault="00000000" w:rsidRPr="00000000" w14:paraId="00000EE1">
            <w:pPr>
              <w:spacing w:before="15" w:line="136" w:lineRule="auto"/>
              <w:ind w:left="131" w:firstLine="0"/>
              <w:rPr>
                <w:sz w:val="12"/>
                <w:szCs w:val="12"/>
              </w:rPr>
            </w:pPr>
            <w:r w:rsidDel="00000000" w:rsidR="00000000" w:rsidRPr="00000000">
              <w:rPr>
                <w:sz w:val="12"/>
                <w:szCs w:val="12"/>
                <w:rtl w:val="0"/>
              </w:rPr>
              <w:t xml:space="preserve">0.72</w:t>
            </w:r>
          </w:p>
        </w:tc>
        <w:tc>
          <w:tcPr/>
          <w:p w:rsidR="00000000" w:rsidDel="00000000" w:rsidP="00000000" w:rsidRDefault="00000000" w:rsidRPr="00000000" w14:paraId="00000EE2">
            <w:pPr>
              <w:spacing w:before="15" w:line="136" w:lineRule="auto"/>
              <w:ind w:left="130" w:firstLine="0"/>
              <w:rPr>
                <w:sz w:val="12"/>
                <w:szCs w:val="12"/>
              </w:rPr>
            </w:pPr>
            <w:r w:rsidDel="00000000" w:rsidR="00000000" w:rsidRPr="00000000">
              <w:rPr>
                <w:sz w:val="12"/>
                <w:szCs w:val="12"/>
                <w:rtl w:val="0"/>
              </w:rPr>
              <w:t xml:space="preserve">0.76</w:t>
            </w:r>
          </w:p>
        </w:tc>
      </w:tr>
      <w:tr>
        <w:trPr>
          <w:cantSplit w:val="0"/>
          <w:trHeight w:val="171" w:hRule="atLeast"/>
          <w:tblHeader w:val="0"/>
        </w:trPr>
        <w:tc>
          <w:tcPr/>
          <w:p w:rsidR="00000000" w:rsidDel="00000000" w:rsidP="00000000" w:rsidRDefault="00000000" w:rsidRPr="00000000" w14:paraId="00000EE3">
            <w:pPr>
              <w:spacing w:before="15" w:line="136" w:lineRule="auto"/>
              <w:ind w:left="238" w:firstLine="0"/>
              <w:rPr>
                <w:sz w:val="12"/>
                <w:szCs w:val="12"/>
              </w:rPr>
            </w:pPr>
            <w:r w:rsidDel="00000000" w:rsidR="00000000" w:rsidRPr="00000000">
              <w:rPr>
                <w:sz w:val="12"/>
                <w:szCs w:val="12"/>
                <w:rtl w:val="0"/>
              </w:rPr>
              <w:t xml:space="preserve">STEMI</w:t>
            </w:r>
          </w:p>
        </w:tc>
        <w:tc>
          <w:tcPr/>
          <w:p w:rsidR="00000000" w:rsidDel="00000000" w:rsidP="00000000" w:rsidRDefault="00000000" w:rsidRPr="00000000" w14:paraId="00000EE4">
            <w:pPr>
              <w:spacing w:before="15" w:line="136" w:lineRule="auto"/>
              <w:ind w:left="113" w:firstLine="0"/>
              <w:rPr>
                <w:sz w:val="12"/>
                <w:szCs w:val="12"/>
              </w:rPr>
            </w:pPr>
            <w:r w:rsidDel="00000000" w:rsidR="00000000" w:rsidRPr="00000000">
              <w:rPr>
                <w:sz w:val="12"/>
                <w:szCs w:val="12"/>
                <w:rtl w:val="0"/>
              </w:rPr>
              <w:t xml:space="preserve">[0.71–0.94]</w:t>
            </w:r>
          </w:p>
        </w:tc>
        <w:tc>
          <w:tcPr/>
          <w:p w:rsidR="00000000" w:rsidDel="00000000" w:rsidP="00000000" w:rsidRDefault="00000000" w:rsidRPr="00000000" w14:paraId="00000EE5">
            <w:pPr>
              <w:spacing w:before="15" w:line="136" w:lineRule="auto"/>
              <w:ind w:left="129" w:firstLine="0"/>
              <w:rPr>
                <w:sz w:val="12"/>
                <w:szCs w:val="12"/>
              </w:rPr>
            </w:pPr>
            <w:r w:rsidDel="00000000" w:rsidR="00000000" w:rsidRPr="00000000">
              <w:rPr>
                <w:sz w:val="12"/>
                <w:szCs w:val="12"/>
                <w:rtl w:val="0"/>
              </w:rPr>
              <w:t xml:space="preserve">[0.73–0.96]</w:t>
            </w:r>
          </w:p>
        </w:tc>
        <w:tc>
          <w:tcPr/>
          <w:p w:rsidR="00000000" w:rsidDel="00000000" w:rsidP="00000000" w:rsidRDefault="00000000" w:rsidRPr="00000000" w14:paraId="00000EE6">
            <w:pPr>
              <w:spacing w:before="15" w:line="136" w:lineRule="auto"/>
              <w:ind w:left="131" w:firstLine="0"/>
              <w:rPr>
                <w:sz w:val="12"/>
                <w:szCs w:val="12"/>
              </w:rPr>
            </w:pPr>
            <w:r w:rsidDel="00000000" w:rsidR="00000000" w:rsidRPr="00000000">
              <w:rPr>
                <w:sz w:val="12"/>
                <w:szCs w:val="12"/>
                <w:rtl w:val="0"/>
              </w:rPr>
              <w:t xml:space="preserve">[0.60–0.86]</w:t>
            </w:r>
          </w:p>
        </w:tc>
        <w:tc>
          <w:tcPr/>
          <w:p w:rsidR="00000000" w:rsidDel="00000000" w:rsidP="00000000" w:rsidRDefault="00000000" w:rsidRPr="00000000" w14:paraId="00000EE7">
            <w:pPr>
              <w:spacing w:before="15" w:line="136" w:lineRule="auto"/>
              <w:ind w:left="130" w:firstLine="0"/>
              <w:rPr>
                <w:sz w:val="12"/>
                <w:szCs w:val="12"/>
              </w:rPr>
            </w:pPr>
            <w:r w:rsidDel="00000000" w:rsidR="00000000" w:rsidRPr="00000000">
              <w:rPr>
                <w:sz w:val="12"/>
                <w:szCs w:val="12"/>
                <w:rtl w:val="0"/>
              </w:rPr>
              <w:t xml:space="preserve">[0.63–0.92]</w:t>
            </w:r>
          </w:p>
        </w:tc>
      </w:tr>
      <w:tr>
        <w:trPr>
          <w:cantSplit w:val="0"/>
          <w:trHeight w:val="171" w:hRule="atLeast"/>
          <w:tblHeader w:val="0"/>
        </w:trPr>
        <w:tc>
          <w:tcPr/>
          <w:p w:rsidR="00000000" w:rsidDel="00000000" w:rsidP="00000000" w:rsidRDefault="00000000" w:rsidRPr="00000000" w14:paraId="00000EE8">
            <w:pPr>
              <w:spacing w:before="15" w:line="136" w:lineRule="auto"/>
              <w:ind w:left="119" w:firstLine="0"/>
              <w:rPr>
                <w:sz w:val="12"/>
                <w:szCs w:val="12"/>
              </w:rPr>
            </w:pPr>
            <w:r w:rsidDel="00000000" w:rsidR="00000000" w:rsidRPr="00000000">
              <w:rPr>
                <w:sz w:val="12"/>
                <w:szCs w:val="12"/>
                <w:rtl w:val="0"/>
              </w:rPr>
              <w:t xml:space="preserve">UA vs STEMI</w:t>
            </w:r>
          </w:p>
        </w:tc>
        <w:tc>
          <w:tcPr/>
          <w:p w:rsidR="00000000" w:rsidDel="00000000" w:rsidP="00000000" w:rsidRDefault="00000000" w:rsidRPr="00000000" w14:paraId="00000EE9">
            <w:pPr>
              <w:spacing w:before="15" w:line="136" w:lineRule="auto"/>
              <w:ind w:left="113" w:firstLine="0"/>
              <w:rPr>
                <w:sz w:val="12"/>
                <w:szCs w:val="12"/>
              </w:rPr>
            </w:pPr>
            <w:r w:rsidDel="00000000" w:rsidR="00000000" w:rsidRPr="00000000">
              <w:rPr>
                <w:sz w:val="12"/>
                <w:szCs w:val="12"/>
                <w:rtl w:val="0"/>
              </w:rPr>
              <w:t xml:space="preserve">0.67</w:t>
            </w:r>
          </w:p>
        </w:tc>
        <w:tc>
          <w:tcPr/>
          <w:p w:rsidR="00000000" w:rsidDel="00000000" w:rsidP="00000000" w:rsidRDefault="00000000" w:rsidRPr="00000000" w14:paraId="00000EEA">
            <w:pPr>
              <w:spacing w:before="15" w:line="136" w:lineRule="auto"/>
              <w:ind w:left="129" w:firstLine="0"/>
              <w:rPr>
                <w:sz w:val="12"/>
                <w:szCs w:val="12"/>
              </w:rPr>
            </w:pPr>
            <w:r w:rsidDel="00000000" w:rsidR="00000000" w:rsidRPr="00000000">
              <w:rPr>
                <w:sz w:val="12"/>
                <w:szCs w:val="12"/>
                <w:rtl w:val="0"/>
              </w:rPr>
              <w:t xml:space="preserve">0.70</w:t>
            </w:r>
          </w:p>
        </w:tc>
        <w:tc>
          <w:tcPr/>
          <w:p w:rsidR="00000000" w:rsidDel="00000000" w:rsidP="00000000" w:rsidRDefault="00000000" w:rsidRPr="00000000" w14:paraId="00000EEB">
            <w:pPr>
              <w:spacing w:before="15" w:line="136" w:lineRule="auto"/>
              <w:ind w:left="131" w:firstLine="0"/>
              <w:rPr>
                <w:sz w:val="12"/>
                <w:szCs w:val="12"/>
              </w:rPr>
            </w:pPr>
            <w:r w:rsidDel="00000000" w:rsidR="00000000" w:rsidRPr="00000000">
              <w:rPr>
                <w:sz w:val="12"/>
                <w:szCs w:val="12"/>
                <w:rtl w:val="0"/>
              </w:rPr>
              <w:t xml:space="preserve">0.52</w:t>
            </w:r>
          </w:p>
        </w:tc>
        <w:tc>
          <w:tcPr/>
          <w:p w:rsidR="00000000" w:rsidDel="00000000" w:rsidP="00000000" w:rsidRDefault="00000000" w:rsidRPr="00000000" w14:paraId="00000EEC">
            <w:pPr>
              <w:spacing w:before="15" w:line="136" w:lineRule="auto"/>
              <w:ind w:left="130" w:firstLine="0"/>
              <w:rPr>
                <w:sz w:val="12"/>
                <w:szCs w:val="12"/>
              </w:rPr>
            </w:pPr>
            <w:r w:rsidDel="00000000" w:rsidR="00000000" w:rsidRPr="00000000">
              <w:rPr>
                <w:sz w:val="12"/>
                <w:szCs w:val="12"/>
                <w:rtl w:val="0"/>
              </w:rPr>
              <w:t xml:space="preserve">0.58</w:t>
            </w:r>
          </w:p>
        </w:tc>
      </w:tr>
      <w:tr>
        <w:trPr>
          <w:cantSplit w:val="0"/>
          <w:trHeight w:val="171" w:hRule="atLeast"/>
          <w:tblHeader w:val="0"/>
        </w:trPr>
        <w:tc>
          <w:tcPr/>
          <w:p w:rsidR="00000000" w:rsidDel="00000000" w:rsidP="00000000" w:rsidRDefault="00000000" w:rsidRPr="00000000" w14:paraId="00000EED">
            <w:pPr>
              <w:rPr>
                <w:sz w:val="10"/>
                <w:szCs w:val="10"/>
              </w:rPr>
            </w:pPr>
            <w:r w:rsidDel="00000000" w:rsidR="00000000" w:rsidRPr="00000000">
              <w:rPr>
                <w:rtl w:val="0"/>
              </w:rPr>
            </w:r>
          </w:p>
        </w:tc>
        <w:tc>
          <w:tcPr/>
          <w:p w:rsidR="00000000" w:rsidDel="00000000" w:rsidP="00000000" w:rsidRDefault="00000000" w:rsidRPr="00000000" w14:paraId="00000EEE">
            <w:pPr>
              <w:spacing w:before="15" w:line="137" w:lineRule="auto"/>
              <w:ind w:left="113" w:firstLine="0"/>
              <w:rPr>
                <w:sz w:val="12"/>
                <w:szCs w:val="12"/>
              </w:rPr>
            </w:pPr>
            <w:r w:rsidDel="00000000" w:rsidR="00000000" w:rsidRPr="00000000">
              <w:rPr>
                <w:sz w:val="12"/>
                <w:szCs w:val="12"/>
                <w:rtl w:val="0"/>
              </w:rPr>
              <w:t xml:space="preserve">[0.58–0.77]</w:t>
            </w:r>
          </w:p>
        </w:tc>
        <w:tc>
          <w:tcPr/>
          <w:p w:rsidR="00000000" w:rsidDel="00000000" w:rsidP="00000000" w:rsidRDefault="00000000" w:rsidRPr="00000000" w14:paraId="00000EEF">
            <w:pPr>
              <w:spacing w:before="15" w:line="137" w:lineRule="auto"/>
              <w:ind w:left="129" w:firstLine="0"/>
              <w:rPr>
                <w:sz w:val="12"/>
                <w:szCs w:val="12"/>
              </w:rPr>
            </w:pPr>
            <w:r w:rsidDel="00000000" w:rsidR="00000000" w:rsidRPr="00000000">
              <w:rPr>
                <w:sz w:val="12"/>
                <w:szCs w:val="12"/>
                <w:rtl w:val="0"/>
              </w:rPr>
              <w:t xml:space="preserve">[0.61–0.80]</w:t>
            </w:r>
          </w:p>
        </w:tc>
        <w:tc>
          <w:tcPr/>
          <w:p w:rsidR="00000000" w:rsidDel="00000000" w:rsidP="00000000" w:rsidRDefault="00000000" w:rsidRPr="00000000" w14:paraId="00000EF0">
            <w:pPr>
              <w:spacing w:before="15" w:line="137" w:lineRule="auto"/>
              <w:ind w:left="131" w:firstLine="0"/>
              <w:rPr>
                <w:sz w:val="12"/>
                <w:szCs w:val="12"/>
              </w:rPr>
            </w:pPr>
            <w:r w:rsidDel="00000000" w:rsidR="00000000" w:rsidRPr="00000000">
              <w:rPr>
                <w:sz w:val="12"/>
                <w:szCs w:val="12"/>
                <w:rtl w:val="0"/>
              </w:rPr>
              <w:t xml:space="preserve">[0.43–0.62]</w:t>
            </w:r>
          </w:p>
        </w:tc>
        <w:tc>
          <w:tcPr/>
          <w:p w:rsidR="00000000" w:rsidDel="00000000" w:rsidP="00000000" w:rsidRDefault="00000000" w:rsidRPr="00000000" w14:paraId="00000EF1">
            <w:pPr>
              <w:spacing w:before="15" w:line="137" w:lineRule="auto"/>
              <w:ind w:left="130" w:firstLine="0"/>
              <w:rPr>
                <w:sz w:val="12"/>
                <w:szCs w:val="12"/>
              </w:rPr>
            </w:pPr>
            <w:r w:rsidDel="00000000" w:rsidR="00000000" w:rsidRPr="00000000">
              <w:rPr>
                <w:sz w:val="12"/>
                <w:szCs w:val="12"/>
                <w:rtl w:val="0"/>
              </w:rPr>
              <w:t xml:space="preserve">[0.48–0.70]</w:t>
            </w:r>
          </w:p>
        </w:tc>
      </w:tr>
      <w:tr>
        <w:trPr>
          <w:cantSplit w:val="0"/>
          <w:trHeight w:val="156" w:hRule="atLeast"/>
          <w:tblHeader w:val="0"/>
        </w:trPr>
        <w:tc>
          <w:tcPr/>
          <w:p w:rsidR="00000000" w:rsidDel="00000000" w:rsidP="00000000" w:rsidRDefault="00000000" w:rsidRPr="00000000" w14:paraId="00000EF2">
            <w:pPr>
              <w:spacing w:before="15" w:line="121" w:lineRule="auto"/>
              <w:ind w:left="119" w:firstLine="0"/>
              <w:rPr>
                <w:sz w:val="12"/>
                <w:szCs w:val="12"/>
              </w:rPr>
            </w:pPr>
            <w:r w:rsidDel="00000000" w:rsidR="00000000" w:rsidRPr="00000000">
              <w:rPr>
                <w:sz w:val="12"/>
                <w:szCs w:val="12"/>
                <w:rtl w:val="0"/>
              </w:rPr>
              <w:t xml:space="preserve">elective PCI vs</w:t>
            </w:r>
          </w:p>
        </w:tc>
        <w:tc>
          <w:tcPr/>
          <w:p w:rsidR="00000000" w:rsidDel="00000000" w:rsidP="00000000" w:rsidRDefault="00000000" w:rsidRPr="00000000" w14:paraId="00000EF3">
            <w:pPr>
              <w:spacing w:before="15" w:line="121" w:lineRule="auto"/>
              <w:ind w:left="113" w:firstLine="0"/>
              <w:rPr>
                <w:sz w:val="12"/>
                <w:szCs w:val="12"/>
              </w:rPr>
            </w:pPr>
            <w:r w:rsidDel="00000000" w:rsidR="00000000" w:rsidRPr="00000000">
              <w:rPr>
                <w:sz w:val="12"/>
                <w:szCs w:val="12"/>
                <w:rtl w:val="0"/>
              </w:rPr>
              <w:t xml:space="preserve">0.54</w:t>
            </w:r>
          </w:p>
        </w:tc>
        <w:tc>
          <w:tcPr/>
          <w:p w:rsidR="00000000" w:rsidDel="00000000" w:rsidP="00000000" w:rsidRDefault="00000000" w:rsidRPr="00000000" w14:paraId="00000EF4">
            <w:pPr>
              <w:spacing w:before="15" w:line="121" w:lineRule="auto"/>
              <w:ind w:left="129" w:firstLine="0"/>
              <w:rPr>
                <w:sz w:val="12"/>
                <w:szCs w:val="12"/>
              </w:rPr>
            </w:pPr>
            <w:r w:rsidDel="00000000" w:rsidR="00000000" w:rsidRPr="00000000">
              <w:rPr>
                <w:sz w:val="12"/>
                <w:szCs w:val="12"/>
                <w:rtl w:val="0"/>
              </w:rPr>
              <w:t xml:space="preserve">0.58</w:t>
            </w:r>
          </w:p>
        </w:tc>
        <w:tc>
          <w:tcPr/>
          <w:p w:rsidR="00000000" w:rsidDel="00000000" w:rsidP="00000000" w:rsidRDefault="00000000" w:rsidRPr="00000000" w14:paraId="00000EF5">
            <w:pPr>
              <w:spacing w:before="15" w:line="121" w:lineRule="auto"/>
              <w:ind w:left="131" w:firstLine="0"/>
              <w:rPr>
                <w:sz w:val="12"/>
                <w:szCs w:val="12"/>
              </w:rPr>
            </w:pPr>
            <w:r w:rsidDel="00000000" w:rsidR="00000000" w:rsidRPr="00000000">
              <w:rPr>
                <w:sz w:val="12"/>
                <w:szCs w:val="12"/>
                <w:rtl w:val="0"/>
              </w:rPr>
              <w:t xml:space="preserve">0.37</w:t>
            </w:r>
          </w:p>
        </w:tc>
        <w:tc>
          <w:tcPr/>
          <w:p w:rsidR="00000000" w:rsidDel="00000000" w:rsidP="00000000" w:rsidRDefault="00000000" w:rsidRPr="00000000" w14:paraId="00000EF6">
            <w:pPr>
              <w:spacing w:before="15" w:line="121" w:lineRule="auto"/>
              <w:ind w:left="130" w:firstLine="0"/>
              <w:rPr>
                <w:sz w:val="12"/>
                <w:szCs w:val="12"/>
              </w:rPr>
            </w:pPr>
            <w:r w:rsidDel="00000000" w:rsidR="00000000" w:rsidRPr="00000000">
              <w:rPr>
                <w:sz w:val="12"/>
                <w:szCs w:val="12"/>
                <w:rtl w:val="0"/>
              </w:rPr>
              <w:t xml:space="preserve">0.53</w:t>
            </w:r>
          </w:p>
        </w:tc>
      </w:tr>
      <w:tr>
        <w:trPr>
          <w:cantSplit w:val="0"/>
          <w:trHeight w:val="186" w:hRule="atLeast"/>
          <w:tblHeader w:val="0"/>
        </w:trPr>
        <w:tc>
          <w:tcPr/>
          <w:p w:rsidR="00000000" w:rsidDel="00000000" w:rsidP="00000000" w:rsidRDefault="00000000" w:rsidRPr="00000000" w14:paraId="00000EF7">
            <w:pPr>
              <w:spacing w:before="30" w:line="136" w:lineRule="auto"/>
              <w:ind w:left="238" w:firstLine="0"/>
              <w:rPr>
                <w:sz w:val="12"/>
                <w:szCs w:val="12"/>
              </w:rPr>
            </w:pPr>
            <w:r w:rsidDel="00000000" w:rsidR="00000000" w:rsidRPr="00000000">
              <w:rPr>
                <w:sz w:val="12"/>
                <w:szCs w:val="12"/>
                <w:rtl w:val="0"/>
              </w:rPr>
              <w:t xml:space="preserve">STEMI</w:t>
            </w:r>
          </w:p>
        </w:tc>
        <w:tc>
          <w:tcPr/>
          <w:p w:rsidR="00000000" w:rsidDel="00000000" w:rsidP="00000000" w:rsidRDefault="00000000" w:rsidRPr="00000000" w14:paraId="00000EF8">
            <w:pPr>
              <w:spacing w:before="30" w:line="136" w:lineRule="auto"/>
              <w:ind w:left="113" w:firstLine="0"/>
              <w:rPr>
                <w:sz w:val="12"/>
                <w:szCs w:val="12"/>
              </w:rPr>
            </w:pPr>
            <w:r w:rsidDel="00000000" w:rsidR="00000000" w:rsidRPr="00000000">
              <w:rPr>
                <w:sz w:val="12"/>
                <w:szCs w:val="12"/>
                <w:rtl w:val="0"/>
              </w:rPr>
              <w:t xml:space="preserve">[0.47–0.63]</w:t>
            </w:r>
          </w:p>
        </w:tc>
        <w:tc>
          <w:tcPr/>
          <w:p w:rsidR="00000000" w:rsidDel="00000000" w:rsidP="00000000" w:rsidRDefault="00000000" w:rsidRPr="00000000" w14:paraId="00000EF9">
            <w:pPr>
              <w:spacing w:before="30" w:line="136" w:lineRule="auto"/>
              <w:ind w:left="129" w:firstLine="0"/>
              <w:rPr>
                <w:sz w:val="12"/>
                <w:szCs w:val="12"/>
              </w:rPr>
            </w:pPr>
            <w:r w:rsidDel="00000000" w:rsidR="00000000" w:rsidRPr="00000000">
              <w:rPr>
                <w:sz w:val="12"/>
                <w:szCs w:val="12"/>
                <w:rtl w:val="0"/>
              </w:rPr>
              <w:t xml:space="preserve">[0.51–0.67]</w:t>
            </w:r>
          </w:p>
        </w:tc>
        <w:tc>
          <w:tcPr/>
          <w:p w:rsidR="00000000" w:rsidDel="00000000" w:rsidP="00000000" w:rsidRDefault="00000000" w:rsidRPr="00000000" w14:paraId="00000EFA">
            <w:pPr>
              <w:spacing w:before="30" w:line="136" w:lineRule="auto"/>
              <w:ind w:left="131" w:firstLine="0"/>
              <w:rPr>
                <w:sz w:val="12"/>
                <w:szCs w:val="12"/>
              </w:rPr>
            </w:pPr>
            <w:r w:rsidDel="00000000" w:rsidR="00000000" w:rsidRPr="00000000">
              <w:rPr>
                <w:sz w:val="12"/>
                <w:szCs w:val="12"/>
                <w:rtl w:val="0"/>
              </w:rPr>
              <w:t xml:space="preserve">[0.31–0.44]</w:t>
            </w:r>
          </w:p>
        </w:tc>
        <w:tc>
          <w:tcPr/>
          <w:p w:rsidR="00000000" w:rsidDel="00000000" w:rsidP="00000000" w:rsidRDefault="00000000" w:rsidRPr="00000000" w14:paraId="00000EFB">
            <w:pPr>
              <w:spacing w:before="30" w:line="136" w:lineRule="auto"/>
              <w:ind w:left="130" w:firstLine="0"/>
              <w:rPr>
                <w:sz w:val="12"/>
                <w:szCs w:val="12"/>
              </w:rPr>
            </w:pPr>
            <w:r w:rsidDel="00000000" w:rsidR="00000000" w:rsidRPr="00000000">
              <w:rPr>
                <w:sz w:val="12"/>
                <w:szCs w:val="12"/>
                <w:rtl w:val="0"/>
              </w:rPr>
              <w:t xml:space="preserve">[0.37–0.44]</w:t>
            </w:r>
          </w:p>
        </w:tc>
      </w:tr>
      <w:tr>
        <w:trPr>
          <w:cantSplit w:val="0"/>
          <w:trHeight w:val="171" w:hRule="atLeast"/>
          <w:tblHeader w:val="0"/>
        </w:trPr>
        <w:tc>
          <w:tcPr/>
          <w:p w:rsidR="00000000" w:rsidDel="00000000" w:rsidP="00000000" w:rsidRDefault="00000000" w:rsidRPr="00000000" w14:paraId="00000EFC">
            <w:pPr>
              <w:spacing w:before="15" w:line="136" w:lineRule="auto"/>
              <w:ind w:left="119" w:firstLine="0"/>
              <w:rPr>
                <w:sz w:val="12"/>
                <w:szCs w:val="12"/>
              </w:rPr>
            </w:pPr>
            <w:r w:rsidDel="00000000" w:rsidR="00000000" w:rsidRPr="00000000">
              <w:rPr>
                <w:sz w:val="12"/>
                <w:szCs w:val="12"/>
                <w:rtl w:val="0"/>
              </w:rPr>
              <w:t xml:space="preserve">History of</w:t>
            </w:r>
          </w:p>
        </w:tc>
        <w:tc>
          <w:tcPr/>
          <w:p w:rsidR="00000000" w:rsidDel="00000000" w:rsidP="00000000" w:rsidRDefault="00000000" w:rsidRPr="00000000" w14:paraId="00000EFD">
            <w:pPr>
              <w:spacing w:before="15" w:line="136" w:lineRule="auto"/>
              <w:ind w:left="113" w:firstLine="0"/>
              <w:rPr>
                <w:sz w:val="12"/>
                <w:szCs w:val="12"/>
              </w:rPr>
            </w:pPr>
            <w:r w:rsidDel="00000000" w:rsidR="00000000" w:rsidRPr="00000000">
              <w:rPr>
                <w:sz w:val="12"/>
                <w:szCs w:val="12"/>
                <w:rtl w:val="0"/>
              </w:rPr>
              <w:t xml:space="preserve">1.87</w:t>
            </w:r>
          </w:p>
        </w:tc>
        <w:tc>
          <w:tcPr/>
          <w:p w:rsidR="00000000" w:rsidDel="00000000" w:rsidP="00000000" w:rsidRDefault="00000000" w:rsidRPr="00000000" w14:paraId="00000EFE">
            <w:pPr>
              <w:spacing w:before="15" w:line="136" w:lineRule="auto"/>
              <w:ind w:left="129" w:firstLine="0"/>
              <w:rPr>
                <w:sz w:val="12"/>
                <w:szCs w:val="12"/>
              </w:rPr>
            </w:pPr>
            <w:r w:rsidDel="00000000" w:rsidR="00000000" w:rsidRPr="00000000">
              <w:rPr>
                <w:sz w:val="12"/>
                <w:szCs w:val="12"/>
                <w:rtl w:val="0"/>
              </w:rPr>
              <w:t xml:space="preserve">1.81</w:t>
            </w:r>
          </w:p>
        </w:tc>
        <w:tc>
          <w:tcPr/>
          <w:p w:rsidR="00000000" w:rsidDel="00000000" w:rsidP="00000000" w:rsidRDefault="00000000" w:rsidRPr="00000000" w14:paraId="00000EFF">
            <w:pPr>
              <w:spacing w:before="15" w:line="136" w:lineRule="auto"/>
              <w:ind w:left="131" w:firstLine="0"/>
              <w:rPr>
                <w:sz w:val="12"/>
                <w:szCs w:val="12"/>
              </w:rPr>
            </w:pPr>
            <w:r w:rsidDel="00000000" w:rsidR="00000000" w:rsidRPr="00000000">
              <w:rPr>
                <w:sz w:val="12"/>
                <w:szCs w:val="12"/>
                <w:rtl w:val="0"/>
              </w:rPr>
              <w:t xml:space="preserve">1.98</w:t>
            </w:r>
          </w:p>
        </w:tc>
        <w:tc>
          <w:tcPr/>
          <w:p w:rsidR="00000000" w:rsidDel="00000000" w:rsidP="00000000" w:rsidRDefault="00000000" w:rsidRPr="00000000" w14:paraId="00000F00">
            <w:pPr>
              <w:spacing w:before="15" w:line="136" w:lineRule="auto"/>
              <w:ind w:left="130" w:firstLine="0"/>
              <w:rPr>
                <w:sz w:val="12"/>
                <w:szCs w:val="12"/>
              </w:rPr>
            </w:pPr>
            <w:r w:rsidDel="00000000" w:rsidR="00000000" w:rsidRPr="00000000">
              <w:rPr>
                <w:sz w:val="12"/>
                <w:szCs w:val="12"/>
                <w:rtl w:val="0"/>
              </w:rPr>
              <w:t xml:space="preserve">2.02</w:t>
            </w:r>
          </w:p>
        </w:tc>
      </w:tr>
      <w:tr>
        <w:trPr>
          <w:cantSplit w:val="0"/>
          <w:trHeight w:val="171" w:hRule="atLeast"/>
          <w:tblHeader w:val="0"/>
        </w:trPr>
        <w:tc>
          <w:tcPr/>
          <w:p w:rsidR="00000000" w:rsidDel="00000000" w:rsidP="00000000" w:rsidRDefault="00000000" w:rsidRPr="00000000" w14:paraId="00000F01">
            <w:pPr>
              <w:spacing w:before="15" w:line="136" w:lineRule="auto"/>
              <w:ind w:left="238" w:firstLine="0"/>
              <w:rPr>
                <w:sz w:val="12"/>
                <w:szCs w:val="12"/>
              </w:rPr>
            </w:pPr>
            <w:r w:rsidDel="00000000" w:rsidR="00000000" w:rsidRPr="00000000">
              <w:rPr>
                <w:sz w:val="12"/>
                <w:szCs w:val="12"/>
                <w:rtl w:val="0"/>
              </w:rPr>
              <w:t xml:space="preserve">myocardial</w:t>
            </w:r>
          </w:p>
        </w:tc>
        <w:tc>
          <w:tcPr/>
          <w:p w:rsidR="00000000" w:rsidDel="00000000" w:rsidP="00000000" w:rsidRDefault="00000000" w:rsidRPr="00000000" w14:paraId="00000F02">
            <w:pPr>
              <w:spacing w:before="15" w:line="136" w:lineRule="auto"/>
              <w:ind w:left="113" w:firstLine="0"/>
              <w:rPr>
                <w:sz w:val="12"/>
                <w:szCs w:val="12"/>
              </w:rPr>
            </w:pPr>
            <w:r w:rsidDel="00000000" w:rsidR="00000000" w:rsidRPr="00000000">
              <w:rPr>
                <w:sz w:val="12"/>
                <w:szCs w:val="12"/>
                <w:rtl w:val="0"/>
              </w:rPr>
              <w:t xml:space="preserve">[1.36–2.57]</w:t>
            </w:r>
          </w:p>
        </w:tc>
        <w:tc>
          <w:tcPr/>
          <w:p w:rsidR="00000000" w:rsidDel="00000000" w:rsidP="00000000" w:rsidRDefault="00000000" w:rsidRPr="00000000" w14:paraId="00000F03">
            <w:pPr>
              <w:spacing w:before="15" w:line="136" w:lineRule="auto"/>
              <w:ind w:left="129" w:firstLine="0"/>
              <w:rPr>
                <w:sz w:val="12"/>
                <w:szCs w:val="12"/>
              </w:rPr>
            </w:pPr>
            <w:r w:rsidDel="00000000" w:rsidR="00000000" w:rsidRPr="00000000">
              <w:rPr>
                <w:sz w:val="12"/>
                <w:szCs w:val="12"/>
                <w:rtl w:val="0"/>
              </w:rPr>
              <w:t xml:space="preserve">[1.19–2.75]</w:t>
            </w:r>
          </w:p>
        </w:tc>
        <w:tc>
          <w:tcPr/>
          <w:p w:rsidR="00000000" w:rsidDel="00000000" w:rsidP="00000000" w:rsidRDefault="00000000" w:rsidRPr="00000000" w14:paraId="00000F04">
            <w:pPr>
              <w:spacing w:before="15" w:line="136" w:lineRule="auto"/>
              <w:ind w:left="131" w:firstLine="0"/>
              <w:rPr>
                <w:sz w:val="12"/>
                <w:szCs w:val="12"/>
              </w:rPr>
            </w:pPr>
            <w:r w:rsidDel="00000000" w:rsidR="00000000" w:rsidRPr="00000000">
              <w:rPr>
                <w:sz w:val="12"/>
                <w:szCs w:val="12"/>
                <w:rtl w:val="0"/>
              </w:rPr>
              <w:t xml:space="preserve">[1.33–2.94]</w:t>
            </w:r>
          </w:p>
        </w:tc>
        <w:tc>
          <w:tcPr/>
          <w:p w:rsidR="00000000" w:rsidDel="00000000" w:rsidP="00000000" w:rsidRDefault="00000000" w:rsidRPr="00000000" w14:paraId="00000F05">
            <w:pPr>
              <w:spacing w:before="15" w:line="136" w:lineRule="auto"/>
              <w:ind w:left="130" w:firstLine="0"/>
              <w:rPr>
                <w:sz w:val="12"/>
                <w:szCs w:val="12"/>
              </w:rPr>
            </w:pPr>
            <w:r w:rsidDel="00000000" w:rsidR="00000000" w:rsidRPr="00000000">
              <w:rPr>
                <w:sz w:val="12"/>
                <w:szCs w:val="12"/>
                <w:rtl w:val="0"/>
              </w:rPr>
              <w:t xml:space="preserve">[1.30–3.14]</w:t>
            </w:r>
          </w:p>
        </w:tc>
      </w:tr>
      <w:tr>
        <w:trPr>
          <w:cantSplit w:val="0"/>
          <w:trHeight w:val="171" w:hRule="atLeast"/>
          <w:tblHeader w:val="0"/>
        </w:trPr>
        <w:tc>
          <w:tcPr/>
          <w:p w:rsidR="00000000" w:rsidDel="00000000" w:rsidP="00000000" w:rsidRDefault="00000000" w:rsidRPr="00000000" w14:paraId="00000F06">
            <w:pPr>
              <w:spacing w:before="15" w:line="136" w:lineRule="auto"/>
              <w:ind w:left="238" w:firstLine="0"/>
              <w:rPr>
                <w:sz w:val="12"/>
                <w:szCs w:val="12"/>
              </w:rPr>
            </w:pPr>
            <w:r w:rsidDel="00000000" w:rsidR="00000000" w:rsidRPr="00000000">
              <w:rPr>
                <w:sz w:val="12"/>
                <w:szCs w:val="12"/>
                <w:rtl w:val="0"/>
              </w:rPr>
              <w:t xml:space="preserve">infarction</w:t>
            </w:r>
          </w:p>
        </w:tc>
        <w:tc>
          <w:tcPr/>
          <w:p w:rsidR="00000000" w:rsidDel="00000000" w:rsidP="00000000" w:rsidRDefault="00000000" w:rsidRPr="00000000" w14:paraId="00000F07">
            <w:pPr>
              <w:rPr>
                <w:sz w:val="10"/>
                <w:szCs w:val="10"/>
              </w:rPr>
            </w:pPr>
            <w:r w:rsidDel="00000000" w:rsidR="00000000" w:rsidRPr="00000000">
              <w:rPr>
                <w:rtl w:val="0"/>
              </w:rPr>
            </w:r>
          </w:p>
        </w:tc>
        <w:tc>
          <w:tcPr/>
          <w:p w:rsidR="00000000" w:rsidDel="00000000" w:rsidP="00000000" w:rsidRDefault="00000000" w:rsidRPr="00000000" w14:paraId="00000F08">
            <w:pPr>
              <w:rPr>
                <w:sz w:val="10"/>
                <w:szCs w:val="10"/>
              </w:rPr>
            </w:pPr>
            <w:r w:rsidDel="00000000" w:rsidR="00000000" w:rsidRPr="00000000">
              <w:rPr>
                <w:rtl w:val="0"/>
              </w:rPr>
            </w:r>
          </w:p>
        </w:tc>
        <w:tc>
          <w:tcPr/>
          <w:p w:rsidR="00000000" w:rsidDel="00000000" w:rsidP="00000000" w:rsidRDefault="00000000" w:rsidRPr="00000000" w14:paraId="00000F09">
            <w:pPr>
              <w:rPr>
                <w:sz w:val="10"/>
                <w:szCs w:val="10"/>
              </w:rPr>
            </w:pPr>
            <w:r w:rsidDel="00000000" w:rsidR="00000000" w:rsidRPr="00000000">
              <w:rPr>
                <w:rtl w:val="0"/>
              </w:rPr>
            </w:r>
          </w:p>
        </w:tc>
        <w:tc>
          <w:tcPr/>
          <w:p w:rsidR="00000000" w:rsidDel="00000000" w:rsidP="00000000" w:rsidRDefault="00000000" w:rsidRPr="00000000" w14:paraId="00000F0A">
            <w:pPr>
              <w:rPr>
                <w:sz w:val="10"/>
                <w:szCs w:val="10"/>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0B">
            <w:pPr>
              <w:spacing w:before="15" w:line="136" w:lineRule="auto"/>
              <w:ind w:left="119" w:firstLine="0"/>
              <w:rPr>
                <w:sz w:val="12"/>
                <w:szCs w:val="12"/>
              </w:rPr>
            </w:pPr>
            <w:r w:rsidDel="00000000" w:rsidR="00000000" w:rsidRPr="00000000">
              <w:rPr>
                <w:sz w:val="12"/>
                <w:szCs w:val="12"/>
                <w:rtl w:val="0"/>
              </w:rPr>
              <w:t xml:space="preserve">High heart rate</w:t>
            </w:r>
          </w:p>
        </w:tc>
        <w:tc>
          <w:tcPr/>
          <w:p w:rsidR="00000000" w:rsidDel="00000000" w:rsidP="00000000" w:rsidRDefault="00000000" w:rsidRPr="00000000" w14:paraId="00000F0C">
            <w:pPr>
              <w:spacing w:before="15" w:line="136" w:lineRule="auto"/>
              <w:ind w:left="113" w:firstLine="0"/>
              <w:rPr>
                <w:sz w:val="12"/>
                <w:szCs w:val="12"/>
              </w:rPr>
            </w:pPr>
            <w:r w:rsidDel="00000000" w:rsidR="00000000" w:rsidRPr="00000000">
              <w:rPr>
                <w:sz w:val="12"/>
                <w:szCs w:val="12"/>
                <w:rtl w:val="0"/>
              </w:rPr>
              <w:t xml:space="preserve">3.15</w:t>
            </w:r>
          </w:p>
        </w:tc>
        <w:tc>
          <w:tcPr/>
          <w:p w:rsidR="00000000" w:rsidDel="00000000" w:rsidP="00000000" w:rsidRDefault="00000000" w:rsidRPr="00000000" w14:paraId="00000F0D">
            <w:pPr>
              <w:spacing w:before="15" w:line="136" w:lineRule="auto"/>
              <w:ind w:left="129" w:firstLine="0"/>
              <w:rPr>
                <w:sz w:val="12"/>
                <w:szCs w:val="12"/>
              </w:rPr>
            </w:pPr>
            <w:r w:rsidDel="00000000" w:rsidR="00000000" w:rsidRPr="00000000">
              <w:rPr>
                <w:sz w:val="12"/>
                <w:szCs w:val="12"/>
                <w:rtl w:val="0"/>
              </w:rPr>
              <w:t xml:space="preserve">2.12</w:t>
            </w:r>
          </w:p>
        </w:tc>
        <w:tc>
          <w:tcPr/>
          <w:p w:rsidR="00000000" w:rsidDel="00000000" w:rsidP="00000000" w:rsidRDefault="00000000" w:rsidRPr="00000000" w14:paraId="00000F0E">
            <w:pPr>
              <w:spacing w:before="15" w:line="136" w:lineRule="auto"/>
              <w:ind w:left="131" w:firstLine="0"/>
              <w:rPr>
                <w:sz w:val="12"/>
                <w:szCs w:val="12"/>
              </w:rPr>
            </w:pPr>
            <w:r w:rsidDel="00000000" w:rsidR="00000000" w:rsidRPr="00000000">
              <w:rPr>
                <w:sz w:val="12"/>
                <w:szCs w:val="12"/>
                <w:rtl w:val="0"/>
              </w:rPr>
              <w:t xml:space="preserve">3.47</w:t>
            </w:r>
          </w:p>
        </w:tc>
        <w:tc>
          <w:tcPr/>
          <w:p w:rsidR="00000000" w:rsidDel="00000000" w:rsidP="00000000" w:rsidRDefault="00000000" w:rsidRPr="00000000" w14:paraId="00000F0F">
            <w:pPr>
              <w:spacing w:before="15" w:line="136" w:lineRule="auto"/>
              <w:ind w:left="130" w:firstLine="0"/>
              <w:rPr>
                <w:sz w:val="12"/>
                <w:szCs w:val="12"/>
              </w:rPr>
            </w:pPr>
            <w:r w:rsidDel="00000000" w:rsidR="00000000" w:rsidRPr="00000000">
              <w:rPr>
                <w:sz w:val="12"/>
                <w:szCs w:val="12"/>
                <w:rtl w:val="0"/>
              </w:rPr>
              <w:t xml:space="preserve">2.14</w:t>
            </w:r>
          </w:p>
        </w:tc>
      </w:tr>
      <w:tr>
        <w:trPr>
          <w:cantSplit w:val="0"/>
          <w:trHeight w:val="171" w:hRule="atLeast"/>
          <w:tblHeader w:val="0"/>
        </w:trPr>
        <w:tc>
          <w:tcPr/>
          <w:p w:rsidR="00000000" w:rsidDel="00000000" w:rsidP="00000000" w:rsidRDefault="00000000" w:rsidRPr="00000000" w14:paraId="00000F10">
            <w:pPr>
              <w:rPr>
                <w:sz w:val="10"/>
                <w:szCs w:val="10"/>
              </w:rPr>
            </w:pPr>
            <w:r w:rsidDel="00000000" w:rsidR="00000000" w:rsidRPr="00000000">
              <w:rPr>
                <w:rtl w:val="0"/>
              </w:rPr>
            </w:r>
          </w:p>
        </w:tc>
        <w:tc>
          <w:tcPr/>
          <w:p w:rsidR="00000000" w:rsidDel="00000000" w:rsidP="00000000" w:rsidRDefault="00000000" w:rsidRPr="00000000" w14:paraId="00000F11">
            <w:pPr>
              <w:spacing w:before="15" w:line="136" w:lineRule="auto"/>
              <w:ind w:left="113" w:firstLine="0"/>
              <w:rPr>
                <w:sz w:val="12"/>
                <w:szCs w:val="12"/>
              </w:rPr>
            </w:pPr>
            <w:r w:rsidDel="00000000" w:rsidR="00000000" w:rsidRPr="00000000">
              <w:rPr>
                <w:sz w:val="12"/>
                <w:szCs w:val="12"/>
                <w:rtl w:val="0"/>
              </w:rPr>
              <w:t xml:space="preserve">[2.23–4.45]</w:t>
            </w:r>
          </w:p>
        </w:tc>
        <w:tc>
          <w:tcPr/>
          <w:p w:rsidR="00000000" w:rsidDel="00000000" w:rsidP="00000000" w:rsidRDefault="00000000" w:rsidRPr="00000000" w14:paraId="00000F12">
            <w:pPr>
              <w:spacing w:before="15" w:line="136" w:lineRule="auto"/>
              <w:ind w:left="129" w:firstLine="0"/>
              <w:rPr>
                <w:sz w:val="12"/>
                <w:szCs w:val="12"/>
              </w:rPr>
            </w:pPr>
            <w:r w:rsidDel="00000000" w:rsidR="00000000" w:rsidRPr="00000000">
              <w:rPr>
                <w:sz w:val="12"/>
                <w:szCs w:val="12"/>
                <w:rtl w:val="0"/>
              </w:rPr>
              <w:t xml:space="preserve">[1.45–3.09]</w:t>
            </w:r>
          </w:p>
        </w:tc>
        <w:tc>
          <w:tcPr/>
          <w:p w:rsidR="00000000" w:rsidDel="00000000" w:rsidP="00000000" w:rsidRDefault="00000000" w:rsidRPr="00000000" w14:paraId="00000F13">
            <w:pPr>
              <w:spacing w:before="15" w:line="136" w:lineRule="auto"/>
              <w:ind w:left="131" w:firstLine="0"/>
              <w:rPr>
                <w:sz w:val="12"/>
                <w:szCs w:val="12"/>
              </w:rPr>
            </w:pPr>
            <w:r w:rsidDel="00000000" w:rsidR="00000000" w:rsidRPr="00000000">
              <w:rPr>
                <w:sz w:val="12"/>
                <w:szCs w:val="12"/>
                <w:rtl w:val="0"/>
              </w:rPr>
              <w:t xml:space="preserve">[2.32–5.18]</w:t>
            </w:r>
          </w:p>
        </w:tc>
        <w:tc>
          <w:tcPr/>
          <w:p w:rsidR="00000000" w:rsidDel="00000000" w:rsidP="00000000" w:rsidRDefault="00000000" w:rsidRPr="00000000" w14:paraId="00000F14">
            <w:pPr>
              <w:spacing w:before="15" w:line="136" w:lineRule="auto"/>
              <w:ind w:left="130" w:firstLine="0"/>
              <w:rPr>
                <w:sz w:val="12"/>
                <w:szCs w:val="12"/>
              </w:rPr>
            </w:pPr>
            <w:r w:rsidDel="00000000" w:rsidR="00000000" w:rsidRPr="00000000">
              <w:rPr>
                <w:sz w:val="12"/>
                <w:szCs w:val="12"/>
                <w:rtl w:val="0"/>
              </w:rPr>
              <w:t xml:space="preserve">[1.33–3.46]</w:t>
            </w:r>
          </w:p>
        </w:tc>
      </w:tr>
      <w:tr>
        <w:trPr>
          <w:cantSplit w:val="0"/>
          <w:trHeight w:val="171" w:hRule="atLeast"/>
          <w:tblHeader w:val="0"/>
        </w:trPr>
        <w:tc>
          <w:tcPr/>
          <w:p w:rsidR="00000000" w:rsidDel="00000000" w:rsidP="00000000" w:rsidRDefault="00000000" w:rsidRPr="00000000" w14:paraId="00000F15">
            <w:pPr>
              <w:spacing w:before="15" w:line="137" w:lineRule="auto"/>
              <w:ind w:left="119" w:firstLine="0"/>
              <w:rPr>
                <w:sz w:val="12"/>
                <w:szCs w:val="12"/>
              </w:rPr>
            </w:pPr>
            <w:r w:rsidDel="00000000" w:rsidR="00000000" w:rsidRPr="00000000">
              <w:rPr>
                <w:sz w:val="12"/>
                <w:szCs w:val="12"/>
                <w:rtl w:val="0"/>
              </w:rPr>
              <w:t xml:space="preserve">Low ejection</w:t>
            </w:r>
          </w:p>
        </w:tc>
        <w:tc>
          <w:tcPr/>
          <w:p w:rsidR="00000000" w:rsidDel="00000000" w:rsidP="00000000" w:rsidRDefault="00000000" w:rsidRPr="00000000" w14:paraId="00000F16">
            <w:pPr>
              <w:spacing w:before="15" w:line="137" w:lineRule="auto"/>
              <w:ind w:left="113" w:firstLine="0"/>
              <w:rPr>
                <w:sz w:val="12"/>
                <w:szCs w:val="12"/>
              </w:rPr>
            </w:pPr>
            <w:r w:rsidDel="00000000" w:rsidR="00000000" w:rsidRPr="00000000">
              <w:rPr>
                <w:sz w:val="12"/>
                <w:szCs w:val="12"/>
                <w:rtl w:val="0"/>
              </w:rPr>
              <w:t xml:space="preserve">3.03</w:t>
            </w:r>
          </w:p>
        </w:tc>
        <w:tc>
          <w:tcPr/>
          <w:p w:rsidR="00000000" w:rsidDel="00000000" w:rsidP="00000000" w:rsidRDefault="00000000" w:rsidRPr="00000000" w14:paraId="00000F17">
            <w:pPr>
              <w:spacing w:before="15" w:line="137" w:lineRule="auto"/>
              <w:ind w:left="129" w:firstLine="0"/>
              <w:rPr>
                <w:sz w:val="12"/>
                <w:szCs w:val="12"/>
              </w:rPr>
            </w:pPr>
            <w:r w:rsidDel="00000000" w:rsidR="00000000" w:rsidRPr="00000000">
              <w:rPr>
                <w:sz w:val="12"/>
                <w:szCs w:val="12"/>
                <w:rtl w:val="0"/>
              </w:rPr>
              <w:t xml:space="preserve">1.83</w:t>
            </w:r>
          </w:p>
        </w:tc>
        <w:tc>
          <w:tcPr/>
          <w:p w:rsidR="00000000" w:rsidDel="00000000" w:rsidP="00000000" w:rsidRDefault="00000000" w:rsidRPr="00000000" w14:paraId="00000F18">
            <w:pPr>
              <w:spacing w:before="15" w:line="137" w:lineRule="auto"/>
              <w:ind w:left="131" w:firstLine="0"/>
              <w:rPr>
                <w:sz w:val="12"/>
                <w:szCs w:val="12"/>
              </w:rPr>
            </w:pPr>
            <w:r w:rsidDel="00000000" w:rsidR="00000000" w:rsidRPr="00000000">
              <w:rPr>
                <w:sz w:val="12"/>
                <w:szCs w:val="12"/>
                <w:rtl w:val="0"/>
              </w:rPr>
              <w:t xml:space="preserve">3.35</w:t>
            </w:r>
          </w:p>
        </w:tc>
        <w:tc>
          <w:tcPr/>
          <w:p w:rsidR="00000000" w:rsidDel="00000000" w:rsidP="00000000" w:rsidRDefault="00000000" w:rsidRPr="00000000" w14:paraId="00000F19">
            <w:pPr>
              <w:spacing w:before="15" w:line="137" w:lineRule="auto"/>
              <w:ind w:left="130" w:firstLine="0"/>
              <w:rPr>
                <w:sz w:val="12"/>
                <w:szCs w:val="12"/>
              </w:rPr>
            </w:pPr>
            <w:r w:rsidDel="00000000" w:rsidR="00000000" w:rsidRPr="00000000">
              <w:rPr>
                <w:sz w:val="12"/>
                <w:szCs w:val="12"/>
                <w:rtl w:val="0"/>
              </w:rPr>
              <w:t xml:space="preserve">1.90</w:t>
            </w:r>
          </w:p>
        </w:tc>
      </w:tr>
      <w:tr>
        <w:trPr>
          <w:cantSplit w:val="0"/>
          <w:trHeight w:val="171" w:hRule="atLeast"/>
          <w:tblHeader w:val="0"/>
        </w:trPr>
        <w:tc>
          <w:tcPr/>
          <w:p w:rsidR="00000000" w:rsidDel="00000000" w:rsidP="00000000" w:rsidRDefault="00000000" w:rsidRPr="00000000" w14:paraId="00000F1A">
            <w:pPr>
              <w:spacing w:before="15" w:line="136" w:lineRule="auto"/>
              <w:ind w:left="238" w:firstLine="0"/>
              <w:rPr>
                <w:sz w:val="12"/>
                <w:szCs w:val="12"/>
              </w:rPr>
            </w:pPr>
            <w:r w:rsidDel="00000000" w:rsidR="00000000" w:rsidRPr="00000000">
              <w:rPr>
                <w:sz w:val="12"/>
                <w:szCs w:val="12"/>
                <w:rtl w:val="0"/>
              </w:rPr>
              <w:t xml:space="preserve">fraction</w:t>
            </w:r>
          </w:p>
        </w:tc>
        <w:tc>
          <w:tcPr/>
          <w:p w:rsidR="00000000" w:rsidDel="00000000" w:rsidP="00000000" w:rsidRDefault="00000000" w:rsidRPr="00000000" w14:paraId="00000F1B">
            <w:pPr>
              <w:spacing w:before="15" w:line="136" w:lineRule="auto"/>
              <w:ind w:left="113" w:firstLine="0"/>
              <w:rPr>
                <w:sz w:val="12"/>
                <w:szCs w:val="12"/>
              </w:rPr>
            </w:pPr>
            <w:r w:rsidDel="00000000" w:rsidR="00000000" w:rsidRPr="00000000">
              <w:rPr>
                <w:sz w:val="12"/>
                <w:szCs w:val="12"/>
                <w:rtl w:val="0"/>
              </w:rPr>
              <w:t xml:space="preserve">[2.16–4.26]</w:t>
            </w:r>
          </w:p>
        </w:tc>
        <w:tc>
          <w:tcPr/>
          <w:p w:rsidR="00000000" w:rsidDel="00000000" w:rsidP="00000000" w:rsidRDefault="00000000" w:rsidRPr="00000000" w14:paraId="00000F1C">
            <w:pPr>
              <w:spacing w:before="15" w:line="136" w:lineRule="auto"/>
              <w:ind w:left="129" w:firstLine="0"/>
              <w:rPr>
                <w:sz w:val="12"/>
                <w:szCs w:val="12"/>
              </w:rPr>
            </w:pPr>
            <w:r w:rsidDel="00000000" w:rsidR="00000000" w:rsidRPr="00000000">
              <w:rPr>
                <w:sz w:val="12"/>
                <w:szCs w:val="12"/>
                <w:rtl w:val="0"/>
              </w:rPr>
              <w:t xml:space="preserve">[1.26–2.64]</w:t>
            </w:r>
          </w:p>
        </w:tc>
        <w:tc>
          <w:tcPr/>
          <w:p w:rsidR="00000000" w:rsidDel="00000000" w:rsidP="00000000" w:rsidRDefault="00000000" w:rsidRPr="00000000" w14:paraId="00000F1D">
            <w:pPr>
              <w:spacing w:before="15" w:line="136" w:lineRule="auto"/>
              <w:ind w:left="131" w:firstLine="0"/>
              <w:rPr>
                <w:sz w:val="12"/>
                <w:szCs w:val="12"/>
              </w:rPr>
            </w:pPr>
            <w:r w:rsidDel="00000000" w:rsidR="00000000" w:rsidRPr="00000000">
              <w:rPr>
                <w:sz w:val="12"/>
                <w:szCs w:val="12"/>
                <w:rtl w:val="0"/>
              </w:rPr>
              <w:t xml:space="preserve">[2.21–5.07]</w:t>
            </w:r>
          </w:p>
        </w:tc>
        <w:tc>
          <w:tcPr/>
          <w:p w:rsidR="00000000" w:rsidDel="00000000" w:rsidP="00000000" w:rsidRDefault="00000000" w:rsidRPr="00000000" w14:paraId="00000F1E">
            <w:pPr>
              <w:spacing w:before="15" w:line="136" w:lineRule="auto"/>
              <w:ind w:left="130" w:firstLine="0"/>
              <w:rPr>
                <w:sz w:val="12"/>
                <w:szCs w:val="12"/>
              </w:rPr>
            </w:pPr>
            <w:r w:rsidDel="00000000" w:rsidR="00000000" w:rsidRPr="00000000">
              <w:rPr>
                <w:sz w:val="12"/>
                <w:szCs w:val="12"/>
                <w:rtl w:val="0"/>
              </w:rPr>
              <w:t xml:space="preserve">[1.20–3.01]</w:t>
            </w:r>
          </w:p>
        </w:tc>
      </w:tr>
      <w:tr>
        <w:trPr>
          <w:cantSplit w:val="0"/>
          <w:trHeight w:val="171" w:hRule="atLeast"/>
          <w:tblHeader w:val="0"/>
        </w:trPr>
        <w:tc>
          <w:tcPr/>
          <w:p w:rsidR="00000000" w:rsidDel="00000000" w:rsidP="00000000" w:rsidRDefault="00000000" w:rsidRPr="00000000" w14:paraId="00000F1F">
            <w:pPr>
              <w:spacing w:before="15" w:line="136" w:lineRule="auto"/>
              <w:ind w:left="119" w:firstLine="0"/>
              <w:rPr>
                <w:sz w:val="12"/>
                <w:szCs w:val="12"/>
              </w:rPr>
            </w:pPr>
            <w:r w:rsidDel="00000000" w:rsidR="00000000" w:rsidRPr="00000000">
              <w:rPr>
                <w:sz w:val="12"/>
                <w:szCs w:val="12"/>
                <w:rtl w:val="0"/>
              </w:rPr>
              <w:t xml:space="preserve">Access</w:t>
            </w:r>
          </w:p>
        </w:tc>
        <w:tc>
          <w:tcPr/>
          <w:p w:rsidR="00000000" w:rsidDel="00000000" w:rsidP="00000000" w:rsidRDefault="00000000" w:rsidRPr="00000000" w14:paraId="00000F20">
            <w:pPr>
              <w:spacing w:before="15" w:line="136" w:lineRule="auto"/>
              <w:ind w:left="113" w:firstLine="0"/>
              <w:rPr>
                <w:sz w:val="12"/>
                <w:szCs w:val="12"/>
              </w:rPr>
            </w:pPr>
            <w:r w:rsidDel="00000000" w:rsidR="00000000" w:rsidRPr="00000000">
              <w:rPr>
                <w:sz w:val="12"/>
                <w:szCs w:val="12"/>
                <w:rtl w:val="0"/>
              </w:rPr>
              <w:t xml:space="preserve">2.34</w:t>
            </w:r>
          </w:p>
        </w:tc>
        <w:tc>
          <w:tcPr/>
          <w:p w:rsidR="00000000" w:rsidDel="00000000" w:rsidP="00000000" w:rsidRDefault="00000000" w:rsidRPr="00000000" w14:paraId="00000F21">
            <w:pPr>
              <w:spacing w:before="15" w:line="136" w:lineRule="auto"/>
              <w:ind w:left="129" w:firstLine="0"/>
              <w:rPr>
                <w:sz w:val="12"/>
                <w:szCs w:val="12"/>
              </w:rPr>
            </w:pPr>
            <w:r w:rsidDel="00000000" w:rsidR="00000000" w:rsidRPr="00000000">
              <w:rPr>
                <w:sz w:val="12"/>
                <w:szCs w:val="12"/>
                <w:rtl w:val="0"/>
              </w:rPr>
              <w:t xml:space="preserve">4.14</w:t>
            </w:r>
          </w:p>
        </w:tc>
        <w:tc>
          <w:tcPr/>
          <w:p w:rsidR="00000000" w:rsidDel="00000000" w:rsidP="00000000" w:rsidRDefault="00000000" w:rsidRPr="00000000" w14:paraId="00000F22">
            <w:pPr>
              <w:rPr>
                <w:sz w:val="10"/>
                <w:szCs w:val="10"/>
              </w:rPr>
            </w:pPr>
            <w:r w:rsidDel="00000000" w:rsidR="00000000" w:rsidRPr="00000000">
              <w:rPr>
                <w:rtl w:val="0"/>
              </w:rPr>
            </w:r>
          </w:p>
        </w:tc>
        <w:tc>
          <w:tcPr/>
          <w:p w:rsidR="00000000" w:rsidDel="00000000" w:rsidP="00000000" w:rsidRDefault="00000000" w:rsidRPr="00000000" w14:paraId="00000F23">
            <w:pPr>
              <w:rPr>
                <w:sz w:val="10"/>
                <w:szCs w:val="10"/>
              </w:rPr>
            </w:pPr>
            <w:r w:rsidDel="00000000" w:rsidR="00000000" w:rsidRPr="00000000">
              <w:rPr>
                <w:rtl w:val="0"/>
              </w:rPr>
            </w:r>
          </w:p>
        </w:tc>
      </w:tr>
      <w:tr>
        <w:trPr>
          <w:cantSplit w:val="0"/>
          <w:trHeight w:val="156" w:hRule="atLeast"/>
          <w:tblHeader w:val="0"/>
        </w:trPr>
        <w:tc>
          <w:tcPr/>
          <w:p w:rsidR="00000000" w:rsidDel="00000000" w:rsidP="00000000" w:rsidRDefault="00000000" w:rsidRPr="00000000" w14:paraId="00000F24">
            <w:pPr>
              <w:spacing w:before="15" w:line="121" w:lineRule="auto"/>
              <w:ind w:right="124"/>
              <w:jc w:val="right"/>
              <w:rPr>
                <w:sz w:val="12"/>
                <w:szCs w:val="12"/>
              </w:rPr>
            </w:pPr>
            <w:r w:rsidDel="00000000" w:rsidR="00000000" w:rsidRPr="00000000">
              <w:rPr>
                <w:sz w:val="12"/>
                <w:szCs w:val="12"/>
                <w:rtl w:val="0"/>
              </w:rPr>
              <w:t xml:space="preserve">complications</w:t>
            </w:r>
          </w:p>
        </w:tc>
        <w:tc>
          <w:tcPr/>
          <w:p w:rsidR="00000000" w:rsidDel="00000000" w:rsidP="00000000" w:rsidRDefault="00000000" w:rsidRPr="00000000" w14:paraId="00000F25">
            <w:pPr>
              <w:spacing w:before="15" w:line="121" w:lineRule="auto"/>
              <w:ind w:left="113" w:firstLine="0"/>
              <w:rPr>
                <w:sz w:val="12"/>
                <w:szCs w:val="12"/>
              </w:rPr>
            </w:pPr>
            <w:r w:rsidDel="00000000" w:rsidR="00000000" w:rsidRPr="00000000">
              <w:rPr>
                <w:sz w:val="12"/>
                <w:szCs w:val="12"/>
                <w:rtl w:val="0"/>
              </w:rPr>
              <w:t xml:space="preserve">[1.01–5.42]</w:t>
            </w:r>
          </w:p>
        </w:tc>
        <w:tc>
          <w:tcPr/>
          <w:p w:rsidR="00000000" w:rsidDel="00000000" w:rsidP="00000000" w:rsidRDefault="00000000" w:rsidRPr="00000000" w14:paraId="00000F26">
            <w:pPr>
              <w:spacing w:before="15" w:line="121" w:lineRule="auto"/>
              <w:ind w:left="129" w:firstLine="0"/>
              <w:rPr>
                <w:sz w:val="12"/>
                <w:szCs w:val="12"/>
              </w:rPr>
            </w:pPr>
            <w:r w:rsidDel="00000000" w:rsidR="00000000" w:rsidRPr="00000000">
              <w:rPr>
                <w:sz w:val="12"/>
                <w:szCs w:val="12"/>
                <w:rtl w:val="0"/>
              </w:rPr>
              <w:t xml:space="preserve">[1.12–15.36]</w:t>
            </w:r>
          </w:p>
        </w:tc>
        <w:tc>
          <w:tcPr/>
          <w:p w:rsidR="00000000" w:rsidDel="00000000" w:rsidP="00000000" w:rsidRDefault="00000000" w:rsidRPr="00000000" w14:paraId="00000F27">
            <w:pPr>
              <w:rPr>
                <w:sz w:val="10"/>
                <w:szCs w:val="10"/>
              </w:rPr>
            </w:pPr>
            <w:r w:rsidDel="00000000" w:rsidR="00000000" w:rsidRPr="00000000">
              <w:rPr>
                <w:rtl w:val="0"/>
              </w:rPr>
            </w:r>
          </w:p>
        </w:tc>
        <w:tc>
          <w:tcPr/>
          <w:p w:rsidR="00000000" w:rsidDel="00000000" w:rsidP="00000000" w:rsidRDefault="00000000" w:rsidRPr="00000000" w14:paraId="00000F28">
            <w:pPr>
              <w:rPr>
                <w:sz w:val="10"/>
                <w:szCs w:val="10"/>
              </w:rPr>
            </w:pPr>
            <w:r w:rsidDel="00000000" w:rsidR="00000000" w:rsidRPr="00000000">
              <w:rPr>
                <w:rtl w:val="0"/>
              </w:rPr>
            </w:r>
          </w:p>
        </w:tc>
      </w:tr>
      <w:tr>
        <w:trPr>
          <w:cantSplit w:val="0"/>
          <w:trHeight w:val="186" w:hRule="atLeast"/>
          <w:tblHeader w:val="0"/>
        </w:trPr>
        <w:tc>
          <w:tcPr/>
          <w:p w:rsidR="00000000" w:rsidDel="00000000" w:rsidP="00000000" w:rsidRDefault="00000000" w:rsidRPr="00000000" w14:paraId="00000F29">
            <w:pPr>
              <w:spacing w:before="30" w:line="136" w:lineRule="auto"/>
              <w:ind w:left="119" w:firstLine="0"/>
              <w:rPr>
                <w:sz w:val="12"/>
                <w:szCs w:val="12"/>
              </w:rPr>
            </w:pPr>
            <w:r w:rsidDel="00000000" w:rsidR="00000000" w:rsidRPr="00000000">
              <w:rPr>
                <w:sz w:val="12"/>
                <w:szCs w:val="12"/>
                <w:rtl w:val="0"/>
              </w:rPr>
              <w:t xml:space="preserve">COVID-19</w:t>
            </w:r>
          </w:p>
        </w:tc>
        <w:tc>
          <w:tcPr/>
          <w:p w:rsidR="00000000" w:rsidDel="00000000" w:rsidP="00000000" w:rsidRDefault="00000000" w:rsidRPr="00000000" w14:paraId="00000F2A">
            <w:pPr>
              <w:spacing w:before="30" w:line="136" w:lineRule="auto"/>
              <w:ind w:left="113" w:firstLine="0"/>
              <w:rPr>
                <w:sz w:val="12"/>
                <w:szCs w:val="12"/>
              </w:rPr>
            </w:pPr>
            <w:r w:rsidDel="00000000" w:rsidR="00000000" w:rsidRPr="00000000">
              <w:rPr>
                <w:sz w:val="12"/>
                <w:szCs w:val="12"/>
                <w:rtl w:val="0"/>
              </w:rPr>
              <w:t xml:space="preserve">1.85</w:t>
            </w:r>
          </w:p>
        </w:tc>
        <w:tc>
          <w:tcPr/>
          <w:p w:rsidR="00000000" w:rsidDel="00000000" w:rsidP="00000000" w:rsidRDefault="00000000" w:rsidRPr="00000000" w14:paraId="00000F2B">
            <w:pPr>
              <w:spacing w:before="30" w:line="136" w:lineRule="auto"/>
              <w:ind w:left="129" w:firstLine="0"/>
              <w:rPr>
                <w:sz w:val="12"/>
                <w:szCs w:val="12"/>
              </w:rPr>
            </w:pPr>
            <w:r w:rsidDel="00000000" w:rsidR="00000000" w:rsidRPr="00000000">
              <w:rPr>
                <w:sz w:val="12"/>
                <w:szCs w:val="12"/>
                <w:rtl w:val="0"/>
              </w:rPr>
              <w:t xml:space="preserve">1.63</w:t>
            </w:r>
          </w:p>
        </w:tc>
        <w:tc>
          <w:tcPr/>
          <w:p w:rsidR="00000000" w:rsidDel="00000000" w:rsidP="00000000" w:rsidRDefault="00000000" w:rsidRPr="00000000" w14:paraId="00000F2C">
            <w:pPr>
              <w:spacing w:before="30" w:line="136" w:lineRule="auto"/>
              <w:ind w:left="131" w:firstLine="0"/>
              <w:rPr>
                <w:sz w:val="12"/>
                <w:szCs w:val="12"/>
              </w:rPr>
            </w:pPr>
            <w:r w:rsidDel="00000000" w:rsidR="00000000" w:rsidRPr="00000000">
              <w:rPr>
                <w:sz w:val="12"/>
                <w:szCs w:val="12"/>
                <w:rtl w:val="0"/>
              </w:rPr>
              <w:t xml:space="preserve">1.69</w:t>
            </w:r>
          </w:p>
        </w:tc>
        <w:tc>
          <w:tcPr/>
          <w:p w:rsidR="00000000" w:rsidDel="00000000" w:rsidP="00000000" w:rsidRDefault="00000000" w:rsidRPr="00000000" w14:paraId="00000F2D">
            <w:pPr>
              <w:spacing w:before="30" w:line="136" w:lineRule="auto"/>
              <w:ind w:left="130" w:firstLine="0"/>
              <w:rPr>
                <w:sz w:val="12"/>
                <w:szCs w:val="12"/>
              </w:rPr>
            </w:pPr>
            <w:r w:rsidDel="00000000" w:rsidR="00000000" w:rsidRPr="00000000">
              <w:rPr>
                <w:sz w:val="12"/>
                <w:szCs w:val="12"/>
                <w:rtl w:val="0"/>
              </w:rPr>
              <w:t xml:space="preserve">1.53</w:t>
            </w:r>
          </w:p>
        </w:tc>
      </w:tr>
      <w:tr>
        <w:trPr>
          <w:cantSplit w:val="0"/>
          <w:trHeight w:val="171" w:hRule="atLeast"/>
          <w:tblHeader w:val="0"/>
        </w:trPr>
        <w:tc>
          <w:tcPr/>
          <w:p w:rsidR="00000000" w:rsidDel="00000000" w:rsidP="00000000" w:rsidRDefault="00000000" w:rsidRPr="00000000" w14:paraId="00000F2E">
            <w:pPr>
              <w:rPr>
                <w:sz w:val="10"/>
                <w:szCs w:val="10"/>
              </w:rPr>
            </w:pPr>
            <w:r w:rsidDel="00000000" w:rsidR="00000000" w:rsidRPr="00000000">
              <w:rPr>
                <w:rtl w:val="0"/>
              </w:rPr>
            </w:r>
          </w:p>
        </w:tc>
        <w:tc>
          <w:tcPr/>
          <w:p w:rsidR="00000000" w:rsidDel="00000000" w:rsidP="00000000" w:rsidRDefault="00000000" w:rsidRPr="00000000" w14:paraId="00000F2F">
            <w:pPr>
              <w:spacing w:before="15" w:line="136" w:lineRule="auto"/>
              <w:ind w:left="113" w:firstLine="0"/>
              <w:rPr>
                <w:sz w:val="12"/>
                <w:szCs w:val="12"/>
              </w:rPr>
            </w:pPr>
            <w:r w:rsidDel="00000000" w:rsidR="00000000" w:rsidRPr="00000000">
              <w:rPr>
                <w:sz w:val="12"/>
                <w:szCs w:val="12"/>
                <w:rtl w:val="0"/>
              </w:rPr>
              <w:t xml:space="preserve">[1.22–2.80]</w:t>
            </w:r>
          </w:p>
        </w:tc>
        <w:tc>
          <w:tcPr/>
          <w:p w:rsidR="00000000" w:rsidDel="00000000" w:rsidP="00000000" w:rsidRDefault="00000000" w:rsidRPr="00000000" w14:paraId="00000F30">
            <w:pPr>
              <w:spacing w:before="15" w:line="136" w:lineRule="auto"/>
              <w:ind w:left="129" w:firstLine="0"/>
              <w:rPr>
                <w:sz w:val="12"/>
                <w:szCs w:val="12"/>
              </w:rPr>
            </w:pPr>
            <w:r w:rsidDel="00000000" w:rsidR="00000000" w:rsidRPr="00000000">
              <w:rPr>
                <w:sz w:val="12"/>
                <w:szCs w:val="12"/>
                <w:rtl w:val="0"/>
              </w:rPr>
              <w:t xml:space="preserve">[1.12–2.38]</w:t>
            </w:r>
          </w:p>
        </w:tc>
        <w:tc>
          <w:tcPr/>
          <w:p w:rsidR="00000000" w:rsidDel="00000000" w:rsidP="00000000" w:rsidRDefault="00000000" w:rsidRPr="00000000" w14:paraId="00000F31">
            <w:pPr>
              <w:spacing w:before="15" w:line="136" w:lineRule="auto"/>
              <w:ind w:left="131" w:firstLine="0"/>
              <w:rPr>
                <w:sz w:val="12"/>
                <w:szCs w:val="12"/>
              </w:rPr>
            </w:pPr>
            <w:r w:rsidDel="00000000" w:rsidR="00000000" w:rsidRPr="00000000">
              <w:rPr>
                <w:sz w:val="12"/>
                <w:szCs w:val="12"/>
                <w:rtl w:val="0"/>
              </w:rPr>
              <w:t xml:space="preserve">[1.05–2.73]</w:t>
            </w:r>
          </w:p>
        </w:tc>
        <w:tc>
          <w:tcPr/>
          <w:p w:rsidR="00000000" w:rsidDel="00000000" w:rsidP="00000000" w:rsidRDefault="00000000" w:rsidRPr="00000000" w14:paraId="00000F32">
            <w:pPr>
              <w:spacing w:before="15" w:line="136" w:lineRule="auto"/>
              <w:ind w:left="130" w:firstLine="0"/>
              <w:rPr>
                <w:sz w:val="12"/>
                <w:szCs w:val="12"/>
              </w:rPr>
            </w:pPr>
            <w:r w:rsidDel="00000000" w:rsidR="00000000" w:rsidRPr="00000000">
              <w:rPr>
                <w:sz w:val="12"/>
                <w:szCs w:val="12"/>
                <w:rtl w:val="0"/>
              </w:rPr>
              <w:t xml:space="preserve">[0.94–2.49]</w:t>
            </w:r>
          </w:p>
        </w:tc>
      </w:tr>
      <w:tr>
        <w:trPr>
          <w:cantSplit w:val="0"/>
          <w:trHeight w:val="171" w:hRule="atLeast"/>
          <w:tblHeader w:val="0"/>
        </w:trPr>
        <w:tc>
          <w:tcPr/>
          <w:p w:rsidR="00000000" w:rsidDel="00000000" w:rsidP="00000000" w:rsidRDefault="00000000" w:rsidRPr="00000000" w14:paraId="00000F33">
            <w:pPr>
              <w:spacing w:before="15" w:line="136" w:lineRule="auto"/>
              <w:ind w:left="119" w:firstLine="0"/>
              <w:rPr>
                <w:sz w:val="12"/>
                <w:szCs w:val="12"/>
              </w:rPr>
            </w:pPr>
            <w:r w:rsidDel="00000000" w:rsidR="00000000" w:rsidRPr="00000000">
              <w:rPr>
                <w:sz w:val="12"/>
                <w:szCs w:val="12"/>
                <w:rtl w:val="0"/>
              </w:rPr>
              <w:t xml:space="preserve">Noncompliance</w:t>
            </w:r>
          </w:p>
        </w:tc>
        <w:tc>
          <w:tcPr/>
          <w:p w:rsidR="00000000" w:rsidDel="00000000" w:rsidP="00000000" w:rsidRDefault="00000000" w:rsidRPr="00000000" w14:paraId="00000F34">
            <w:pPr>
              <w:spacing w:before="15" w:line="136" w:lineRule="auto"/>
              <w:ind w:left="113" w:firstLine="0"/>
              <w:rPr>
                <w:sz w:val="12"/>
                <w:szCs w:val="12"/>
              </w:rPr>
            </w:pPr>
            <w:r w:rsidDel="00000000" w:rsidR="00000000" w:rsidRPr="00000000">
              <w:rPr>
                <w:sz w:val="12"/>
                <w:szCs w:val="12"/>
                <w:rtl w:val="0"/>
              </w:rPr>
              <w:t xml:space="preserve">2.48</w:t>
            </w:r>
          </w:p>
        </w:tc>
        <w:tc>
          <w:tcPr/>
          <w:p w:rsidR="00000000" w:rsidDel="00000000" w:rsidP="00000000" w:rsidRDefault="00000000" w:rsidRPr="00000000" w14:paraId="00000F35">
            <w:pPr>
              <w:spacing w:before="15" w:line="136" w:lineRule="auto"/>
              <w:ind w:left="129" w:firstLine="0"/>
              <w:rPr>
                <w:sz w:val="12"/>
                <w:szCs w:val="12"/>
              </w:rPr>
            </w:pPr>
            <w:r w:rsidDel="00000000" w:rsidR="00000000" w:rsidRPr="00000000">
              <w:rPr>
                <w:sz w:val="12"/>
                <w:szCs w:val="12"/>
                <w:rtl w:val="0"/>
              </w:rPr>
              <w:t xml:space="preserve">5.70</w:t>
            </w:r>
          </w:p>
        </w:tc>
        <w:tc>
          <w:tcPr/>
          <w:p w:rsidR="00000000" w:rsidDel="00000000" w:rsidP="00000000" w:rsidRDefault="00000000" w:rsidRPr="00000000" w14:paraId="00000F36">
            <w:pPr>
              <w:spacing w:before="15" w:line="136" w:lineRule="auto"/>
              <w:ind w:left="131" w:firstLine="0"/>
              <w:rPr>
                <w:sz w:val="12"/>
                <w:szCs w:val="12"/>
              </w:rPr>
            </w:pPr>
            <w:r w:rsidDel="00000000" w:rsidR="00000000" w:rsidRPr="00000000">
              <w:rPr>
                <w:sz w:val="12"/>
                <w:szCs w:val="12"/>
                <w:rtl w:val="0"/>
              </w:rPr>
              <w:t xml:space="preserve">2.38</w:t>
            </w:r>
          </w:p>
        </w:tc>
        <w:tc>
          <w:tcPr/>
          <w:p w:rsidR="00000000" w:rsidDel="00000000" w:rsidP="00000000" w:rsidRDefault="00000000" w:rsidRPr="00000000" w14:paraId="00000F37">
            <w:pPr>
              <w:rPr>
                <w:sz w:val="10"/>
                <w:szCs w:val="10"/>
              </w:rPr>
            </w:pPr>
            <w:r w:rsidDel="00000000" w:rsidR="00000000" w:rsidRPr="00000000">
              <w:rPr>
                <w:rtl w:val="0"/>
              </w:rPr>
            </w:r>
          </w:p>
        </w:tc>
      </w:tr>
      <w:tr>
        <w:trPr>
          <w:cantSplit w:val="0"/>
          <w:trHeight w:val="207" w:hRule="atLeast"/>
          <w:tblHeader w:val="0"/>
        </w:trPr>
        <w:tc>
          <w:tcPr>
            <w:tcBorders>
              <w:bottom w:color="000000" w:space="0" w:sz="4" w:val="single"/>
            </w:tcBorders>
          </w:tcPr>
          <w:p w:rsidR="00000000" w:rsidDel="00000000" w:rsidP="00000000" w:rsidRDefault="00000000" w:rsidRPr="00000000" w14:paraId="00000F38">
            <w:pPr>
              <w:rPr>
                <w:sz w:val="14"/>
                <w:szCs w:val="1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F39">
            <w:pPr>
              <w:spacing w:before="15" w:lineRule="auto"/>
              <w:ind w:left="113" w:firstLine="0"/>
              <w:rPr>
                <w:sz w:val="12"/>
                <w:szCs w:val="12"/>
              </w:rPr>
            </w:pPr>
            <w:r w:rsidDel="00000000" w:rsidR="00000000" w:rsidRPr="00000000">
              <w:rPr>
                <w:sz w:val="12"/>
                <w:szCs w:val="12"/>
                <w:rtl w:val="0"/>
              </w:rPr>
              <w:t xml:space="preserve">[1.32–4.66]</w:t>
            </w:r>
          </w:p>
        </w:tc>
        <w:tc>
          <w:tcPr>
            <w:tcBorders>
              <w:bottom w:color="000000" w:space="0" w:sz="4" w:val="single"/>
            </w:tcBorders>
          </w:tcPr>
          <w:p w:rsidR="00000000" w:rsidDel="00000000" w:rsidP="00000000" w:rsidRDefault="00000000" w:rsidRPr="00000000" w14:paraId="00000F3A">
            <w:pPr>
              <w:spacing w:before="15" w:lineRule="auto"/>
              <w:ind w:left="129" w:firstLine="0"/>
              <w:rPr>
                <w:sz w:val="12"/>
                <w:szCs w:val="12"/>
              </w:rPr>
            </w:pPr>
            <w:r w:rsidDel="00000000" w:rsidR="00000000" w:rsidRPr="00000000">
              <w:rPr>
                <w:sz w:val="12"/>
                <w:szCs w:val="12"/>
                <w:rtl w:val="0"/>
              </w:rPr>
              <w:t xml:space="preserve">[2.14–15.18]</w:t>
            </w:r>
          </w:p>
        </w:tc>
        <w:tc>
          <w:tcPr>
            <w:tcBorders>
              <w:bottom w:color="000000" w:space="0" w:sz="4" w:val="single"/>
            </w:tcBorders>
          </w:tcPr>
          <w:p w:rsidR="00000000" w:rsidDel="00000000" w:rsidP="00000000" w:rsidRDefault="00000000" w:rsidRPr="00000000" w14:paraId="00000F3B">
            <w:pPr>
              <w:spacing w:before="15" w:lineRule="auto"/>
              <w:ind w:left="131" w:firstLine="0"/>
              <w:rPr>
                <w:sz w:val="12"/>
                <w:szCs w:val="12"/>
              </w:rPr>
            </w:pPr>
            <w:r w:rsidDel="00000000" w:rsidR="00000000" w:rsidRPr="00000000">
              <w:rPr>
                <w:sz w:val="12"/>
                <w:szCs w:val="12"/>
                <w:rtl w:val="0"/>
              </w:rPr>
              <w:t xml:space="preserve">[0.74–7.61]</w:t>
            </w:r>
          </w:p>
        </w:tc>
        <w:tc>
          <w:tcPr>
            <w:tcBorders>
              <w:bottom w:color="000000" w:space="0" w:sz="4" w:val="single"/>
            </w:tcBorders>
          </w:tcPr>
          <w:p w:rsidR="00000000" w:rsidDel="00000000" w:rsidP="00000000" w:rsidRDefault="00000000" w:rsidRPr="00000000" w14:paraId="00000F3C">
            <w:pPr>
              <w:rPr>
                <w:sz w:val="14"/>
                <w:szCs w:val="14"/>
              </w:rPr>
            </w:pPr>
            <w:r w:rsidDel="00000000" w:rsidR="00000000" w:rsidRPr="00000000">
              <w:rPr>
                <w:rtl w:val="0"/>
              </w:rPr>
            </w:r>
          </w:p>
        </w:tc>
      </w:tr>
    </w:tbl>
    <w:p w:rsidR="00000000" w:rsidDel="00000000" w:rsidP="00000000" w:rsidRDefault="00000000" w:rsidRPr="00000000" w14:paraId="00000F3D">
      <w:pPr>
        <w:spacing w:line="285" w:lineRule="auto"/>
        <w:ind w:left="131" w:right="38" w:firstLine="0"/>
        <w:jc w:val="both"/>
        <w:rPr>
          <w:sz w:val="14"/>
          <w:szCs w:val="14"/>
        </w:rPr>
      </w:pPr>
      <w:bookmarkStart w:colFirst="0" w:colLast="0" w:name="_heading=h.hw54of744l99" w:id="119"/>
      <w:bookmarkEnd w:id="119"/>
      <w:r w:rsidDel="00000000" w:rsidR="00000000" w:rsidRPr="00000000">
        <w:rPr>
          <w:rtl w:val="0"/>
        </w:rPr>
      </w:r>
    </w:p>
    <w:p w:rsidR="00000000" w:rsidDel="00000000" w:rsidP="00000000" w:rsidRDefault="00000000" w:rsidRPr="00000000" w14:paraId="00000F3E">
      <w:pPr>
        <w:spacing w:line="285" w:lineRule="auto"/>
        <w:ind w:left="131" w:right="38" w:firstLine="0"/>
        <w:jc w:val="both"/>
        <w:rPr>
          <w:sz w:val="14"/>
          <w:szCs w:val="14"/>
        </w:rPr>
      </w:pPr>
      <w:bookmarkStart w:colFirst="0" w:colLast="0" w:name="_heading=h.i17xr6" w:id="120"/>
      <w:bookmarkEnd w:id="120"/>
      <w:r w:rsidDel="00000000" w:rsidR="00000000" w:rsidRPr="00000000">
        <w:rPr>
          <w:sz w:val="14"/>
          <w:szCs w:val="14"/>
          <w:rtl w:val="0"/>
        </w:rPr>
        <w:t xml:space="preserve">CI, confidence interval; DOCE, Device-Oriented Composite Endpoints; ESR, erythrocyte sedimentation rate; MR, mean ration; NSTEMI, non-ST-segment elevation myocardial infarction; PCI, percutaneous coronary intervention; POCE, Patient-Oriented Composite Endpoints; STEMI, ST-segment elevation myocardial infarction; TIMI, Thrombolysis in Myocardial Infarction; UA, un- stable angina.</w:t>
      </w:r>
    </w:p>
    <w:p w:rsidR="00000000" w:rsidDel="00000000" w:rsidP="00000000" w:rsidRDefault="00000000" w:rsidRPr="00000000" w14:paraId="00000F3F">
      <w:pPr>
        <w:spacing w:line="190" w:lineRule="auto"/>
        <w:ind w:left="244" w:firstLine="0"/>
        <w:jc w:val="both"/>
        <w:rPr>
          <w:sz w:val="14"/>
          <w:szCs w:val="14"/>
        </w:rPr>
      </w:pPr>
      <w:r w:rsidDel="00000000" w:rsidR="00000000" w:rsidRPr="00000000">
        <w:rPr>
          <w:sz w:val="14"/>
          <w:szCs w:val="14"/>
          <w:vertAlign w:val="superscript"/>
          <w:rtl w:val="0"/>
        </w:rPr>
        <w:t xml:space="preserve">1</w:t>
      </w:r>
      <w:r w:rsidDel="00000000" w:rsidR="00000000" w:rsidRPr="00000000">
        <w:rPr>
          <w:sz w:val="14"/>
          <w:szCs w:val="14"/>
          <w:rtl w:val="0"/>
        </w:rPr>
        <w:t xml:space="preserve"> Also adjusted for elderly age (</w:t>
      </w:r>
      <w:r w:rsidDel="00000000" w:rsidR="00000000" w:rsidRPr="00000000">
        <w:rPr>
          <w:rFonts w:ascii="Lucida Sans" w:cs="Lucida Sans" w:eastAsia="Lucida Sans" w:hAnsi="Lucida Sans"/>
          <w:sz w:val="14"/>
          <w:szCs w:val="14"/>
          <w:rtl w:val="0"/>
        </w:rPr>
        <w:t xml:space="preserve">&gt;</w:t>
      </w:r>
      <w:r w:rsidDel="00000000" w:rsidR="00000000" w:rsidRPr="00000000">
        <w:rPr>
          <w:sz w:val="14"/>
          <w:szCs w:val="14"/>
          <w:rtl w:val="0"/>
        </w:rPr>
        <w:t xml:space="preserve">65 years), hypertension, history of PCI, atrial</w:t>
      </w:r>
    </w:p>
    <w:p w:rsidR="00000000" w:rsidDel="00000000" w:rsidP="00000000" w:rsidRDefault="00000000" w:rsidRPr="00000000" w14:paraId="00000F40">
      <w:pPr>
        <w:spacing w:line="283" w:lineRule="auto"/>
        <w:ind w:left="131" w:firstLine="0"/>
        <w:jc w:val="both"/>
        <w:rPr>
          <w:sz w:val="14"/>
          <w:szCs w:val="14"/>
        </w:rPr>
      </w:pPr>
      <w:bookmarkStart w:colFirst="0" w:colLast="0" w:name="_heading=h.320vgez" w:id="121"/>
      <w:bookmarkEnd w:id="121"/>
      <w:r w:rsidDel="00000000" w:rsidR="00000000" w:rsidRPr="00000000">
        <w:rPr>
          <w:sz w:val="14"/>
          <w:szCs w:val="14"/>
          <w:rtl w:val="0"/>
        </w:rPr>
        <w:t xml:space="preserve">fibrillation, diseased left main coronary artery, the number of diseased coronary arteries, chronic total occlusion.</w:t>
      </w:r>
    </w:p>
    <w:p w:rsidR="00000000" w:rsidDel="00000000" w:rsidP="00000000" w:rsidRDefault="00000000" w:rsidRPr="00000000" w14:paraId="00000F41">
      <w:pPr>
        <w:spacing w:line="194" w:lineRule="auto"/>
        <w:ind w:left="244" w:firstLine="0"/>
        <w:jc w:val="both"/>
        <w:rPr>
          <w:sz w:val="14"/>
          <w:szCs w:val="14"/>
        </w:rPr>
      </w:pPr>
      <w:r w:rsidDel="00000000" w:rsidR="00000000" w:rsidRPr="00000000">
        <w:rPr>
          <w:sz w:val="14"/>
          <w:szCs w:val="14"/>
          <w:vertAlign w:val="superscript"/>
          <w:rtl w:val="0"/>
        </w:rPr>
        <w:t xml:space="preserve">2</w:t>
      </w:r>
      <w:r w:rsidDel="00000000" w:rsidR="00000000" w:rsidRPr="00000000">
        <w:rPr>
          <w:sz w:val="14"/>
          <w:szCs w:val="14"/>
          <w:rtl w:val="0"/>
        </w:rPr>
        <w:t xml:space="preserve"> Also adjusted for elderly age (</w:t>
      </w:r>
      <w:r w:rsidDel="00000000" w:rsidR="00000000" w:rsidRPr="00000000">
        <w:rPr>
          <w:rFonts w:ascii="Lucida Sans" w:cs="Lucida Sans" w:eastAsia="Lucida Sans" w:hAnsi="Lucida Sans"/>
          <w:sz w:val="14"/>
          <w:szCs w:val="14"/>
          <w:rtl w:val="0"/>
        </w:rPr>
        <w:t xml:space="preserve">&gt;</w:t>
      </w:r>
      <w:r w:rsidDel="00000000" w:rsidR="00000000" w:rsidRPr="00000000">
        <w:rPr>
          <w:sz w:val="14"/>
          <w:szCs w:val="14"/>
          <w:rtl w:val="0"/>
        </w:rPr>
        <w:t xml:space="preserve">65 years), atrial fibrillation, diseased left</w:t>
      </w:r>
    </w:p>
    <w:p w:rsidR="00000000" w:rsidDel="00000000" w:rsidP="00000000" w:rsidRDefault="00000000" w:rsidRPr="00000000" w14:paraId="00000F42">
      <w:pPr>
        <w:spacing w:line="285" w:lineRule="auto"/>
        <w:ind w:left="131" w:firstLine="0"/>
        <w:jc w:val="both"/>
        <w:rPr>
          <w:sz w:val="14"/>
          <w:szCs w:val="14"/>
        </w:rPr>
      </w:pPr>
      <w:r w:rsidDel="00000000" w:rsidR="00000000" w:rsidRPr="00000000">
        <w:rPr>
          <w:sz w:val="14"/>
          <w:szCs w:val="14"/>
          <w:rtl w:val="0"/>
        </w:rPr>
        <w:t xml:space="preserve">main coronary artery, the number of diseased coronary arteries, chronic total occlusion, use of ticagrelor at index PCI.</w:t>
      </w:r>
    </w:p>
    <w:p w:rsidR="00000000" w:rsidDel="00000000" w:rsidP="00000000" w:rsidRDefault="00000000" w:rsidRPr="00000000" w14:paraId="00000F43">
      <w:pPr>
        <w:spacing w:line="285" w:lineRule="auto"/>
        <w:ind w:left="131" w:firstLine="0"/>
        <w:rPr>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0F44">
      <w:pPr>
        <w:spacing w:before="91" w:line="240" w:lineRule="auto"/>
        <w:ind w:left="131" w:firstLine="0"/>
        <w:jc w:val="both"/>
        <w:rPr>
          <w:sz w:val="16"/>
          <w:szCs w:val="16"/>
        </w:rPr>
      </w:pPr>
      <w:r w:rsidDel="00000000" w:rsidR="00000000" w:rsidRPr="00000000">
        <w:rPr>
          <w:sz w:val="16"/>
          <w:szCs w:val="16"/>
          <w:rtl w:val="0"/>
        </w:rPr>
        <w:t xml:space="preserve">predictors of stroke with HR 3.19 (95% CI 1.11–9.16) and 9.20 (95% CI 2.43–34.83).</w:t>
      </w:r>
    </w:p>
    <w:p w:rsidR="00000000" w:rsidDel="00000000" w:rsidP="00000000" w:rsidRDefault="00000000" w:rsidRPr="00000000" w14:paraId="00000F45">
      <w:pPr>
        <w:spacing w:line="240" w:lineRule="auto"/>
        <w:ind w:left="131" w:right="56" w:firstLine="239"/>
        <w:jc w:val="both"/>
        <w:rPr>
          <w:sz w:val="16"/>
          <w:szCs w:val="16"/>
        </w:rPr>
      </w:pPr>
      <w:r w:rsidDel="00000000" w:rsidR="00000000" w:rsidRPr="00000000">
        <w:rPr>
          <w:sz w:val="16"/>
          <w:szCs w:val="16"/>
          <w:rtl w:val="0"/>
        </w:rPr>
        <w:t xml:space="preserve">There were no significant relationships between phenotype clustering and MI, TVR, and major bleeding (Table S3). In the joint frailty model, both the high-ESR and inflammatory phenotypes were independent predictors of readmission (HRs 1.29 (95% CI 1.00–1.68), 1.83 (95% CI 1.07–3.12), respectively). The effect estimates for the cluster membership were not significantly different across subgroups (Table S4).</w:t>
      </w:r>
    </w:p>
    <w:p w:rsidR="00000000" w:rsidDel="00000000" w:rsidP="00000000" w:rsidRDefault="00000000" w:rsidRPr="00000000" w14:paraId="00000F46">
      <w:pPr>
        <w:spacing w:line="210" w:lineRule="auto"/>
        <w:ind w:left="131" w:right="56" w:firstLine="239"/>
        <w:jc w:val="both"/>
        <w:rPr>
          <w:sz w:val="16"/>
          <w:szCs w:val="16"/>
        </w:rPr>
      </w:pPr>
      <w:r w:rsidDel="00000000" w:rsidR="00000000" w:rsidRPr="00000000">
        <w:rPr>
          <w:rtl w:val="0"/>
        </w:rPr>
      </w:r>
    </w:p>
    <w:p w:rsidR="00000000" w:rsidDel="00000000" w:rsidP="00000000" w:rsidRDefault="00000000" w:rsidRPr="00000000" w14:paraId="00000F47">
      <w:pPr>
        <w:tabs>
          <w:tab w:val="left" w:leader="none" w:pos="831"/>
        </w:tabs>
        <w:spacing w:line="240" w:lineRule="auto"/>
        <w:rPr>
          <w:i w:val="1"/>
          <w:sz w:val="16"/>
          <w:szCs w:val="16"/>
        </w:rPr>
      </w:pPr>
      <w:r w:rsidDel="00000000" w:rsidR="00000000" w:rsidRPr="00000000">
        <w:rPr>
          <w:i w:val="1"/>
          <w:sz w:val="16"/>
          <w:szCs w:val="16"/>
          <w:rtl w:val="0"/>
        </w:rPr>
        <w:t xml:space="preserve">3.2. Cluster analyses for ACS patients</w:t>
      </w:r>
    </w:p>
    <w:p w:rsidR="00000000" w:rsidDel="00000000" w:rsidP="00000000" w:rsidRDefault="00000000" w:rsidRPr="00000000" w14:paraId="00000F48">
      <w:pPr>
        <w:tabs>
          <w:tab w:val="left" w:leader="none" w:pos="630"/>
        </w:tabs>
        <w:spacing w:before="91" w:line="240" w:lineRule="auto"/>
        <w:jc w:val="both"/>
        <w:rPr>
          <w:i w:val="1"/>
          <w:sz w:val="16"/>
          <w:szCs w:val="16"/>
        </w:rPr>
      </w:pPr>
      <w:r w:rsidDel="00000000" w:rsidR="00000000" w:rsidRPr="00000000">
        <w:rPr>
          <w:i w:val="1"/>
          <w:sz w:val="16"/>
          <w:szCs w:val="16"/>
          <w:rtl w:val="0"/>
        </w:rPr>
        <w:t xml:space="preserve">3.2.1. The baseline characteristics of phenotype groups</w:t>
      </w:r>
    </w:p>
    <w:p w:rsidR="00000000" w:rsidDel="00000000" w:rsidP="00000000" w:rsidRDefault="00000000" w:rsidRPr="00000000" w14:paraId="00000F49">
      <w:pPr>
        <w:spacing w:before="25" w:line="240" w:lineRule="auto"/>
        <w:ind w:left="131" w:right="110" w:firstLine="239"/>
        <w:jc w:val="both"/>
        <w:rPr>
          <w:sz w:val="16"/>
          <w:szCs w:val="16"/>
        </w:rPr>
      </w:pPr>
      <w:r w:rsidDel="00000000" w:rsidR="00000000" w:rsidRPr="00000000">
        <w:rPr>
          <w:sz w:val="16"/>
          <w:szCs w:val="16"/>
          <w:rtl w:val="0"/>
        </w:rPr>
        <w:t xml:space="preserve">We detected four distinct phenotypes among ACS patients. The cluster-defining features for ACS population were ESR, RBC, CRP, fibrinogen, and AST (Fig. S21, 22). We defined four identified phenogroups as normal, high-ESR, high-AST, and high-CRP groups. The high-ESR group was characterized with the highest value of ESR and the lowest level of RBC. The high AST phenotype was associated with the highest value of AST and moderate values for other parameters. The high-CRP group was linked with the highest values for CRP and fibrinogen. For the normal phenotype, cluster-defining characteristics were within normal ranges (</w:t>
      </w:r>
      <w:hyperlink w:anchor="_heading=h.3abhhcj">
        <w:r w:rsidDel="00000000" w:rsidR="00000000" w:rsidRPr="00000000">
          <w:rPr>
            <w:color w:val="2196d1"/>
            <w:sz w:val="16"/>
            <w:szCs w:val="16"/>
            <w:rtl w:val="0"/>
          </w:rPr>
          <w:t xml:space="preserve">Fig. 2</w:t>
        </w:r>
      </w:hyperlink>
      <w:r w:rsidDel="00000000" w:rsidR="00000000" w:rsidRPr="00000000">
        <w:rPr>
          <w:sz w:val="16"/>
          <w:szCs w:val="16"/>
          <w:rtl w:val="0"/>
        </w:rPr>
        <w:t xml:space="preserve">).</w:t>
      </w:r>
    </w:p>
    <w:p w:rsidR="00000000" w:rsidDel="00000000" w:rsidP="00000000" w:rsidRDefault="00000000" w:rsidRPr="00000000" w14:paraId="00000F4A">
      <w:pPr>
        <w:spacing w:line="240" w:lineRule="auto"/>
        <w:ind w:left="131" w:right="109" w:firstLine="239"/>
        <w:jc w:val="both"/>
        <w:rPr>
          <w:sz w:val="16"/>
          <w:szCs w:val="16"/>
        </w:rPr>
      </w:pPr>
      <w:r w:rsidDel="00000000" w:rsidR="00000000" w:rsidRPr="00000000">
        <w:rPr>
          <w:sz w:val="16"/>
          <w:szCs w:val="16"/>
          <w:rtl w:val="0"/>
        </w:rPr>
        <w:t xml:space="preserve">The revealed phenotypes also had distinct features apart from classification criteria (Table S3,4). The proportion of elderly patients (65.2%) and females (53.9%) were the highest in the high-ESR group. The predominant diagnosis for high-AST and high-CRP groups was STEMI, while the percentages of NSTEMI and UA were higher for normal and high-ESR groups. Meanwhile, diabetes mellitus was the most common in the high-ESR group (34%), the high-AST phenotype was associated with the highest prevalence of smoking (27.6%). The high-ESR group was characterized with the highest frequencies of MI history (36.9%) and peripheral artery disease (3.5%). About 33% of patients in the high-CRP group had atrial fibrillation, which was the highest value among all phenotypes. The platelets count was the highest in the high- ESR group, while hemoglobin level was the lowest in the high-ESR group. The high-CRP group was associated with the highest value for neutrophil-to-lymphocyte ratio, fibrinogen and the lowest level of high-density lipoprotein, sodium and ejection fraction.</w:t>
      </w:r>
    </w:p>
    <w:p w:rsidR="00000000" w:rsidDel="00000000" w:rsidP="00000000" w:rsidRDefault="00000000" w:rsidRPr="00000000" w14:paraId="00000F4B">
      <w:pPr>
        <w:spacing w:before="12" w:line="240" w:lineRule="auto"/>
        <w:rPr>
          <w:sz w:val="16"/>
          <w:szCs w:val="16"/>
        </w:rPr>
      </w:pPr>
      <w:r w:rsidDel="00000000" w:rsidR="00000000" w:rsidRPr="00000000">
        <w:rPr>
          <w:rtl w:val="0"/>
        </w:rPr>
      </w:r>
    </w:p>
    <w:p w:rsidR="00000000" w:rsidDel="00000000" w:rsidP="00000000" w:rsidRDefault="00000000" w:rsidRPr="00000000" w14:paraId="00000F4C">
      <w:pPr>
        <w:tabs>
          <w:tab w:val="left" w:leader="none" w:pos="630"/>
        </w:tabs>
        <w:spacing w:line="240" w:lineRule="auto"/>
        <w:jc w:val="both"/>
        <w:rPr>
          <w:i w:val="1"/>
          <w:sz w:val="16"/>
          <w:szCs w:val="16"/>
        </w:rPr>
      </w:pPr>
      <w:r w:rsidDel="00000000" w:rsidR="00000000" w:rsidRPr="00000000">
        <w:rPr>
          <w:i w:val="1"/>
          <w:sz w:val="16"/>
          <w:szCs w:val="16"/>
          <w:rtl w:val="0"/>
        </w:rPr>
        <w:t xml:space="preserve">3.2.2. Association between phenotype clusters and clinical endpoints</w:t>
      </w:r>
    </w:p>
    <w:p w:rsidR="00000000" w:rsidDel="00000000" w:rsidP="00000000" w:rsidRDefault="00000000" w:rsidRPr="00000000" w14:paraId="00000F4D">
      <w:pPr>
        <w:spacing w:before="25" w:line="240" w:lineRule="auto"/>
        <w:ind w:left="131" w:right="110" w:firstLine="239"/>
        <w:jc w:val="both"/>
        <w:rPr>
          <w:sz w:val="16"/>
          <w:szCs w:val="16"/>
        </w:rPr>
      </w:pPr>
      <w:r w:rsidDel="00000000" w:rsidR="00000000" w:rsidRPr="00000000">
        <w:rPr>
          <w:sz w:val="16"/>
          <w:szCs w:val="16"/>
          <w:rtl w:val="0"/>
        </w:rPr>
        <w:t xml:space="preserve">The high-CRP group was associated with the development of POCE (MR 2.21 [1.16–4.22]) but not high-ESR and high-AST group. The patients from both high-ESR and high-CRP groups demonstrated higher</w:t>
      </w:r>
    </w:p>
    <w:p w:rsidR="00000000" w:rsidDel="00000000" w:rsidP="00000000" w:rsidRDefault="00000000" w:rsidRPr="00000000" w14:paraId="00000F4E">
      <w:pPr>
        <w:spacing w:before="25" w:line="240" w:lineRule="auto"/>
        <w:ind w:left="131" w:right="110" w:firstLine="239"/>
        <w:jc w:val="both"/>
        <w:rPr>
          <w:sz w:val="16"/>
          <w:szCs w:val="16"/>
        </w:rPr>
        <w:sectPr>
          <w:type w:val="nextPage"/>
          <w:pgSz w:h="16840" w:w="11920" w:orient="portrait"/>
          <w:pgMar w:bottom="740" w:top="840" w:left="620" w:right="640" w:header="655" w:footer="544"/>
          <w:cols w:equalWidth="0" w:num="1">
            <w:col w:space="0" w:w="10645.5"/>
          </w:cols>
        </w:sectPr>
      </w:pPr>
      <w:r w:rsidDel="00000000" w:rsidR="00000000" w:rsidRPr="00000000">
        <w:rPr>
          <w:rtl w:val="0"/>
        </w:rPr>
      </w:r>
    </w:p>
    <w:p w:rsidR="00000000" w:rsidDel="00000000" w:rsidP="00000000" w:rsidRDefault="00000000" w:rsidRPr="00000000" w14:paraId="00000F4F">
      <w:pPr>
        <w:spacing w:before="25" w:line="273" w:lineRule="auto"/>
        <w:ind w:left="131" w:right="110" w:firstLine="239"/>
        <w:jc w:val="both"/>
        <w:rPr>
          <w:sz w:val="16"/>
          <w:szCs w:val="16"/>
        </w:rPr>
        <w:sectPr>
          <w:type w:val="continuous"/>
          <w:pgSz w:h="16840" w:w="11920" w:orient="portrait"/>
          <w:pgMar w:bottom="740" w:top="840" w:left="620" w:right="640" w:header="655" w:footer="544"/>
          <w:cols w:equalWidth="0" w:num="2">
            <w:col w:space="720" w:w="4970"/>
            <w:col w:space="0" w:w="4970"/>
          </w:cols>
        </w:sectPr>
      </w:pPr>
      <w:r w:rsidDel="00000000" w:rsidR="00000000" w:rsidRPr="00000000">
        <w:rPr>
          <w:rtl w:val="0"/>
        </w:rPr>
      </w:r>
    </w:p>
    <w:p w:rsidR="00000000" w:rsidDel="00000000" w:rsidP="00000000" w:rsidRDefault="00000000" w:rsidRPr="00000000" w14:paraId="00000F50">
      <w:pPr>
        <w:spacing w:before="61" w:lineRule="auto"/>
        <w:rPr>
          <w:sz w:val="20"/>
          <w:szCs w:val="20"/>
        </w:rPr>
      </w:pPr>
      <w:r w:rsidDel="00000000" w:rsidR="00000000" w:rsidRPr="00000000">
        <w:rPr>
          <w:rtl w:val="0"/>
        </w:rPr>
      </w:r>
    </w:p>
    <w:p w:rsidR="00000000" w:rsidDel="00000000" w:rsidP="00000000" w:rsidRDefault="00000000" w:rsidRPr="00000000" w14:paraId="00000F51">
      <w:pPr>
        <w:ind w:left="1683" w:firstLine="0"/>
        <w:rPr>
          <w:sz w:val="20"/>
          <w:szCs w:val="20"/>
        </w:rPr>
      </w:pPr>
      <w:r w:rsidDel="00000000" w:rsidR="00000000" w:rsidRPr="00000000">
        <w:rPr>
          <w:sz w:val="20"/>
          <w:szCs w:val="20"/>
        </w:rPr>
        <w:drawing>
          <wp:inline distB="0" distT="0" distL="0" distR="0">
            <wp:extent cx="4620818" cy="2365248"/>
            <wp:effectExtent b="0" l="0" r="0" t="0"/>
            <wp:docPr id="467" name="image2.jpg"/>
            <a:graphic>
              <a:graphicData uri="http://schemas.openxmlformats.org/drawingml/2006/picture">
                <pic:pic>
                  <pic:nvPicPr>
                    <pic:cNvPr id="0" name="image2.jpg"/>
                    <pic:cNvPicPr preferRelativeResize="0"/>
                  </pic:nvPicPr>
                  <pic:blipFill>
                    <a:blip r:embed="rId367"/>
                    <a:srcRect b="0" l="0" r="0" t="0"/>
                    <a:stretch>
                      <a:fillRect/>
                    </a:stretch>
                  </pic:blipFill>
                  <pic:spPr>
                    <a:xfrm>
                      <a:off x="0" y="0"/>
                      <a:ext cx="4620818" cy="2365248"/>
                    </a:xfrm>
                    <a:prstGeom prst="rect"/>
                    <a:ln/>
                  </pic:spPr>
                </pic:pic>
              </a:graphicData>
            </a:graphic>
          </wp:inline>
        </w:drawing>
      </w:r>
      <w:r w:rsidDel="00000000" w:rsidR="00000000" w:rsidRPr="00000000">
        <w:rPr>
          <w:rtl w:val="0"/>
        </w:rPr>
      </w:r>
    </w:p>
    <w:p w:rsidR="00000000" w:rsidDel="00000000" w:rsidP="00000000" w:rsidRDefault="00000000" w:rsidRPr="00000000" w14:paraId="00000F52">
      <w:pPr>
        <w:spacing w:before="13" w:lineRule="auto"/>
        <w:rPr>
          <w:sz w:val="14"/>
          <w:szCs w:val="14"/>
        </w:rPr>
      </w:pPr>
      <w:r w:rsidDel="00000000" w:rsidR="00000000" w:rsidRPr="00000000">
        <w:rPr>
          <w:rtl w:val="0"/>
        </w:rPr>
      </w:r>
    </w:p>
    <w:p w:rsidR="00000000" w:rsidDel="00000000" w:rsidP="00000000" w:rsidRDefault="00000000" w:rsidRPr="00000000" w14:paraId="00000F53">
      <w:pPr>
        <w:spacing w:line="283" w:lineRule="auto"/>
        <w:ind w:left="131" w:firstLine="0"/>
        <w:rPr>
          <w:sz w:val="16"/>
          <w:szCs w:val="16"/>
        </w:rPr>
        <w:sectPr>
          <w:type w:val="continuous"/>
          <w:pgSz w:h="16840" w:w="11920" w:orient="portrait"/>
          <w:pgMar w:bottom="280" w:top="1060" w:left="620" w:right="640" w:header="655" w:footer="544"/>
        </w:sectPr>
      </w:pPr>
      <w:bookmarkStart w:colFirst="0" w:colLast="0" w:name="_heading=h.2gb3jie" w:id="122"/>
      <w:bookmarkEnd w:id="122"/>
      <w:r w:rsidDel="00000000" w:rsidR="00000000" w:rsidRPr="00000000">
        <w:rPr>
          <w:b w:val="1"/>
          <w:sz w:val="14"/>
          <w:szCs w:val="14"/>
          <w:rtl w:val="0"/>
        </w:rPr>
        <w:t xml:space="preserve">Fig. 3. </w:t>
      </w:r>
      <w:r w:rsidDel="00000000" w:rsidR="00000000" w:rsidRPr="00000000">
        <w:rPr>
          <w:sz w:val="14"/>
          <w:szCs w:val="14"/>
          <w:rtl w:val="0"/>
        </w:rPr>
        <w:t xml:space="preserve">The curves for the estimation of mean function for recurrent weighted composite endpoints. ESR, erythrocyte sedimentation rate; DOCE, device-oriented composite endpoints; POCE, patient-oriented composite endpoints.</w:t>
      </w:r>
      <w:r w:rsidDel="00000000" w:rsidR="00000000" w:rsidRPr="00000000">
        <w:rPr>
          <w:rtl w:val="0"/>
        </w:rPr>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495893" cy="4870704"/>
            <wp:effectExtent b="0" l="0" r="0" t="0"/>
            <wp:docPr id="468" name="image3.jpg"/>
            <a:graphic>
              <a:graphicData uri="http://schemas.openxmlformats.org/drawingml/2006/picture">
                <pic:pic>
                  <pic:nvPicPr>
                    <pic:cNvPr id="0" name="image3.jpg"/>
                    <pic:cNvPicPr preferRelativeResize="0"/>
                  </pic:nvPicPr>
                  <pic:blipFill>
                    <a:blip r:embed="rId368"/>
                    <a:srcRect b="0" l="0" r="0" t="0"/>
                    <a:stretch>
                      <a:fillRect/>
                    </a:stretch>
                  </pic:blipFill>
                  <pic:spPr>
                    <a:xfrm>
                      <a:off x="0" y="0"/>
                      <a:ext cx="4495893" cy="4870704"/>
                    </a:xfrm>
                    <a:prstGeom prst="rect"/>
                    <a:ln/>
                  </pic:spPr>
                </pic:pic>
              </a:graphicData>
            </a:graphic>
          </wp:inline>
        </w:drawing>
      </w:r>
      <w:r w:rsidDel="00000000" w:rsidR="00000000" w:rsidRPr="00000000">
        <w:rPr>
          <w:rtl w:val="0"/>
        </w:rPr>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57">
      <w:pPr>
        <w:spacing w:before="1" w:lineRule="auto"/>
        <w:ind w:left="20" w:right="0" w:firstLine="0"/>
        <w:jc w:val="center"/>
        <w:rPr>
          <w:sz w:val="14"/>
          <w:szCs w:val="14"/>
        </w:rPr>
        <w:sectPr>
          <w:type w:val="nextPage"/>
          <w:pgSz w:h="16840" w:w="11920" w:orient="portrait"/>
          <w:pgMar w:bottom="740" w:top="840" w:left="620" w:right="640" w:header="655" w:footer="544"/>
        </w:sectPr>
      </w:pPr>
      <w:bookmarkStart w:colFirst="0" w:colLast="0" w:name="_heading=h.vgdtq7" w:id="123"/>
      <w:bookmarkEnd w:id="123"/>
      <w:r w:rsidDel="00000000" w:rsidR="00000000" w:rsidRPr="00000000">
        <w:rPr>
          <w:b w:val="1"/>
          <w:sz w:val="14"/>
          <w:szCs w:val="14"/>
          <w:rtl w:val="0"/>
        </w:rPr>
        <w:t xml:space="preserve">Fig. 4. </w:t>
      </w:r>
      <w:r w:rsidDel="00000000" w:rsidR="00000000" w:rsidRPr="00000000">
        <w:rPr>
          <w:sz w:val="14"/>
          <w:szCs w:val="14"/>
          <w:rtl w:val="0"/>
        </w:rPr>
        <w:t xml:space="preserve">The survival plots for POCE. ESR, erythrocyte sedimentation rate; POCE, patient-oriented composite endpoints.</w:t>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risk of DOCE (MRs 1.79 [1.07–3.01] and 2.70 [1.47–4.95], respectively, </w:t>
      </w:r>
      <w:hyperlink w:anchor="_heading=h.4ekz59m">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Fig. S23). Other potential predictors included history of myocardial infarction, high heart rate and low ejection fraction. Since the survival plots (Fig. S24,25) crossed each other, we did not perform Cox proportional hazards analyses. Peto statistics for the difference</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between survival curves were significant for both outcomes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&lt;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0.01).</w:t>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F5A">
      <w:pPr>
        <w:pStyle w:val="Heading5"/>
        <w:numPr>
          <w:ilvl w:val="0"/>
          <w:numId w:val="8"/>
        </w:numPr>
        <w:tabs>
          <w:tab w:val="left" w:leader="none" w:pos="375"/>
        </w:tabs>
        <w:spacing w:after="0" w:before="0" w:line="240" w:lineRule="auto"/>
        <w:ind w:left="375" w:right="0" w:hanging="244"/>
        <w:jc w:val="left"/>
        <w:rPr/>
      </w:pPr>
      <w:r w:rsidDel="00000000" w:rsidR="00000000" w:rsidRPr="00000000">
        <w:rPr>
          <w:rtl w:val="0"/>
        </w:rPr>
        <w:t xml:space="preserve">Discussion</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 this prospective longitudinal cohort study, using machine learning approaches we distinguished three phenotypes in patients after PCI and four phenotypes for ACS subset with specific patterns in demographic, clinical, laboratory, and angiographic characteristics and distinct clinical trajectories. Among 16 potential laboratory parameters, an unsupervised machine learning approach identified 5 most important variables that determined the cluster membership. They were ESR, RBC, WBC, CRP, and NLR for the overall population and ESR, RBC, CRP, fibrinogen, and AST for ACS population. One advantage of unsupervised clustering analyses is that it explores intrinsic relationships between given baseline features of high-dimensional data and defines a limited number of phenotypes with specific patterns [</w:t>
      </w:r>
      <w:hyperlink w:anchor="_heading=h.24ufcor">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For routine clinical practice, it reduces the amount of data that needs to be processed for risk assessment. For example, there is a large body of evidence supporting the predictive utility of all 16 laboratory markers in PCI patients [</w:t>
      </w:r>
      <w:hyperlink w:anchor="_heading=h.jzpmw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20–22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However, it would be challenging to incorporate all this data into a single risk score with clinical utility. In contrast, our machine-learning based approach provides simple classification based on a handful of routine biomarkers that could easily identify homogeneous phenotypes with specific characteristics and prognosis which could be prospectively evaluated for personalised treatment approaches.</w:t>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For the overall study population, we defined the detected phenogroups as the inflammatory, high-ESR, and non-inflammatory groups. Patients with the inflammatory and high-ESR phenogroups exhibit a higher risk of cardiovascular events at follow-up. It is noteworthy that outcome data were entirely removed during cluster analyses, therefore, outcomes did not impact on cluster assignment of study participants enabling unsupervised machine learning.</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Since ACS represent a heterogeneous subset of patients we conducted separate cluster analyses for this population. For ACS patients, we identified four distinct groups: high-AST, high-ESR, high-CRP, and normal phenotypes. Similalry, the cluster assignment was independently associated with clinical endpoints.</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membership to a particular cluster was an independent predictor of adverse cardiovascular events in multivariate analyses adjusted for index diagnosis. This would suggest that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-means cluster analyses unveiled homogeneous subgroups that can not be entirely defined by admission diagnoses. It is further supported by subgroup analyses for ACS patients where a diagnosis at baseline did not alter a significant association between cluster assignment and clinical outcomes. Therefore, our defined phenotypes can reveal vulnerable, higher-risk individuals not captured during traditional risk assessment.</w:t>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37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 assume that the detected patterns represented the underlying</w:t>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46057" cy="3413760"/>
            <wp:effectExtent b="0" l="0" r="0" t="0"/>
            <wp:docPr id="469" name="image1.jpg"/>
            <a:graphic>
              <a:graphicData uri="http://schemas.openxmlformats.org/drawingml/2006/picture">
                <pic:pic>
                  <pic:nvPicPr>
                    <pic:cNvPr id="0" name="image1.jpg"/>
                    <pic:cNvPicPr preferRelativeResize="0"/>
                  </pic:nvPicPr>
                  <pic:blipFill>
                    <a:blip r:embed="rId369"/>
                    <a:srcRect b="0" l="0" r="0" t="0"/>
                    <a:stretch>
                      <a:fillRect/>
                    </a:stretch>
                  </pic:blipFill>
                  <pic:spPr>
                    <a:xfrm>
                      <a:off x="0" y="0"/>
                      <a:ext cx="3146057" cy="3413760"/>
                    </a:xfrm>
                    <a:prstGeom prst="rect"/>
                    <a:ln/>
                  </pic:spPr>
                </pic:pic>
              </a:graphicData>
            </a:graphic>
          </wp:inline>
        </w:drawing>
      </w:r>
      <w:r w:rsidDel="00000000" w:rsidR="00000000" w:rsidRPr="00000000">
        <w:rPr>
          <w:rtl w:val="0"/>
        </w:rPr>
      </w:r>
    </w:p>
    <w:p w:rsidR="00000000" w:rsidDel="00000000" w:rsidP="00000000" w:rsidRDefault="00000000" w:rsidRPr="00000000" w14:paraId="00000F64">
      <w:pPr>
        <w:spacing w:before="1" w:line="285" w:lineRule="auto"/>
        <w:ind w:left="131" w:right="38" w:firstLine="0"/>
        <w:jc w:val="both"/>
        <w:rPr>
          <w:sz w:val="14"/>
          <w:szCs w:val="14"/>
        </w:rPr>
      </w:pPr>
      <w:bookmarkStart w:colFirst="0" w:colLast="0" w:name="_heading=h.1ulbmlt" w:id="124"/>
      <w:bookmarkEnd w:id="124"/>
      <w:r w:rsidDel="00000000" w:rsidR="00000000" w:rsidRPr="00000000">
        <w:rPr>
          <w:b w:val="1"/>
          <w:sz w:val="14"/>
          <w:szCs w:val="14"/>
          <w:rtl w:val="0"/>
        </w:rPr>
        <w:t xml:space="preserve">Fig. 5. </w:t>
      </w:r>
      <w:r w:rsidDel="00000000" w:rsidR="00000000" w:rsidRPr="00000000">
        <w:rPr>
          <w:sz w:val="14"/>
          <w:szCs w:val="14"/>
          <w:rtl w:val="0"/>
        </w:rPr>
        <w:t xml:space="preserve">The survival plots for DOCE. ESR, erythrocyte sedimentation rate; DOCE, device-oriented composite endpoints.</w:t>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pathophysiological type of inflammation. As ESR has a significantly longer lifespan than CRP, ESR is considered as a chronic inflammation biomarker, while CRP is regarded as a marker of acute inflammation [</w:t>
      </w:r>
      <w:hyperlink w:anchor="_heading=h.33zd5kd">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characteristics of the phenotypes with a high CRP seem to be consequences of acute inflammation with an increase of acute phase biomarkers like WBC, CRP, and neutrophil counts [</w:t>
      </w:r>
      <w:hyperlink w:anchor="_heading=h.1j4nfs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presentation of the high-ESR cluster can be explained by systemic chronic inflammation with an increase of ESR and lymphocyte count. There is no specific biomarker indicating chronic inflammation, and previous authors highlighted the need of utilizing advanced research methods for combining a large number of biomarkers into a handful of clusters representing inflammatory activity [</w:t>
      </w:r>
      <w:hyperlink w:anchor="_heading=h.1j4nfs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434ayfz">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Regarding this, our data-driven simple classification of heterogeneous all-comer PCI patients provide insights on pathophysiological mechanisms leading to different clinical presentations and clinical trajectories. Our findings further support inflammatory theory of atherosclerosis and could be used for defining specific patient groups for testing tailored anti-inflammatory treatment in future clinical trials [</w:t>
      </w:r>
      <w:hyperlink w:anchor="_heading=h.2i9l8ns">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26–28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increased risk of cardiovascular events in the inflammatory groups could be attributed to high-degree acute-phase inflammation with leukocyte-mediated myocardial injury [</w:t>
      </w:r>
      <w:hyperlink w:anchor="_heading=h.3hej1j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overactivation of immune pathways is partially responsible not only for cardiomyocyte death and widening the ischemic zone but also for myocardial remodelling and worsening of cardiac function [</w:t>
      </w:r>
      <w:hyperlink w:anchor="_heading=h.3hej1j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patients with inflammatory phenotypes may benefit from the administration of colchicine with proven efficacy in patients after recent MI [</w:t>
      </w:r>
      <w:hyperlink w:anchor="_heading=h.xevivl">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manifestation of the phenotypes with a high ESR might be linked to low-grade systemic chronic inflammation [</w:t>
      </w:r>
      <w:hyperlink w:anchor="_heading=h.1j4nfs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Chronic inflammation is a key pathological mechanism responsible for initiation, development, maintenance and exacerbation of atherosclerosis, tissue damage via oxidative stress and cytokine storm, chronic activation of sympathetic nervous system and the hypothalamic-pituitary-adrenal axis with release of glucocorticoids and other stress neuromediators, predisposing patients to adverse clinical events [</w:t>
      </w:r>
      <w:hyperlink w:anchor="_heading=h.2i9l8ns">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1wjtbr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1" w:right="38" w:firstLine="239"/>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strength of our study is that we considered the recurrent and weighted nature of cardiovascular outcomes during statistical analyses.</w:t>
      </w:r>
      <w:r w:rsidDel="00000000" w:rsidR="00000000" w:rsidRPr="00000000">
        <w:rPr>
          <w:sz w:val="16"/>
          <w:szCs w:val="16"/>
          <w:rtl w:val="0"/>
        </w:rPr>
        <w:t xml:space="preserve"> </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1" w:right="38" w:firstLine="239"/>
        <w:jc w:val="both"/>
        <w:rPr>
          <w:b w:val="1"/>
          <w:sz w:val="14"/>
          <w:szCs w:val="14"/>
        </w:rPr>
      </w:pPr>
      <w:r w:rsidDel="00000000" w:rsidR="00000000" w:rsidRPr="00000000">
        <w:rPr>
          <w:b w:val="1"/>
          <w:sz w:val="14"/>
          <w:szCs w:val="14"/>
          <w:rtl w:val="0"/>
        </w:rPr>
        <w:t xml:space="preserve">Table 3</w:t>
      </w:r>
    </w:p>
    <w:p w:rsidR="00000000" w:rsidDel="00000000" w:rsidP="00000000" w:rsidRDefault="00000000" w:rsidRPr="00000000" w14:paraId="00000F6A">
      <w:pPr>
        <w:spacing w:before="31" w:lineRule="auto"/>
        <w:ind w:left="131" w:right="0" w:firstLine="0"/>
        <w:jc w:val="both"/>
        <w:rPr>
          <w:sz w:val="14"/>
          <w:szCs w:val="14"/>
        </w:rPr>
      </w:pPr>
      <w:r w:rsidDel="00000000" w:rsidR="00000000" w:rsidRPr="00000000">
        <w:rPr>
          <w:sz w:val="14"/>
          <w:szCs w:val="14"/>
          <w:rtl w:val="0"/>
        </w:rPr>
        <w:t xml:space="preserve">The results of regression analyses for recurrent weighted composite endpoints.</w:t>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tbl>
      <w:tblPr>
        <w:tblStyle w:val="Table26"/>
        <w:tblW w:w="5024.0" w:type="dxa"/>
        <w:jc w:val="left"/>
        <w:tblInd w:w="13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8"/>
        <w:gridCol w:w="797"/>
        <w:gridCol w:w="887"/>
        <w:gridCol w:w="227"/>
        <w:gridCol w:w="868"/>
        <w:gridCol w:w="887"/>
        <w:gridCol w:w="120"/>
        <w:tblGridChange w:id="0">
          <w:tblGrid>
            <w:gridCol w:w="1238"/>
            <w:gridCol w:w="797"/>
            <w:gridCol w:w="887"/>
            <w:gridCol w:w="227"/>
            <w:gridCol w:w="868"/>
            <w:gridCol w:w="887"/>
            <w:gridCol w:w="120"/>
          </w:tblGrid>
        </w:tblGridChange>
      </w:tblGrid>
      <w:tr>
        <w:trPr>
          <w:cantSplit w:val="0"/>
          <w:trHeight w:val="253" w:hRule="atLeast"/>
          <w:tblHeader w:val="0"/>
        </w:trPr>
        <w:tc>
          <w:tcPr>
            <w:tcBorders>
              <w:top w:color="000000" w:space="0" w:sz="4" w:val="single"/>
            </w:tcBorders>
          </w:tcPr>
          <w:p w:rsidR="00000000" w:rsidDel="00000000" w:rsidP="00000000" w:rsidRDefault="00000000" w:rsidRPr="00000000" w14:paraId="00000F6C">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Variables</w:t>
            </w:r>
          </w:p>
        </w:tc>
        <w:tc>
          <w:tcPr>
            <w:tcBorders>
              <w:top w:color="000000" w:space="0" w:sz="4" w:val="single"/>
              <w:bottom w:color="000000" w:space="0" w:sz="4" w:val="single"/>
            </w:tcBorders>
          </w:tcPr>
          <w:p w:rsidR="00000000" w:rsidDel="00000000" w:rsidP="00000000" w:rsidRDefault="00000000" w:rsidRPr="00000000" w14:paraId="00000F6D">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POCE</w:t>
            </w:r>
          </w:p>
        </w:tc>
        <w:tc>
          <w:tcPr>
            <w:tcBorders>
              <w:top w:color="000000" w:space="0" w:sz="4" w:val="single"/>
              <w:bottom w:color="000000" w:space="0" w:sz="4" w:val="single"/>
            </w:tcBorders>
          </w:tcPr>
          <w:p w:rsidR="00000000" w:rsidDel="00000000" w:rsidP="00000000" w:rsidRDefault="00000000" w:rsidRPr="00000000" w14:paraId="00000F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F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F70">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DOCE</w:t>
            </w:r>
          </w:p>
        </w:tc>
        <w:tc>
          <w:tcPr>
            <w:tcBorders>
              <w:top w:color="000000" w:space="0" w:sz="4" w:val="single"/>
              <w:bottom w:color="000000" w:space="0" w:sz="4" w:val="single"/>
            </w:tcBorders>
          </w:tcPr>
          <w:p w:rsidR="00000000" w:rsidDel="00000000" w:rsidP="00000000" w:rsidRDefault="00000000" w:rsidRPr="00000000" w14:paraId="00000F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vMerge w:val="restart"/>
            <w:tcBorders>
              <w:top w:color="000000" w:space="0" w:sz="4" w:val="single"/>
              <w:bottom w:color="000000" w:space="0" w:sz="4" w:val="single"/>
            </w:tcBorders>
          </w:tcPr>
          <w:p w:rsidR="00000000" w:rsidDel="00000000" w:rsidP="00000000" w:rsidRDefault="00000000" w:rsidRPr="00000000" w14:paraId="00000F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F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F74">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Univariate analyses,</w:t>
            </w:r>
          </w:p>
        </w:tc>
        <w:tc>
          <w:tcPr>
            <w:tcBorders>
              <w:top w:color="000000" w:space="0" w:sz="4" w:val="single"/>
            </w:tcBorders>
          </w:tcPr>
          <w:p w:rsidR="00000000" w:rsidDel="00000000" w:rsidP="00000000" w:rsidRDefault="00000000" w:rsidRPr="00000000" w14:paraId="00000F75">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1" w:right="17"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Multivariate analyses, MR</w:t>
            </w:r>
          </w:p>
        </w:tc>
        <w:tc>
          <w:tcPr/>
          <w:p w:rsidR="00000000" w:rsidDel="00000000" w:rsidP="00000000" w:rsidRDefault="00000000" w:rsidRPr="00000000" w14:paraId="00000F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F77">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Univariate analyses, MR</w:t>
            </w:r>
          </w:p>
        </w:tc>
        <w:tc>
          <w:tcPr>
            <w:tcBorders>
              <w:top w:color="000000" w:space="0" w:sz="4" w:val="single"/>
            </w:tcBorders>
          </w:tcPr>
          <w:p w:rsidR="00000000" w:rsidDel="00000000" w:rsidP="00000000" w:rsidRDefault="00000000" w:rsidRPr="00000000" w14:paraId="00000F78">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120" w:right="18"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Multivariate analyses, MR</w:t>
            </w:r>
          </w:p>
        </w:tc>
        <w:tc>
          <w:tcPr>
            <w:vMerge w:val="continue"/>
            <w:tcBorders>
              <w:top w:color="000000" w:space="0" w:sz="4" w:val="single"/>
              <w:bottom w:color="000000" w:space="0" w:sz="4" w:val="single"/>
            </w:tcBorders>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72" w:hRule="atLeast"/>
          <w:tblHeader w:val="0"/>
        </w:trPr>
        <w:tc>
          <w:tcPr/>
          <w:p w:rsidR="00000000" w:rsidDel="00000000" w:rsidP="00000000" w:rsidRDefault="00000000" w:rsidRPr="00000000" w14:paraId="00000F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7B">
            <w:pPr>
              <w:keepNext w:val="0"/>
              <w:keepLines w:val="0"/>
              <w:widowControl w:val="0"/>
              <w:pBdr>
                <w:top w:space="0" w:sz="0" w:val="nil"/>
                <w:left w:space="0" w:sz="0" w:val="nil"/>
                <w:bottom w:space="0" w:sz="0" w:val="nil"/>
                <w:right w:space="0" w:sz="0" w:val="nil"/>
                <w:between w:space="0" w:sz="0" w:val="nil"/>
              </w:pBdr>
              <w:shd w:fill="auto" w:val="clear"/>
              <w:spacing w:after="0" w:before="21" w:line="130.9999999999999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MR [95%</w:t>
            </w:r>
          </w:p>
        </w:tc>
        <w:tc>
          <w:tcPr/>
          <w:p w:rsidR="00000000" w:rsidDel="00000000" w:rsidP="00000000" w:rsidRDefault="00000000" w:rsidRPr="00000000" w14:paraId="00000F7C">
            <w:pPr>
              <w:keepNext w:val="0"/>
              <w:keepLines w:val="0"/>
              <w:widowControl w:val="0"/>
              <w:pBdr>
                <w:top w:space="0" w:sz="0" w:val="nil"/>
                <w:left w:space="0" w:sz="0" w:val="nil"/>
                <w:bottom w:space="0" w:sz="0" w:val="nil"/>
                <w:right w:space="0" w:sz="0" w:val="nil"/>
                <w:between w:space="0" w:sz="0" w:val="nil"/>
              </w:pBdr>
              <w:shd w:fill="auto" w:val="clear"/>
              <w:spacing w:after="0" w:before="21" w:line="130.99999999999997"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[95% CI]</w:t>
            </w:r>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superscript"/>
                <w:rtl w:val="0"/>
              </w:rPr>
              <w:t xml:space="preserve">1</w:t>
            </w:r>
            <w:r w:rsidDel="00000000" w:rsidR="00000000" w:rsidRPr="00000000">
              <w:rPr>
                <w:rtl w:val="0"/>
              </w:rPr>
            </w:r>
          </w:p>
        </w:tc>
        <w:tc>
          <w:tcPr/>
          <w:p w:rsidR="00000000" w:rsidDel="00000000" w:rsidP="00000000" w:rsidRDefault="00000000" w:rsidRPr="00000000" w14:paraId="00000F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7E">
            <w:pPr>
              <w:keepNext w:val="0"/>
              <w:keepLines w:val="0"/>
              <w:widowControl w:val="0"/>
              <w:pBdr>
                <w:top w:space="0" w:sz="0" w:val="nil"/>
                <w:left w:space="0" w:sz="0" w:val="nil"/>
                <w:bottom w:space="0" w:sz="0" w:val="nil"/>
                <w:right w:space="0" w:sz="0" w:val="nil"/>
                <w:between w:space="0" w:sz="0" w:val="nil"/>
              </w:pBdr>
              <w:shd w:fill="auto" w:val="clear"/>
              <w:spacing w:after="0" w:before="21" w:line="130.99999999999997"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[95% CI]</w:t>
            </w:r>
          </w:p>
        </w:tc>
        <w:tc>
          <w:tcPr/>
          <w:p w:rsidR="00000000" w:rsidDel="00000000" w:rsidP="00000000" w:rsidRDefault="00000000" w:rsidRPr="00000000" w14:paraId="00000F7F">
            <w:pPr>
              <w:keepNext w:val="0"/>
              <w:keepLines w:val="0"/>
              <w:widowControl w:val="0"/>
              <w:pBdr>
                <w:top w:space="0" w:sz="0" w:val="nil"/>
                <w:left w:space="0" w:sz="0" w:val="nil"/>
                <w:bottom w:space="0" w:sz="0" w:val="nil"/>
                <w:right w:space="0" w:sz="0" w:val="nil"/>
                <w:between w:space="0" w:sz="0" w:val="nil"/>
              </w:pBdr>
              <w:shd w:fill="auto" w:val="clear"/>
              <w:spacing w:after="0" w:before="21" w:line="130.99999999999997"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[95% CI]</w:t>
            </w:r>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superscript"/>
                <w:rtl w:val="0"/>
              </w:rPr>
              <w:t xml:space="preserve">2</w:t>
            </w:r>
            <w:r w:rsidDel="00000000" w:rsidR="00000000" w:rsidRPr="00000000">
              <w:rPr>
                <w:rtl w:val="0"/>
              </w:rPr>
            </w:r>
          </w:p>
        </w:tc>
        <w:tc>
          <w:tcPr>
            <w:vMerge w:val="continue"/>
            <w:tcBorders>
              <w:top w:color="000000" w:space="0" w:sz="4" w:val="single"/>
              <w:bottom w:color="000000" w:space="0" w:sz="4" w:val="single"/>
            </w:tcBorders>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201" w:hRule="atLeast"/>
          <w:tblHeader w:val="0"/>
        </w:trPr>
        <w:tc>
          <w:tcPr>
            <w:tcBorders>
              <w:bottom w:color="000000" w:space="0" w:sz="4" w:val="single"/>
            </w:tcBorders>
          </w:tcPr>
          <w:p w:rsidR="00000000" w:rsidDel="00000000" w:rsidP="00000000" w:rsidRDefault="00000000" w:rsidRPr="00000000" w14:paraId="00000F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F8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CI]</w:t>
            </w:r>
          </w:p>
        </w:tc>
        <w:tc>
          <w:tcPr>
            <w:tcBorders>
              <w:bottom w:color="000000" w:space="0" w:sz="4" w:val="single"/>
            </w:tcBorders>
          </w:tcPr>
          <w:p w:rsidR="00000000" w:rsidDel="00000000" w:rsidP="00000000" w:rsidRDefault="00000000" w:rsidRPr="00000000" w14:paraId="00000F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F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F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F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Borders>
              <w:top w:color="000000" w:space="0" w:sz="4" w:val="single"/>
              <w:bottom w:color="000000" w:space="0" w:sz="4" w:val="single"/>
            </w:tcBorders>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7" w:hRule="atLeast"/>
          <w:tblHeader w:val="0"/>
        </w:trPr>
        <w:tc>
          <w:tcPr>
            <w:tcBorders>
              <w:top w:color="000000" w:space="0" w:sz="4" w:val="single"/>
            </w:tcBorders>
          </w:tcPr>
          <w:p w:rsidR="00000000" w:rsidDel="00000000" w:rsidP="00000000" w:rsidRDefault="00000000" w:rsidRPr="00000000" w14:paraId="00000F88">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High-ESR vs</w:t>
            </w:r>
          </w:p>
        </w:tc>
        <w:tc>
          <w:tcPr>
            <w:tcBorders>
              <w:top w:color="000000" w:space="0" w:sz="4" w:val="single"/>
            </w:tcBorders>
          </w:tcPr>
          <w:p w:rsidR="00000000" w:rsidDel="00000000" w:rsidP="00000000" w:rsidRDefault="00000000" w:rsidRPr="00000000" w14:paraId="00000F89">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1.59</w:t>
            </w:r>
          </w:p>
        </w:tc>
        <w:tc>
          <w:tcPr>
            <w:tcBorders>
              <w:top w:color="000000" w:space="0" w:sz="4" w:val="single"/>
            </w:tcBorders>
          </w:tcPr>
          <w:p w:rsidR="00000000" w:rsidDel="00000000" w:rsidP="00000000" w:rsidRDefault="00000000" w:rsidRPr="00000000" w14:paraId="00000F8A">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1.29</w:t>
            </w:r>
          </w:p>
        </w:tc>
        <w:tc>
          <w:tcPr>
            <w:tcBorders>
              <w:top w:color="000000" w:space="0" w:sz="4" w:val="single"/>
            </w:tcBorders>
          </w:tcPr>
          <w:p w:rsidR="00000000" w:rsidDel="00000000" w:rsidP="00000000" w:rsidRDefault="00000000" w:rsidRPr="00000000" w14:paraId="00000F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F8C">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2.21</w:t>
            </w:r>
          </w:p>
        </w:tc>
        <w:tc>
          <w:tcPr>
            <w:tcBorders>
              <w:top w:color="000000" w:space="0" w:sz="4" w:val="single"/>
            </w:tcBorders>
          </w:tcPr>
          <w:p w:rsidR="00000000" w:rsidDel="00000000" w:rsidP="00000000" w:rsidRDefault="00000000" w:rsidRPr="00000000" w14:paraId="00000F8D">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1.79</w:t>
            </w:r>
          </w:p>
        </w:tc>
        <w:tc>
          <w:tcPr>
            <w:tcBorders>
              <w:top w:color="000000" w:space="0" w:sz="4" w:val="single"/>
            </w:tcBorders>
          </w:tcPr>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normal</w:t>
            </w:r>
          </w:p>
        </w:tc>
        <w:tc>
          <w:tcPr/>
          <w:p w:rsidR="00000000" w:rsidDel="00000000" w:rsidP="00000000" w:rsidRDefault="00000000" w:rsidRPr="00000000" w14:paraId="00000F9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[1.08–2.33]</w:t>
            </w:r>
          </w:p>
        </w:tc>
        <w:tc>
          <w:tcPr/>
          <w:p w:rsidR="00000000" w:rsidDel="00000000" w:rsidP="00000000" w:rsidRDefault="00000000" w:rsidRPr="00000000" w14:paraId="00000F91">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[0.75–2.21]</w:t>
            </w:r>
          </w:p>
        </w:tc>
        <w:tc>
          <w:tcPr/>
          <w:p w:rsidR="00000000" w:rsidDel="00000000" w:rsidP="00000000" w:rsidRDefault="00000000" w:rsidRPr="00000000" w14:paraId="00000F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9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[1.40–3.48]</w:t>
            </w:r>
          </w:p>
        </w:tc>
        <w:tc>
          <w:tcPr/>
          <w:p w:rsidR="00000000" w:rsidDel="00000000" w:rsidP="00000000" w:rsidRDefault="00000000" w:rsidRPr="00000000" w14:paraId="00000F9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[1.07–3.01]</w:t>
            </w:r>
          </w:p>
        </w:tc>
        <w:tc>
          <w:tcPr/>
          <w:p w:rsidR="00000000" w:rsidDel="00000000" w:rsidP="00000000" w:rsidRDefault="00000000" w:rsidRPr="00000000" w14:paraId="00000F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96">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cluster</w:t>
            </w:r>
          </w:p>
        </w:tc>
        <w:tc>
          <w:tcPr/>
          <w:p w:rsidR="00000000" w:rsidDel="00000000" w:rsidP="00000000" w:rsidRDefault="00000000" w:rsidRPr="00000000" w14:paraId="00000F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9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High-CRP vs</w:t>
            </w:r>
          </w:p>
        </w:tc>
        <w:tc>
          <w:tcPr/>
          <w:p w:rsidR="00000000" w:rsidDel="00000000" w:rsidP="00000000" w:rsidRDefault="00000000" w:rsidRPr="00000000" w14:paraId="00000F9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3.07</w:t>
            </w:r>
          </w:p>
        </w:tc>
        <w:tc>
          <w:tcPr/>
          <w:p w:rsidR="00000000" w:rsidDel="00000000" w:rsidP="00000000" w:rsidRDefault="00000000" w:rsidRPr="00000000" w14:paraId="00000F9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2.21</w:t>
            </w:r>
          </w:p>
        </w:tc>
        <w:tc>
          <w:tcPr/>
          <w:p w:rsidR="00000000" w:rsidDel="00000000" w:rsidP="00000000" w:rsidRDefault="00000000" w:rsidRPr="00000000" w14:paraId="00000F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A1">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3.91</w:t>
            </w:r>
          </w:p>
        </w:tc>
        <w:tc>
          <w:tcPr/>
          <w:p w:rsidR="00000000" w:rsidDel="00000000" w:rsidP="00000000" w:rsidRDefault="00000000" w:rsidRPr="00000000" w14:paraId="00000FA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2.70</w:t>
            </w:r>
          </w:p>
        </w:tc>
        <w:tc>
          <w:tcPr/>
          <w:p w:rsidR="00000000" w:rsidDel="00000000" w:rsidP="00000000" w:rsidRDefault="00000000" w:rsidRPr="00000000" w14:paraId="00000F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A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normal</w:t>
            </w:r>
          </w:p>
        </w:tc>
        <w:tc>
          <w:tcPr/>
          <w:p w:rsidR="00000000" w:rsidDel="00000000" w:rsidP="00000000" w:rsidRDefault="00000000" w:rsidRPr="00000000" w14:paraId="00000FA5">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[1.94–4.85]</w:t>
            </w:r>
          </w:p>
        </w:tc>
        <w:tc>
          <w:tcPr/>
          <w:p w:rsidR="00000000" w:rsidDel="00000000" w:rsidP="00000000" w:rsidRDefault="00000000" w:rsidRPr="00000000" w14:paraId="00000FA6">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[1.16–4.22]</w:t>
            </w:r>
          </w:p>
        </w:tc>
        <w:tc>
          <w:tcPr/>
          <w:p w:rsidR="00000000" w:rsidDel="00000000" w:rsidP="00000000" w:rsidRDefault="00000000" w:rsidRPr="00000000" w14:paraId="00000F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A8">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[2.23–6.85]</w:t>
            </w:r>
          </w:p>
        </w:tc>
        <w:tc>
          <w:tcPr/>
          <w:p w:rsidR="00000000" w:rsidDel="00000000" w:rsidP="00000000" w:rsidRDefault="00000000" w:rsidRPr="00000000" w14:paraId="00000FA9">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[1.47–4.95]</w:t>
            </w:r>
          </w:p>
        </w:tc>
        <w:tc>
          <w:tcPr/>
          <w:p w:rsidR="00000000" w:rsidDel="00000000" w:rsidP="00000000" w:rsidRDefault="00000000" w:rsidRPr="00000000" w14:paraId="00000F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AB">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cluster</w:t>
            </w:r>
          </w:p>
        </w:tc>
        <w:tc>
          <w:tcPr/>
          <w:p w:rsidR="00000000" w:rsidDel="00000000" w:rsidP="00000000" w:rsidRDefault="00000000" w:rsidRPr="00000000" w14:paraId="00000F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High-AST vs</w:t>
            </w:r>
          </w:p>
        </w:tc>
        <w:tc>
          <w:tcPr/>
          <w:p w:rsidR="00000000" w:rsidDel="00000000" w:rsidP="00000000" w:rsidRDefault="00000000" w:rsidRPr="00000000" w14:paraId="00000FB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1.31</w:t>
            </w:r>
          </w:p>
        </w:tc>
        <w:tc>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1.26</w:t>
            </w:r>
          </w:p>
        </w:tc>
        <w:tc>
          <w:tcPr/>
          <w:p w:rsidR="00000000" w:rsidDel="00000000" w:rsidP="00000000" w:rsidRDefault="00000000" w:rsidRPr="00000000" w14:paraId="00000F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B6">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1.72</w:t>
            </w:r>
          </w:p>
        </w:tc>
        <w:tc>
          <w:tcPr/>
          <w:p w:rsidR="00000000" w:rsidDel="00000000" w:rsidP="00000000" w:rsidRDefault="00000000" w:rsidRPr="00000000" w14:paraId="00000FB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1.54</w:t>
            </w:r>
          </w:p>
        </w:tc>
        <w:tc>
          <w:tcPr/>
          <w:p w:rsidR="00000000" w:rsidDel="00000000" w:rsidP="00000000" w:rsidRDefault="00000000" w:rsidRPr="00000000" w14:paraId="00000F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B9">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normal</w:t>
            </w:r>
          </w:p>
        </w:tc>
        <w:tc>
          <w:tcPr/>
          <w:p w:rsidR="00000000" w:rsidDel="00000000" w:rsidP="00000000" w:rsidRDefault="00000000" w:rsidRPr="00000000" w14:paraId="00000FB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[0.61–2.82]</w:t>
            </w:r>
          </w:p>
        </w:tc>
        <w:tc>
          <w:tcPr/>
          <w:p w:rsidR="00000000" w:rsidDel="00000000" w:rsidP="00000000" w:rsidRDefault="00000000" w:rsidRPr="00000000" w14:paraId="00000FB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[0.56–2.85]</w:t>
            </w:r>
          </w:p>
        </w:tc>
        <w:tc>
          <w:tcPr/>
          <w:p w:rsidR="00000000" w:rsidDel="00000000" w:rsidP="00000000" w:rsidRDefault="00000000" w:rsidRPr="00000000" w14:paraId="00000F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B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[0.71–4.20]</w:t>
            </w:r>
          </w:p>
        </w:tc>
        <w:tc>
          <w:tcPr/>
          <w:p w:rsidR="00000000" w:rsidDel="00000000" w:rsidP="00000000" w:rsidRDefault="00000000" w:rsidRPr="00000000" w14:paraId="00000FB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[0.59–4.05]</w:t>
            </w:r>
          </w:p>
        </w:tc>
        <w:tc>
          <w:tcPr/>
          <w:p w:rsidR="00000000" w:rsidDel="00000000" w:rsidP="00000000" w:rsidRDefault="00000000" w:rsidRPr="00000000" w14:paraId="00000F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C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cluster</w:t>
            </w:r>
          </w:p>
        </w:tc>
        <w:tc>
          <w:tcPr/>
          <w:p w:rsidR="00000000" w:rsidDel="00000000" w:rsidP="00000000" w:rsidRDefault="00000000" w:rsidRPr="00000000" w14:paraId="00000F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C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Diagnosis</w:t>
            </w:r>
          </w:p>
        </w:tc>
        <w:tc>
          <w:tcPr/>
          <w:p w:rsidR="00000000" w:rsidDel="00000000" w:rsidP="00000000" w:rsidRDefault="00000000" w:rsidRPr="00000000" w14:paraId="00000F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C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4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NSTEMI vs</w:t>
            </w:r>
          </w:p>
        </w:tc>
        <w:tc>
          <w:tcPr/>
          <w:p w:rsidR="00000000" w:rsidDel="00000000" w:rsidP="00000000" w:rsidRDefault="00000000" w:rsidRPr="00000000" w14:paraId="00000FC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1.02</w:t>
            </w:r>
          </w:p>
        </w:tc>
        <w:tc>
          <w:tcPr/>
          <w:p w:rsidR="00000000" w:rsidDel="00000000" w:rsidP="00000000" w:rsidRDefault="00000000" w:rsidRPr="00000000" w14:paraId="00000FD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0.93</w:t>
            </w:r>
          </w:p>
        </w:tc>
        <w:tc>
          <w:tcPr/>
          <w:p w:rsidR="00000000" w:rsidDel="00000000" w:rsidP="00000000" w:rsidRDefault="00000000" w:rsidRPr="00000000" w14:paraId="00000F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D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0.90</w:t>
            </w:r>
          </w:p>
        </w:tc>
        <w:tc>
          <w:tcPr/>
          <w:p w:rsidR="00000000" w:rsidDel="00000000" w:rsidP="00000000" w:rsidRDefault="00000000" w:rsidRPr="00000000" w14:paraId="00000FD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0.90</w:t>
            </w:r>
          </w:p>
        </w:tc>
        <w:tc>
          <w:tcPr/>
          <w:p w:rsidR="00000000" w:rsidDel="00000000" w:rsidP="00000000" w:rsidRDefault="00000000" w:rsidRPr="00000000" w14:paraId="00000F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D5">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STEMI</w:t>
            </w:r>
          </w:p>
        </w:tc>
        <w:tc>
          <w:tcPr/>
          <w:p w:rsidR="00000000" w:rsidDel="00000000" w:rsidP="00000000" w:rsidRDefault="00000000" w:rsidRPr="00000000" w14:paraId="00000FD6">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[0.62–1.69]</w:t>
            </w:r>
          </w:p>
        </w:tc>
        <w:tc>
          <w:tcPr/>
          <w:p w:rsidR="00000000" w:rsidDel="00000000" w:rsidP="00000000" w:rsidRDefault="00000000" w:rsidRPr="00000000" w14:paraId="00000FD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[0.53–1.64]</w:t>
            </w:r>
          </w:p>
        </w:tc>
        <w:tc>
          <w:tcPr/>
          <w:p w:rsidR="00000000" w:rsidDel="00000000" w:rsidP="00000000" w:rsidRDefault="00000000" w:rsidRPr="00000000" w14:paraId="00000F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D9">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[0.450–1.64]</w:t>
            </w:r>
          </w:p>
        </w:tc>
        <w:tc>
          <w:tcPr/>
          <w:p w:rsidR="00000000" w:rsidDel="00000000" w:rsidP="00000000" w:rsidRDefault="00000000" w:rsidRPr="00000000" w14:paraId="00000FD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[0.51–1.60]</w:t>
            </w:r>
          </w:p>
        </w:tc>
        <w:tc>
          <w:tcPr/>
          <w:p w:rsidR="00000000" w:rsidDel="00000000" w:rsidP="00000000" w:rsidRDefault="00000000" w:rsidRPr="00000000" w14:paraId="00000F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DC">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24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UA vs STEMI</w:t>
            </w:r>
          </w:p>
        </w:tc>
        <w:tc>
          <w:tcPr/>
          <w:p w:rsidR="00000000" w:rsidDel="00000000" w:rsidP="00000000" w:rsidRDefault="00000000" w:rsidRPr="00000000" w14:paraId="00000FDD">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0.72</w:t>
            </w:r>
          </w:p>
        </w:tc>
        <w:tc>
          <w:tcPr/>
          <w:p w:rsidR="00000000" w:rsidDel="00000000" w:rsidP="00000000" w:rsidRDefault="00000000" w:rsidRPr="00000000" w14:paraId="00000FDE">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0.75</w:t>
            </w:r>
          </w:p>
        </w:tc>
        <w:tc>
          <w:tcPr/>
          <w:p w:rsidR="00000000" w:rsidDel="00000000" w:rsidP="00000000" w:rsidRDefault="00000000" w:rsidRPr="00000000" w14:paraId="00000F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E0">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0.61</w:t>
            </w:r>
          </w:p>
        </w:tc>
        <w:tc>
          <w:tcPr/>
          <w:p w:rsidR="00000000" w:rsidDel="00000000" w:rsidP="00000000" w:rsidRDefault="00000000" w:rsidRPr="00000000" w14:paraId="00000FE1">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0.74</w:t>
            </w:r>
          </w:p>
        </w:tc>
        <w:tc>
          <w:tcPr/>
          <w:p w:rsidR="00000000" w:rsidDel="00000000" w:rsidP="00000000" w:rsidRDefault="00000000" w:rsidRPr="00000000" w14:paraId="00000F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E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[0.49–1.05]</w:t>
            </w:r>
          </w:p>
        </w:tc>
        <w:tc>
          <w:tcPr/>
          <w:p w:rsidR="00000000" w:rsidDel="00000000" w:rsidP="00000000" w:rsidRDefault="00000000" w:rsidRPr="00000000" w14:paraId="00000FE5">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[0.49–1.13]</w:t>
            </w:r>
          </w:p>
        </w:tc>
        <w:tc>
          <w:tcPr/>
          <w:p w:rsidR="00000000" w:rsidDel="00000000" w:rsidP="00000000" w:rsidRDefault="00000000" w:rsidRPr="00000000" w14:paraId="00000F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E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[0.38–0.98]</w:t>
            </w:r>
          </w:p>
        </w:tc>
        <w:tc>
          <w:tcPr/>
          <w:p w:rsidR="00000000" w:rsidDel="00000000" w:rsidP="00000000" w:rsidRDefault="00000000" w:rsidRPr="00000000" w14:paraId="00000FE8">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[0.44–1.24]</w:t>
            </w:r>
          </w:p>
        </w:tc>
        <w:tc>
          <w:tcPr/>
          <w:p w:rsidR="00000000" w:rsidDel="00000000" w:rsidP="00000000" w:rsidRDefault="00000000" w:rsidRPr="00000000" w14:paraId="00000F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E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History of</w:t>
            </w:r>
          </w:p>
        </w:tc>
        <w:tc>
          <w:tcPr/>
          <w:p w:rsidR="00000000" w:rsidDel="00000000" w:rsidP="00000000" w:rsidRDefault="00000000" w:rsidRPr="00000000" w14:paraId="00000FE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1.97</w:t>
            </w:r>
          </w:p>
        </w:tc>
        <w:tc>
          <w:tcPr/>
          <w:p w:rsidR="00000000" w:rsidDel="00000000" w:rsidP="00000000" w:rsidRDefault="00000000" w:rsidRPr="00000000" w14:paraId="00000FEC">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1.81</w:t>
            </w:r>
          </w:p>
        </w:tc>
        <w:tc>
          <w:tcPr/>
          <w:p w:rsidR="00000000" w:rsidDel="00000000" w:rsidP="00000000" w:rsidRDefault="00000000" w:rsidRPr="00000000" w14:paraId="00000F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E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2.06</w:t>
            </w:r>
          </w:p>
        </w:tc>
        <w:tc>
          <w:tcPr/>
          <w:p w:rsidR="00000000" w:rsidDel="00000000" w:rsidP="00000000" w:rsidRDefault="00000000" w:rsidRPr="00000000" w14:paraId="00000FE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1.82</w:t>
            </w:r>
          </w:p>
        </w:tc>
        <w:tc>
          <w:tcPr/>
          <w:p w:rsidR="00000000" w:rsidDel="00000000" w:rsidP="00000000" w:rsidRDefault="00000000" w:rsidRPr="00000000" w14:paraId="00000F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F1">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myocardial</w:t>
            </w:r>
          </w:p>
        </w:tc>
        <w:tc>
          <w:tcPr/>
          <w:p w:rsidR="00000000" w:rsidDel="00000000" w:rsidP="00000000" w:rsidRDefault="00000000" w:rsidRPr="00000000" w14:paraId="00000FF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[1.42–2.74]</w:t>
            </w:r>
          </w:p>
        </w:tc>
        <w:tc>
          <w:tcPr/>
          <w:p w:rsidR="00000000" w:rsidDel="00000000" w:rsidP="00000000" w:rsidRDefault="00000000" w:rsidRPr="00000000" w14:paraId="00000FF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[1.14–2.86]</w:t>
            </w:r>
          </w:p>
        </w:tc>
        <w:tc>
          <w:tcPr/>
          <w:p w:rsidR="00000000" w:rsidDel="00000000" w:rsidP="00000000" w:rsidRDefault="00000000" w:rsidRPr="00000000" w14:paraId="00000F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F5">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[1.38–3.08]</w:t>
            </w:r>
          </w:p>
        </w:tc>
        <w:tc>
          <w:tcPr/>
          <w:p w:rsidR="00000000" w:rsidDel="00000000" w:rsidP="00000000" w:rsidRDefault="00000000" w:rsidRPr="00000000" w14:paraId="00000FF6">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[1.06–3.13]</w:t>
            </w:r>
          </w:p>
        </w:tc>
        <w:tc>
          <w:tcPr/>
          <w:p w:rsidR="00000000" w:rsidDel="00000000" w:rsidP="00000000" w:rsidRDefault="00000000" w:rsidRPr="00000000" w14:paraId="00000F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F8">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infarction</w:t>
            </w:r>
          </w:p>
        </w:tc>
        <w:tc>
          <w:tcPr/>
          <w:p w:rsidR="00000000" w:rsidDel="00000000" w:rsidP="00000000" w:rsidRDefault="00000000" w:rsidRPr="00000000" w14:paraId="00000F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F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0FF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High heart rate</w:t>
            </w:r>
          </w:p>
        </w:tc>
        <w:tc>
          <w:tcPr/>
          <w:p w:rsidR="00000000" w:rsidDel="00000000" w:rsidP="00000000" w:rsidRDefault="00000000" w:rsidRPr="00000000" w14:paraId="0000100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1.02</w:t>
            </w:r>
          </w:p>
        </w:tc>
        <w:tc>
          <w:tcPr/>
          <w:p w:rsidR="00000000" w:rsidDel="00000000" w:rsidP="00000000" w:rsidRDefault="00000000" w:rsidRPr="00000000" w14:paraId="00001001">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2.03</w:t>
            </w:r>
          </w:p>
        </w:tc>
        <w:tc>
          <w:tcPr/>
          <w:p w:rsidR="00000000" w:rsidDel="00000000" w:rsidP="00000000" w:rsidRDefault="00000000" w:rsidRPr="00000000" w14:paraId="00001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0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3.08</w:t>
            </w:r>
          </w:p>
        </w:tc>
        <w:tc>
          <w:tcPr/>
          <w:p w:rsidR="00000000" w:rsidDel="00000000" w:rsidP="00000000" w:rsidRDefault="00000000" w:rsidRPr="00000000" w14:paraId="0000100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2.14</w:t>
            </w:r>
          </w:p>
        </w:tc>
        <w:tc>
          <w:tcPr/>
          <w:p w:rsidR="00000000" w:rsidDel="00000000" w:rsidP="00000000" w:rsidRDefault="00000000" w:rsidRPr="00000000" w14:paraId="00001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0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[0.99–1.04]</w:t>
            </w:r>
          </w:p>
        </w:tc>
        <w:tc>
          <w:tcPr/>
          <w:p w:rsidR="00000000" w:rsidDel="00000000" w:rsidP="00000000" w:rsidRDefault="00000000" w:rsidRPr="00000000" w14:paraId="00001008">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[1.34–3.08]</w:t>
            </w:r>
          </w:p>
        </w:tc>
        <w:tc>
          <w:tcPr/>
          <w:p w:rsidR="00000000" w:rsidDel="00000000" w:rsidP="00000000" w:rsidRDefault="00000000" w:rsidRPr="00000000" w14:paraId="00001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0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[2.06–4.60]</w:t>
            </w:r>
          </w:p>
        </w:tc>
        <w:tc>
          <w:tcPr/>
          <w:p w:rsidR="00000000" w:rsidDel="00000000" w:rsidP="00000000" w:rsidRDefault="00000000" w:rsidRPr="00000000" w14:paraId="0000100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[1.33–3.46]</w:t>
            </w:r>
          </w:p>
        </w:tc>
        <w:tc>
          <w:tcPr/>
          <w:p w:rsidR="00000000" w:rsidDel="00000000" w:rsidP="00000000" w:rsidRDefault="00000000" w:rsidRPr="00000000" w14:paraId="00001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0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Low ejection</w:t>
            </w:r>
          </w:p>
        </w:tc>
        <w:tc>
          <w:tcPr/>
          <w:p w:rsidR="00000000" w:rsidDel="00000000" w:rsidP="00000000" w:rsidRDefault="00000000" w:rsidRPr="00000000" w14:paraId="0000100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3.18</w:t>
            </w:r>
          </w:p>
        </w:tc>
        <w:tc>
          <w:tcPr/>
          <w:p w:rsidR="00000000" w:rsidDel="00000000" w:rsidP="00000000" w:rsidRDefault="00000000" w:rsidRPr="00000000" w14:paraId="0000100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1.83</w:t>
            </w:r>
          </w:p>
        </w:tc>
        <w:tc>
          <w:tcPr/>
          <w:p w:rsidR="00000000" w:rsidDel="00000000" w:rsidP="00000000" w:rsidRDefault="00000000" w:rsidRPr="00000000" w14:paraId="00001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11">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3.35</w:t>
            </w:r>
          </w:p>
        </w:tc>
        <w:tc>
          <w:tcPr/>
          <w:p w:rsidR="00000000" w:rsidDel="00000000" w:rsidP="00000000" w:rsidRDefault="00000000" w:rsidRPr="00000000" w14:paraId="0000101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1.77</w:t>
            </w:r>
          </w:p>
        </w:tc>
        <w:tc>
          <w:tcPr/>
          <w:p w:rsidR="00000000" w:rsidDel="00000000" w:rsidP="00000000" w:rsidRDefault="00000000" w:rsidRPr="00000000" w14:paraId="00001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14">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2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fraction</w:t>
            </w:r>
          </w:p>
        </w:tc>
        <w:tc>
          <w:tcPr/>
          <w:p w:rsidR="00000000" w:rsidDel="00000000" w:rsidP="00000000" w:rsidRDefault="00000000" w:rsidRPr="00000000" w14:paraId="00001015">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[2.28–4.44]</w:t>
            </w:r>
          </w:p>
        </w:tc>
        <w:tc>
          <w:tcPr/>
          <w:p w:rsidR="00000000" w:rsidDel="00000000" w:rsidP="00000000" w:rsidRDefault="00000000" w:rsidRPr="00000000" w14:paraId="00001016">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[1.17–2.86]</w:t>
            </w:r>
          </w:p>
        </w:tc>
        <w:tc>
          <w:tcPr/>
          <w:p w:rsidR="00000000" w:rsidDel="00000000" w:rsidP="00000000" w:rsidRDefault="00000000" w:rsidRPr="00000000" w14:paraId="00001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18">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[2.22–5.04]</w:t>
            </w:r>
          </w:p>
        </w:tc>
        <w:tc>
          <w:tcPr/>
          <w:p w:rsidR="00000000" w:rsidDel="00000000" w:rsidP="00000000" w:rsidRDefault="00000000" w:rsidRPr="00000000" w14:paraId="00001019">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[1.07–2.92]</w:t>
            </w:r>
          </w:p>
        </w:tc>
        <w:tc>
          <w:tcPr/>
          <w:p w:rsidR="00000000" w:rsidDel="00000000" w:rsidP="00000000" w:rsidRDefault="00000000" w:rsidRPr="00000000" w14:paraId="00001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1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COVID-19</w:t>
            </w:r>
          </w:p>
        </w:tc>
        <w:tc>
          <w:tcPr/>
          <w:p w:rsidR="00000000" w:rsidDel="00000000" w:rsidP="00000000" w:rsidRDefault="00000000" w:rsidRPr="00000000" w14:paraId="0000101C">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1.70</w:t>
            </w:r>
          </w:p>
        </w:tc>
        <w:tc>
          <w:tcPr/>
          <w:p w:rsidR="00000000" w:rsidDel="00000000" w:rsidP="00000000" w:rsidRDefault="00000000" w:rsidRPr="00000000" w14:paraId="0000101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1.63</w:t>
            </w:r>
          </w:p>
        </w:tc>
        <w:tc>
          <w:tcPr/>
          <w:p w:rsidR="00000000" w:rsidDel="00000000" w:rsidP="00000000" w:rsidRDefault="00000000" w:rsidRPr="00000000" w14:paraId="00001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[1.14–2.54]</w:t>
            </w:r>
          </w:p>
        </w:tc>
        <w:tc>
          <w:tcPr/>
          <w:p w:rsidR="00000000" w:rsidDel="00000000" w:rsidP="00000000" w:rsidRDefault="00000000" w:rsidRPr="00000000" w14:paraId="0000102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[1.04–2.57]</w:t>
            </w:r>
          </w:p>
        </w:tc>
        <w:tc>
          <w:tcPr/>
          <w:p w:rsidR="00000000" w:rsidDel="00000000" w:rsidP="00000000" w:rsidRDefault="00000000" w:rsidRPr="00000000" w14:paraId="00001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Noncompliance</w:t>
            </w:r>
          </w:p>
        </w:tc>
        <w:tc>
          <w:tcPr/>
          <w:p w:rsidR="00000000" w:rsidDel="00000000" w:rsidP="00000000" w:rsidRDefault="00000000" w:rsidRPr="00000000" w14:paraId="0000102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4.33</w:t>
            </w:r>
          </w:p>
        </w:tc>
        <w:tc>
          <w:tcPr/>
          <w:p w:rsidR="00000000" w:rsidDel="00000000" w:rsidP="00000000" w:rsidRDefault="00000000" w:rsidRPr="00000000" w14:paraId="0000102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4.47</w:t>
            </w:r>
          </w:p>
        </w:tc>
        <w:tc>
          <w:tcPr/>
          <w:p w:rsidR="00000000" w:rsidDel="00000000" w:rsidP="00000000" w:rsidRDefault="00000000" w:rsidRPr="00000000" w14:paraId="00001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2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3.50</w:t>
            </w:r>
          </w:p>
        </w:tc>
        <w:tc>
          <w:tcPr/>
          <w:p w:rsidR="00000000" w:rsidDel="00000000" w:rsidP="00000000" w:rsidRDefault="00000000" w:rsidRPr="00000000" w14:paraId="0000102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4.42</w:t>
            </w:r>
          </w:p>
        </w:tc>
        <w:tc>
          <w:tcPr/>
          <w:p w:rsidR="00000000" w:rsidDel="00000000" w:rsidP="00000000" w:rsidRDefault="00000000" w:rsidRPr="00000000" w14:paraId="00001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206" w:hRule="atLeast"/>
          <w:tblHeader w:val="0"/>
        </w:trPr>
        <w:tc>
          <w:tcPr>
            <w:tcBorders>
              <w:bottom w:color="000000" w:space="0" w:sz="4" w:val="single"/>
            </w:tcBorders>
          </w:tcPr>
          <w:p w:rsidR="00000000" w:rsidDel="00000000" w:rsidP="00000000" w:rsidRDefault="00000000" w:rsidRPr="00000000" w14:paraId="00001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031">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[2.44–7.70]</w:t>
            </w:r>
          </w:p>
        </w:tc>
        <w:tc>
          <w:tcPr>
            <w:tcBorders>
              <w:bottom w:color="000000" w:space="0" w:sz="4" w:val="single"/>
            </w:tcBorders>
          </w:tcPr>
          <w:p w:rsidR="00000000" w:rsidDel="00000000" w:rsidP="00000000" w:rsidRDefault="00000000" w:rsidRPr="00000000" w14:paraId="00001032">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2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[1.28–15.64]</w:t>
            </w:r>
          </w:p>
        </w:tc>
        <w:tc>
          <w:tcPr>
            <w:tcBorders>
              <w:bottom w:color="000000" w:space="0" w:sz="4" w:val="single"/>
            </w:tcBorders>
          </w:tcPr>
          <w:p w:rsidR="00000000" w:rsidDel="00000000" w:rsidP="00000000" w:rsidRDefault="00000000" w:rsidRPr="00000000" w14:paraId="00001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034">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[1.40–8.76]</w:t>
            </w:r>
          </w:p>
        </w:tc>
        <w:tc>
          <w:tcPr>
            <w:tcBorders>
              <w:bottom w:color="000000" w:space="0" w:sz="4" w:val="single"/>
            </w:tcBorders>
          </w:tcPr>
          <w:p w:rsidR="00000000" w:rsidDel="00000000" w:rsidP="00000000" w:rsidRDefault="00000000" w:rsidRPr="00000000" w14:paraId="00001035">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2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[0.74–26.43]</w:t>
            </w:r>
          </w:p>
        </w:tc>
        <w:tc>
          <w:tcPr>
            <w:tcBorders>
              <w:bottom w:color="000000" w:space="0" w:sz="4" w:val="single"/>
            </w:tcBorders>
          </w:tcPr>
          <w:p w:rsidR="00000000" w:rsidDel="00000000" w:rsidP="00000000" w:rsidRDefault="00000000" w:rsidRPr="00000000" w14:paraId="00001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1037">
      <w:pPr>
        <w:spacing w:before="69" w:line="285" w:lineRule="auto"/>
        <w:ind w:left="131" w:right="110" w:firstLine="0"/>
        <w:jc w:val="both"/>
        <w:rPr>
          <w:sz w:val="14"/>
          <w:szCs w:val="14"/>
        </w:rPr>
      </w:pPr>
      <w:bookmarkStart w:colFirst="0" w:colLast="0" w:name="_heading=h.2tq9fhf" w:id="125"/>
      <w:bookmarkEnd w:id="125"/>
      <w:r w:rsidDel="00000000" w:rsidR="00000000" w:rsidRPr="00000000">
        <w:rPr>
          <w:sz w:val="14"/>
          <w:szCs w:val="14"/>
          <w:rtl w:val="0"/>
        </w:rPr>
        <w:t xml:space="preserve">CI, confidence interval; DOCE, Device-Oriented Composite Endpoints; ESR, erythrocyte sedimentation rate; MR, mean ration; NSTEMI, non-ST-segment elevation myocardial infarction; PCI, percutaneous coronary intervention; POCE, Patient-Oriented Composite Endpoints; STEMI, ST-segment elevation myocardial infarction; TIMI, Thrombolysis in Myocardial Infarction; UA, un- stable angina.</w:t>
      </w:r>
    </w:p>
    <w:p w:rsidR="00000000" w:rsidDel="00000000" w:rsidP="00000000" w:rsidRDefault="00000000" w:rsidRPr="00000000" w14:paraId="00001038">
      <w:pPr>
        <w:spacing w:before="0" w:line="191" w:lineRule="auto"/>
        <w:ind w:left="244" w:right="0" w:firstLine="0"/>
        <w:jc w:val="left"/>
        <w:rPr>
          <w:sz w:val="14"/>
          <w:szCs w:val="14"/>
        </w:rPr>
      </w:pPr>
      <w:r w:rsidDel="00000000" w:rsidR="00000000" w:rsidRPr="00000000">
        <w:rPr>
          <w:sz w:val="14"/>
          <w:szCs w:val="14"/>
          <w:vertAlign w:val="superscript"/>
          <w:rtl w:val="0"/>
        </w:rPr>
        <w:t xml:space="preserve">1</w:t>
      </w:r>
      <w:r w:rsidDel="00000000" w:rsidR="00000000" w:rsidRPr="00000000">
        <w:rPr>
          <w:sz w:val="14"/>
          <w:szCs w:val="14"/>
          <w:vertAlign w:val="baseline"/>
          <w:rtl w:val="0"/>
        </w:rPr>
        <w:t xml:space="preserve"> Also adjusted for elderly age (</w:t>
      </w:r>
      <w:r w:rsidDel="00000000" w:rsidR="00000000" w:rsidRPr="00000000">
        <w:rPr>
          <w:rFonts w:ascii="Lucida Sans" w:cs="Lucida Sans" w:eastAsia="Lucida Sans" w:hAnsi="Lucida Sans"/>
          <w:sz w:val="14"/>
          <w:szCs w:val="14"/>
          <w:vertAlign w:val="baseline"/>
          <w:rtl w:val="0"/>
        </w:rPr>
        <w:t xml:space="preserve">&gt;</w:t>
      </w:r>
      <w:r w:rsidDel="00000000" w:rsidR="00000000" w:rsidRPr="00000000">
        <w:rPr>
          <w:sz w:val="14"/>
          <w:szCs w:val="14"/>
          <w:vertAlign w:val="baseline"/>
          <w:rtl w:val="0"/>
        </w:rPr>
        <w:t xml:space="preserve">65 years), hypertension, obesity, history of</w:t>
      </w:r>
      <w:r w:rsidDel="00000000" w:rsidR="00000000" w:rsidRPr="00000000">
        <w:rPr>
          <w:rtl w:val="0"/>
        </w:rPr>
      </w:r>
    </w:p>
    <w:p w:rsidR="00000000" w:rsidDel="00000000" w:rsidP="00000000" w:rsidRDefault="00000000" w:rsidRPr="00000000" w14:paraId="00001039">
      <w:pPr>
        <w:spacing w:before="0" w:line="285" w:lineRule="auto"/>
        <w:ind w:left="131" w:right="0" w:firstLine="0"/>
        <w:jc w:val="left"/>
        <w:rPr>
          <w:sz w:val="14"/>
          <w:szCs w:val="14"/>
        </w:rPr>
      </w:pPr>
      <w:bookmarkStart w:colFirst="0" w:colLast="0" w:name="_heading=h.18vjpp8" w:id="126"/>
      <w:bookmarkEnd w:id="126"/>
      <w:r w:rsidDel="00000000" w:rsidR="00000000" w:rsidRPr="00000000">
        <w:rPr>
          <w:sz w:val="14"/>
          <w:szCs w:val="14"/>
          <w:rtl w:val="0"/>
        </w:rPr>
        <w:t xml:space="preserve">PCI and CABG, atrial fibrillation, the number of diseased coronary arteries, and chronic total occlusion.</w:t>
      </w:r>
    </w:p>
    <w:p w:rsidR="00000000" w:rsidDel="00000000" w:rsidP="00000000" w:rsidRDefault="00000000" w:rsidRPr="00000000" w14:paraId="0000103A">
      <w:pPr>
        <w:spacing w:before="0" w:line="191" w:lineRule="auto"/>
        <w:ind w:left="244" w:right="0" w:firstLine="0"/>
        <w:jc w:val="left"/>
        <w:rPr>
          <w:sz w:val="14"/>
          <w:szCs w:val="14"/>
        </w:rPr>
      </w:pPr>
      <w:r w:rsidDel="00000000" w:rsidR="00000000" w:rsidRPr="00000000">
        <w:rPr>
          <w:sz w:val="14"/>
          <w:szCs w:val="14"/>
          <w:vertAlign w:val="superscript"/>
          <w:rtl w:val="0"/>
        </w:rPr>
        <w:t xml:space="preserve">2</w:t>
      </w:r>
      <w:r w:rsidDel="00000000" w:rsidR="00000000" w:rsidRPr="00000000">
        <w:rPr>
          <w:sz w:val="14"/>
          <w:szCs w:val="14"/>
          <w:vertAlign w:val="baseline"/>
          <w:rtl w:val="0"/>
        </w:rPr>
        <w:t xml:space="preserve"> Also adjusted for elderly age (</w:t>
      </w:r>
      <w:r w:rsidDel="00000000" w:rsidR="00000000" w:rsidRPr="00000000">
        <w:rPr>
          <w:rFonts w:ascii="Lucida Sans" w:cs="Lucida Sans" w:eastAsia="Lucida Sans" w:hAnsi="Lucida Sans"/>
          <w:sz w:val="14"/>
          <w:szCs w:val="14"/>
          <w:vertAlign w:val="baseline"/>
          <w:rtl w:val="0"/>
        </w:rPr>
        <w:t xml:space="preserve">&gt;</w:t>
      </w:r>
      <w:r w:rsidDel="00000000" w:rsidR="00000000" w:rsidRPr="00000000">
        <w:rPr>
          <w:sz w:val="14"/>
          <w:szCs w:val="14"/>
          <w:vertAlign w:val="baseline"/>
          <w:rtl w:val="0"/>
        </w:rPr>
        <w:t xml:space="preserve">65 years), atrial fibrillation, diseased left</w:t>
      </w:r>
      <w:r w:rsidDel="00000000" w:rsidR="00000000" w:rsidRPr="00000000">
        <w:rPr>
          <w:rtl w:val="0"/>
        </w:rPr>
      </w:r>
    </w:p>
    <w:p w:rsidR="00000000" w:rsidDel="00000000" w:rsidP="00000000" w:rsidRDefault="00000000" w:rsidRPr="00000000" w14:paraId="0000103B">
      <w:pPr>
        <w:spacing w:before="0" w:line="285" w:lineRule="auto"/>
        <w:ind w:left="131" w:right="0" w:firstLine="0"/>
        <w:jc w:val="left"/>
        <w:rPr>
          <w:sz w:val="14"/>
          <w:szCs w:val="14"/>
        </w:rPr>
      </w:pPr>
      <w:r w:rsidDel="00000000" w:rsidR="00000000" w:rsidRPr="00000000">
        <w:rPr>
          <w:sz w:val="14"/>
          <w:szCs w:val="14"/>
          <w:rtl w:val="0"/>
        </w:rPr>
        <w:t xml:space="preserve">main coronary artery, the number of diseased coronary arteries, chronic total occlusion, history of PCI and CABG, use of thrombectomia.</w:t>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 found that about 16% of POCE and 36% of readmissions were recurrent (</w:t>
      </w:r>
      <w:hyperlink w:anchor="_heading=h.2b6jogx">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therefore, applying time-to-the-first-event analyses could be biassed and underpowered. These findings are in line with the results of previous studies that reported the percentage of recurrent events being up to 40% [</w:t>
      </w:r>
      <w:hyperlink w:anchor="_heading=h.3kkl7fh">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4jpj0b3">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Furthermore, traditional survival analyses do not incorporate clinical severity of clinical endpoints. As a consequence, death is accounted equally to MI or TVR, which could not represent a real burden of composite cardiovascular outcomes [</w:t>
      </w:r>
      <w:hyperlink w:anchor="_heading=h.1zpvhna">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2qk79lc">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Hence, we argue that statistical techniques representing recurrent and weighted characteristics of study endpoints should be gold standards in future clinical investigations.</w:t>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Our study has several limitations. They were small sample size, limited number of clinical and laboratory parameters used for cluster analyses, observational design of the study, absence of external validation. Although an unsupervised machine learning approach does not require validation, evaluation of our findings in larger cohorts are needed to explore reliability and generalizability. Also, testing our classification in future randomised controlled trials for tailored anti- inflammatory treatment in PCI patients could further support our results. The limited number of variables imputed into cluster analyses reflects the real-world design of our research, thus, implying a greater chance of implication of our results in routine clinical practice. Finally, despite the small sample size, we managed to identify distinct phenotypes with specific patterns not only in classification criteria but also in demographic, clinical, laboratory, and angiographic features. Finally, the validation of our findings in new settings is crucially important to investigate extrapolation of our approach to wider populations.</w:t>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0">
      <w:pPr>
        <w:pStyle w:val="Heading5"/>
        <w:numPr>
          <w:ilvl w:val="0"/>
          <w:numId w:val="8"/>
        </w:numPr>
        <w:tabs>
          <w:tab w:val="left" w:leader="none" w:pos="375"/>
        </w:tabs>
        <w:spacing w:after="0" w:before="0" w:line="240" w:lineRule="auto"/>
        <w:ind w:left="375" w:right="0" w:hanging="244"/>
        <w:jc w:val="left"/>
        <w:rPr/>
      </w:pPr>
      <w:r w:rsidDel="00000000" w:rsidR="00000000" w:rsidRPr="00000000">
        <w:rPr>
          <w:rtl w:val="0"/>
        </w:rPr>
        <w:t xml:space="preserve">Conclusion</w:t>
      </w:r>
    </w:p>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Using data-driven unsupervised machine learning approach, we unveiled three distinct phenotypes with specific characteristics: inflammatory (with the highest WBC counts, CRP and NLR), high-ESR (with the highest ESR and lowest NLR), and non-inflammatory (with normal-ranged inflammatory biomarkers). Additionally, we identified four specific phenotypes for the ACS population according to the level of routine biomarkers (high-ESR, high-CRP, high-AST and normal groups). The cluster membership was independently associated with the development of POCE and DOCE in both all-comer PCI and ACS-only populations.</w:t>
      </w:r>
    </w:p>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3">
      <w:pPr>
        <w:pStyle w:val="Heading5"/>
        <w:ind w:left="131" w:firstLine="0"/>
        <w:rPr/>
      </w:pPr>
      <w:r w:rsidDel="00000000" w:rsidR="00000000" w:rsidRPr="00000000">
        <w:rPr>
          <w:rtl w:val="0"/>
        </w:rPr>
        <w:t xml:space="preserve">Funding sources</w:t>
      </w:r>
    </w:p>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96" w:right="4104" w:firstLine="0"/>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None.</w:t>
      </w:r>
    </w:p>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6">
      <w:pPr>
        <w:pStyle w:val="Heading5"/>
        <w:ind w:left="131" w:firstLine="0"/>
        <w:rPr/>
      </w:pPr>
      <w:r w:rsidDel="00000000" w:rsidR="00000000" w:rsidRPr="00000000">
        <w:rPr>
          <w:rtl w:val="0"/>
        </w:rPr>
        <w:t xml:space="preserve">Declaration of Competing Interest</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authors report no relationships that could be construed as a conflict of interest</w:t>
      </w:r>
    </w:p>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9">
      <w:pPr>
        <w:pStyle w:val="Heading5"/>
        <w:ind w:left="131" w:firstLine="0"/>
        <w:rPr/>
      </w:pPr>
      <w:r w:rsidDel="00000000" w:rsidR="00000000" w:rsidRPr="00000000">
        <w:rPr>
          <w:rtl w:val="0"/>
        </w:rPr>
        <w:t xml:space="preserve">Appendix A. Supplementary data</w:t>
      </w:r>
    </w:p>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10.732283464566965"/>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Supplementary data to this article can be found online at </w:t>
      </w:r>
      <w:hyperlink r:id="rId370">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https://doi.</w:t>
        </w:r>
      </w:hyperlin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 </w:t>
      </w:r>
      <w:hyperlink r:id="rId371">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org/10.1016/j.ijcard.2022.12.035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D">
      <w:pPr>
        <w:pStyle w:val="Heading5"/>
        <w:ind w:left="0" w:right="4104" w:firstLine="0"/>
        <w:jc w:val="center"/>
        <w:rPr/>
      </w:pPr>
      <w:r w:rsidDel="00000000" w:rsidR="00000000" w:rsidRPr="00000000">
        <w:rPr>
          <w:rtl w:val="0"/>
        </w:rPr>
        <w:t xml:space="preserve">References</w:t>
      </w:r>
    </w:p>
    <w:p w:rsidR="00000000" w:rsidDel="00000000" w:rsidP="00000000" w:rsidRDefault="00000000" w:rsidRPr="00000000" w14:paraId="00001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8.00000000000006" w:lineRule="auto"/>
        <w:ind w:left="459" w:right="123"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maplo9" w:id="127"/>
      <w:bookmarkEnd w:id="127"/>
      <w:hyperlink r:id="rId37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F.-J. Neumann, M. Sousa-Uva, A. Ahlsson, et al., 2018 ESC/EACTS guidelines on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7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myocardial revascularization, Eur. Heart J. 40 (2018) 87–165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6" w:lineRule="auto"/>
        <w:ind w:left="459" w:right="78"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6ad4c2" w:id="128"/>
      <w:bookmarkEnd w:id="128"/>
      <w:hyperlink r:id="rId37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 Valgimigli, H. Bueno, R.A. Byrne, et al., 2017 ESC focused update on dual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7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antiplatelet therapy in coronary artery disease developed in collaboration with</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7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EACTS: the task force for dual antiplatelet therapy in coronary artery disease of the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7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European Society of Cardiology (ESC) and of the European Association for Cardio-</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7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Thoracic Surgery (EACTS), Eur. Heart J. 39 (2017) 213–260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2" w:line="278.00000000000006" w:lineRule="auto"/>
        <w:ind w:left="459" w:right="100"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lfnejv" w:id="129"/>
      <w:bookmarkEnd w:id="129"/>
      <w:hyperlink r:id="rId37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G.A. Figtree, S.T. Vernon, N. Hadziosmanovic, et al., Mortality in STEMI patients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without standard modifiable risk factors: a sex-disaggregated analysis of</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SWEDEHEART registry data, Lancet Lond. Engl. 397 (2021) 1085–1094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6" w:lineRule="auto"/>
        <w:ind w:left="459" w:right="78"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0kxoro" w:id="130"/>
      <w:bookmarkEnd w:id="130"/>
      <w:hyperlink r:id="rId38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M.T. Roe, A.R. Halabi, R.H. Mehta, et al., Documented traditional cardiovascular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risk factors and mortality in non-ST-segment elevation myocardial infarction, Am.</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Heart J. 153 (2007) 507–514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1" w:line="276" w:lineRule="auto"/>
        <w:ind w:left="459" w:right="270"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kkl7fh" w:id="131"/>
      <w:bookmarkEnd w:id="131"/>
      <w:hyperlink r:id="rId38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S.D. Anker, J.J.V. McMurray, Time to move on from “time-to-first”: should all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events be included in the analysis of clinical trials? Eur. Heart J. 33 (2012)</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2764–2765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2" w:line="276" w:lineRule="auto"/>
        <w:ind w:left="459" w:right="78"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zpvhna" w:id="132"/>
      <w:bookmarkEnd w:id="132"/>
      <w:hyperlink r:id="rId38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L. Mao, D.Y. Lin, Semiparametric regression for the weighted composite endpoint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8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of recurrent and terminal events, Biostat. Oxf. Engl. 17 (2016) 390–403</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2" w:line="276" w:lineRule="auto"/>
        <w:ind w:left="459" w:right="270"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jpj0b3" w:id="133"/>
      <w:bookmarkEnd w:id="133"/>
      <w:hyperlink r:id="rId39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 Vasudevan, J.W. Choi, G.A. Feghali, et al., First and recurrent events after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9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percutaneous coronary intervention: implications for survival analyses, Scand.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9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Cardiovasc. J. 53 (2019) 299–304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05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2" w:line="276" w:lineRule="auto"/>
        <w:ind w:left="459" w:right="270"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7vx9v4iprlu" w:id="134"/>
      <w:bookmarkEnd w:id="134"/>
      <w:hyperlink r:id="rId39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K. Thygesen, J.S. Alpert, A.S. Jaffe, B.R. Chaitman, J.J. Bax, D.A. Morrow, H.</w:t>
        </w:r>
      </w:hyperlink>
      <w:hyperlink r:id="rId394">
        <w:r w:rsidDel="00000000" w:rsidR="00000000" w:rsidRPr="00000000">
          <w:rPr>
            <w:color w:val="2196d1"/>
            <w:sz w:val="12"/>
            <w:szCs w:val="12"/>
            <w:rtl w:val="0"/>
          </w:rPr>
          <w:t xml:space="preserve">D. White, Fourth universal definition of myocardial infarction (2018), J. Am. Coll.</w:t>
        </w:r>
      </w:hyperlink>
      <w:r w:rsidDel="00000000" w:rsidR="00000000" w:rsidRPr="00000000">
        <w:rPr>
          <w:color w:val="2196d1"/>
          <w:sz w:val="12"/>
          <w:szCs w:val="12"/>
          <w:rtl w:val="0"/>
        </w:rPr>
        <w:t xml:space="preserve"> </w:t>
      </w:r>
      <w:hyperlink r:id="rId395">
        <w:r w:rsidDel="00000000" w:rsidR="00000000" w:rsidRPr="00000000">
          <w:rPr>
            <w:color w:val="2196d1"/>
            <w:sz w:val="12"/>
            <w:szCs w:val="12"/>
            <w:rtl w:val="0"/>
          </w:rPr>
          <w:t xml:space="preserve">Cardiol. 72 (2018) 2231–2264</w:t>
        </w:r>
      </w:hyperlink>
      <w:r w:rsidDel="00000000" w:rsidR="00000000" w:rsidRPr="00000000">
        <w:rPr>
          <w:sz w:val="12"/>
          <w:szCs w:val="12"/>
          <w:rtl w:val="0"/>
        </w:rPr>
        <w:t xml:space="preserve">.</w:t>
      </w:r>
    </w:p>
    <w:p w:rsidR="00000000" w:rsidDel="00000000" w:rsidP="00000000" w:rsidRDefault="00000000" w:rsidRPr="00000000" w14:paraId="000010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1" w:line="276" w:lineRule="auto"/>
        <w:ind w:left="459" w:right="149"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e03kqp" w:id="135"/>
      <w:bookmarkEnd w:id="135"/>
      <w:hyperlink r:id="rId39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J.-P. Collet, H. Thiele, E. Barbato, et al., 2020 ESC guidelines for the management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9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of acute coronary syndromes in patients presenting without persistent ST-segment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39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elevation, Eur. Heart J. 42 (2021) 1289–1367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76" w:lineRule="auto"/>
        <w:ind w:left="462" w:right="18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xzr3ei" w:id="136"/>
      <w:bookmarkEnd w:id="136"/>
      <w:hyperlink r:id="rId39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 Knuuti, W. Wijns, A. Saraste, et al., 2019 ESC guidelines for the diagnosis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0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management of chronic coronary syndromes, Eur. Heart J. 41 (2020) 407–477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6" w:lineRule="auto"/>
        <w:ind w:left="462" w:right="254"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d51dmb" w:id="137"/>
      <w:bookmarkEnd w:id="137"/>
      <w:hyperlink r:id="rId40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H.M. Garcia-Garcia, E.P. McFadden, A. Farb, et al., Standardized end point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0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definitions for coronary intervention trials: the academic research consortium-2</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0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consensus document, Circulation 137 (2018) 2635–2650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76" w:lineRule="auto"/>
        <w:ind w:left="462" w:right="432"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sabnu4" w:id="138"/>
      <w:bookmarkEnd w:id="138"/>
      <w:hyperlink r:id="rId40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 Mehran, S.V. Rao, D.L. Bhatt, et al., Standardized bleeding definitions for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0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cardiovascular clinical trials: a consensus report from the bleeding academic</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0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research consortium, Circulation 123 (2011) 2736–2747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1"/>
        </w:tabs>
        <w:spacing w:after="0" w:before="0" w:line="139.00000000000003" w:lineRule="auto"/>
        <w:ind w:left="461" w:right="0"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c9z6hx" w:id="139"/>
      <w:bookmarkEnd w:id="139"/>
      <w:hyperlink r:id="rId40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X. </w:t>
        </w:r>
      </w:hyperlink>
      <w:hyperlink r:id="rId408">
        <w:r w:rsidDel="00000000" w:rsidR="00000000" w:rsidRPr="00000000">
          <w:rPr>
            <w:color w:val="2196d1"/>
            <w:sz w:val="12"/>
            <w:szCs w:val="12"/>
            <w:rtl w:val="0"/>
          </w:rPr>
          <w:t xml:space="preserve">Basagaña</w:t>
        </w:r>
      </w:hyperlink>
      <w:hyperlink r:id="rId40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J. </w:t>
        </w:r>
      </w:hyperlink>
      <w:hyperlink r:id="rId410">
        <w:r w:rsidDel="00000000" w:rsidR="00000000" w:rsidRPr="00000000">
          <w:rPr>
            <w:color w:val="2196d1"/>
            <w:sz w:val="12"/>
            <w:szCs w:val="12"/>
            <w:rtl w:val="0"/>
          </w:rPr>
          <w:t xml:space="preserve">Barrera-Gómez</w:t>
        </w:r>
      </w:hyperlink>
      <w:hyperlink r:id="rId41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M. Benet, J.M. </w:t>
        </w:r>
      </w:hyperlink>
      <w:hyperlink r:id="rId412">
        <w:r w:rsidDel="00000000" w:rsidR="00000000" w:rsidRPr="00000000">
          <w:rPr>
            <w:color w:val="2196d1"/>
            <w:sz w:val="12"/>
            <w:szCs w:val="12"/>
            <w:rtl w:val="0"/>
          </w:rPr>
          <w:t xml:space="preserve">Antó,</w:t>
        </w:r>
      </w:hyperlink>
      <w:hyperlink r:id="rId41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J. Garcia-Aymerich,</w:t>
        </w:r>
      </w:hyperlink>
      <w:hyperlink r:id="rId414">
        <w:r w:rsidDel="00000000" w:rsidR="00000000" w:rsidRPr="00000000">
          <w:rPr>
            <w:sz w:val="12"/>
            <w:szCs w:val="12"/>
            <w:rtl w:val="0"/>
          </w:rPr>
          <w:t xml:space="preserve"> </w:t>
        </w:r>
      </w:hyperlink>
      <w:hyperlink r:id="rId415">
        <w:r w:rsidDel="00000000" w:rsidR="00000000" w:rsidRPr="00000000">
          <w:rPr>
            <w:color w:val="2196d1"/>
            <w:sz w:val="12"/>
            <w:szCs w:val="12"/>
            <w:rtl w:val="0"/>
          </w:rPr>
          <w:t xml:space="preserve">A framework for multiple imputation in cluster analysis, Am. J. Epidemiol. 177</w:t>
        </w:r>
      </w:hyperlink>
      <w:r w:rsidDel="00000000" w:rsidR="00000000" w:rsidRPr="00000000">
        <w:rPr>
          <w:color w:val="2196d1"/>
          <w:sz w:val="12"/>
          <w:szCs w:val="12"/>
          <w:rtl w:val="0"/>
        </w:rPr>
        <w:t xml:space="preserve"> </w:t>
      </w:r>
      <w:hyperlink r:id="rId416">
        <w:r w:rsidDel="00000000" w:rsidR="00000000" w:rsidRPr="00000000">
          <w:rPr>
            <w:color w:val="2196d1"/>
            <w:sz w:val="12"/>
            <w:szCs w:val="12"/>
            <w:rtl w:val="0"/>
          </w:rPr>
          <w:t xml:space="preserve">(2013) 718–725</w:t>
        </w:r>
      </w:hyperlink>
      <w:r w:rsidDel="00000000" w:rsidR="00000000" w:rsidRPr="00000000">
        <w:rPr>
          <w:sz w:val="12"/>
          <w:szCs w:val="12"/>
          <w:rtl w:val="0"/>
        </w:rPr>
        <w:t xml:space="preserve">.</w:t>
      </w:r>
    </w:p>
    <w:p w:rsidR="00000000" w:rsidDel="00000000" w:rsidP="00000000" w:rsidRDefault="00000000" w:rsidRPr="00000000" w14:paraId="00001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8.00000000000006" w:lineRule="auto"/>
        <w:ind w:left="462" w:right="150"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rf9gpq" w:id="140"/>
      <w:bookmarkEnd w:id="140"/>
      <w:hyperlink r:id="rId41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 van Buuren, K. Groothuis-Oudshoorn, Mice: multivariate imputation by chained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1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equations in R, J. Stat. Softw. 45 (2011) 1–67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40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bewzdj" w:id="141"/>
      <w:bookmarkEnd w:id="141"/>
      <w:hyperlink r:id="rId41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 Breaban, H. Luchian, A unifying criterion for unsupervised clustering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2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feature selection, Pattern Recogn. 44 (2011) 854–865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14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qk79lc" w:id="142"/>
      <w:bookmarkEnd w:id="142"/>
      <w:hyperlink r:id="rId42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J.A. Bakal, M.T. Roe, E.M. Ohman, et al., Applying novel methods to assess clinical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2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outcomes: insights from the TRILOGY ACS trial, Eur. Heart J. 36 (2015) 385–392a</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6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5phjt5" w:id="143"/>
      <w:bookmarkEnd w:id="143"/>
      <w:hyperlink r:id="rId42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V. Rondeau, S. Mathoulin-Pelissier, H. Jacqmin-Gadda, V. Brouste, P. Soubeyran,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2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Joint frailty models for recurring events and death using maximum penalized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2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likelihood estimation: application on cancer events, Biostat. Oxf. Engl. 8 (2007)</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2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708–721</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504"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pp52gy" w:id="144"/>
      <w:bookmarkEnd w:id="144"/>
      <w:hyperlink r:id="rId42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 Core Team, R: A Language and Environment for Statistical Computing, 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2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Foundation for Statistical Computing, Vienna, Austria, 2022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8.00000000000006" w:lineRule="auto"/>
        <w:ind w:left="462" w:right="14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4ufcor" w:id="145"/>
      <w:bookmarkEnd w:id="145"/>
      <w:hyperlink r:id="rId42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 Nouraei, H. Nouraei, S.W. Rabkin, Comparison of unsupervised machine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learning approaches for cluster analysis to define subgroups of heart failure with</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preserved ejection fraction with different outcomes, Bioeng. Basel Switz. 9 (2022)</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175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23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jzpmwk" w:id="146"/>
      <w:bookmarkEnd w:id="146"/>
      <w:hyperlink r:id="rId43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 Shah, U. Baber, S.J. Pocock, et al., White blood cell count and major adverse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cardiovascular events after percutaneous coronary intervention in the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contemporary era: insights from the PARIS study (patterns of non-adherence to</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anti-platelet regimens in stented patients registry), Circ. Cardiovasc. Interv. 10</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(2017), e004981</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4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 Galimzhanov, Y. Sabitov, E. Tenekecioglu, H.N. Tun, M. Alasnag, M.A. Mamas, Baseline platelet count in percutaneous coronary intervention: a dose–response meta-analysis, Heart (2022);108:1792-1799.</w:t>
      </w:r>
    </w:p>
    <w:p w:rsidR="00000000" w:rsidDel="00000000" w:rsidP="00000000" w:rsidRDefault="00000000" w:rsidRPr="00000000" w14:paraId="0000106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68"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hyperlink r:id="rId43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 Gilardi, P. Iacomini, D. Marsiliani, G. De Marco, M. Covino, Biomarkers in the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3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prediction and management of acute coronary syndromes: current perspectives,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4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Res. Rep. Clin. Cardiol. 5 (2014) 21–31</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4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3zd5kd" w:id="147"/>
      <w:bookmarkEnd w:id="147"/>
      <w:hyperlink r:id="rId44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M.K. Litao, D. Kamat, Erythrocyte sedimentation rate and C-reactive protein: how</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4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best to use them in clinical practice, Pediatr. Ann. 43 (10) (2014) 417–420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19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j4nfs6" w:id="148"/>
      <w:bookmarkEnd w:id="148"/>
      <w:hyperlink r:id="rId44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 Furman, J. Campisi, E. Verdin, et al., Chronic inflammation in the etiology of</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4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disease across the life span, Nat. Med. 25 (2019) 1822–1832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4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34ayfz" w:id="149"/>
      <w:bookmarkEnd w:id="149"/>
      <w:hyperlink r:id="rId44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P.C. Calder, N. Ahluwalia, R. Albers, et al., A consideration of biomarkers to be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4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used for evaluation of inflammation in human nutritional studies, Br. J. Nutr. 109</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4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(Suppl. 1) (2013) S1–34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50"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i9l8ns" w:id="150"/>
      <w:bookmarkEnd w:id="150"/>
      <w:hyperlink r:id="rId44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 Alfaddagh, S.S. Martin, T.M. Leucker, et al., Inflammation and cardiovascular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4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disease: from mechanisms to therapeutics, Am. J. Prev. Cardiol. 4 (2020), 100130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78.00000000000006" w:lineRule="auto"/>
        <w:ind w:left="462" w:right="150"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xevivl" w:id="151"/>
      <w:bookmarkEnd w:id="151"/>
      <w:hyperlink r:id="rId45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J.-C. Tardif, S. Kouz, D.D. Waters, et al., Efficacy and safety of low-dose colchicine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5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after myocardial infarction, N. Engl. J. Med. 381 (2019) 2497–2505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150"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hyperlink r:id="rId45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P.M. Ridker, B.M. Everett, T. Thuren, et al., Antiinflammatory therapy with</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5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Canakinumab for atherosclerotic disease, N. Engl. J. Med. 377 (2017) 1119–1131</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164"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hej1je" w:id="152"/>
      <w:bookmarkEnd w:id="152"/>
      <w:hyperlink r:id="rId45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N.G. Frangogiannis, The inflammatory response in myocardial injury, repair,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5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remodelling, Nat. Rev. Cardiol. 11 (2014) 255–265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14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sectPr>
          <w:type w:val="continuous"/>
          <w:pgSz w:h="16840" w:w="11920" w:orient="portrait"/>
          <w:pgMar w:bottom="280" w:top="1060" w:left="620" w:right="640" w:header="655" w:footer="544"/>
          <w:cols w:equalWidth="0" w:num="1">
            <w:col w:space="0" w:w="10645.5"/>
          </w:cols>
        </w:sectPr>
      </w:pPr>
      <w:bookmarkStart w:colFirst="0" w:colLast="0" w:name="_heading=h.1wjtbr7" w:id="153"/>
      <w:bookmarkEnd w:id="153"/>
      <w:hyperlink r:id="rId45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J.M. Bennett, G. Reeves, G.E. Billman, J.P. Sturmberg, Inflammation-nature’s way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5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to efficiently respond to all types of challenges: implications for understanding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5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managing “the epidemic” of chronic diseases, Front. Med. 5 (2018) 316</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06C">
      <w:pPr>
        <w:spacing w:before="78" w:lineRule="auto"/>
        <w:ind w:left="20" w:right="15" w:firstLine="0"/>
        <w:jc w:val="center"/>
        <w:rPr>
          <w:rFonts w:ascii="Georgia" w:cs="Georgia" w:eastAsia="Georgia" w:hAnsi="Georgia"/>
          <w:sz w:val="14"/>
          <w:szCs w:val="14"/>
        </w:rPr>
      </w:pPr>
      <w:hyperlink r:id="rId459">
        <w:r w:rsidDel="00000000" w:rsidR="00000000" w:rsidRPr="00000000">
          <w:rPr>
            <w:rFonts w:ascii="Georgia" w:cs="Georgia" w:eastAsia="Georgia" w:hAnsi="Georgia"/>
            <w:color w:val="00769f"/>
            <w:sz w:val="14"/>
            <w:szCs w:val="14"/>
            <w:rtl w:val="0"/>
          </w:rPr>
          <w:t xml:space="preserve">International Journal of Cardiology 392 (2023) 131339</w:t>
        </w:r>
      </w:hyperlink>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3175" cy="12700"/>
                <wp:effectExtent b="0" l="0" r="0" t="0"/>
                <wp:wrapNone/>
                <wp:docPr id="437" name=""/>
                <a:graphic>
                  <a:graphicData uri="http://schemas.microsoft.com/office/word/2010/wordprocessingShape">
                    <wps:wsp>
                      <wps:cNvSpPr/>
                      <wps:cNvPr id="87" name="Shape 87"/>
                      <wps:spPr>
                        <a:xfrm>
                          <a:off x="2492628" y="3778413"/>
                          <a:ext cx="5706745" cy="3175"/>
                        </a:xfrm>
                        <a:custGeom>
                          <a:rect b="b" l="l" r="r" t="t"/>
                          <a:pathLst>
                            <a:path extrusionOk="0" h="3175" w="5706745">
                              <a:moveTo>
                                <a:pt x="5706428" y="0"/>
                              </a:moveTo>
                              <a:lnTo>
                                <a:pt x="0" y="0"/>
                              </a:lnTo>
                              <a:lnTo>
                                <a:pt x="0" y="3162"/>
                              </a:lnTo>
                              <a:lnTo>
                                <a:pt x="5706428" y="3162"/>
                              </a:lnTo>
                              <a:lnTo>
                                <a:pt x="570642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292100</wp:posOffset>
                </wp:positionV>
                <wp:extent cx="3175" cy="12700"/>
                <wp:effectExtent b="0" l="0" r="0" t="0"/>
                <wp:wrapNone/>
                <wp:docPr id="437" name="image96.png"/>
                <a:graphic>
                  <a:graphicData uri="http://schemas.openxmlformats.org/drawingml/2006/picture">
                    <pic:pic>
                      <pic:nvPicPr>
                        <pic:cNvPr id="0" name="image96.png"/>
                        <pic:cNvPicPr preferRelativeResize="0"/>
                      </pic:nvPicPr>
                      <pic:blipFill>
                        <a:blip r:embed="rId460"/>
                        <a:srcRect/>
                        <a:stretch>
                          <a:fillRect/>
                        </a:stretch>
                      </pic:blipFill>
                      <pic:spPr>
                        <a:xfrm>
                          <a:off x="0" y="0"/>
                          <a:ext cx="31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990600</wp:posOffset>
                </wp:positionH>
                <wp:positionV relativeFrom="paragraph">
                  <wp:posOffset>355600</wp:posOffset>
                </wp:positionV>
                <wp:extent cx="4798060" cy="847725"/>
                <wp:effectExtent b="0" l="0" r="0" t="0"/>
                <wp:wrapNone/>
                <wp:docPr id="438" name=""/>
                <a:graphic>
                  <a:graphicData uri="http://schemas.microsoft.com/office/word/2010/wordprocessingShape">
                    <wps:wsp>
                      <wps:cNvSpPr/>
                      <wps:cNvPr id="88" name="Shape 88"/>
                      <wps:spPr>
                        <a:xfrm>
                          <a:off x="2956495" y="3365663"/>
                          <a:ext cx="4779010" cy="828675"/>
                        </a:xfrm>
                        <a:prstGeom prst="rect">
                          <a:avLst/>
                        </a:prstGeom>
                        <a:solidFill>
                          <a:srgbClr val="E6E6E6"/>
                        </a:solidFill>
                        <a:ln>
                          <a:noFill/>
                        </a:ln>
                      </wps:spPr>
                      <wps:txbx>
                        <w:txbxContent>
                          <w:p w:rsidR="00000000" w:rsidDel="00000000" w:rsidP="00000000" w:rsidRDefault="00000000" w:rsidRPr="00000000">
                            <w:pPr>
                              <w:spacing w:after="0" w:before="0" w:line="180"/>
                              <w:ind w:left="1.0000000149011612" w:right="1.0000000149011612" w:firstLine="1.0000000149011612"/>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Contents lists available at </w:t>
                            </w:r>
                            <w:r w:rsidDel="00000000" w:rsidR="00000000" w:rsidRPr="00000000">
                              <w:rPr>
                                <w:rFonts w:ascii="Times New Roman" w:cs="Times New Roman" w:eastAsia="Times New Roman" w:hAnsi="Times New Roman"/>
                                <w:b w:val="0"/>
                                <w:i w:val="0"/>
                                <w:smallCaps w:val="0"/>
                                <w:strike w:val="0"/>
                                <w:color w:val="2196d1"/>
                                <w:sz w:val="16"/>
                                <w:vertAlign w:val="baseline"/>
                              </w:rPr>
                              <w:t xml:space="preserve">ScienceDirect</w:t>
                            </w:r>
                          </w:p>
                          <w:p w:rsidR="00000000" w:rsidDel="00000000" w:rsidP="00000000" w:rsidRDefault="00000000" w:rsidRPr="00000000">
                            <w:pPr>
                              <w:spacing w:after="0" w:before="76.99999809265137"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2196d1"/>
                                <w:sz w:val="16"/>
                                <w:vertAlign w:val="baseline"/>
                              </w:rPr>
                            </w:r>
                          </w:p>
                          <w:p w:rsidR="00000000" w:rsidDel="00000000" w:rsidP="00000000" w:rsidRDefault="00000000" w:rsidRPr="00000000">
                            <w:pPr>
                              <w:spacing w:after="0" w:before="1.0000000149011612" w:line="240"/>
                              <w:ind w:left="1.0000000149011612" w:right="1.0000000149011612"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2196d1"/>
                                <w:sz w:val="16"/>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International Journal of Cardiology</w:t>
                            </w:r>
                          </w:p>
                          <w:p w:rsidR="00000000" w:rsidDel="00000000" w:rsidP="00000000" w:rsidRDefault="00000000" w:rsidRPr="00000000">
                            <w:pPr>
                              <w:spacing w:after="0" w:before="22.999999523162842"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1.0000000149011612" w:line="240"/>
                              <w:ind w:left="1.0000000149011612" w:right="0" w:firstLine="1.0000000149011612"/>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6"/>
                                <w:vertAlign w:val="baseline"/>
                              </w:rPr>
                              <w:t xml:space="preserve">journal homepage: </w:t>
                            </w:r>
                            <w:r w:rsidDel="00000000" w:rsidR="00000000" w:rsidRPr="00000000">
                              <w:rPr>
                                <w:rFonts w:ascii="Arial" w:cs="Arial" w:eastAsia="Arial" w:hAnsi="Arial"/>
                                <w:b w:val="0"/>
                                <w:i w:val="0"/>
                                <w:smallCaps w:val="0"/>
                                <w:strike w:val="0"/>
                                <w:color w:val="2196d1"/>
                                <w:sz w:val="16"/>
                                <w:vertAlign w:val="baseline"/>
                              </w:rPr>
                              <w:t xml:space="preserve">www.elsevier.com/locate/ijcard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990600</wp:posOffset>
                </wp:positionH>
                <wp:positionV relativeFrom="paragraph">
                  <wp:posOffset>355600</wp:posOffset>
                </wp:positionV>
                <wp:extent cx="4798060" cy="847725"/>
                <wp:effectExtent b="0" l="0" r="0" t="0"/>
                <wp:wrapNone/>
                <wp:docPr id="438" name="image102.png"/>
                <a:graphic>
                  <a:graphicData uri="http://schemas.openxmlformats.org/drawingml/2006/picture">
                    <pic:pic>
                      <pic:nvPicPr>
                        <pic:cNvPr id="0" name="image102.png"/>
                        <pic:cNvPicPr preferRelativeResize="0"/>
                      </pic:nvPicPr>
                      <pic:blipFill>
                        <a:blip r:embed="rId461"/>
                        <a:srcRect/>
                        <a:stretch>
                          <a:fillRect/>
                        </a:stretch>
                      </pic:blipFill>
                      <pic:spPr>
                        <a:xfrm>
                          <a:off x="0" y="0"/>
                          <a:ext cx="4798060" cy="84772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73580</wp:posOffset>
            </wp:positionH>
            <wp:positionV relativeFrom="paragraph">
              <wp:posOffset>384354</wp:posOffset>
            </wp:positionV>
            <wp:extent cx="754899" cy="826007"/>
            <wp:effectExtent b="0" l="0" r="0" t="0"/>
            <wp:wrapNone/>
            <wp:docPr descr="Imprint logo" id="485" name="image77.jpg"/>
            <a:graphic>
              <a:graphicData uri="http://schemas.openxmlformats.org/drawingml/2006/picture">
                <pic:pic>
                  <pic:nvPicPr>
                    <pic:cNvPr descr="Imprint logo" id="0" name="image77.jpg"/>
                    <pic:cNvPicPr preferRelativeResize="0"/>
                  </pic:nvPicPr>
                  <pic:blipFill>
                    <a:blip r:embed="rId348"/>
                    <a:srcRect b="0" l="0" r="0" t="0"/>
                    <a:stretch>
                      <a:fillRect/>
                    </a:stretch>
                  </pic:blipFill>
                  <pic:spPr>
                    <a:xfrm>
                      <a:off x="0" y="0"/>
                      <a:ext cx="754899" cy="82600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5969660</wp:posOffset>
            </wp:positionH>
            <wp:positionV relativeFrom="paragraph">
              <wp:posOffset>301555</wp:posOffset>
            </wp:positionV>
            <wp:extent cx="719733" cy="908303"/>
            <wp:effectExtent b="0" l="0" r="0" t="0"/>
            <wp:wrapNone/>
            <wp:docPr descr="Journal logo" id="484" name="image74.jpg"/>
            <a:graphic>
              <a:graphicData uri="http://schemas.openxmlformats.org/drawingml/2006/picture">
                <pic:pic>
                  <pic:nvPicPr>
                    <pic:cNvPr descr="Journal logo" id="0" name="image74.jpg"/>
                    <pic:cNvPicPr preferRelativeResize="0"/>
                  </pic:nvPicPr>
                  <pic:blipFill>
                    <a:blip r:embed="rId349"/>
                    <a:srcRect b="0" l="0" r="0" t="0"/>
                    <a:stretch>
                      <a:fillRect/>
                    </a:stretch>
                  </pic:blipFill>
                  <pic:spPr>
                    <a:xfrm>
                      <a:off x="0" y="0"/>
                      <a:ext cx="719733" cy="908303"/>
                    </a:xfrm>
                    <a:prstGeom prst="rect"/>
                    <a:ln/>
                  </pic:spPr>
                </pic:pic>
              </a:graphicData>
            </a:graphic>
          </wp:anchor>
        </w:drawing>
      </w:r>
    </w:p>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6623684" cy="57150"/>
                <wp:effectExtent b="0" l="0" r="0" t="0"/>
                <wp:wrapTopAndBottom distB="0" distT="0"/>
                <wp:docPr id="439" name=""/>
                <a:graphic>
                  <a:graphicData uri="http://schemas.microsoft.com/office/word/2010/wordprocessingShape">
                    <wps:wsp>
                      <wps:cNvSpPr/>
                      <wps:cNvPr id="89" name="Shape 89"/>
                      <wps:spPr>
                        <a:xfrm>
                          <a:off x="2043683" y="3760950"/>
                          <a:ext cx="6604634" cy="38100"/>
                        </a:xfrm>
                        <a:custGeom>
                          <a:rect b="b" l="l" r="r" t="t"/>
                          <a:pathLst>
                            <a:path extrusionOk="0" h="38100" w="6604634">
                              <a:moveTo>
                                <a:pt x="6604636" y="0"/>
                              </a:moveTo>
                              <a:lnTo>
                                <a:pt x="0" y="0"/>
                              </a:lnTo>
                              <a:lnTo>
                                <a:pt x="0" y="37960"/>
                              </a:lnTo>
                              <a:lnTo>
                                <a:pt x="6604636" y="37960"/>
                              </a:lnTo>
                              <a:lnTo>
                                <a:pt x="660463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6623684" cy="57150"/>
                <wp:effectExtent b="0" l="0" r="0" t="0"/>
                <wp:wrapTopAndBottom distB="0" distT="0"/>
                <wp:docPr id="439" name="image103.png"/>
                <a:graphic>
                  <a:graphicData uri="http://schemas.openxmlformats.org/drawingml/2006/picture">
                    <pic:pic>
                      <pic:nvPicPr>
                        <pic:cNvPr id="0" name="image103.png"/>
                        <pic:cNvPicPr preferRelativeResize="0"/>
                      </pic:nvPicPr>
                      <pic:blipFill>
                        <a:blip r:embed="rId462"/>
                        <a:srcRect/>
                        <a:stretch>
                          <a:fillRect/>
                        </a:stretch>
                      </pic:blipFill>
                      <pic:spPr>
                        <a:xfrm>
                          <a:off x="0" y="0"/>
                          <a:ext cx="6623684" cy="57150"/>
                        </a:xfrm>
                        <a:prstGeom prst="rect"/>
                        <a:ln/>
                      </pic:spPr>
                    </pic:pic>
                  </a:graphicData>
                </a:graphic>
              </wp:anchor>
            </w:drawing>
          </mc:Fallback>
        </mc:AlternateContent>
      </w:r>
    </w:p>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Georgia" w:cs="Georgia" w:eastAsia="Georgia" w:hAnsi="Georgi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075">
      <w:pPr>
        <w:pStyle w:val="Heading1"/>
        <w:tabs>
          <w:tab w:val="left" w:leader="none" w:pos="9400"/>
        </w:tabs>
        <w:spacing w:line="252.00000000000003" w:lineRule="auto"/>
        <w:ind w:firstLine="131"/>
        <w:rPr/>
      </w:pPr>
      <w:r w:rsidDel="00000000" w:rsidR="00000000" w:rsidRPr="00000000">
        <w:rPr>
          <w:rtl w:val="0"/>
        </w:rPr>
        <w:t xml:space="preserve">Prediction of clinical outcomes after percutaneous coronary intervention:</w:t>
        <w:tab/>
        <w:t xml:space="preserve"> Machine-learning analysis of the National Inpatient Sample</w:t>
      </w:r>
      <w:r w:rsidDel="00000000" w:rsidR="00000000" w:rsidRPr="00000000">
        <w:drawing>
          <wp:anchor allowOverlap="1" behindDoc="0" distB="0" distT="0" distL="0" distR="0" hidden="0" layoutInCell="1" locked="0" relativeHeight="0" simplePos="0">
            <wp:simplePos x="0" y="0"/>
            <wp:positionH relativeFrom="column">
              <wp:posOffset>6153150</wp:posOffset>
            </wp:positionH>
            <wp:positionV relativeFrom="paragraph">
              <wp:posOffset>19050</wp:posOffset>
            </wp:positionV>
            <wp:extent cx="361368" cy="361363"/>
            <wp:effectExtent b="0" l="0" r="0" t="0"/>
            <wp:wrapSquare wrapText="bothSides" distB="0" distT="0" distL="0" distR="0"/>
            <wp:docPr id="483" name="image64.png"/>
            <a:graphic>
              <a:graphicData uri="http://schemas.openxmlformats.org/drawingml/2006/picture">
                <pic:pic>
                  <pic:nvPicPr>
                    <pic:cNvPr id="0" name="image64.png"/>
                    <pic:cNvPicPr preferRelativeResize="0"/>
                  </pic:nvPicPr>
                  <pic:blipFill>
                    <a:blip r:embed="rId351"/>
                    <a:srcRect b="0" l="0" r="0" t="0"/>
                    <a:stretch>
                      <a:fillRect/>
                    </a:stretch>
                  </pic:blipFill>
                  <pic:spPr>
                    <a:xfrm>
                      <a:off x="0" y="0"/>
                      <a:ext cx="361368" cy="361363"/>
                    </a:xfrm>
                    <a:prstGeom prst="rect"/>
                    <a:ln/>
                  </pic:spPr>
                </pic:pic>
              </a:graphicData>
            </a:graphic>
          </wp:anchor>
        </w:drawing>
      </w:r>
    </w:p>
    <w:p w:rsidR="00000000" w:rsidDel="00000000" w:rsidP="00000000" w:rsidRDefault="00000000" w:rsidRPr="00000000" w14:paraId="00001076">
      <w:pPr>
        <w:pStyle w:val="Heading2"/>
        <w:spacing w:before="233" w:lineRule="auto"/>
        <w:ind w:firstLine="131"/>
        <w:rPr/>
      </w:pPr>
      <w:r w:rsidDel="00000000" w:rsidR="00000000" w:rsidRPr="00000000">
        <w:rPr>
          <w:rtl w:val="0"/>
        </w:rPr>
        <w:t xml:space="preserve">Akhmetzhan Galimzhanov </w:t>
      </w:r>
      <w:hyperlink w:anchor="_heading=h.2vor4mt">
        <w:r w:rsidDel="00000000" w:rsidR="00000000" w:rsidRPr="00000000">
          <w:rPr>
            <w:color w:val="2196d1"/>
            <w:vertAlign w:val="superscript"/>
            <w:rtl w:val="0"/>
          </w:rPr>
          <w:t xml:space="preserve">a</w:t>
        </w:r>
      </w:hyperlink>
      <w:hyperlink w:anchor="_heading=h.2vor4mt">
        <w:r w:rsidDel="00000000" w:rsidR="00000000" w:rsidRPr="00000000">
          <w:rPr>
            <w:vertAlign w:val="superscript"/>
            <w:rtl w:val="0"/>
          </w:rPr>
          <w:t xml:space="preserve">,</w:t>
        </w:r>
      </w:hyperlink>
      <w:hyperlink w:anchor="_heading=h.1au1eum">
        <w:r w:rsidDel="00000000" w:rsidR="00000000" w:rsidRPr="00000000">
          <w:rPr>
            <w:color w:val="2196d1"/>
            <w:vertAlign w:val="superscript"/>
            <w:rtl w:val="0"/>
          </w:rPr>
          <w:t xml:space="preserve">b</w:t>
        </w:r>
      </w:hyperlink>
      <w:hyperlink w:anchor="_heading=h.1au1eum">
        <w:r w:rsidDel="00000000" w:rsidR="00000000" w:rsidRPr="00000000">
          <w:rPr>
            <w:vertAlign w:val="superscript"/>
            <w:rtl w:val="0"/>
          </w:rPr>
          <w:t xml:space="preserve">,</w:t>
        </w:r>
      </w:hyperlink>
      <w:hyperlink w:anchor="_heading=h.393x0lu">
        <w:r w:rsidDel="00000000" w:rsidR="00000000" w:rsidRPr="00000000">
          <w:rPr>
            <w:color w:val="2196d1"/>
            <w:vertAlign w:val="superscript"/>
            <w:rtl w:val="0"/>
          </w:rPr>
          <w:t xml:space="preserve">*</w:t>
        </w:r>
      </w:hyperlink>
      <w:hyperlink w:anchor="_heading=h.393x0lu">
        <w:r w:rsidDel="00000000" w:rsidR="00000000" w:rsidRPr="00000000">
          <w:rPr>
            <w:vertAlign w:val="baseline"/>
            <w:rtl w:val="0"/>
          </w:rPr>
          <w:t xml:space="preserve">, Andrija Matetic</w:t>
        </w:r>
      </w:hyperlink>
      <w:r w:rsidDel="00000000" w:rsidR="00000000" w:rsidRPr="00000000">
        <w:rPr>
          <w:vertAlign w:val="baseline"/>
          <w:rtl w:val="0"/>
        </w:rPr>
        <w:t xml:space="preserve"> </w:t>
      </w:r>
      <w:hyperlink w:anchor="_heading=h.1au1eum">
        <w:r w:rsidDel="00000000" w:rsidR="00000000" w:rsidRPr="00000000">
          <w:rPr>
            <w:color w:val="2196d1"/>
            <w:vertAlign w:val="superscript"/>
            <w:rtl w:val="0"/>
          </w:rPr>
          <w:t xml:space="preserve">b</w:t>
        </w:r>
      </w:hyperlink>
      <w:hyperlink w:anchor="_heading=h.1au1eum">
        <w:r w:rsidDel="00000000" w:rsidR="00000000" w:rsidRPr="00000000">
          <w:rPr>
            <w:vertAlign w:val="superscript"/>
            <w:rtl w:val="0"/>
          </w:rPr>
          <w:t xml:space="preserve">,</w:t>
        </w:r>
      </w:hyperlink>
      <w:r w:rsidDel="00000000" w:rsidR="00000000" w:rsidRPr="00000000">
        <w:rPr>
          <w:color w:val="2196d1"/>
          <w:vertAlign w:val="superscript"/>
          <w:rtl w:val="0"/>
        </w:rPr>
        <w:t xml:space="preserve">c</w:t>
      </w:r>
      <w:hyperlink w:anchor="_heading=h.3utoxif">
        <w:r w:rsidDel="00000000" w:rsidR="00000000" w:rsidRPr="00000000">
          <w:rPr>
            <w:vertAlign w:val="baseline"/>
            <w:rtl w:val="0"/>
          </w:rPr>
          <w:t xml:space="preserve">, Erhan Tenekecioglu</w:t>
        </w:r>
      </w:hyperlink>
      <w:r w:rsidDel="00000000" w:rsidR="00000000" w:rsidRPr="00000000">
        <w:rPr>
          <w:vertAlign w:val="baseline"/>
          <w:rtl w:val="0"/>
        </w:rPr>
        <w:t xml:space="preserve"> </w:t>
      </w:r>
      <w:hyperlink w:anchor="_heading=h.29yz7q8">
        <w:r w:rsidDel="00000000" w:rsidR="00000000" w:rsidRPr="00000000">
          <w:rPr>
            <w:color w:val="2196d1"/>
            <w:vertAlign w:val="superscript"/>
            <w:rtl w:val="0"/>
          </w:rPr>
          <w:t xml:space="preserve">d</w:t>
        </w:r>
      </w:hyperlink>
      <w:hyperlink w:anchor="_heading=h.29yz7q8">
        <w:r w:rsidDel="00000000" w:rsidR="00000000" w:rsidRPr="00000000">
          <w:rPr>
            <w:vertAlign w:val="superscript"/>
            <w:rtl w:val="0"/>
          </w:rPr>
          <w:t xml:space="preserve">,</w:t>
        </w:r>
      </w:hyperlink>
      <w:r w:rsidDel="00000000" w:rsidR="00000000" w:rsidRPr="00000000">
        <w:rPr>
          <w:color w:val="2196d1"/>
          <w:vertAlign w:val="superscript"/>
          <w:rtl w:val="0"/>
        </w:rPr>
        <w:t xml:space="preserve">e</w:t>
      </w:r>
      <w:hyperlink w:anchor="_heading=h.p49hy1">
        <w:r w:rsidDel="00000000" w:rsidR="00000000" w:rsidRPr="00000000">
          <w:rPr>
            <w:vertAlign w:val="baseline"/>
            <w:rtl w:val="0"/>
          </w:rPr>
          <w:t xml:space="preserve">, Mamas A. Mamas</w:t>
        </w:r>
      </w:hyperlink>
      <w:r w:rsidDel="00000000" w:rsidR="00000000" w:rsidRPr="00000000">
        <w:rPr>
          <w:vertAlign w:val="baseline"/>
          <w:rtl w:val="0"/>
        </w:rPr>
        <w:t xml:space="preserve"> </w:t>
      </w:r>
      <w:r w:rsidDel="00000000" w:rsidR="00000000" w:rsidRPr="00000000">
        <w:rPr>
          <w:color w:val="2196d1"/>
          <w:vertAlign w:val="superscript"/>
          <w:rtl w:val="0"/>
        </w:rPr>
        <w:t xml:space="preserve">b</w:t>
      </w:r>
      <w:r w:rsidDel="00000000" w:rsidR="00000000" w:rsidRPr="00000000">
        <w:rPr>
          <w:rtl w:val="0"/>
        </w:rPr>
      </w:r>
    </w:p>
    <w:p w:rsidR="00000000" w:rsidDel="00000000" w:rsidP="00000000" w:rsidRDefault="00000000" w:rsidRPr="00000000" w14:paraId="00001077">
      <w:pPr>
        <w:spacing w:before="171" w:lineRule="auto"/>
        <w:ind w:left="131" w:right="0" w:firstLine="0"/>
        <w:jc w:val="left"/>
        <w:rPr>
          <w:i w:val="1"/>
          <w:sz w:val="12"/>
          <w:szCs w:val="12"/>
        </w:rPr>
      </w:pPr>
      <w:bookmarkStart w:colFirst="0" w:colLast="0" w:name="_heading=h.2vor4mt" w:id="154"/>
      <w:bookmarkEnd w:id="154"/>
      <w:r w:rsidDel="00000000" w:rsidR="00000000" w:rsidRPr="00000000">
        <w:rPr>
          <w:sz w:val="12"/>
          <w:szCs w:val="12"/>
          <w:vertAlign w:val="superscript"/>
          <w:rtl w:val="0"/>
        </w:rPr>
        <w:t xml:space="preserve">a</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Propedeutics of Internal Disease, Semey Medical University, Semey, Kazakhstan</w:t>
      </w:r>
      <w:r w:rsidDel="00000000" w:rsidR="00000000" w:rsidRPr="00000000">
        <w:rPr>
          <w:rtl w:val="0"/>
        </w:rPr>
      </w:r>
    </w:p>
    <w:p w:rsidR="00000000" w:rsidDel="00000000" w:rsidP="00000000" w:rsidRDefault="00000000" w:rsidRPr="00000000" w14:paraId="00001078">
      <w:pPr>
        <w:spacing w:before="33" w:lineRule="auto"/>
        <w:ind w:left="131" w:right="0" w:firstLine="0"/>
        <w:jc w:val="left"/>
        <w:rPr>
          <w:i w:val="1"/>
          <w:sz w:val="12"/>
          <w:szCs w:val="12"/>
        </w:rPr>
      </w:pPr>
      <w:bookmarkStart w:colFirst="0" w:colLast="0" w:name="_heading=h.1au1eum" w:id="155"/>
      <w:bookmarkEnd w:id="155"/>
      <w:r w:rsidDel="00000000" w:rsidR="00000000" w:rsidRPr="00000000">
        <w:rPr>
          <w:sz w:val="12"/>
          <w:szCs w:val="12"/>
          <w:vertAlign w:val="superscript"/>
          <w:rtl w:val="0"/>
        </w:rPr>
        <w:t xml:space="preserve">b</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Keele Cardiovascular Research Group, Keele University, Keele, UK</w:t>
      </w:r>
      <w:r w:rsidDel="00000000" w:rsidR="00000000" w:rsidRPr="00000000">
        <w:rPr>
          <w:rtl w:val="0"/>
        </w:rPr>
      </w:r>
    </w:p>
    <w:p w:rsidR="00000000" w:rsidDel="00000000" w:rsidP="00000000" w:rsidRDefault="00000000" w:rsidRPr="00000000" w14:paraId="00001079">
      <w:pPr>
        <w:spacing w:before="33" w:lineRule="auto"/>
        <w:ind w:left="131" w:right="0" w:firstLine="0"/>
        <w:jc w:val="left"/>
        <w:rPr>
          <w:i w:val="1"/>
          <w:sz w:val="12"/>
          <w:szCs w:val="12"/>
        </w:rPr>
      </w:pPr>
      <w:bookmarkStart w:colFirst="0" w:colLast="0" w:name="_heading=h.3utoxif" w:id="156"/>
      <w:bookmarkEnd w:id="156"/>
      <w:r w:rsidDel="00000000" w:rsidR="00000000" w:rsidRPr="00000000">
        <w:rPr>
          <w:sz w:val="12"/>
          <w:szCs w:val="12"/>
          <w:vertAlign w:val="superscript"/>
          <w:rtl w:val="0"/>
        </w:rPr>
        <w:t xml:space="preserve">c</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Cardiology, University Hospital of Split, Split 21000, Croatia</w:t>
      </w:r>
      <w:r w:rsidDel="00000000" w:rsidR="00000000" w:rsidRPr="00000000">
        <w:rPr>
          <w:rtl w:val="0"/>
        </w:rPr>
      </w:r>
    </w:p>
    <w:p w:rsidR="00000000" w:rsidDel="00000000" w:rsidP="00000000" w:rsidRDefault="00000000" w:rsidRPr="00000000" w14:paraId="0000107A">
      <w:pPr>
        <w:spacing w:before="34" w:lineRule="auto"/>
        <w:ind w:left="131" w:right="0" w:firstLine="0"/>
        <w:jc w:val="left"/>
        <w:rPr>
          <w:i w:val="1"/>
          <w:sz w:val="12"/>
          <w:szCs w:val="12"/>
        </w:rPr>
      </w:pPr>
      <w:bookmarkStart w:colFirst="0" w:colLast="0" w:name="_heading=h.29yz7q8" w:id="157"/>
      <w:bookmarkEnd w:id="157"/>
      <w:r w:rsidDel="00000000" w:rsidR="00000000" w:rsidRPr="00000000">
        <w:rPr>
          <w:sz w:val="12"/>
          <w:szCs w:val="12"/>
          <w:vertAlign w:val="superscript"/>
          <w:rtl w:val="0"/>
        </w:rPr>
        <w:t xml:space="preserve">d</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Cardiology, Bursa Education and Research Hospital, Health Sciences University, Bursa,Turkey</w:t>
      </w:r>
      <w:r w:rsidDel="00000000" w:rsidR="00000000" w:rsidRPr="00000000">
        <w:rPr>
          <w:rtl w:val="0"/>
        </w:rPr>
      </w:r>
    </w:p>
    <w:p w:rsidR="00000000" w:rsidDel="00000000" w:rsidP="00000000" w:rsidRDefault="00000000" w:rsidRPr="00000000" w14:paraId="0000107B">
      <w:pPr>
        <w:spacing w:before="33" w:lineRule="auto"/>
        <w:ind w:left="131" w:right="0" w:firstLine="0"/>
        <w:jc w:val="left"/>
        <w:rPr>
          <w:i w:val="1"/>
          <w:sz w:val="12"/>
          <w:szCs w:val="12"/>
        </w:rPr>
      </w:pPr>
      <w:bookmarkStart w:colFirst="0" w:colLast="0" w:name="_heading=h.p49hy1" w:id="158"/>
      <w:bookmarkEnd w:id="158"/>
      <w:r w:rsidDel="00000000" w:rsidR="00000000" w:rsidRPr="00000000">
        <w:rPr>
          <w:sz w:val="12"/>
          <w:szCs w:val="12"/>
          <w:vertAlign w:val="superscript"/>
          <w:rtl w:val="0"/>
        </w:rPr>
        <w:t xml:space="preserve">e</w:t>
      </w:r>
      <w:r w:rsidDel="00000000" w:rsidR="00000000" w:rsidRPr="00000000">
        <w:rPr>
          <w:sz w:val="12"/>
          <w:szCs w:val="12"/>
          <w:vertAlign w:val="baseline"/>
          <w:rtl w:val="0"/>
        </w:rPr>
        <w:t xml:space="preserve"> </w:t>
      </w:r>
      <w:r w:rsidDel="00000000" w:rsidR="00000000" w:rsidRPr="00000000">
        <w:rPr>
          <w:i w:val="1"/>
          <w:sz w:val="12"/>
          <w:szCs w:val="12"/>
          <w:vertAlign w:val="baseline"/>
          <w:rtl w:val="0"/>
        </w:rPr>
        <w:t xml:space="preserve">Department of Cardiology, Thoraxcenter, Erasmus MC, Erasmus University, Rotterdam, the Netherlands</w:t>
      </w:r>
      <w:r w:rsidDel="00000000" w:rsidR="00000000" w:rsidRPr="00000000">
        <w:rPr>
          <w:rtl w:val="0"/>
        </w:rPr>
      </w:r>
    </w:p>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1"/>
          <w:sz w:val="14"/>
          <w:szCs w:val="14"/>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101600</wp:posOffset>
                </wp:positionV>
                <wp:extent cx="3175" cy="12700"/>
                <wp:effectExtent b="0" l="0" r="0" t="0"/>
                <wp:wrapTopAndBottom distB="0" distT="0"/>
                <wp:docPr id="443" name=""/>
                <a:graphic>
                  <a:graphicData uri="http://schemas.microsoft.com/office/word/2010/wordprocessingShape">
                    <wps:wsp>
                      <wps:cNvSpPr/>
                      <wps:cNvPr id="93" name="Shape 93"/>
                      <wps:spPr>
                        <a:xfrm>
                          <a:off x="2043683" y="3778413"/>
                          <a:ext cx="6604634" cy="3175"/>
                        </a:xfrm>
                        <a:custGeom>
                          <a:rect b="b" l="l" r="r" t="t"/>
                          <a:pathLst>
                            <a:path extrusionOk="0" h="3175" w="6604634">
                              <a:moveTo>
                                <a:pt x="6604623" y="0"/>
                              </a:moveTo>
                              <a:lnTo>
                                <a:pt x="0" y="0"/>
                              </a:lnTo>
                              <a:lnTo>
                                <a:pt x="0" y="3162"/>
                              </a:lnTo>
                              <a:lnTo>
                                <a:pt x="6604623" y="3162"/>
                              </a:lnTo>
                              <a:lnTo>
                                <a:pt x="6604623"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101600</wp:posOffset>
                </wp:positionV>
                <wp:extent cx="3175" cy="12700"/>
                <wp:effectExtent b="0" l="0" r="0" t="0"/>
                <wp:wrapTopAndBottom distB="0" distT="0"/>
                <wp:docPr id="443" name="image108.png"/>
                <a:graphic>
                  <a:graphicData uri="http://schemas.openxmlformats.org/drawingml/2006/picture">
                    <pic:pic>
                      <pic:nvPicPr>
                        <pic:cNvPr id="0" name="image108.png"/>
                        <pic:cNvPicPr preferRelativeResize="0"/>
                      </pic:nvPicPr>
                      <pic:blipFill>
                        <a:blip r:embed="rId463"/>
                        <a:srcRect/>
                        <a:stretch>
                          <a:fillRect/>
                        </a:stretch>
                      </pic:blipFill>
                      <pic:spPr>
                        <a:xfrm>
                          <a:off x="0" y="0"/>
                          <a:ext cx="3175" cy="12700"/>
                        </a:xfrm>
                        <a:prstGeom prst="rect"/>
                        <a:ln/>
                      </pic:spPr>
                    </pic:pic>
                  </a:graphicData>
                </a:graphic>
              </wp:anchor>
            </w:drawing>
          </mc:Fallback>
        </mc:AlternateContent>
      </w:r>
    </w:p>
    <w:p w:rsidR="00000000" w:rsidDel="00000000" w:rsidP="00000000" w:rsidRDefault="00000000" w:rsidRPr="00000000" w14:paraId="0000107D">
      <w:pPr>
        <w:spacing w:before="32" w:lineRule="auto"/>
        <w:ind w:left="141.73228346456696" w:firstLine="0"/>
        <w:rPr>
          <w:sz w:val="14"/>
          <w:szCs w:val="14"/>
        </w:rPr>
      </w:pPr>
      <w:bookmarkStart w:colFirst="0" w:colLast="0" w:name="_heading=h.393x0lu" w:id="159"/>
      <w:bookmarkEnd w:id="159"/>
      <w:r w:rsidDel="00000000" w:rsidR="00000000" w:rsidRPr="00000000">
        <w:rPr>
          <w:sz w:val="14"/>
          <w:szCs w:val="14"/>
          <w:rtl w:val="0"/>
        </w:rPr>
        <w:t xml:space="preserve">* Corresponding author at: Department of Propedeutics of Internal Disease, No. 103 Abai Street, Semey Medical University, Semey 071400, Kazakhstan.</w:t>
      </w:r>
    </w:p>
    <w:p w:rsidR="00000000" w:rsidDel="00000000" w:rsidP="00000000" w:rsidRDefault="00000000" w:rsidRPr="00000000" w14:paraId="0000107E">
      <w:pPr>
        <w:spacing w:before="31" w:lineRule="auto"/>
        <w:ind w:left="370" w:firstLine="0"/>
        <w:rPr>
          <w:sz w:val="14"/>
          <w:szCs w:val="14"/>
        </w:rPr>
      </w:pPr>
      <w:r w:rsidDel="00000000" w:rsidR="00000000" w:rsidRPr="00000000">
        <w:rPr>
          <w:i w:val="1"/>
          <w:sz w:val="14"/>
          <w:szCs w:val="14"/>
          <w:rtl w:val="0"/>
        </w:rPr>
        <w:t xml:space="preserve">E-mail address: </w:t>
      </w:r>
      <w:hyperlink r:id="rId464">
        <w:r w:rsidDel="00000000" w:rsidR="00000000" w:rsidRPr="00000000">
          <w:rPr>
            <w:color w:val="2196d1"/>
            <w:sz w:val="14"/>
            <w:szCs w:val="14"/>
            <w:rtl w:val="0"/>
          </w:rPr>
          <w:t xml:space="preserve">ahmed.galimzhan@gmail.com</w:t>
        </w:r>
      </w:hyperlink>
      <w:r w:rsidDel="00000000" w:rsidR="00000000" w:rsidRPr="00000000">
        <w:rPr>
          <w:color w:val="2196d1"/>
          <w:sz w:val="14"/>
          <w:szCs w:val="14"/>
          <w:rtl w:val="0"/>
        </w:rPr>
        <w:t xml:space="preserve"> </w:t>
      </w:r>
      <w:r w:rsidDel="00000000" w:rsidR="00000000" w:rsidRPr="00000000">
        <w:rPr>
          <w:sz w:val="14"/>
          <w:szCs w:val="14"/>
          <w:rtl w:val="0"/>
        </w:rPr>
        <w:t xml:space="preserve">(A. Galimzhanov).</w:t>
      </w:r>
    </w:p>
    <w:p w:rsidR="00000000" w:rsidDel="00000000" w:rsidP="00000000" w:rsidRDefault="00000000" w:rsidRPr="00000000" w14:paraId="0000107F">
      <w:pPr>
        <w:spacing w:before="18" w:lineRule="auto"/>
        <w:rPr>
          <w:sz w:val="14"/>
          <w:szCs w:val="14"/>
        </w:rPr>
      </w:pPr>
      <w:r w:rsidDel="00000000" w:rsidR="00000000" w:rsidRPr="00000000">
        <w:rPr>
          <w:rtl w:val="0"/>
        </w:rPr>
      </w:r>
    </w:p>
    <w:p w:rsidR="00000000" w:rsidDel="00000000" w:rsidP="00000000" w:rsidRDefault="00000000" w:rsidRPr="00000000" w14:paraId="00001080">
      <w:pPr>
        <w:ind w:left="131" w:firstLine="0"/>
        <w:rPr>
          <w:sz w:val="14"/>
          <w:szCs w:val="14"/>
        </w:rPr>
      </w:pPr>
      <w:hyperlink r:id="rId465">
        <w:r w:rsidDel="00000000" w:rsidR="00000000" w:rsidRPr="00000000">
          <w:rPr>
            <w:color w:val="2196d1"/>
            <w:sz w:val="14"/>
            <w:szCs w:val="14"/>
            <w:rtl w:val="0"/>
          </w:rPr>
          <w:t xml:space="preserve">https://doi.org/10.1016/j.ijcard.2023.131339</w:t>
        </w:r>
      </w:hyperlink>
      <w:r w:rsidDel="00000000" w:rsidR="00000000" w:rsidRPr="00000000">
        <w:rPr>
          <w:rtl w:val="0"/>
        </w:rPr>
      </w:r>
    </w:p>
    <w:p w:rsidR="00000000" w:rsidDel="00000000" w:rsidP="00000000" w:rsidRDefault="00000000" w:rsidRPr="00000000" w14:paraId="00001081">
      <w:pPr>
        <w:spacing w:before="29" w:lineRule="auto"/>
        <w:ind w:left="131" w:firstLine="0"/>
        <w:rPr>
          <w:sz w:val="14"/>
          <w:szCs w:val="14"/>
        </w:rPr>
      </w:pPr>
      <w:r w:rsidDel="00000000" w:rsidR="00000000" w:rsidRPr="00000000">
        <w:rPr>
          <w:sz w:val="14"/>
          <w:szCs w:val="14"/>
          <w:rtl w:val="0"/>
        </w:rPr>
        <w:t xml:space="preserve">Received 20 March 2023; Received in revised form 8 August 2023; Accepted 3 September 2023</w:t>
      </w:r>
    </w:p>
    <w:p w:rsidR="00000000" w:rsidDel="00000000" w:rsidP="00000000" w:rsidRDefault="00000000" w:rsidRPr="00000000" w14:paraId="00001082">
      <w:pPr>
        <w:spacing w:before="32" w:lineRule="auto"/>
        <w:ind w:left="130" w:firstLine="0"/>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Available online 9 September 2023</w:t>
      </w:r>
    </w:p>
    <w:p w:rsidR="00000000" w:rsidDel="00000000" w:rsidP="00000000" w:rsidRDefault="00000000" w:rsidRPr="00000000" w14:paraId="00001083">
      <w:pPr>
        <w:spacing w:before="32" w:lineRule="auto"/>
        <w:ind w:left="130" w:firstLine="0"/>
        <w:rPr>
          <w:i w:val="1"/>
          <w:sz w:val="14"/>
          <w:szCs w:val="14"/>
        </w:rPr>
        <w:sectPr>
          <w:headerReference r:id="rId466" w:type="even"/>
          <w:footerReference r:id="rId467" w:type="even"/>
          <w:type w:val="nextPage"/>
          <w:pgSz w:h="16840" w:w="11920" w:orient="portrait"/>
          <w:pgMar w:bottom="280" w:top="620" w:left="620" w:right="640" w:header="0" w:footer="0"/>
        </w:sectPr>
      </w:pPr>
      <w:r w:rsidDel="00000000" w:rsidR="00000000" w:rsidRPr="00000000">
        <w:rPr>
          <w:rFonts w:ascii="Georgia" w:cs="Georgia" w:eastAsia="Georgia" w:hAnsi="Georgia"/>
          <w:sz w:val="14"/>
          <w:szCs w:val="14"/>
          <w:rtl w:val="0"/>
        </w:rPr>
        <w:t xml:space="preserve">0167-5273/© 2023 Elsevier B.V. All rights reserved.</w:t>
      </w:r>
      <w:r w:rsidDel="00000000" w:rsidR="00000000" w:rsidRPr="00000000">
        <w:rPr>
          <w:rtl w:val="0"/>
        </w:rPr>
      </w:r>
    </w:p>
    <w:p w:rsidR="00000000" w:rsidDel="00000000" w:rsidP="00000000" w:rsidRDefault="00000000" w:rsidRPr="00000000" w14:paraId="00001084">
      <w:pPr>
        <w:spacing w:before="92" w:lineRule="auto"/>
        <w:ind w:left="131" w:right="0" w:firstLine="0"/>
        <w:jc w:val="left"/>
        <w:rPr>
          <w:sz w:val="14"/>
          <w:szCs w:val="14"/>
        </w:rPr>
      </w:pPr>
      <w:r w:rsidDel="00000000" w:rsidR="00000000" w:rsidRPr="00000000">
        <w:rPr>
          <w:sz w:val="14"/>
          <w:szCs w:val="14"/>
          <w:rtl w:val="0"/>
        </w:rPr>
        <w:t xml:space="preserve">A R T I C L E I N F O </w:t>
      </w:r>
    </w:p>
    <w:p w:rsidR="00000000" w:rsidDel="00000000" w:rsidP="00000000" w:rsidRDefault="00000000" w:rsidRPr="00000000" w14:paraId="00001085">
      <w:pPr>
        <w:spacing w:before="0" w:line="240" w:lineRule="auto"/>
        <w:ind w:left="131" w:right="0" w:firstLine="0"/>
        <w:jc w:val="left"/>
        <w:rPr>
          <w:i w:val="1"/>
          <w:sz w:val="12"/>
          <w:szCs w:val="12"/>
        </w:rPr>
      </w:pPr>
      <w:r w:rsidDel="00000000" w:rsidR="00000000" w:rsidRPr="00000000">
        <w:rPr>
          <w:i w:val="1"/>
          <w:sz w:val="12"/>
          <w:szCs w:val="12"/>
          <w:rtl w:val="0"/>
        </w:rPr>
        <w:t xml:space="preserve">Keywords: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-25399</wp:posOffset>
                </wp:positionV>
                <wp:extent cx="3175" cy="12700"/>
                <wp:effectExtent b="0" l="0" r="0" t="0"/>
                <wp:wrapNone/>
                <wp:docPr id="446" name=""/>
                <a:graphic>
                  <a:graphicData uri="http://schemas.microsoft.com/office/word/2010/wordprocessingShape">
                    <wps:wsp>
                      <wps:cNvSpPr/>
                      <wps:cNvPr id="96" name="Shape 96"/>
                      <wps:spPr>
                        <a:xfrm>
                          <a:off x="4499863" y="3778413"/>
                          <a:ext cx="1692275" cy="3175"/>
                        </a:xfrm>
                        <a:custGeom>
                          <a:rect b="b" l="l" r="r" t="t"/>
                          <a:pathLst>
                            <a:path extrusionOk="0" h="3175" w="1692275">
                              <a:moveTo>
                                <a:pt x="1691996" y="0"/>
                              </a:moveTo>
                              <a:lnTo>
                                <a:pt x="0" y="0"/>
                              </a:lnTo>
                              <a:lnTo>
                                <a:pt x="0" y="3175"/>
                              </a:lnTo>
                              <a:lnTo>
                                <a:pt x="1691996" y="3175"/>
                              </a:lnTo>
                              <a:lnTo>
                                <a:pt x="169199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-25399</wp:posOffset>
                </wp:positionV>
                <wp:extent cx="3175" cy="12700"/>
                <wp:effectExtent b="0" l="0" r="0" t="0"/>
                <wp:wrapNone/>
                <wp:docPr id="446" name="image129.png"/>
                <a:graphic>
                  <a:graphicData uri="http://schemas.openxmlformats.org/drawingml/2006/picture">
                    <pic:pic>
                      <pic:nvPicPr>
                        <pic:cNvPr id="0" name="image129.png"/>
                        <pic:cNvPicPr preferRelativeResize="0"/>
                      </pic:nvPicPr>
                      <pic:blipFill>
                        <a:blip r:embed="rId468"/>
                        <a:srcRect/>
                        <a:stretch>
                          <a:fillRect/>
                        </a:stretch>
                      </pic:blipFill>
                      <pic:spPr>
                        <a:xfrm>
                          <a:off x="0" y="0"/>
                          <a:ext cx="3175" cy="12700"/>
                        </a:xfrm>
                        <a:prstGeom prst="rect"/>
                        <a:ln/>
                      </pic:spPr>
                    </pic:pic>
                  </a:graphicData>
                </a:graphic>
              </wp:anchor>
            </w:drawing>
          </mc:Fallback>
        </mc:AlternateContent>
      </w:r>
    </w:p>
    <w:p w:rsidR="00000000" w:rsidDel="00000000" w:rsidP="00000000" w:rsidRDefault="00000000" w:rsidRPr="00000000" w14:paraId="00001086">
      <w:pPr>
        <w:spacing w:before="33" w:line="240" w:lineRule="auto"/>
        <w:ind w:left="131" w:right="0" w:firstLine="0"/>
        <w:jc w:val="left"/>
        <w:rPr>
          <w:sz w:val="12"/>
          <w:szCs w:val="12"/>
        </w:rPr>
      </w:pPr>
      <w:r w:rsidDel="00000000" w:rsidR="00000000" w:rsidRPr="00000000">
        <w:rPr>
          <w:sz w:val="12"/>
          <w:szCs w:val="12"/>
          <w:rtl w:val="0"/>
        </w:rPr>
        <w:t xml:space="preserve">Machine learning</w:t>
      </w:r>
    </w:p>
    <w:p w:rsidR="00000000" w:rsidDel="00000000" w:rsidP="00000000" w:rsidRDefault="00000000" w:rsidRPr="00000000" w14:paraId="00001087">
      <w:pPr>
        <w:spacing w:before="33" w:line="240" w:lineRule="auto"/>
        <w:ind w:left="131" w:right="0" w:firstLine="0"/>
        <w:jc w:val="left"/>
        <w:rPr>
          <w:sz w:val="12"/>
          <w:szCs w:val="12"/>
        </w:rPr>
      </w:pPr>
      <w:r w:rsidDel="00000000" w:rsidR="00000000" w:rsidRPr="00000000">
        <w:rPr>
          <w:sz w:val="12"/>
          <w:szCs w:val="12"/>
          <w:rtl w:val="0"/>
        </w:rPr>
        <w:t xml:space="preserve">Percutaneous coronary intervention Thrombosis</w:t>
      </w:r>
    </w:p>
    <w:p w:rsidR="00000000" w:rsidDel="00000000" w:rsidP="00000000" w:rsidRDefault="00000000" w:rsidRPr="00000000" w14:paraId="00001088">
      <w:pPr>
        <w:spacing w:before="1" w:line="240" w:lineRule="auto"/>
        <w:ind w:left="131" w:right="1529" w:firstLine="0"/>
        <w:jc w:val="left"/>
        <w:rPr>
          <w:sz w:val="12"/>
          <w:szCs w:val="12"/>
        </w:rPr>
      </w:pPr>
      <w:r w:rsidDel="00000000" w:rsidR="00000000" w:rsidRPr="00000000">
        <w:rPr>
          <w:sz w:val="12"/>
          <w:szCs w:val="12"/>
          <w:rtl w:val="0"/>
        </w:rPr>
        <w:t xml:space="preserve">Bleeding Prognosis</w:t>
      </w:r>
    </w:p>
    <w:p w:rsidR="00000000" w:rsidDel="00000000" w:rsidP="00000000" w:rsidRDefault="00000000" w:rsidRPr="00000000" w14:paraId="00001089">
      <w:pPr>
        <w:spacing w:before="0" w:line="240" w:lineRule="auto"/>
        <w:ind w:left="131" w:right="0" w:firstLine="0"/>
        <w:jc w:val="left"/>
        <w:rPr>
          <w:sz w:val="12"/>
          <w:szCs w:val="12"/>
        </w:rPr>
      </w:pPr>
      <w:r w:rsidDel="00000000" w:rsidR="00000000" w:rsidRPr="00000000">
        <w:rPr>
          <w:sz w:val="12"/>
          <w:szCs w:val="12"/>
          <w:rtl w:val="0"/>
        </w:rPr>
        <w:t xml:space="preserve">Precision medicine</w:t>
      </w:r>
    </w:p>
    <w:p w:rsidR="00000000" w:rsidDel="00000000" w:rsidP="00000000" w:rsidRDefault="00000000" w:rsidRPr="00000000" w14:paraId="0000108A">
      <w:pPr>
        <w:spacing w:before="92" w:lineRule="auto"/>
        <w:ind w:left="131" w:right="0" w:firstLine="0"/>
        <w:jc w:val="left"/>
        <w:rPr>
          <w:sz w:val="14"/>
          <w:szCs w:val="14"/>
        </w:rPr>
      </w:pPr>
      <w:r w:rsidDel="00000000" w:rsidR="00000000" w:rsidRPr="00000000">
        <w:rPr>
          <w:sz w:val="14"/>
          <w:szCs w:val="14"/>
          <w:rtl w:val="0"/>
        </w:rPr>
        <w:t xml:space="preserve">A B S T R A C T </w:t>
      </w:r>
    </w:p>
    <w:p w:rsidR="00000000" w:rsidDel="00000000" w:rsidP="00000000" w:rsidRDefault="00000000" w:rsidRPr="00000000" w14:paraId="0000108B">
      <w:pPr>
        <w:spacing w:before="60" w:line="285" w:lineRule="auto"/>
        <w:ind w:left="141.73228346456696" w:right="110" w:firstLine="0"/>
        <w:jc w:val="both"/>
        <w:rPr>
          <w:sz w:val="14"/>
          <w:szCs w:val="14"/>
        </w:rPr>
      </w:pPr>
      <w:r w:rsidDel="00000000" w:rsidR="00000000" w:rsidRPr="00000000">
        <w:rPr>
          <w:i w:val="1"/>
          <w:sz w:val="14"/>
          <w:szCs w:val="14"/>
          <w:rtl w:val="0"/>
        </w:rPr>
        <w:t xml:space="preserve">Background: </w:t>
      </w:r>
      <w:r w:rsidDel="00000000" w:rsidR="00000000" w:rsidRPr="00000000">
        <w:rPr>
          <w:sz w:val="14"/>
          <w:szCs w:val="14"/>
          <w:rtl w:val="0"/>
        </w:rPr>
        <w:t xml:space="preserve">This study aimed to develop a multiclass machine-learning (ML) model to predict all-cause mortality, ischemic and hemorrhagic events in unselected hospitalized patients undergoing percutaneous coronary intervention (PCI).</w:t>
      </w:r>
    </w:p>
    <w:p w:rsidR="00000000" w:rsidDel="00000000" w:rsidP="00000000" w:rsidRDefault="00000000" w:rsidRPr="00000000" w14:paraId="0000108C">
      <w:pPr>
        <w:spacing w:before="0" w:line="285" w:lineRule="auto"/>
        <w:ind w:left="141.73228346456696" w:right="110" w:firstLine="0"/>
        <w:jc w:val="both"/>
        <w:rPr>
          <w:sz w:val="14"/>
          <w:szCs w:val="14"/>
        </w:rPr>
      </w:pPr>
      <w:r w:rsidDel="00000000" w:rsidR="00000000" w:rsidRPr="00000000">
        <w:rPr>
          <w:i w:val="1"/>
          <w:sz w:val="14"/>
          <w:szCs w:val="14"/>
          <w:rtl w:val="0"/>
        </w:rPr>
        <w:t xml:space="preserve">Methods: </w:t>
      </w:r>
      <w:r w:rsidDel="00000000" w:rsidR="00000000" w:rsidRPr="00000000">
        <w:rPr>
          <w:sz w:val="14"/>
          <w:szCs w:val="14"/>
          <w:rtl w:val="0"/>
        </w:rPr>
        <w:t xml:space="preserve">This retrospective study included 1,815,595 unselected weighted hospitalizations undergoing PCI from the National Inpatient Sample (2016–2019). Five most common ML algorithms (logistic regression, support vector machine (SVM), naive Bayes, random forest (RF), and extreme gradient boosting (XGBoost)) were trained and tested with 101 input features. The study endpoints were different combinations of all-cause mortality, ischemic cerebrovascular events (CVE) and major bleeding. An area under the curve (AUC) with 95% confidence interval (95% CI) was selected as a performance metric.</w:t>
      </w:r>
    </w:p>
    <w:p w:rsidR="00000000" w:rsidDel="00000000" w:rsidP="00000000" w:rsidRDefault="00000000" w:rsidRPr="00000000" w14:paraId="0000108D">
      <w:pPr>
        <w:spacing w:before="0" w:line="285" w:lineRule="auto"/>
        <w:ind w:left="141.73228346456696" w:right="110" w:firstLine="0"/>
        <w:jc w:val="both"/>
        <w:rPr>
          <w:sz w:val="14"/>
          <w:szCs w:val="14"/>
        </w:rPr>
      </w:pPr>
      <w:r w:rsidDel="00000000" w:rsidR="00000000" w:rsidRPr="00000000">
        <w:rPr>
          <w:i w:val="1"/>
          <w:sz w:val="14"/>
          <w:szCs w:val="14"/>
          <w:rtl w:val="0"/>
        </w:rPr>
        <w:t xml:space="preserve">Results: </w:t>
      </w:r>
      <w:r w:rsidDel="00000000" w:rsidR="00000000" w:rsidRPr="00000000">
        <w:rPr>
          <w:sz w:val="14"/>
          <w:szCs w:val="14"/>
          <w:rtl w:val="0"/>
        </w:rPr>
        <w:t xml:space="preserve">The study population was split to a training cohort of 1,186,880 PCI discharges, validation cohort (for calibration) of 296,725 hospitalizations and a test cohort of 331,990 PCI discharges. A total of 98,180 (5.4%) hospital entries included study outcomes. Logistic regression, SVM, naive Bayes, and RF model demonstrated AUCs of 0.83 (95% CI 0.82–0.84), 0.84 (95% CI 0.83–0.86), 0.81 (95% CI 0.80–0.82), and 0.83 (95% CI 0.81–0.84), retrospectively. The XGBoost classifier performed the best with an AUC of 0.86 (95% CI 0.85–0.87) with excellent calibration. We then built a web-based application that provides predictions based on the XGBoost model.</w:t>
      </w:r>
    </w:p>
    <w:p w:rsidR="00000000" w:rsidDel="00000000" w:rsidP="00000000" w:rsidRDefault="00000000" w:rsidRPr="00000000" w14:paraId="0000108E">
      <w:pPr>
        <w:spacing w:before="0" w:line="285" w:lineRule="auto"/>
        <w:ind w:left="141.73228346456696" w:right="110" w:firstLine="0"/>
        <w:jc w:val="both"/>
        <w:rPr>
          <w:sz w:val="14"/>
          <w:szCs w:val="14"/>
        </w:rPr>
        <w:sectPr>
          <w:type w:val="continuous"/>
          <w:pgSz w:h="16840" w:w="11920" w:orient="portrait"/>
          <w:pgMar w:bottom="280" w:top="1060" w:left="620" w:right="640" w:header="0" w:footer="0"/>
          <w:cols w:equalWidth="0" w:num="1">
            <w:col w:space="0" w:w="10645.5"/>
          </w:cols>
        </w:sectPr>
      </w:pPr>
      <w:r w:rsidDel="00000000" w:rsidR="00000000" w:rsidRPr="00000000">
        <w:rPr>
          <w:i w:val="1"/>
          <w:sz w:val="14"/>
          <w:szCs w:val="14"/>
          <w:rtl w:val="0"/>
        </w:rPr>
        <w:t xml:space="preserve">Conclusion: </w:t>
      </w:r>
      <w:r w:rsidDel="00000000" w:rsidR="00000000" w:rsidRPr="00000000">
        <w:rPr>
          <w:sz w:val="14"/>
          <w:szCs w:val="14"/>
          <w:rtl w:val="0"/>
        </w:rPr>
        <w:t xml:space="preserve">We derived the multi-task XGBoost classifier based on 101 features to predict different combinations of all-cause death, ischemic CVE and major bleeding. Such models may be useful in benchmarking and risk prediction using routinely collected administrative data.</w:t>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3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6840" w:w="11920" w:orient="portrait"/>
          <w:pgMar w:bottom="280" w:top="1060" w:left="620" w:right="640" w:header="0"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604634" cy="3175"/>
                <wp:effectExtent b="0" l="0" r="0" t="0"/>
                <wp:docPr id="368" name=""/>
                <a:graphic>
                  <a:graphicData uri="http://schemas.microsoft.com/office/word/2010/wordprocessingGroup">
                    <wpg:wgp>
                      <wpg:cNvGrpSpPr/>
                      <wpg:grpSpPr>
                        <a:xfrm>
                          <a:off x="2043675" y="3778400"/>
                          <a:ext cx="6604634" cy="3175"/>
                          <a:chOff x="2043675" y="3778400"/>
                          <a:chExt cx="6604650" cy="3200"/>
                        </a:xfrm>
                      </wpg:grpSpPr>
                      <wpg:grpSp>
                        <wpg:cNvGrpSpPr/>
                        <wpg:grpSpPr>
                          <a:xfrm>
                            <a:off x="2043683" y="3778413"/>
                            <a:ext cx="6604634" cy="3175"/>
                            <a:chOff x="2043675" y="3778400"/>
                            <a:chExt cx="6604650" cy="3200"/>
                          </a:xfrm>
                        </wpg:grpSpPr>
                        <wps:wsp>
                          <wps:cNvSpPr/>
                          <wps:cNvPr id="3" name="Shape 3"/>
                          <wps:spPr>
                            <a:xfrm>
                              <a:off x="2043675" y="3778400"/>
                              <a:ext cx="6604650" cy="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43683" y="3778413"/>
                              <a:ext cx="6604634" cy="3175"/>
                              <a:chOff x="0" y="0"/>
                              <a:chExt cx="6604634" cy="3175"/>
                            </a:xfrm>
                          </wpg:grpSpPr>
                          <wps:wsp>
                            <wps:cNvSpPr/>
                            <wps:cNvPr id="5" name="Shape 5"/>
                            <wps:spPr>
                              <a:xfrm>
                                <a:off x="0" y="0"/>
                                <a:ext cx="6604625" cy="3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604634" cy="3175"/>
                              </a:xfrm>
                              <a:custGeom>
                                <a:rect b="b" l="l" r="r" t="t"/>
                                <a:pathLst>
                                  <a:path extrusionOk="0" h="3175" w="6604634">
                                    <a:moveTo>
                                      <a:pt x="6604636" y="0"/>
                                    </a:moveTo>
                                    <a:lnTo>
                                      <a:pt x="0" y="0"/>
                                    </a:lnTo>
                                    <a:lnTo>
                                      <a:pt x="0" y="3162"/>
                                    </a:lnTo>
                                    <a:lnTo>
                                      <a:pt x="6604636" y="3162"/>
                                    </a:lnTo>
                                    <a:lnTo>
                                      <a:pt x="6604636"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604634" cy="3175"/>
                <wp:effectExtent b="0" l="0" r="0" t="0"/>
                <wp:docPr id="368" name="image8.png"/>
                <a:graphic>
                  <a:graphicData uri="http://schemas.openxmlformats.org/drawingml/2006/picture">
                    <pic:pic>
                      <pic:nvPicPr>
                        <pic:cNvPr id="0" name="image8.png"/>
                        <pic:cNvPicPr preferRelativeResize="0"/>
                      </pic:nvPicPr>
                      <pic:blipFill>
                        <a:blip r:embed="rId469"/>
                        <a:srcRect/>
                        <a:stretch>
                          <a:fillRect/>
                        </a:stretch>
                      </pic:blipFill>
                      <pic:spPr>
                        <a:xfrm>
                          <a:off x="0" y="0"/>
                          <a:ext cx="6604634" cy="3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91">
      <w:pPr>
        <w:pStyle w:val="Heading5"/>
        <w:numPr>
          <w:ilvl w:val="0"/>
          <w:numId w:val="7"/>
        </w:numPr>
        <w:tabs>
          <w:tab w:val="left" w:leader="none" w:pos="375"/>
        </w:tabs>
        <w:spacing w:after="0" w:before="91" w:line="240" w:lineRule="auto"/>
        <w:ind w:left="375" w:right="0" w:hanging="244"/>
        <w:jc w:val="left"/>
        <w:rPr/>
      </w:pPr>
      <w:r w:rsidDel="00000000" w:rsidR="00000000" w:rsidRPr="00000000">
        <w:rPr>
          <w:rtl w:val="0"/>
        </w:rPr>
        <w:t xml:space="preserve">Introduction</w:t>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Despite recent advances in percutaneous coronary intervention (PCI) techniques and antithrombotic strategies, patients still experience ischemic and bleeding events following PCI. [</w:t>
      </w:r>
      <w:hyperlink w:anchor="_heading=h.17nz8yj">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3rnmrmc">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International guidelines on the management of PCI patients strongly recommend implementing personalized clinical decision making while selecting antiplatelet regimes. [</w:t>
      </w:r>
      <w:hyperlink w:anchor="_heading=h.26sx1u5">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ly7c1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Several point-based scores are now widely available for identification of patients at risk of thrombotic and hemorrhagic events. [</w:t>
      </w:r>
      <w:hyperlink w:anchor="_heading=h.35xuupr">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However, based on standard regression statistics, these tools demonstrated modest predictive power (c-statistics ranging from 0.60 to 0.80), included a limited number of classical risk factors and were developed on cohorts of patients with strong exclusion criteria. [</w:t>
      </w:r>
      <w:hyperlink w:anchor="_heading=h.2k82xt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0" w:footer="0"/>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Machine learning (ML) is a revived field of data science that has grown in popularity in recent years as a result of the widespread availability of big data, computational power, and specific software solutions. [</w:t>
      </w:r>
      <w:hyperlink w:anchor="_heading=h.zdd80z">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3jd0qos">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ML techniques aim to learn computer algorithms from given data without relying on rule-based programming, whereas statistical methods use predefined mathematical rules to uncover significant relationships between random variables and dependent outcomes. While traditional statistical models require the fulfillment of several assumptions (data distribution, multicollinearity, homoscedasticity, distribution of residuals) to effectively handle uncertainty and tend to</w:t>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31"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459105" cy="2540"/>
                <wp:effectExtent b="0" l="0" r="0" t="0"/>
                <wp:docPr id="369" name=""/>
                <a:graphic>
                  <a:graphicData uri="http://schemas.microsoft.com/office/word/2010/wordprocessingGroup">
                    <wpg:wgp>
                      <wpg:cNvGrpSpPr/>
                      <wpg:grpSpPr>
                        <a:xfrm>
                          <a:off x="5116425" y="3778725"/>
                          <a:ext cx="459105" cy="2540"/>
                          <a:chOff x="5116425" y="3778725"/>
                          <a:chExt cx="459150" cy="2550"/>
                        </a:xfrm>
                      </wpg:grpSpPr>
                      <wpg:grpSp>
                        <wpg:cNvGrpSpPr/>
                        <wpg:grpSpPr>
                          <a:xfrm>
                            <a:off x="5116448" y="3778730"/>
                            <a:ext cx="459105" cy="2540"/>
                            <a:chOff x="5116425" y="3778725"/>
                            <a:chExt cx="459125" cy="2550"/>
                          </a:xfrm>
                        </wpg:grpSpPr>
                        <wps:wsp>
                          <wps:cNvSpPr/>
                          <wps:cNvPr id="3" name="Shape 3"/>
                          <wps:spPr>
                            <a:xfrm>
                              <a:off x="5116425" y="3778725"/>
                              <a:ext cx="459125" cy="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16443" y="3778730"/>
                              <a:ext cx="459105" cy="2540"/>
                              <a:chOff x="-5" y="0"/>
                              <a:chExt cx="459105" cy="2540"/>
                            </a:xfrm>
                          </wpg:grpSpPr>
                          <wps:wsp>
                            <wps:cNvSpPr/>
                            <wps:cNvPr id="9" name="Shape 9"/>
                            <wps:spPr>
                              <a:xfrm>
                                <a:off x="0" y="0"/>
                                <a:ext cx="459100" cy="2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 y="0"/>
                                <a:ext cx="459105" cy="2540"/>
                              </a:xfrm>
                              <a:custGeom>
                                <a:rect b="b" l="l" r="r" t="t"/>
                                <a:pathLst>
                                  <a:path extrusionOk="0" h="2540" w="459105">
                                    <a:moveTo>
                                      <a:pt x="458762" y="0"/>
                                    </a:moveTo>
                                    <a:lnTo>
                                      <a:pt x="0" y="0"/>
                                    </a:lnTo>
                                    <a:lnTo>
                                      <a:pt x="0" y="1270"/>
                                    </a:lnTo>
                                    <a:lnTo>
                                      <a:pt x="774" y="1270"/>
                                    </a:lnTo>
                                    <a:lnTo>
                                      <a:pt x="774" y="2540"/>
                                    </a:lnTo>
                                    <a:lnTo>
                                      <a:pt x="456882" y="2540"/>
                                    </a:lnTo>
                                    <a:lnTo>
                                      <a:pt x="456882" y="1270"/>
                                    </a:lnTo>
                                    <a:lnTo>
                                      <a:pt x="458762" y="1270"/>
                                    </a:lnTo>
                                    <a:lnTo>
                                      <a:pt x="458762" y="0"/>
                                    </a:lnTo>
                                    <a:close/>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459105" cy="2540"/>
                <wp:effectExtent b="0" l="0" r="0" t="0"/>
                <wp:docPr id="369" name="image9.png"/>
                <a:graphic>
                  <a:graphicData uri="http://schemas.openxmlformats.org/drawingml/2006/picture">
                    <pic:pic>
                      <pic:nvPicPr>
                        <pic:cNvPr id="0" name="image9.png"/>
                        <pic:cNvPicPr preferRelativeResize="0"/>
                      </pic:nvPicPr>
                      <pic:blipFill>
                        <a:blip r:embed="rId470"/>
                        <a:srcRect/>
                        <a:stretch>
                          <a:fillRect/>
                        </a:stretch>
                      </pic:blipFill>
                      <pic:spPr>
                        <a:xfrm>
                          <a:off x="0" y="0"/>
                          <a:ext cx="459105" cy="25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97">
      <w:pPr>
        <w:spacing w:before="32" w:lineRule="auto"/>
        <w:ind w:left="130" w:right="0" w:firstLine="0"/>
        <w:jc w:val="left"/>
        <w:rPr>
          <w:rFonts w:ascii="Georgia" w:cs="Georgia" w:eastAsia="Georgia" w:hAnsi="Georgia"/>
          <w:sz w:val="14"/>
          <w:szCs w:val="14"/>
        </w:rPr>
        <w:sectPr>
          <w:type w:val="continuous"/>
          <w:pgSz w:h="16840" w:w="11920" w:orient="portrait"/>
          <w:pgMar w:bottom="280" w:top="1060" w:left="620" w:right="640" w:header="0" w:footer="0"/>
        </w:sectPr>
      </w:pPr>
      <w:r w:rsidDel="00000000" w:rsidR="00000000" w:rsidRPr="00000000">
        <w:rPr>
          <w:rtl w:val="0"/>
        </w:rPr>
      </w:r>
    </w:p>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10"/>
          <w:szCs w:val="10"/>
          <w:u w:val="none"/>
          <w:shd w:fill="auto" w:val="clear"/>
          <w:vertAlign w:val="baseline"/>
        </w:rPr>
        <w:sectPr>
          <w:headerReference r:id="rId471" w:type="default"/>
          <w:headerReference r:id="rId472" w:type="even"/>
          <w:footerReference r:id="rId473" w:type="default"/>
          <w:footerReference r:id="rId474" w:type="even"/>
          <w:type w:val="nextPage"/>
          <w:pgSz w:h="16840" w:w="11920" w:orient="portrait"/>
          <w:pgMar w:bottom="740" w:top="840" w:left="620" w:right="640" w:header="655" w:footer="544"/>
          <w:pgNumType w:start="2"/>
        </w:sectPr>
      </w:pPr>
      <w:r w:rsidDel="00000000" w:rsidR="00000000" w:rsidRPr="00000000">
        <w:rPr>
          <w:rtl w:val="0"/>
        </w:rPr>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overfit with large high-dimensional datasets, ML algorithms are more flexible with no strong requirements for data uncertainty and demonstrate state-of-the-art performance for big data analyses. [</w:t>
      </w:r>
      <w:hyperlink w:anchor="_heading=h.1yib0wl">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With the widespread adoption of electronic health record (EHR) systems in hospital practice and the availability of medical big data, machine learning (ML) can improve precision cardiovascular medicine and the prediction of future adverse events after PCI. [</w:t>
      </w:r>
      <w:hyperlink w:anchor="_heading=h.zdd80z">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Therefore, we set out to create a multiclass ML model based on high-dimensional EHR data that could predict all-cause mortality, ischemic and hemorrhagic events in unselected patients undergoing PCI.</w:t>
      </w:r>
    </w:p>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9B">
      <w:pPr>
        <w:pStyle w:val="Heading5"/>
        <w:numPr>
          <w:ilvl w:val="0"/>
          <w:numId w:val="7"/>
        </w:numPr>
        <w:tabs>
          <w:tab w:val="left" w:leader="none" w:pos="375"/>
        </w:tabs>
        <w:spacing w:after="0" w:before="0" w:line="240" w:lineRule="auto"/>
        <w:ind w:left="375" w:right="0" w:hanging="244"/>
        <w:jc w:val="left"/>
        <w:rPr/>
      </w:pPr>
      <w:r w:rsidDel="00000000" w:rsidR="00000000" w:rsidRPr="00000000">
        <w:rPr>
          <w:rtl w:val="0"/>
        </w:rPr>
        <w:t xml:space="preserve">Methods</w:t>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9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Data source</w:t>
      </w:r>
    </w:p>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All data for the study were collected from the National Inpatient Sample (NIS). The NIS was developed under the Healthcare Cost and Utilization Project (HCUP) by the Agency for Healthcare Research and Quality, representing one of the largest registries in the United States. The NIS includes descriptions for about 7 million inpatient hospital stays annually. Since the year of 2012, the NIS represents a 20% stratified sample of all community hospital discharges in the United States. Nationwide estimates can be obtained after applying provided sample weights. Further detailed description of the NIS can be found elsewhere. [</w:t>
      </w:r>
      <w:hyperlink w:anchor="_heading=h.4ihyjk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1"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Study population</w:t>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 included all patients aged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18 years who underwent PCI from January 2016 to December 2019. This period was chosen because starting from calendar year 2016 all diagnoses and procedures in the NIS</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databases were coded using the International Classification of Diseases 10th Edition (ICD-10). Pregnant patients were excluded from the analysis. Having in mind that some ML algorithms are not stable for datasets with missing values, we excluded all entries with any missing data. PCI were defined according to codes provided by the Clinical Classifications Software Refined (CCSR) for procedures (Supplementary Table S1). [</w:t>
      </w:r>
      <w:hyperlink w:anchor="_heading=h.2xn8ts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Feature preprocessing</w:t>
      </w:r>
    </w:p>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Considering the overwhelming number of ICD-10 codes used in the NIS databases, we categorized all these codes in clinically meaningful groups using the CCSR for diagnoses [</w:t>
      </w:r>
      <w:hyperlink w:anchor="_heading=h.1csj400">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and procedures as well as the Elixhauser Comorbidity Software Refined [</w:t>
      </w:r>
      <w:hyperlink w:anchor="_heading=h.3ws6mnt">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conditions provided by the AHRQ. This guaranteed a standardized approach in the determination of variables for the trained ML models. Some variables were self-defined by authors since these parameters were not available in the above-mentioned tools (Supplementary Table S2). Some comorbidities defined by the Elixhauser system were excluded since they were repeated in the CCSR tool (Supplementary Table S3). We also removed</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variables that were present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150 entries in the training cohort. To</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prevent data leakage, we have deleted all the ICD-10 codes that were included in the study endpoints (Supplementary Table S3). We also estimated the Charlson Comorbidity Index with the aid of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comorbidity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package using Quan et al.'s mapping algorithm. [</w:t>
      </w:r>
      <w:hyperlink w:anchor="_heading=h.2bxgwvm">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r2r73f">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list of all codes used in the feature preprocessing is presented in Supplementary Table S4. We then performed unsupervised feature selection based on supervised algorithms with FRUFS Python library. This new technique removes redundant variables that can be predicted by other features. Finally, we identified 101 (out of 361) most valuable features with the use of this library (Supplementary Table S5). [</w:t>
      </w:r>
      <w:hyperlink w:anchor="_heading=h.3b2epr8">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Study outcomes</w:t>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Our aim was to develop a multi-task ML model that will provide probabilities for 7 different combinations of individual endpoints in a</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single-patient: death only, stroke only, bleeding only, death and stroke, death and bleeding, bleeding and stroke; all three outcomes combined. The primary endpoint of the study were all possible combinations of all-cause mortality, acute ischemic cerebrovascular events (CVE) and major bleeding during a hospital stay. All-cause mortality data was originally provided in the NIS databases. Acute ischemic CVE were defined as a combination of any codes in group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CIR020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(“Cerebral Infarction”) pro- vided in the CCSR tool. As the NIS does not contain exact time for any disease development, we did not include myocardial infarction as a study endpoint to prevent inclusion of baseline diagnostic codes in the outcomes. Previous studies found high false-positive rates of ICD-10 codes for major bleeding in administrative databases. [</w:t>
      </w:r>
      <w:hyperlink w:anchor="_heading=h.1q7ozz1">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4a7cimu">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However, while previous research used a simple approach based only on potential hemorrhage codes, we incorporated bleeding severity in the definition of major bleeding. Generally, we applied the Bleeding Academic Research Consortium (BARC) classification while selecting ICD- 10 codes for major bleeding. [</w:t>
      </w:r>
      <w:hyperlink w:anchor="_heading=h.2pcmsun">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list of used codes are provided in Supplementary Tables S5.</w:t>
      </w:r>
    </w:p>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Train-test splitting and cross-validation</w:t>
      </w:r>
    </w:p>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NIS database contains information only on hospital discharges and it does not include any indicators for individual subject identification. Therefore, one person can contribute to several entries in the databases. While splitting the study population to train and test cohorts, hospital discharges from one patient can be placed in both cohorts. This could artificially overestimate performance of any ML models derived from a training dataset. [</w:t>
      </w:r>
      <w:hyperlink w:anchor="_heading=h.14hx32g">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3ohklq9">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In order to prevent this situation, we formed training, stand-alone validation and testing cohorts by randomly separating NIS strata that were created according to census division, region, hospital ownership, location, teaching status, and hospital bed size. Totally, there were 182 stratification units, out of which 19 were randomly marked as the test cohort. This method mitigated the risk of obtaining overoptimistic results on the test dataset.</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Moreover, we applied stratified group 5-fold cross-validation for the training dataset while tuning hyperparameters of ML models during grid search. In this type of cross-validation, each strata appears only once in a train or cross-validation cohort reducing the chance of a situation when one subject contributes to both databases. In addition, a stratified nature of this technique guaranteed similar distribution of entries with and without outcomes between formed cohorts during cross-validation.</w:t>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Since different combinations of death, stroke and major bleeding can be observed during a single hospital stay, we developed ML models to predict multiclass outputs: no outcome, only death, only major bleeding, only stroke, major bleeding and death, stroke and death, major bleeding and stroke, or co-occurrence of major bleeding, stroke, and death. We select an Area Under the Receiver Operating Characteristic Curve (AUC) as a metric to choose the best model. We also considered sample weights during fitting, making derived models more accurate.</w:t>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ML algorithms</w:t>
      </w:r>
    </w:p>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 applied the five most common ML algorithms for classification: logistic regression, support vector machine (SVM), naive Bayes, random forest (RF), and extreme gradient boosting (XGBoost). The stochastic gradient descent for optimization of logistic regression and SVM as an efficient way for large-scale learning were applied. Despite its high- computational and time-demanding nature, deep-learning did not demonstrate any improvement in performance for structured tabular data as compared to tree-based algorithms. [</w:t>
      </w:r>
      <w:hyperlink w:anchor="_heading=h.23muvy2">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is565v">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Considering this, we did not apply deep-learning techniques in our study.</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 prevent overfitting, we selected the best combination of hyper- parameters for each ML model during the gridsearch. We then con- ducted calibration of the derived ML models on the separate stand-alone validation cohort. Both an isotonic approach and Platt's method were applied during calibration. [</w:t>
      </w:r>
      <w:hyperlink w:anchor="_heading=h.32rsoto">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1hx2z1h">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performance of these methods</w:t>
      </w:r>
    </w:p>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was assessed with calibration curves (reliability diagrams) and expected calibration error (ECE). The assessment was performed with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net.cal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Python 3 library. [</w:t>
      </w:r>
      <w:hyperlink w:anchor="_heading=h.41wqhpa">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model with the lowest ECE was selected as the best calibrated one. We also apply SHapley Additive exPlanations (SHAP) values to determine contributions of each feature on the prediction in a random sample of entries. [</w:t>
      </w:r>
      <w:hyperlink w:anchor="_heading=h.2h20rx3">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We then developed a web-based software based on the best derived ML model using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streamlit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application.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streamlit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is a powerful tool that helps software designers convert their Python scripts into intuitive web-applications and deploy it.</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gtnh0h" w:id="160"/>
    <w:bookmarkEnd w:id="160"/>
    <w:p w:rsidR="00000000" w:rsidDel="00000000" w:rsidP="00000000" w:rsidRDefault="00000000" w:rsidRPr="00000000" w14:paraId="000010B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Statistical analysis</w:t>
      </w:r>
    </w:p>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2-tailed Student's and chi-square tests were applied to compare continuous and categorical variables, respectively. The weighted statistics for baseline characteristics were obtained using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Survey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package. [</w:t>
      </w:r>
      <w:hyperlink w:anchor="_heading=h.w7b24w">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We calculated confidence intervals (CIs) for macro-averaged AUC on 1000 bootstrap replicated using the MultiROC R package. [</w:t>
      </w:r>
      <w:hyperlink w:anchor="_heading=h.w7b24w">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3g6yksp">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We also estimated weighted AUC that takes into account the proportion of true labels for each outcome. All ML algorithms were derived from the Python language using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scikit-learn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XGBoost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libraries. [</w:t>
      </w:r>
      <w:hyperlink w:anchor="_heading=h.1vc8v0i">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4fbwdob">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34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B8">
      <w:pPr>
        <w:pStyle w:val="Heading5"/>
        <w:numPr>
          <w:ilvl w:val="0"/>
          <w:numId w:val="7"/>
        </w:numPr>
        <w:tabs>
          <w:tab w:val="left" w:leader="none" w:pos="375"/>
        </w:tabs>
        <w:spacing w:after="0" w:before="0" w:line="240" w:lineRule="auto"/>
        <w:ind w:left="375" w:right="0" w:hanging="244"/>
        <w:jc w:val="left"/>
        <w:rPr/>
      </w:pPr>
      <w:r w:rsidDel="00000000" w:rsidR="00000000" w:rsidRPr="00000000">
        <w:rPr>
          <w:rtl w:val="0"/>
        </w:rPr>
        <w:t xml:space="preserve">Results</w:t>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B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Baseline characteristics</w:t>
      </w:r>
    </w:p>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Out of available 1,934,505 PCI hospitalizations, 118,810 were removed because of missing values, age </w:t>
      </w: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18 and pregnancy. We also excluded a total of 100 duplicated entries. Finally, 1,815,595 hospital</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discharges with PCI remained for the analyses. The study flow chart is described in </w:t>
      </w:r>
      <w:hyperlink w:anchor="_heading=h.3zy8sjw">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mean age of the study population was 65.4 (95% CI 65.3–65.4). In total, there were 98,180 hospital discharges with study endpoints. Patients with outcomes tend to be older, admitted at weekends. They were more likely to be female and non-white. These patients also had a higher proportion of acute myocardial infarction on admis- sion, ST-segment elevation myocardial infarction, complicated hypertension, chronic rheumatic heart disease, nonrheumatic valve disorders,</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acute pulmonary embolism, conduction disorders, arrhythmias, heart failure, peripheral vascular disease, sequelae of cerebral infarction, hepatic failure, diabetes mellitus type 2 and with complications, acute and chronic renal failure, chronic obstructive pulmonary disease, autoimmune disease, and cancer. Hospital records without outcomes demonstrated a higher percentage of non-ST-segment elevation myocardial infarction, history of myocardial infarction and PCI, uncomplicated hypertension, obesity, smoking, lipid disorders, and asthma (</w:t>
      </w:r>
      <w:hyperlink w:anchor="_heading=h.2f3j2rp">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Out of 98,180 hospital admissions with outcomes, there were 42,820, 27,900 and 17,390 hospitalizations with only death, major bleeding, and ischemic stroke, respectively. Totally, 9300 hospital discharges included ICD-10 codes for different combinations of two study endpoints, and 770 admissions reported death, major bleeding, and ischemic CVE simultaneously (</w:t>
      </w:r>
      <w:hyperlink w:anchor="_heading=h.u8tczi">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Table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C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496"/>
        </w:tabs>
        <w:spacing w:after="0" w:before="0" w:line="240" w:lineRule="auto"/>
        <w:ind w:left="496" w:right="0" w:hanging="365"/>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Performance of ML algorithms</w:t>
      </w:r>
    </w:p>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All ML algorithms were trained on a sample of 1,186,880 hospitalizations with 5-fold cross-validation with 101 input features. Then, the models were calibrated on the separate validation cohort of 296,725 samples. The discrimination and calibration metrics of the models were calculated on a test cohort of 331,990 entries. For the naive Bayes algorithm, AUC ranged from 0.67 to 0.89 for different endpoints with macro-averaged AUC 0.81 (95% CI 0.80–0.82, Supplementary Fig. S1). The ECEs were 0.05 and 0.01 for the uncalibrated and the best calibrated models, respectively (Supplementary Fig. S2).</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logistic regression reached a macro-averaged AUC of 0.83 (95% CI 0.82–0.84). The AUC for each class of outcomes varied from 0.70 to</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0.91. The uncalibrated and calibrated algorithms demonstrated ECEs of</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0.26 and 0.003, respectively (Supplementary Figs. S3–4). The calibrated linear SVM classifier showed a macro-averaged AUC of 0.84 (95% CI 0.83–0.86) with an ECEs of 0.01 (Supplementary Fig. S5 and 6).</w:t>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best RF classifier demonstrated a macro-averaged AUC of 0.83 (95% CI 0.81–0.84) with individual AUCs varying from 0.708 to 0.91 (</w:t>
      </w:r>
      <w:hyperlink w:anchor="_heading=h.3e8gvnb">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with ECEs of 0.26 and 0.01 for naive and calibrated models, respectively (Supplementary Figs. S7).</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Out of all trained models, the XGBoost algorithm showed the best discriminative ability on the test cohort with a macro-averaged AUC of</w:t>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87731" cy="3078480"/>
            <wp:effectExtent b="0" l="0" r="0" t="0"/>
            <wp:docPr id="470" name="image5.jpg"/>
            <a:graphic>
              <a:graphicData uri="http://schemas.openxmlformats.org/drawingml/2006/picture">
                <pic:pic>
                  <pic:nvPicPr>
                    <pic:cNvPr id="0" name="image5.jpg"/>
                    <pic:cNvPicPr preferRelativeResize="0"/>
                  </pic:nvPicPr>
                  <pic:blipFill>
                    <a:blip r:embed="rId475"/>
                    <a:srcRect b="0" l="0" r="0" t="0"/>
                    <a:stretch>
                      <a:fillRect/>
                    </a:stretch>
                  </pic:blipFill>
                  <pic:spPr>
                    <a:xfrm>
                      <a:off x="0" y="0"/>
                      <a:ext cx="4787731" cy="3078480"/>
                    </a:xfrm>
                    <a:prstGeom prst="rect"/>
                    <a:ln/>
                  </pic:spPr>
                </pic:pic>
              </a:graphicData>
            </a:graphic>
          </wp:inline>
        </w:drawing>
      </w:r>
      <w:r w:rsidDel="00000000" w:rsidR="00000000" w:rsidRPr="00000000">
        <w:rPr>
          <w:rtl w:val="0"/>
        </w:rPr>
      </w:r>
    </w:p>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0C8">
      <w:pPr>
        <w:spacing w:before="0" w:line="283" w:lineRule="auto"/>
        <w:ind w:left="131" w:right="0" w:firstLine="0"/>
        <w:jc w:val="left"/>
        <w:rPr>
          <w:sz w:val="14"/>
          <w:szCs w:val="14"/>
        </w:rPr>
        <w:sectPr>
          <w:type w:val="continuous"/>
          <w:pgSz w:h="16840" w:w="11920" w:orient="portrait"/>
          <w:pgMar w:bottom="280" w:top="1060" w:left="620" w:right="640" w:header="655" w:footer="544"/>
        </w:sectPr>
      </w:pPr>
      <w:bookmarkStart w:colFirst="0" w:colLast="0" w:name="_heading=h.3zy8sjw" w:id="161"/>
      <w:bookmarkEnd w:id="161"/>
      <w:r w:rsidDel="00000000" w:rsidR="00000000" w:rsidRPr="00000000">
        <w:rPr>
          <w:b w:val="1"/>
          <w:sz w:val="14"/>
          <w:szCs w:val="14"/>
          <w:rtl w:val="0"/>
        </w:rPr>
        <w:t xml:space="preserve">Fig. 1. </w:t>
      </w:r>
      <w:r w:rsidDel="00000000" w:rsidR="00000000" w:rsidRPr="00000000">
        <w:rPr>
          <w:sz w:val="14"/>
          <w:szCs w:val="14"/>
          <w:rtl w:val="0"/>
        </w:rPr>
        <w:t xml:space="preserve">Study flow diagram. CVE, cerebro-vascular events; NIS, the National Inpatient Sample; OvR AUC, one-versus-rest area under the curve; PCI, percutaneous coronary intervention; SVM, support vector machine; XGBoost, extreme gradient boosting.</w:t>
      </w:r>
    </w:p>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7"/>
        <w:tblW w:w="10405.0" w:type="dxa"/>
        <w:jc w:val="left"/>
        <w:tblInd w:w="13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72"/>
        <w:gridCol w:w="1821"/>
        <w:gridCol w:w="1822"/>
        <w:gridCol w:w="1821"/>
        <w:gridCol w:w="869"/>
        <w:tblGridChange w:id="0">
          <w:tblGrid>
            <w:gridCol w:w="4072"/>
            <w:gridCol w:w="1821"/>
            <w:gridCol w:w="1822"/>
            <w:gridCol w:w="1821"/>
            <w:gridCol w:w="869"/>
          </w:tblGrid>
        </w:tblGridChange>
      </w:tblGrid>
      <w:tr>
        <w:trPr>
          <w:cantSplit w:val="0"/>
          <w:trHeight w:val="397" w:hRule="atLeast"/>
          <w:tblHeader w:val="0"/>
        </w:trPr>
        <w:tc>
          <w:tcPr>
            <w:tcBorders>
              <w:bottom w:color="000000" w:space="0" w:sz="4" w:val="single"/>
            </w:tcBorders>
          </w:tcPr>
          <w:p w:rsidR="00000000" w:rsidDel="00000000" w:rsidP="00000000" w:rsidRDefault="00000000" w:rsidRPr="00000000" w14:paraId="000010CA">
            <w:pPr>
              <w:keepNext w:val="0"/>
              <w:keepLines w:val="0"/>
              <w:widowControl w:val="0"/>
              <w:pBdr>
                <w:top w:space="0" w:sz="0" w:val="nil"/>
                <w:left w:space="0" w:sz="0" w:val="nil"/>
                <w:bottom w:space="0" w:sz="0" w:val="nil"/>
                <w:right w:space="0" w:sz="0" w:val="nil"/>
                <w:between w:space="0" w:sz="0" w:val="nil"/>
              </w:pBdr>
              <w:shd w:fill="auto" w:val="clear"/>
              <w:spacing w:after="0" w:before="0" w:line="156"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bookmarkStart w:colFirst="0" w:colLast="0" w:name="_heading=h.2f3j2rp" w:id="162"/>
            <w:bookmarkEnd w:id="162"/>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Table 1</w:t>
            </w:r>
          </w:p>
          <w:p w:rsidR="00000000" w:rsidDel="00000000" w:rsidP="00000000" w:rsidRDefault="00000000" w:rsidRPr="00000000" w14:paraId="000010CB">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Baseline characteristics of the study population.</w:t>
            </w:r>
          </w:p>
        </w:tc>
        <w:tc>
          <w:tcPr>
            <w:gridSpan w:val="4"/>
            <w:tcBorders>
              <w:bottom w:color="000000" w:space="0" w:sz="4" w:val="single"/>
            </w:tcBorders>
          </w:tcPr>
          <w:p w:rsidR="00000000" w:rsidDel="00000000" w:rsidP="00000000" w:rsidRDefault="00000000" w:rsidRPr="00000000" w14:paraId="00001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253" w:hRule="atLeast"/>
          <w:tblHeader w:val="0"/>
        </w:trPr>
        <w:tc>
          <w:tcPr>
            <w:tcBorders>
              <w:top w:color="000000" w:space="0" w:sz="4" w:val="single"/>
              <w:bottom w:color="000000" w:space="0" w:sz="4" w:val="single"/>
            </w:tcBorders>
          </w:tcPr>
          <w:p w:rsidR="00000000" w:rsidDel="00000000" w:rsidP="00000000" w:rsidRDefault="00000000" w:rsidRPr="00000000" w14:paraId="00001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10D1">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Total</w:t>
            </w:r>
          </w:p>
        </w:tc>
        <w:tc>
          <w:tcPr>
            <w:tcBorders>
              <w:top w:color="000000" w:space="0" w:sz="4" w:val="single"/>
              <w:bottom w:color="000000" w:space="0" w:sz="4" w:val="single"/>
            </w:tcBorders>
          </w:tcPr>
          <w:p w:rsidR="00000000" w:rsidDel="00000000" w:rsidP="00000000" w:rsidRDefault="00000000" w:rsidRPr="00000000" w14:paraId="000010D2">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Without outcomes</w:t>
            </w:r>
          </w:p>
        </w:tc>
        <w:tc>
          <w:tcPr>
            <w:tcBorders>
              <w:top w:color="000000" w:space="0" w:sz="4" w:val="single"/>
              <w:bottom w:color="000000" w:space="0" w:sz="4" w:val="single"/>
            </w:tcBorders>
          </w:tcPr>
          <w:p w:rsidR="00000000" w:rsidDel="00000000" w:rsidP="00000000" w:rsidRDefault="00000000" w:rsidRPr="00000000" w14:paraId="000010D3">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With outcomes</w:t>
            </w:r>
          </w:p>
        </w:tc>
        <w:tc>
          <w:tcPr>
            <w:tcBorders>
              <w:top w:color="000000" w:space="0" w:sz="4" w:val="single"/>
              <w:bottom w:color="000000" w:space="0" w:sz="4" w:val="single"/>
            </w:tcBorders>
          </w:tcPr>
          <w:p w:rsidR="00000000" w:rsidDel="00000000" w:rsidP="00000000" w:rsidRDefault="00000000" w:rsidRPr="00000000" w14:paraId="000010D4">
            <w:pPr>
              <w:keepNext w:val="0"/>
              <w:keepLines w:val="0"/>
              <w:widowControl w:val="0"/>
              <w:pBdr>
                <w:top w:space="0" w:sz="0" w:val="nil"/>
                <w:left w:space="0" w:sz="0" w:val="nil"/>
                <w:bottom w:space="0" w:sz="0" w:val="nil"/>
                <w:right w:space="0" w:sz="0" w:val="nil"/>
                <w:between w:space="0" w:sz="0" w:val="nil"/>
              </w:pBdr>
              <w:shd w:fill="auto" w:val="clear"/>
              <w:spacing w:after="0" w:before="61" w:line="240"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2"/>
                <w:szCs w:val="12"/>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value</w:t>
            </w:r>
          </w:p>
        </w:tc>
      </w:tr>
      <w:tr>
        <w:trPr>
          <w:cantSplit w:val="0"/>
          <w:trHeight w:val="217" w:hRule="atLeast"/>
          <w:tblHeader w:val="0"/>
        </w:trPr>
        <w:tc>
          <w:tcPr>
            <w:tcBorders>
              <w:top w:color="000000" w:space="0" w:sz="4" w:val="single"/>
            </w:tcBorders>
          </w:tcPr>
          <w:p w:rsidR="00000000" w:rsidDel="00000000" w:rsidP="00000000" w:rsidRDefault="00000000" w:rsidRPr="00000000" w14:paraId="000010D5">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w:t>
            </w:r>
          </w:p>
        </w:tc>
        <w:tc>
          <w:tcPr>
            <w:tcBorders>
              <w:top w:color="000000" w:space="0" w:sz="4" w:val="single"/>
            </w:tcBorders>
          </w:tcPr>
          <w:p w:rsidR="00000000" w:rsidDel="00000000" w:rsidP="00000000" w:rsidRDefault="00000000" w:rsidRPr="00000000" w14:paraId="000010D6">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1,815,595</w:t>
            </w:r>
          </w:p>
        </w:tc>
        <w:tc>
          <w:tcPr>
            <w:tcBorders>
              <w:top w:color="000000" w:space="0" w:sz="4" w:val="single"/>
            </w:tcBorders>
          </w:tcPr>
          <w:p w:rsidR="00000000" w:rsidDel="00000000" w:rsidP="00000000" w:rsidRDefault="00000000" w:rsidRPr="00000000" w14:paraId="000010D7">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1,717,415</w:t>
            </w:r>
          </w:p>
        </w:tc>
        <w:tc>
          <w:tcPr>
            <w:tcBorders>
              <w:top w:color="000000" w:space="0" w:sz="4" w:val="single"/>
            </w:tcBorders>
          </w:tcPr>
          <w:p w:rsidR="00000000" w:rsidDel="00000000" w:rsidP="00000000" w:rsidRDefault="00000000" w:rsidRPr="00000000" w14:paraId="000010D8">
            <w:pPr>
              <w:keepNext w:val="0"/>
              <w:keepLines w:val="0"/>
              <w:widowControl w:val="0"/>
              <w:pBdr>
                <w:top w:space="0" w:sz="0" w:val="nil"/>
                <w:left w:space="0" w:sz="0" w:val="nil"/>
                <w:bottom w:space="0" w:sz="0" w:val="nil"/>
                <w:right w:space="0" w:sz="0" w:val="nil"/>
                <w:between w:space="0" w:sz="0" w:val="nil"/>
              </w:pBdr>
              <w:shd w:fill="auto" w:val="clear"/>
              <w:spacing w:after="0" w:before="61"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98,180</w:t>
            </w:r>
          </w:p>
        </w:tc>
        <w:tc>
          <w:tcPr>
            <w:tcBorders>
              <w:top w:color="000000" w:space="0" w:sz="4" w:val="single"/>
            </w:tcBorders>
          </w:tcPr>
          <w:p w:rsidR="00000000" w:rsidDel="00000000" w:rsidP="00000000" w:rsidRDefault="00000000" w:rsidRPr="00000000" w14:paraId="00001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72" w:hRule="atLeast"/>
          <w:tblHeader w:val="0"/>
        </w:trPr>
        <w:tc>
          <w:tcPr/>
          <w:p w:rsidR="00000000" w:rsidDel="00000000" w:rsidP="00000000" w:rsidRDefault="00000000" w:rsidRPr="00000000" w14:paraId="000010DA">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Age, years</w:t>
            </w:r>
          </w:p>
        </w:tc>
        <w:tc>
          <w:tcPr/>
          <w:p w:rsidR="00000000" w:rsidDel="00000000" w:rsidP="00000000" w:rsidRDefault="00000000" w:rsidRPr="00000000" w14:paraId="000010DB">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65.39 (65.35–65.43)</w:t>
            </w:r>
          </w:p>
        </w:tc>
        <w:tc>
          <w:tcPr/>
          <w:p w:rsidR="00000000" w:rsidDel="00000000" w:rsidP="00000000" w:rsidRDefault="00000000" w:rsidRPr="00000000" w14:paraId="000010DC">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65.11 (65.07–65.15)</w:t>
            </w:r>
          </w:p>
        </w:tc>
        <w:tc>
          <w:tcPr/>
          <w:p w:rsidR="00000000" w:rsidDel="00000000" w:rsidP="00000000" w:rsidRDefault="00000000" w:rsidRPr="00000000" w14:paraId="000010DD">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70.33 (70.16–70.49)</w:t>
            </w:r>
          </w:p>
        </w:tc>
        <w:tc>
          <w:tcPr/>
          <w:p w:rsidR="00000000" w:rsidDel="00000000" w:rsidP="00000000" w:rsidRDefault="00000000" w:rsidRPr="00000000" w14:paraId="000010DE">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0D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Admission at weekend</w:t>
            </w:r>
          </w:p>
        </w:tc>
        <w:tc>
          <w:tcPr/>
          <w:p w:rsidR="00000000" w:rsidDel="00000000" w:rsidP="00000000" w:rsidRDefault="00000000" w:rsidRPr="00000000" w14:paraId="000010E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432,595 (23.8%)</w:t>
            </w:r>
          </w:p>
        </w:tc>
        <w:tc>
          <w:tcPr/>
          <w:p w:rsidR="00000000" w:rsidDel="00000000" w:rsidP="00000000" w:rsidRDefault="00000000" w:rsidRPr="00000000" w14:paraId="000010E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407,925 (23.8%)</w:t>
            </w:r>
          </w:p>
        </w:tc>
        <w:tc>
          <w:tcPr/>
          <w:p w:rsidR="00000000" w:rsidDel="00000000" w:rsidP="00000000" w:rsidRDefault="00000000" w:rsidRPr="00000000" w14:paraId="000010E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24,670 (25.1)</w:t>
            </w:r>
          </w:p>
        </w:tc>
        <w:tc>
          <w:tcPr/>
          <w:p w:rsidR="00000000" w:rsidDel="00000000" w:rsidP="00000000" w:rsidRDefault="00000000" w:rsidRPr="00000000" w14:paraId="000010E3">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0" w:hRule="atLeast"/>
          <w:tblHeader w:val="0"/>
        </w:trPr>
        <w:tc>
          <w:tcPr/>
          <w:p w:rsidR="00000000" w:rsidDel="00000000" w:rsidP="00000000" w:rsidRDefault="00000000" w:rsidRPr="00000000" w14:paraId="000010E4">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Elective admission</w:t>
            </w:r>
          </w:p>
        </w:tc>
        <w:tc>
          <w:tcPr/>
          <w:p w:rsidR="00000000" w:rsidDel="00000000" w:rsidP="00000000" w:rsidRDefault="00000000" w:rsidRPr="00000000" w14:paraId="000010E5">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172,250 (9.5%)</w:t>
            </w:r>
          </w:p>
        </w:tc>
        <w:tc>
          <w:tcPr/>
          <w:p w:rsidR="00000000" w:rsidDel="00000000" w:rsidP="00000000" w:rsidRDefault="00000000" w:rsidRPr="00000000" w14:paraId="000010E6">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162,285 (9.5%)</w:t>
            </w:r>
          </w:p>
        </w:tc>
        <w:tc>
          <w:tcPr/>
          <w:p w:rsidR="00000000" w:rsidDel="00000000" w:rsidP="00000000" w:rsidRDefault="00000000" w:rsidRPr="00000000" w14:paraId="000010E7">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9965 (10.2%)</w:t>
            </w:r>
          </w:p>
        </w:tc>
        <w:tc>
          <w:tcPr/>
          <w:p w:rsidR="00000000" w:rsidDel="00000000" w:rsidP="00000000" w:rsidRDefault="00000000" w:rsidRPr="00000000" w14:paraId="000010E8">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0.002</w:t>
            </w:r>
          </w:p>
        </w:tc>
      </w:tr>
      <w:tr>
        <w:trPr>
          <w:cantSplit w:val="0"/>
          <w:trHeight w:val="172" w:hRule="atLeast"/>
          <w:tblHeader w:val="0"/>
        </w:trPr>
        <w:tc>
          <w:tcPr/>
          <w:p w:rsidR="00000000" w:rsidDel="00000000" w:rsidP="00000000" w:rsidRDefault="00000000" w:rsidRPr="00000000" w14:paraId="000010E9">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Female</w:t>
            </w:r>
          </w:p>
        </w:tc>
        <w:tc>
          <w:tcPr/>
          <w:p w:rsidR="00000000" w:rsidDel="00000000" w:rsidP="00000000" w:rsidRDefault="00000000" w:rsidRPr="00000000" w14:paraId="000010EA">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599,110 (33%)</w:t>
            </w:r>
          </w:p>
        </w:tc>
        <w:tc>
          <w:tcPr/>
          <w:p w:rsidR="00000000" w:rsidDel="00000000" w:rsidP="00000000" w:rsidRDefault="00000000" w:rsidRPr="00000000" w14:paraId="000010EB">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559,015 (32.5%)</w:t>
            </w:r>
          </w:p>
        </w:tc>
        <w:tc>
          <w:tcPr/>
          <w:p w:rsidR="00000000" w:rsidDel="00000000" w:rsidP="00000000" w:rsidRDefault="00000000" w:rsidRPr="00000000" w14:paraId="000010EC">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40,095 (40.8%)</w:t>
            </w:r>
          </w:p>
        </w:tc>
        <w:tc>
          <w:tcPr/>
          <w:p w:rsidR="00000000" w:rsidDel="00000000" w:rsidP="00000000" w:rsidRDefault="00000000" w:rsidRPr="00000000" w14:paraId="000010ED">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0EE">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Race</w:t>
            </w:r>
          </w:p>
        </w:tc>
        <w:tc>
          <w:tcPr/>
          <w:p w:rsidR="00000000" w:rsidDel="00000000" w:rsidP="00000000" w:rsidRDefault="00000000" w:rsidRPr="00000000" w14:paraId="00001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10F2">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0" w:hRule="atLeast"/>
          <w:tblHeader w:val="0"/>
        </w:trPr>
        <w:tc>
          <w:tcPr/>
          <w:p w:rsidR="00000000" w:rsidDel="00000000" w:rsidP="00000000" w:rsidRDefault="00000000" w:rsidRPr="00000000" w14:paraId="000010F3">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238"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White</w:t>
            </w:r>
          </w:p>
        </w:tc>
        <w:tc>
          <w:tcPr/>
          <w:p w:rsidR="00000000" w:rsidDel="00000000" w:rsidP="00000000" w:rsidRDefault="00000000" w:rsidRPr="00000000" w14:paraId="000010F4">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1,365,880 (75.2%)</w:t>
            </w:r>
          </w:p>
        </w:tc>
        <w:tc>
          <w:tcPr/>
          <w:p w:rsidR="00000000" w:rsidDel="00000000" w:rsidP="00000000" w:rsidRDefault="00000000" w:rsidRPr="00000000" w14:paraId="000010F5">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1,293,365 (75.3%)</w:t>
            </w:r>
          </w:p>
        </w:tc>
        <w:tc>
          <w:tcPr/>
          <w:p w:rsidR="00000000" w:rsidDel="00000000" w:rsidP="00000000" w:rsidRDefault="00000000" w:rsidRPr="00000000" w14:paraId="000010F6">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72,515 (73.9%)</w:t>
            </w:r>
          </w:p>
        </w:tc>
        <w:tc>
          <w:tcPr/>
          <w:p w:rsidR="00000000" w:rsidDel="00000000" w:rsidP="00000000" w:rsidRDefault="00000000" w:rsidRPr="00000000" w14:paraId="00001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F8">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8"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Black</w:t>
            </w:r>
          </w:p>
        </w:tc>
        <w:tc>
          <w:tcPr/>
          <w:p w:rsidR="00000000" w:rsidDel="00000000" w:rsidP="00000000" w:rsidRDefault="00000000" w:rsidRPr="00000000" w14:paraId="000010F9">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175,930 (9.7%)</w:t>
            </w:r>
          </w:p>
        </w:tc>
        <w:tc>
          <w:tcPr/>
          <w:p w:rsidR="00000000" w:rsidDel="00000000" w:rsidP="00000000" w:rsidRDefault="00000000" w:rsidRPr="00000000" w14:paraId="000010F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165,840 (9.7%)</w:t>
            </w:r>
          </w:p>
        </w:tc>
        <w:tc>
          <w:tcPr/>
          <w:p w:rsidR="00000000" w:rsidDel="00000000" w:rsidP="00000000" w:rsidRDefault="00000000" w:rsidRPr="00000000" w14:paraId="000010FB">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10,090 (10.3%)</w:t>
            </w:r>
          </w:p>
        </w:tc>
        <w:tc>
          <w:tcPr/>
          <w:p w:rsidR="00000000" w:rsidDel="00000000" w:rsidP="00000000" w:rsidRDefault="00000000" w:rsidRPr="00000000" w14:paraId="00001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0F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8"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Hispanic</w:t>
            </w:r>
          </w:p>
        </w:tc>
        <w:tc>
          <w:tcPr/>
          <w:p w:rsidR="00000000" w:rsidDel="00000000" w:rsidP="00000000" w:rsidRDefault="00000000" w:rsidRPr="00000000" w14:paraId="000010F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150,285 (8.3%)</w:t>
            </w:r>
          </w:p>
        </w:tc>
        <w:tc>
          <w:tcPr/>
          <w:p w:rsidR="00000000" w:rsidDel="00000000" w:rsidP="00000000" w:rsidRDefault="00000000" w:rsidRPr="00000000" w14:paraId="000010F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142,110 (8.3%)</w:t>
            </w:r>
          </w:p>
        </w:tc>
        <w:tc>
          <w:tcPr/>
          <w:p w:rsidR="00000000" w:rsidDel="00000000" w:rsidP="00000000" w:rsidRDefault="00000000" w:rsidRPr="00000000" w14:paraId="00001100">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8175 (8.3%)</w:t>
            </w:r>
          </w:p>
        </w:tc>
        <w:tc>
          <w:tcPr/>
          <w:p w:rsidR="00000000" w:rsidDel="00000000" w:rsidP="00000000" w:rsidRDefault="00000000" w:rsidRPr="00000000" w14:paraId="00001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102">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8"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Asian or Pacific Islander</w:t>
            </w:r>
          </w:p>
        </w:tc>
        <w:tc>
          <w:tcPr/>
          <w:p w:rsidR="00000000" w:rsidDel="00000000" w:rsidP="00000000" w:rsidRDefault="00000000" w:rsidRPr="00000000" w14:paraId="00001103">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50,170 (2.7%)</w:t>
            </w:r>
          </w:p>
        </w:tc>
        <w:tc>
          <w:tcPr/>
          <w:p w:rsidR="00000000" w:rsidDel="00000000" w:rsidP="00000000" w:rsidRDefault="00000000" w:rsidRPr="00000000" w14:paraId="00001104">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46,965 (2.7%)</w:t>
            </w:r>
          </w:p>
        </w:tc>
        <w:tc>
          <w:tcPr/>
          <w:p w:rsidR="00000000" w:rsidDel="00000000" w:rsidP="00000000" w:rsidRDefault="00000000" w:rsidRPr="00000000" w14:paraId="00001105">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3205 (3.2%)</w:t>
            </w:r>
          </w:p>
        </w:tc>
        <w:tc>
          <w:tcPr/>
          <w:p w:rsidR="00000000" w:rsidDel="00000000" w:rsidP="00000000" w:rsidRDefault="00000000" w:rsidRPr="00000000" w14:paraId="00001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107">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8"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Native American</w:t>
            </w:r>
          </w:p>
        </w:tc>
        <w:tc>
          <w:tcPr/>
          <w:p w:rsidR="00000000" w:rsidDel="00000000" w:rsidP="00000000" w:rsidRDefault="00000000" w:rsidRPr="00000000" w14:paraId="00001108">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10,180 (0.6%)</w:t>
            </w:r>
          </w:p>
        </w:tc>
        <w:tc>
          <w:tcPr/>
          <w:p w:rsidR="00000000" w:rsidDel="00000000" w:rsidP="00000000" w:rsidRDefault="00000000" w:rsidRPr="00000000" w14:paraId="00001109">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9565 (0.6%)</w:t>
            </w:r>
          </w:p>
        </w:tc>
        <w:tc>
          <w:tcPr/>
          <w:p w:rsidR="00000000" w:rsidDel="00000000" w:rsidP="00000000" w:rsidRDefault="00000000" w:rsidRPr="00000000" w14:paraId="0000110A">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615 (0.6%)</w:t>
            </w:r>
          </w:p>
        </w:tc>
        <w:tc>
          <w:tcPr/>
          <w:p w:rsidR="00000000" w:rsidDel="00000000" w:rsidP="00000000" w:rsidRDefault="00000000" w:rsidRPr="00000000" w14:paraId="00001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1" w:hRule="atLeast"/>
          <w:tblHeader w:val="0"/>
        </w:trPr>
        <w:tc>
          <w:tcPr/>
          <w:p w:rsidR="00000000" w:rsidDel="00000000" w:rsidP="00000000" w:rsidRDefault="00000000" w:rsidRPr="00000000" w14:paraId="0000110C">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238"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Other</w:t>
            </w:r>
          </w:p>
        </w:tc>
        <w:tc>
          <w:tcPr/>
          <w:p w:rsidR="00000000" w:rsidDel="00000000" w:rsidP="00000000" w:rsidRDefault="00000000" w:rsidRPr="00000000" w14:paraId="0000110D">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63,150 (3.5%)</w:t>
            </w:r>
          </w:p>
        </w:tc>
        <w:tc>
          <w:tcPr/>
          <w:p w:rsidR="00000000" w:rsidDel="00000000" w:rsidP="00000000" w:rsidRDefault="00000000" w:rsidRPr="00000000" w14:paraId="0000110E">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59,570 (3.5%)</w:t>
            </w:r>
          </w:p>
        </w:tc>
        <w:tc>
          <w:tcPr/>
          <w:p w:rsidR="00000000" w:rsidDel="00000000" w:rsidP="00000000" w:rsidRDefault="00000000" w:rsidRPr="00000000" w14:paraId="0000110F">
            <w:pPr>
              <w:keepNext w:val="0"/>
              <w:keepLines w:val="0"/>
              <w:widowControl w:val="0"/>
              <w:pBdr>
                <w:top w:space="0" w:sz="0" w:val="nil"/>
                <w:left w:space="0" w:sz="0" w:val="nil"/>
                <w:bottom w:space="0" w:sz="0" w:val="nil"/>
                <w:right w:space="0" w:sz="0" w:val="nil"/>
                <w:between w:space="0" w:sz="0" w:val="nil"/>
              </w:pBdr>
              <w:shd w:fill="auto" w:val="clear"/>
              <w:spacing w:after="0" w:before="15"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3580 (3.7%)</w:t>
            </w:r>
          </w:p>
        </w:tc>
        <w:tc>
          <w:tcPr/>
          <w:p w:rsidR="00000000" w:rsidDel="00000000" w:rsidP="00000000" w:rsidRDefault="00000000" w:rsidRPr="00000000" w14:paraId="00001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172" w:hRule="atLeast"/>
          <w:tblHeader w:val="0"/>
        </w:trPr>
        <w:tc>
          <w:tcPr/>
          <w:p w:rsidR="00000000" w:rsidDel="00000000" w:rsidP="00000000" w:rsidRDefault="00000000" w:rsidRPr="00000000" w14:paraId="00001111">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Acute myocardial infarction</w:t>
            </w:r>
          </w:p>
        </w:tc>
        <w:tc>
          <w:tcPr/>
          <w:p w:rsidR="00000000" w:rsidDel="00000000" w:rsidP="00000000" w:rsidRDefault="00000000" w:rsidRPr="00000000" w14:paraId="00001112">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1,313,705 (72.4%)</w:t>
            </w:r>
          </w:p>
        </w:tc>
        <w:tc>
          <w:tcPr/>
          <w:p w:rsidR="00000000" w:rsidDel="00000000" w:rsidP="00000000" w:rsidRDefault="00000000" w:rsidRPr="00000000" w14:paraId="00001113">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1,232,700 (71.8%)</w:t>
            </w:r>
          </w:p>
        </w:tc>
        <w:tc>
          <w:tcPr/>
          <w:p w:rsidR="00000000" w:rsidDel="00000000" w:rsidP="00000000" w:rsidRDefault="00000000" w:rsidRPr="00000000" w14:paraId="00001114">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81,005 (82.5%)</w:t>
            </w:r>
          </w:p>
        </w:tc>
        <w:tc>
          <w:tcPr/>
          <w:p w:rsidR="00000000" w:rsidDel="00000000" w:rsidP="00000000" w:rsidRDefault="00000000" w:rsidRPr="00000000" w14:paraId="00001115">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16">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ST-segment elevation myocardial infarction</w:t>
            </w:r>
          </w:p>
        </w:tc>
        <w:tc>
          <w:tcPr/>
          <w:p w:rsidR="00000000" w:rsidDel="00000000" w:rsidP="00000000" w:rsidRDefault="00000000" w:rsidRPr="00000000" w14:paraId="00001117">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548,880 (30.2%)</w:t>
            </w:r>
          </w:p>
        </w:tc>
        <w:tc>
          <w:tcPr/>
          <w:p w:rsidR="00000000" w:rsidDel="00000000" w:rsidP="00000000" w:rsidRDefault="00000000" w:rsidRPr="00000000" w14:paraId="00001118">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503,645 (29.3%)</w:t>
            </w:r>
          </w:p>
        </w:tc>
        <w:tc>
          <w:tcPr/>
          <w:p w:rsidR="00000000" w:rsidDel="00000000" w:rsidP="00000000" w:rsidRDefault="00000000" w:rsidRPr="00000000" w14:paraId="00001119">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45,235 (46.1%)</w:t>
            </w:r>
          </w:p>
        </w:tc>
        <w:tc>
          <w:tcPr/>
          <w:p w:rsidR="00000000" w:rsidDel="00000000" w:rsidP="00000000" w:rsidRDefault="00000000" w:rsidRPr="00000000" w14:paraId="0000111A">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1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Non-ST-segment elevation myocardial infarction</w:t>
            </w:r>
          </w:p>
        </w:tc>
        <w:tc>
          <w:tcPr/>
          <w:p w:rsidR="00000000" w:rsidDel="00000000" w:rsidP="00000000" w:rsidRDefault="00000000" w:rsidRPr="00000000" w14:paraId="0000111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750,880 (41.4%)</w:t>
            </w:r>
          </w:p>
        </w:tc>
        <w:tc>
          <w:tcPr/>
          <w:p w:rsidR="00000000" w:rsidDel="00000000" w:rsidP="00000000" w:rsidRDefault="00000000" w:rsidRPr="00000000" w14:paraId="0000111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716,420 (41.7%)</w:t>
            </w:r>
          </w:p>
        </w:tc>
        <w:tc>
          <w:tcPr/>
          <w:p w:rsidR="00000000" w:rsidDel="00000000" w:rsidP="00000000" w:rsidRDefault="00000000" w:rsidRPr="00000000" w14:paraId="0000111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34,460 (35.1%)</w:t>
            </w:r>
          </w:p>
        </w:tc>
        <w:tc>
          <w:tcPr/>
          <w:p w:rsidR="00000000" w:rsidDel="00000000" w:rsidP="00000000" w:rsidRDefault="00000000" w:rsidRPr="00000000" w14:paraId="0000111F">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2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Old myocardial infarction</w:t>
            </w:r>
          </w:p>
        </w:tc>
        <w:tc>
          <w:tcPr/>
          <w:p w:rsidR="00000000" w:rsidDel="00000000" w:rsidP="00000000" w:rsidRDefault="00000000" w:rsidRPr="00000000" w14:paraId="0000112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327,935 (18.1%)</w:t>
            </w:r>
          </w:p>
        </w:tc>
        <w:tc>
          <w:tcPr/>
          <w:p w:rsidR="00000000" w:rsidDel="00000000" w:rsidP="00000000" w:rsidRDefault="00000000" w:rsidRPr="00000000" w14:paraId="0000112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314,265 (18.3%)</w:t>
            </w:r>
          </w:p>
        </w:tc>
        <w:tc>
          <w:tcPr/>
          <w:p w:rsidR="00000000" w:rsidDel="00000000" w:rsidP="00000000" w:rsidRDefault="00000000" w:rsidRPr="00000000" w14:paraId="0000112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13,670 (13.9%)</w:t>
            </w:r>
          </w:p>
        </w:tc>
        <w:tc>
          <w:tcPr/>
          <w:p w:rsidR="00000000" w:rsidDel="00000000" w:rsidP="00000000" w:rsidRDefault="00000000" w:rsidRPr="00000000" w14:paraId="00001124">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2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History of PCI</w:t>
            </w:r>
          </w:p>
        </w:tc>
        <w:tc>
          <w:tcPr/>
          <w:p w:rsidR="00000000" w:rsidDel="00000000" w:rsidP="00000000" w:rsidRDefault="00000000" w:rsidRPr="00000000" w14:paraId="0000112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370,480 (20.4%)</w:t>
            </w:r>
          </w:p>
        </w:tc>
        <w:tc>
          <w:tcPr/>
          <w:p w:rsidR="00000000" w:rsidDel="00000000" w:rsidP="00000000" w:rsidRDefault="00000000" w:rsidRPr="00000000" w14:paraId="0000112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356,275 (20.7%)</w:t>
            </w:r>
          </w:p>
        </w:tc>
        <w:tc>
          <w:tcPr/>
          <w:p w:rsidR="00000000" w:rsidDel="00000000" w:rsidP="00000000" w:rsidRDefault="00000000" w:rsidRPr="00000000" w14:paraId="0000112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14,205 (14.5%)</w:t>
            </w:r>
          </w:p>
        </w:tc>
        <w:tc>
          <w:tcPr/>
          <w:p w:rsidR="00000000" w:rsidDel="00000000" w:rsidP="00000000" w:rsidRDefault="00000000" w:rsidRPr="00000000" w14:paraId="00001129">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2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Long-term use of aspirin</w:t>
            </w:r>
          </w:p>
        </w:tc>
        <w:tc>
          <w:tcPr/>
          <w:p w:rsidR="00000000" w:rsidDel="00000000" w:rsidP="00000000" w:rsidRDefault="00000000" w:rsidRPr="00000000" w14:paraId="0000112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540,900 (29.8%)</w:t>
            </w:r>
          </w:p>
        </w:tc>
        <w:tc>
          <w:tcPr/>
          <w:p w:rsidR="00000000" w:rsidDel="00000000" w:rsidP="00000000" w:rsidRDefault="00000000" w:rsidRPr="00000000" w14:paraId="0000112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520,525 (30.3%)</w:t>
            </w:r>
          </w:p>
        </w:tc>
        <w:tc>
          <w:tcPr/>
          <w:p w:rsidR="00000000" w:rsidDel="00000000" w:rsidP="00000000" w:rsidRDefault="00000000" w:rsidRPr="00000000" w14:paraId="0000112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20,375 (20.8%)</w:t>
            </w:r>
          </w:p>
        </w:tc>
        <w:tc>
          <w:tcPr/>
          <w:p w:rsidR="00000000" w:rsidDel="00000000" w:rsidP="00000000" w:rsidRDefault="00000000" w:rsidRPr="00000000" w14:paraId="0000112E">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2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Essential hypertension</w:t>
            </w:r>
          </w:p>
        </w:tc>
        <w:tc>
          <w:tcPr/>
          <w:p w:rsidR="00000000" w:rsidDel="00000000" w:rsidP="00000000" w:rsidRDefault="00000000" w:rsidRPr="00000000" w14:paraId="0000113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886,330 (48.8%)</w:t>
            </w:r>
          </w:p>
        </w:tc>
        <w:tc>
          <w:tcPr/>
          <w:p w:rsidR="00000000" w:rsidDel="00000000" w:rsidP="00000000" w:rsidRDefault="00000000" w:rsidRPr="00000000" w14:paraId="0000113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857,120 (49.9%)</w:t>
            </w:r>
          </w:p>
        </w:tc>
        <w:tc>
          <w:tcPr/>
          <w:p w:rsidR="00000000" w:rsidDel="00000000" w:rsidP="00000000" w:rsidRDefault="00000000" w:rsidRPr="00000000" w14:paraId="0000113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29,210 (29.8%)</w:t>
            </w:r>
          </w:p>
        </w:tc>
        <w:tc>
          <w:tcPr/>
          <w:p w:rsidR="00000000" w:rsidDel="00000000" w:rsidP="00000000" w:rsidRDefault="00000000" w:rsidRPr="00000000" w14:paraId="00001133">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34">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Hypertension with complications and secondary hypertension</w:t>
            </w:r>
          </w:p>
        </w:tc>
        <w:tc>
          <w:tcPr/>
          <w:p w:rsidR="00000000" w:rsidDel="00000000" w:rsidP="00000000" w:rsidRDefault="00000000" w:rsidRPr="00000000" w14:paraId="0000113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636,350 (35%)</w:t>
            </w:r>
          </w:p>
        </w:tc>
        <w:tc>
          <w:tcPr/>
          <w:p w:rsidR="00000000" w:rsidDel="00000000" w:rsidP="00000000" w:rsidRDefault="00000000" w:rsidRPr="00000000" w14:paraId="0000113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585,925 (34.1%)</w:t>
            </w:r>
          </w:p>
        </w:tc>
        <w:tc>
          <w:tcPr/>
          <w:p w:rsidR="00000000" w:rsidDel="00000000" w:rsidP="00000000" w:rsidRDefault="00000000" w:rsidRPr="00000000" w14:paraId="0000113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50,425 (51.4%)</w:t>
            </w:r>
          </w:p>
        </w:tc>
        <w:tc>
          <w:tcPr/>
          <w:p w:rsidR="00000000" w:rsidDel="00000000" w:rsidP="00000000" w:rsidRDefault="00000000" w:rsidRPr="00000000" w14:paraId="00001138">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39">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Chronic rheumatic heart disease</w:t>
            </w:r>
          </w:p>
        </w:tc>
        <w:tc>
          <w:tcPr/>
          <w:p w:rsidR="00000000" w:rsidDel="00000000" w:rsidP="00000000" w:rsidRDefault="00000000" w:rsidRPr="00000000" w14:paraId="0000113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60,820 (3.4%)</w:t>
            </w:r>
          </w:p>
        </w:tc>
        <w:tc>
          <w:tcPr/>
          <w:p w:rsidR="00000000" w:rsidDel="00000000" w:rsidP="00000000" w:rsidRDefault="00000000" w:rsidRPr="00000000" w14:paraId="0000113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56,015 (3.3%)</w:t>
            </w:r>
          </w:p>
        </w:tc>
        <w:tc>
          <w:tcPr/>
          <w:p w:rsidR="00000000" w:rsidDel="00000000" w:rsidP="00000000" w:rsidRDefault="00000000" w:rsidRPr="00000000" w14:paraId="0000113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4805 (4.9%)</w:t>
            </w:r>
          </w:p>
        </w:tc>
        <w:tc>
          <w:tcPr/>
          <w:p w:rsidR="00000000" w:rsidDel="00000000" w:rsidP="00000000" w:rsidRDefault="00000000" w:rsidRPr="00000000" w14:paraId="0000113D">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3E">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Nonrheumatic and unspecified valve disorders</w:t>
            </w:r>
          </w:p>
        </w:tc>
        <w:tc>
          <w:tcPr/>
          <w:p w:rsidR="00000000" w:rsidDel="00000000" w:rsidP="00000000" w:rsidRDefault="00000000" w:rsidRPr="00000000" w14:paraId="0000113F">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170,795 (9.4%)</w:t>
            </w:r>
          </w:p>
        </w:tc>
        <w:tc>
          <w:tcPr/>
          <w:p w:rsidR="00000000" w:rsidDel="00000000" w:rsidP="00000000" w:rsidRDefault="00000000" w:rsidRPr="00000000" w14:paraId="00001140">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157,840 (9.2%)</w:t>
            </w:r>
          </w:p>
        </w:tc>
        <w:tc>
          <w:tcPr/>
          <w:p w:rsidR="00000000" w:rsidDel="00000000" w:rsidP="00000000" w:rsidRDefault="00000000" w:rsidRPr="00000000" w14:paraId="00001141">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12,955 (13.2%)</w:t>
            </w:r>
          </w:p>
        </w:tc>
        <w:tc>
          <w:tcPr/>
          <w:p w:rsidR="00000000" w:rsidDel="00000000" w:rsidP="00000000" w:rsidRDefault="00000000" w:rsidRPr="00000000" w14:paraId="00001142">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4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Acute pulmonary embolism</w:t>
            </w:r>
          </w:p>
        </w:tc>
        <w:tc>
          <w:tcPr/>
          <w:p w:rsidR="00000000" w:rsidDel="00000000" w:rsidP="00000000" w:rsidRDefault="00000000" w:rsidRPr="00000000" w14:paraId="00001144">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6155 (0.3%)</w:t>
            </w:r>
          </w:p>
        </w:tc>
        <w:tc>
          <w:tcPr/>
          <w:p w:rsidR="00000000" w:rsidDel="00000000" w:rsidP="00000000" w:rsidRDefault="00000000" w:rsidRPr="00000000" w14:paraId="0000114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4885 (0.3%)</w:t>
            </w:r>
          </w:p>
        </w:tc>
        <w:tc>
          <w:tcPr/>
          <w:p w:rsidR="00000000" w:rsidDel="00000000" w:rsidP="00000000" w:rsidRDefault="00000000" w:rsidRPr="00000000" w14:paraId="0000114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1270 (1.2%)</w:t>
            </w:r>
          </w:p>
        </w:tc>
        <w:tc>
          <w:tcPr/>
          <w:p w:rsidR="00000000" w:rsidDel="00000000" w:rsidP="00000000" w:rsidRDefault="00000000" w:rsidRPr="00000000" w14:paraId="00001147">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4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Conduction disorders</w:t>
            </w:r>
          </w:p>
        </w:tc>
        <w:tc>
          <w:tcPr/>
          <w:p w:rsidR="00000000" w:rsidDel="00000000" w:rsidP="00000000" w:rsidRDefault="00000000" w:rsidRPr="00000000" w14:paraId="00001149">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212,070 (11.7%)</w:t>
            </w:r>
          </w:p>
        </w:tc>
        <w:tc>
          <w:tcPr/>
          <w:p w:rsidR="00000000" w:rsidDel="00000000" w:rsidP="00000000" w:rsidRDefault="00000000" w:rsidRPr="00000000" w14:paraId="0000114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195,005 (11.4%)</w:t>
            </w:r>
          </w:p>
        </w:tc>
        <w:tc>
          <w:tcPr/>
          <w:p w:rsidR="00000000" w:rsidDel="00000000" w:rsidP="00000000" w:rsidRDefault="00000000" w:rsidRPr="00000000" w14:paraId="0000114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17,065 (17.4%)</w:t>
            </w:r>
          </w:p>
        </w:tc>
        <w:tc>
          <w:tcPr/>
          <w:p w:rsidR="00000000" w:rsidDel="00000000" w:rsidP="00000000" w:rsidRDefault="00000000" w:rsidRPr="00000000" w14:paraId="0000114C">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4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Cardiac dysrhythmias</w:t>
            </w:r>
          </w:p>
        </w:tc>
        <w:tc>
          <w:tcPr/>
          <w:p w:rsidR="00000000" w:rsidDel="00000000" w:rsidP="00000000" w:rsidRDefault="00000000" w:rsidRPr="00000000" w14:paraId="0000114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458,055 (25.2%)</w:t>
            </w:r>
          </w:p>
        </w:tc>
        <w:tc>
          <w:tcPr/>
          <w:p w:rsidR="00000000" w:rsidDel="00000000" w:rsidP="00000000" w:rsidRDefault="00000000" w:rsidRPr="00000000" w14:paraId="0000114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412,605 (24%)</w:t>
            </w:r>
          </w:p>
        </w:tc>
        <w:tc>
          <w:tcPr/>
          <w:p w:rsidR="00000000" w:rsidDel="00000000" w:rsidP="00000000" w:rsidRDefault="00000000" w:rsidRPr="00000000" w14:paraId="0000115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45,450 (46.3%)</w:t>
            </w:r>
          </w:p>
        </w:tc>
        <w:tc>
          <w:tcPr/>
          <w:p w:rsidR="00000000" w:rsidDel="00000000" w:rsidP="00000000" w:rsidRDefault="00000000" w:rsidRPr="00000000" w14:paraId="00001151">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5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Heart failure</w:t>
            </w:r>
          </w:p>
        </w:tc>
        <w:tc>
          <w:tcPr/>
          <w:p w:rsidR="00000000" w:rsidDel="00000000" w:rsidP="00000000" w:rsidRDefault="00000000" w:rsidRPr="00000000" w14:paraId="0000115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534,360 (29.4%)</w:t>
            </w:r>
          </w:p>
        </w:tc>
        <w:tc>
          <w:tcPr/>
          <w:p w:rsidR="00000000" w:rsidDel="00000000" w:rsidP="00000000" w:rsidRDefault="00000000" w:rsidRPr="00000000" w14:paraId="00001154">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483,555 (28.2%)</w:t>
            </w:r>
          </w:p>
        </w:tc>
        <w:tc>
          <w:tcPr/>
          <w:p w:rsidR="00000000" w:rsidDel="00000000" w:rsidP="00000000" w:rsidRDefault="00000000" w:rsidRPr="00000000" w14:paraId="0000115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50,805 (51.7%)</w:t>
            </w:r>
          </w:p>
        </w:tc>
        <w:tc>
          <w:tcPr/>
          <w:p w:rsidR="00000000" w:rsidDel="00000000" w:rsidP="00000000" w:rsidRDefault="00000000" w:rsidRPr="00000000" w14:paraId="00001156">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5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Sequela of cerebral infarction and other cerebrovascular disease</w:t>
            </w:r>
          </w:p>
        </w:tc>
        <w:tc>
          <w:tcPr/>
          <w:p w:rsidR="00000000" w:rsidDel="00000000" w:rsidP="00000000" w:rsidRDefault="00000000" w:rsidRPr="00000000" w14:paraId="0000115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31,315 (1.7%)</w:t>
            </w:r>
          </w:p>
        </w:tc>
        <w:tc>
          <w:tcPr/>
          <w:p w:rsidR="00000000" w:rsidDel="00000000" w:rsidP="00000000" w:rsidRDefault="00000000" w:rsidRPr="00000000" w14:paraId="00001159">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27,695 (1.6%)</w:t>
            </w:r>
          </w:p>
        </w:tc>
        <w:tc>
          <w:tcPr/>
          <w:p w:rsidR="00000000" w:rsidDel="00000000" w:rsidP="00000000" w:rsidRDefault="00000000" w:rsidRPr="00000000" w14:paraId="0000115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3620 (3.7%)</w:t>
            </w:r>
          </w:p>
        </w:tc>
        <w:tc>
          <w:tcPr/>
          <w:p w:rsidR="00000000" w:rsidDel="00000000" w:rsidP="00000000" w:rsidRDefault="00000000" w:rsidRPr="00000000" w14:paraId="0000115B">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5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Peripheral and visceral vascular disease</w:t>
            </w:r>
          </w:p>
        </w:tc>
        <w:tc>
          <w:tcPr/>
          <w:p w:rsidR="00000000" w:rsidDel="00000000" w:rsidP="00000000" w:rsidRDefault="00000000" w:rsidRPr="00000000" w14:paraId="0000115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152,510 (8.4%)</w:t>
            </w:r>
          </w:p>
        </w:tc>
        <w:tc>
          <w:tcPr/>
          <w:p w:rsidR="00000000" w:rsidDel="00000000" w:rsidP="00000000" w:rsidRDefault="00000000" w:rsidRPr="00000000" w14:paraId="0000115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139,245 (8.1%)</w:t>
            </w:r>
          </w:p>
        </w:tc>
        <w:tc>
          <w:tcPr/>
          <w:p w:rsidR="00000000" w:rsidDel="00000000" w:rsidP="00000000" w:rsidRDefault="00000000" w:rsidRPr="00000000" w14:paraId="0000115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13,265 (13%)</w:t>
            </w:r>
          </w:p>
        </w:tc>
        <w:tc>
          <w:tcPr/>
          <w:p w:rsidR="00000000" w:rsidDel="00000000" w:rsidP="00000000" w:rsidRDefault="00000000" w:rsidRPr="00000000" w14:paraId="00001160">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6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Hepatic failure</w:t>
            </w:r>
          </w:p>
        </w:tc>
        <w:tc>
          <w:tcPr/>
          <w:p w:rsidR="00000000" w:rsidDel="00000000" w:rsidP="00000000" w:rsidRDefault="00000000" w:rsidRPr="00000000" w14:paraId="0000116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24,830 (1.4%)</w:t>
            </w:r>
          </w:p>
        </w:tc>
        <w:tc>
          <w:tcPr/>
          <w:p w:rsidR="00000000" w:rsidDel="00000000" w:rsidP="00000000" w:rsidRDefault="00000000" w:rsidRPr="00000000" w14:paraId="0000116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12,860 (0.7%)</w:t>
            </w:r>
          </w:p>
        </w:tc>
        <w:tc>
          <w:tcPr/>
          <w:p w:rsidR="00000000" w:rsidDel="00000000" w:rsidP="00000000" w:rsidRDefault="00000000" w:rsidRPr="00000000" w14:paraId="00001164">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11,970 (12.2%)</w:t>
            </w:r>
          </w:p>
        </w:tc>
        <w:tc>
          <w:tcPr/>
          <w:p w:rsidR="00000000" w:rsidDel="00000000" w:rsidP="00000000" w:rsidRDefault="00000000" w:rsidRPr="00000000" w14:paraId="00001165">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66">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Liver disease, mild</w:t>
            </w:r>
          </w:p>
        </w:tc>
        <w:tc>
          <w:tcPr/>
          <w:p w:rsidR="00000000" w:rsidDel="00000000" w:rsidP="00000000" w:rsidRDefault="00000000" w:rsidRPr="00000000" w14:paraId="00001167">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50,120 (2.8%)</w:t>
            </w:r>
          </w:p>
        </w:tc>
        <w:tc>
          <w:tcPr/>
          <w:p w:rsidR="00000000" w:rsidDel="00000000" w:rsidP="00000000" w:rsidRDefault="00000000" w:rsidRPr="00000000" w14:paraId="00001168">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45,720 (2.7%)</w:t>
            </w:r>
          </w:p>
        </w:tc>
        <w:tc>
          <w:tcPr/>
          <w:p w:rsidR="00000000" w:rsidDel="00000000" w:rsidP="00000000" w:rsidRDefault="00000000" w:rsidRPr="00000000" w14:paraId="00001169">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4400 (4.5%)</w:t>
            </w:r>
          </w:p>
        </w:tc>
        <w:tc>
          <w:tcPr/>
          <w:p w:rsidR="00000000" w:rsidDel="00000000" w:rsidP="00000000" w:rsidRDefault="00000000" w:rsidRPr="00000000" w14:paraId="0000116A">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6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Liver disease, moderate to severe</w:t>
            </w:r>
          </w:p>
        </w:tc>
        <w:tc>
          <w:tcPr/>
          <w:p w:rsidR="00000000" w:rsidDel="00000000" w:rsidP="00000000" w:rsidRDefault="00000000" w:rsidRPr="00000000" w14:paraId="0000116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6670 (0.4%)</w:t>
            </w:r>
          </w:p>
        </w:tc>
        <w:tc>
          <w:tcPr/>
          <w:p w:rsidR="00000000" w:rsidDel="00000000" w:rsidP="00000000" w:rsidRDefault="00000000" w:rsidRPr="00000000" w14:paraId="0000116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5125 (0.3%)</w:t>
            </w:r>
          </w:p>
        </w:tc>
        <w:tc>
          <w:tcPr/>
          <w:p w:rsidR="00000000" w:rsidDel="00000000" w:rsidP="00000000" w:rsidRDefault="00000000" w:rsidRPr="00000000" w14:paraId="0000116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1545 (1.4%)</w:t>
            </w:r>
          </w:p>
        </w:tc>
        <w:tc>
          <w:tcPr/>
          <w:p w:rsidR="00000000" w:rsidDel="00000000" w:rsidP="00000000" w:rsidRDefault="00000000" w:rsidRPr="00000000" w14:paraId="0000116F">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7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Pancreatic disorders (excluding diabetes)</w:t>
            </w:r>
          </w:p>
        </w:tc>
        <w:tc>
          <w:tcPr/>
          <w:p w:rsidR="00000000" w:rsidDel="00000000" w:rsidP="00000000" w:rsidRDefault="00000000" w:rsidRPr="00000000" w14:paraId="0000117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8265 (0.4%)</w:t>
            </w:r>
          </w:p>
        </w:tc>
        <w:tc>
          <w:tcPr/>
          <w:p w:rsidR="00000000" w:rsidDel="00000000" w:rsidP="00000000" w:rsidRDefault="00000000" w:rsidRPr="00000000" w14:paraId="0000117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7315 (0.4%)</w:t>
            </w:r>
          </w:p>
        </w:tc>
        <w:tc>
          <w:tcPr/>
          <w:p w:rsidR="00000000" w:rsidDel="00000000" w:rsidP="00000000" w:rsidRDefault="00000000" w:rsidRPr="00000000" w14:paraId="0000117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950 (0.9%)</w:t>
            </w:r>
          </w:p>
        </w:tc>
        <w:tc>
          <w:tcPr/>
          <w:p w:rsidR="00000000" w:rsidDel="00000000" w:rsidP="00000000" w:rsidRDefault="00000000" w:rsidRPr="00000000" w14:paraId="00001174">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7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Diabetes mellitus with complication</w:t>
            </w:r>
          </w:p>
        </w:tc>
        <w:tc>
          <w:tcPr/>
          <w:p w:rsidR="00000000" w:rsidDel="00000000" w:rsidP="00000000" w:rsidRDefault="00000000" w:rsidRPr="00000000" w14:paraId="0000117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421,115 (23.2%)</w:t>
            </w:r>
          </w:p>
        </w:tc>
        <w:tc>
          <w:tcPr/>
          <w:p w:rsidR="00000000" w:rsidDel="00000000" w:rsidP="00000000" w:rsidRDefault="00000000" w:rsidRPr="00000000" w14:paraId="0000117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390,125 (22.7%)</w:t>
            </w:r>
          </w:p>
        </w:tc>
        <w:tc>
          <w:tcPr/>
          <w:p w:rsidR="00000000" w:rsidDel="00000000" w:rsidP="00000000" w:rsidRDefault="00000000" w:rsidRPr="00000000" w14:paraId="0000117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30,990 (31.6%)</w:t>
            </w:r>
          </w:p>
        </w:tc>
        <w:tc>
          <w:tcPr/>
          <w:p w:rsidR="00000000" w:rsidDel="00000000" w:rsidP="00000000" w:rsidRDefault="00000000" w:rsidRPr="00000000" w14:paraId="00001179">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7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Diabetes mellitus, Type 2</w:t>
            </w:r>
          </w:p>
        </w:tc>
        <w:tc>
          <w:tcPr/>
          <w:p w:rsidR="00000000" w:rsidDel="00000000" w:rsidP="00000000" w:rsidRDefault="00000000" w:rsidRPr="00000000" w14:paraId="0000117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730,310 (40.2%)</w:t>
            </w:r>
          </w:p>
        </w:tc>
        <w:tc>
          <w:tcPr/>
          <w:p w:rsidR="00000000" w:rsidDel="00000000" w:rsidP="00000000" w:rsidRDefault="00000000" w:rsidRPr="00000000" w14:paraId="0000117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688,645 (40.1%)</w:t>
            </w:r>
          </w:p>
        </w:tc>
        <w:tc>
          <w:tcPr/>
          <w:p w:rsidR="00000000" w:rsidDel="00000000" w:rsidP="00000000" w:rsidRDefault="00000000" w:rsidRPr="00000000" w14:paraId="0000117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41,665 (42.4%)</w:t>
            </w:r>
          </w:p>
        </w:tc>
        <w:tc>
          <w:tcPr/>
          <w:p w:rsidR="00000000" w:rsidDel="00000000" w:rsidP="00000000" w:rsidRDefault="00000000" w:rsidRPr="00000000" w14:paraId="0000117E">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7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Obesity</w:t>
            </w:r>
          </w:p>
        </w:tc>
        <w:tc>
          <w:tcPr/>
          <w:p w:rsidR="00000000" w:rsidDel="00000000" w:rsidP="00000000" w:rsidRDefault="00000000" w:rsidRPr="00000000" w14:paraId="0000118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378,705 (20.9%)</w:t>
            </w:r>
          </w:p>
        </w:tc>
        <w:tc>
          <w:tcPr/>
          <w:p w:rsidR="00000000" w:rsidDel="00000000" w:rsidP="00000000" w:rsidRDefault="00000000" w:rsidRPr="00000000" w14:paraId="0000118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361,670 (21.1%)</w:t>
            </w:r>
          </w:p>
        </w:tc>
        <w:tc>
          <w:tcPr/>
          <w:p w:rsidR="00000000" w:rsidDel="00000000" w:rsidP="00000000" w:rsidRDefault="00000000" w:rsidRPr="00000000" w14:paraId="0000118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17,035 (17.4%)</w:t>
            </w:r>
          </w:p>
        </w:tc>
        <w:tc>
          <w:tcPr/>
          <w:p w:rsidR="00000000" w:rsidDel="00000000" w:rsidP="00000000" w:rsidRDefault="00000000" w:rsidRPr="00000000" w14:paraId="00001183">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84">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Disorders of lipid metabolism</w:t>
            </w:r>
          </w:p>
        </w:tc>
        <w:tc>
          <w:tcPr/>
          <w:p w:rsidR="00000000" w:rsidDel="00000000" w:rsidP="00000000" w:rsidRDefault="00000000" w:rsidRPr="00000000" w14:paraId="0000118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1,312,890 (72.3%)</w:t>
            </w:r>
          </w:p>
        </w:tc>
        <w:tc>
          <w:tcPr/>
          <w:p w:rsidR="00000000" w:rsidDel="00000000" w:rsidP="00000000" w:rsidRDefault="00000000" w:rsidRPr="00000000" w14:paraId="0000118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1,257,540 (73.2%)</w:t>
            </w:r>
          </w:p>
        </w:tc>
        <w:tc>
          <w:tcPr/>
          <w:p w:rsidR="00000000" w:rsidDel="00000000" w:rsidP="00000000" w:rsidRDefault="00000000" w:rsidRPr="00000000" w14:paraId="0000118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55,350 (56.4%)</w:t>
            </w:r>
          </w:p>
        </w:tc>
        <w:tc>
          <w:tcPr/>
          <w:p w:rsidR="00000000" w:rsidDel="00000000" w:rsidP="00000000" w:rsidRDefault="00000000" w:rsidRPr="00000000" w14:paraId="00001188">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89">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Acute and unspecified renal failure</w:t>
            </w:r>
          </w:p>
        </w:tc>
        <w:tc>
          <w:tcPr/>
          <w:p w:rsidR="00000000" w:rsidDel="00000000" w:rsidP="00000000" w:rsidRDefault="00000000" w:rsidRPr="00000000" w14:paraId="0000118A">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279,895 (15.4%)</w:t>
            </w:r>
          </w:p>
        </w:tc>
        <w:tc>
          <w:tcPr/>
          <w:p w:rsidR="00000000" w:rsidDel="00000000" w:rsidP="00000000" w:rsidRDefault="00000000" w:rsidRPr="00000000" w14:paraId="0000118B">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233,345 (13.6%)</w:t>
            </w:r>
          </w:p>
        </w:tc>
        <w:tc>
          <w:tcPr/>
          <w:p w:rsidR="00000000" w:rsidDel="00000000" w:rsidP="00000000" w:rsidRDefault="00000000" w:rsidRPr="00000000" w14:paraId="0000118C">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46,550 (47.4%)</w:t>
            </w:r>
          </w:p>
        </w:tc>
        <w:tc>
          <w:tcPr/>
          <w:p w:rsidR="00000000" w:rsidDel="00000000" w:rsidP="00000000" w:rsidRDefault="00000000" w:rsidRPr="00000000" w14:paraId="0000118D">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8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Renal failure, moderate</w:t>
            </w:r>
          </w:p>
        </w:tc>
        <w:tc>
          <w:tcPr/>
          <w:p w:rsidR="00000000" w:rsidDel="00000000" w:rsidP="00000000" w:rsidRDefault="00000000" w:rsidRPr="00000000" w14:paraId="0000118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237,625 (13.1%)</w:t>
            </w:r>
          </w:p>
        </w:tc>
        <w:tc>
          <w:tcPr/>
          <w:p w:rsidR="00000000" w:rsidDel="00000000" w:rsidP="00000000" w:rsidRDefault="00000000" w:rsidRPr="00000000" w14:paraId="0000119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218,465 (12.7%)</w:t>
            </w:r>
          </w:p>
        </w:tc>
        <w:tc>
          <w:tcPr/>
          <w:p w:rsidR="00000000" w:rsidDel="00000000" w:rsidP="00000000" w:rsidRDefault="00000000" w:rsidRPr="00000000" w14:paraId="0000119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19,160 (19.5%)</w:t>
            </w:r>
          </w:p>
        </w:tc>
        <w:tc>
          <w:tcPr/>
          <w:p w:rsidR="00000000" w:rsidDel="00000000" w:rsidP="00000000" w:rsidRDefault="00000000" w:rsidRPr="00000000" w14:paraId="00001192">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9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Renal failure, severe</w:t>
            </w:r>
          </w:p>
        </w:tc>
        <w:tc>
          <w:tcPr/>
          <w:p w:rsidR="00000000" w:rsidDel="00000000" w:rsidP="00000000" w:rsidRDefault="00000000" w:rsidRPr="00000000" w14:paraId="00001194">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110,875 (6.1%)</w:t>
            </w:r>
          </w:p>
        </w:tc>
        <w:tc>
          <w:tcPr/>
          <w:p w:rsidR="00000000" w:rsidDel="00000000" w:rsidP="00000000" w:rsidRDefault="00000000" w:rsidRPr="00000000" w14:paraId="0000119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98,560 (5.7%)</w:t>
            </w:r>
          </w:p>
        </w:tc>
        <w:tc>
          <w:tcPr/>
          <w:p w:rsidR="00000000" w:rsidDel="00000000" w:rsidP="00000000" w:rsidRDefault="00000000" w:rsidRPr="00000000" w14:paraId="0000119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12,315 (12.5%)</w:t>
            </w:r>
          </w:p>
        </w:tc>
        <w:tc>
          <w:tcPr/>
          <w:p w:rsidR="00000000" w:rsidDel="00000000" w:rsidP="00000000" w:rsidRDefault="00000000" w:rsidRPr="00000000" w14:paraId="00001197">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9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Osteoporosis</w:t>
            </w:r>
          </w:p>
        </w:tc>
        <w:tc>
          <w:tcPr/>
          <w:p w:rsidR="00000000" w:rsidDel="00000000" w:rsidP="00000000" w:rsidRDefault="00000000" w:rsidRPr="00000000" w14:paraId="00001199">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26,305 (1.5%)</w:t>
            </w:r>
          </w:p>
        </w:tc>
        <w:tc>
          <w:tcPr/>
          <w:p w:rsidR="00000000" w:rsidDel="00000000" w:rsidP="00000000" w:rsidRDefault="00000000" w:rsidRPr="00000000" w14:paraId="0000119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24,330 (1.4%)</w:t>
            </w:r>
          </w:p>
        </w:tc>
        <w:tc>
          <w:tcPr/>
          <w:p w:rsidR="00000000" w:rsidDel="00000000" w:rsidP="00000000" w:rsidRDefault="00000000" w:rsidRPr="00000000" w14:paraId="0000119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1975 (2.0%)</w:t>
            </w:r>
          </w:p>
        </w:tc>
        <w:tc>
          <w:tcPr/>
          <w:p w:rsidR="00000000" w:rsidDel="00000000" w:rsidP="00000000" w:rsidRDefault="00000000" w:rsidRPr="00000000" w14:paraId="0000119C">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0" w:hRule="atLeast"/>
          <w:tblHeader w:val="0"/>
        </w:trPr>
        <w:tc>
          <w:tcPr/>
          <w:p w:rsidR="00000000" w:rsidDel="00000000" w:rsidP="00000000" w:rsidRDefault="00000000" w:rsidRPr="00000000" w14:paraId="0000119D">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Gout</w:t>
            </w:r>
          </w:p>
        </w:tc>
        <w:tc>
          <w:tcPr/>
          <w:p w:rsidR="00000000" w:rsidDel="00000000" w:rsidP="00000000" w:rsidRDefault="00000000" w:rsidRPr="00000000" w14:paraId="0000119E">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65,725 (3.6%)</w:t>
            </w:r>
          </w:p>
        </w:tc>
        <w:tc>
          <w:tcPr/>
          <w:p w:rsidR="00000000" w:rsidDel="00000000" w:rsidP="00000000" w:rsidRDefault="00000000" w:rsidRPr="00000000" w14:paraId="0000119F">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62,205 (3.6%)</w:t>
            </w:r>
          </w:p>
        </w:tc>
        <w:tc>
          <w:tcPr/>
          <w:p w:rsidR="00000000" w:rsidDel="00000000" w:rsidP="00000000" w:rsidRDefault="00000000" w:rsidRPr="00000000" w14:paraId="000011A0">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3520 (3.6%)</w:t>
            </w:r>
          </w:p>
        </w:tc>
        <w:tc>
          <w:tcPr/>
          <w:p w:rsidR="00000000" w:rsidDel="00000000" w:rsidP="00000000" w:rsidRDefault="00000000" w:rsidRPr="00000000" w14:paraId="000011A1">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0.79</w:t>
            </w:r>
          </w:p>
        </w:tc>
      </w:tr>
      <w:tr>
        <w:trPr>
          <w:cantSplit w:val="0"/>
          <w:trHeight w:val="172" w:hRule="atLeast"/>
          <w:tblHeader w:val="0"/>
        </w:trPr>
        <w:tc>
          <w:tcPr/>
          <w:p w:rsidR="00000000" w:rsidDel="00000000" w:rsidP="00000000" w:rsidRDefault="00000000" w:rsidRPr="00000000" w14:paraId="000011A2">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Asthma</w:t>
            </w:r>
          </w:p>
        </w:tc>
        <w:tc>
          <w:tcPr/>
          <w:p w:rsidR="00000000" w:rsidDel="00000000" w:rsidP="00000000" w:rsidRDefault="00000000" w:rsidRPr="00000000" w14:paraId="000011A3">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81,425 (4.5%)</w:t>
            </w:r>
          </w:p>
        </w:tc>
        <w:tc>
          <w:tcPr/>
          <w:p w:rsidR="00000000" w:rsidDel="00000000" w:rsidP="00000000" w:rsidRDefault="00000000" w:rsidRPr="00000000" w14:paraId="000011A4">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78,110 (4.6%)</w:t>
            </w:r>
          </w:p>
        </w:tc>
        <w:tc>
          <w:tcPr/>
          <w:p w:rsidR="00000000" w:rsidDel="00000000" w:rsidP="00000000" w:rsidRDefault="00000000" w:rsidRPr="00000000" w14:paraId="000011A5">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3315 (3.1%)</w:t>
            </w:r>
          </w:p>
        </w:tc>
        <w:tc>
          <w:tcPr/>
          <w:p w:rsidR="00000000" w:rsidDel="00000000" w:rsidP="00000000" w:rsidRDefault="00000000" w:rsidRPr="00000000" w14:paraId="000011A6">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A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Chronic obstructive pulmonary disease and bronchiectasis</w:t>
            </w:r>
          </w:p>
        </w:tc>
        <w:tc>
          <w:tcPr/>
          <w:p w:rsidR="00000000" w:rsidDel="00000000" w:rsidP="00000000" w:rsidRDefault="00000000" w:rsidRPr="00000000" w14:paraId="000011A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288,630 (15.9%)</w:t>
            </w:r>
          </w:p>
        </w:tc>
        <w:tc>
          <w:tcPr/>
          <w:p w:rsidR="00000000" w:rsidDel="00000000" w:rsidP="00000000" w:rsidRDefault="00000000" w:rsidRPr="00000000" w14:paraId="000011A9">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269,405 (15.7%)</w:t>
            </w:r>
          </w:p>
        </w:tc>
        <w:tc>
          <w:tcPr/>
          <w:p w:rsidR="00000000" w:rsidDel="00000000" w:rsidP="00000000" w:rsidRDefault="00000000" w:rsidRPr="00000000" w14:paraId="000011AA">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19,225 (19.6%)</w:t>
            </w:r>
          </w:p>
        </w:tc>
        <w:tc>
          <w:tcPr/>
          <w:p w:rsidR="00000000" w:rsidDel="00000000" w:rsidP="00000000" w:rsidRDefault="00000000" w:rsidRPr="00000000" w14:paraId="000011AB">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A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Chronic blood loss anemia</w:t>
            </w:r>
          </w:p>
        </w:tc>
        <w:tc>
          <w:tcPr/>
          <w:p w:rsidR="00000000" w:rsidDel="00000000" w:rsidP="00000000" w:rsidRDefault="00000000" w:rsidRPr="00000000" w14:paraId="000011A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8210 (0.4%)</w:t>
            </w:r>
          </w:p>
        </w:tc>
        <w:tc>
          <w:tcPr/>
          <w:p w:rsidR="00000000" w:rsidDel="00000000" w:rsidP="00000000" w:rsidRDefault="00000000" w:rsidRPr="00000000" w14:paraId="000011A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6415 (0.3%)</w:t>
            </w:r>
          </w:p>
        </w:tc>
        <w:tc>
          <w:tcPr/>
          <w:p w:rsidR="00000000" w:rsidDel="00000000" w:rsidP="00000000" w:rsidRDefault="00000000" w:rsidRPr="00000000" w14:paraId="000011AF">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1795 (1.6%)</w:t>
            </w:r>
          </w:p>
        </w:tc>
        <w:tc>
          <w:tcPr/>
          <w:p w:rsidR="00000000" w:rsidDel="00000000" w:rsidP="00000000" w:rsidRDefault="00000000" w:rsidRPr="00000000" w14:paraId="000011B0">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B1">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Autoimmune conditions</w:t>
            </w:r>
          </w:p>
        </w:tc>
        <w:tc>
          <w:tcPr/>
          <w:p w:rsidR="00000000" w:rsidDel="00000000" w:rsidP="00000000" w:rsidRDefault="00000000" w:rsidRPr="00000000" w14:paraId="000011B2">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49,230 (2.7%)</w:t>
            </w:r>
          </w:p>
        </w:tc>
        <w:tc>
          <w:tcPr/>
          <w:p w:rsidR="00000000" w:rsidDel="00000000" w:rsidP="00000000" w:rsidRDefault="00000000" w:rsidRPr="00000000" w14:paraId="000011B3">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46,170 (2.7%)</w:t>
            </w:r>
          </w:p>
        </w:tc>
        <w:tc>
          <w:tcPr/>
          <w:p w:rsidR="00000000" w:rsidDel="00000000" w:rsidP="00000000" w:rsidRDefault="00000000" w:rsidRPr="00000000" w14:paraId="000011B4">
            <w:pPr>
              <w:keepNext w:val="0"/>
              <w:keepLines w:val="0"/>
              <w:widowControl w:val="0"/>
              <w:pBdr>
                <w:top w:space="0" w:sz="0" w:val="nil"/>
                <w:left w:space="0" w:sz="0" w:val="nil"/>
                <w:bottom w:space="0" w:sz="0" w:val="nil"/>
                <w:right w:space="0" w:sz="0" w:val="nil"/>
                <w:between w:space="0" w:sz="0" w:val="nil"/>
              </w:pBdr>
              <w:shd w:fill="auto" w:val="clear"/>
              <w:spacing w:after="0" w:before="14" w:line="138"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3060 (3.1%)</w:t>
            </w:r>
          </w:p>
        </w:tc>
        <w:tc>
          <w:tcPr/>
          <w:p w:rsidR="00000000" w:rsidDel="00000000" w:rsidP="00000000" w:rsidRDefault="00000000" w:rsidRPr="00000000" w14:paraId="000011B5">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B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Hypothyroidism</w:t>
            </w:r>
          </w:p>
        </w:tc>
        <w:tc>
          <w:tcPr/>
          <w:p w:rsidR="00000000" w:rsidDel="00000000" w:rsidP="00000000" w:rsidRDefault="00000000" w:rsidRPr="00000000" w14:paraId="000011B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204,010 (11.2%)</w:t>
            </w:r>
          </w:p>
        </w:tc>
        <w:tc>
          <w:tcPr/>
          <w:p w:rsidR="00000000" w:rsidDel="00000000" w:rsidP="00000000" w:rsidRDefault="00000000" w:rsidRPr="00000000" w14:paraId="000011B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191,985 (11.2%)</w:t>
            </w:r>
          </w:p>
        </w:tc>
        <w:tc>
          <w:tcPr/>
          <w:p w:rsidR="00000000" w:rsidDel="00000000" w:rsidP="00000000" w:rsidRDefault="00000000" w:rsidRPr="00000000" w14:paraId="000011B9">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12,025 (12.2%)</w:t>
            </w:r>
          </w:p>
        </w:tc>
        <w:tc>
          <w:tcPr/>
          <w:p w:rsidR="00000000" w:rsidDel="00000000" w:rsidP="00000000" w:rsidRDefault="00000000" w:rsidRPr="00000000" w14:paraId="000011BA">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BB">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Lymphoma</w:t>
            </w:r>
          </w:p>
        </w:tc>
        <w:tc>
          <w:tcPr/>
          <w:p w:rsidR="00000000" w:rsidDel="00000000" w:rsidP="00000000" w:rsidRDefault="00000000" w:rsidRPr="00000000" w14:paraId="000011BC">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7815 (0.4%)</w:t>
            </w:r>
          </w:p>
        </w:tc>
        <w:tc>
          <w:tcPr/>
          <w:p w:rsidR="00000000" w:rsidDel="00000000" w:rsidP="00000000" w:rsidRDefault="00000000" w:rsidRPr="00000000" w14:paraId="000011BD">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7100 (0.4%)</w:t>
            </w:r>
          </w:p>
        </w:tc>
        <w:tc>
          <w:tcPr/>
          <w:p w:rsidR="00000000" w:rsidDel="00000000" w:rsidP="00000000" w:rsidRDefault="00000000" w:rsidRPr="00000000" w14:paraId="000011BE">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715 (0.7%)</w:t>
            </w:r>
          </w:p>
        </w:tc>
        <w:tc>
          <w:tcPr/>
          <w:p w:rsidR="00000000" w:rsidDel="00000000" w:rsidP="00000000" w:rsidRDefault="00000000" w:rsidRPr="00000000" w14:paraId="000011BF">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C0">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Metastatic cancer</w:t>
            </w:r>
          </w:p>
        </w:tc>
        <w:tc>
          <w:tcPr/>
          <w:p w:rsidR="00000000" w:rsidDel="00000000" w:rsidP="00000000" w:rsidRDefault="00000000" w:rsidRPr="00000000" w14:paraId="000011C1">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9565 (0.5%)</w:t>
            </w:r>
          </w:p>
        </w:tc>
        <w:tc>
          <w:tcPr/>
          <w:p w:rsidR="00000000" w:rsidDel="00000000" w:rsidP="00000000" w:rsidRDefault="00000000" w:rsidRPr="00000000" w14:paraId="000011C2">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8135 (0.4%)</w:t>
            </w:r>
          </w:p>
        </w:tc>
        <w:tc>
          <w:tcPr/>
          <w:p w:rsidR="00000000" w:rsidDel="00000000" w:rsidP="00000000" w:rsidRDefault="00000000" w:rsidRPr="00000000" w14:paraId="000011C3">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1430 (1.5%)</w:t>
            </w:r>
          </w:p>
        </w:tc>
        <w:tc>
          <w:tcPr/>
          <w:p w:rsidR="00000000" w:rsidDel="00000000" w:rsidP="00000000" w:rsidRDefault="00000000" w:rsidRPr="00000000" w14:paraId="000011C4">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1" w:hRule="atLeast"/>
          <w:tblHeader w:val="0"/>
        </w:trPr>
        <w:tc>
          <w:tcPr/>
          <w:p w:rsidR="00000000" w:rsidDel="00000000" w:rsidP="00000000" w:rsidRDefault="00000000" w:rsidRPr="00000000" w14:paraId="000011C5">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Solid tumor without metastasis, malignant</w:t>
            </w:r>
          </w:p>
        </w:tc>
        <w:tc>
          <w:tcPr/>
          <w:p w:rsidR="00000000" w:rsidDel="00000000" w:rsidP="00000000" w:rsidRDefault="00000000" w:rsidRPr="00000000" w14:paraId="000011C6">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31,640 (1.7%)</w:t>
            </w:r>
          </w:p>
        </w:tc>
        <w:tc>
          <w:tcPr/>
          <w:p w:rsidR="00000000" w:rsidDel="00000000" w:rsidP="00000000" w:rsidRDefault="00000000" w:rsidRPr="00000000" w14:paraId="000011C7">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28,165 (1.6%)</w:t>
            </w:r>
          </w:p>
        </w:tc>
        <w:tc>
          <w:tcPr/>
          <w:p w:rsidR="00000000" w:rsidDel="00000000" w:rsidP="00000000" w:rsidRDefault="00000000" w:rsidRPr="00000000" w14:paraId="000011C8">
            <w:pPr>
              <w:keepNext w:val="0"/>
              <w:keepLines w:val="0"/>
              <w:widowControl w:val="0"/>
              <w:pBdr>
                <w:top w:space="0" w:sz="0" w:val="nil"/>
                <w:left w:space="0" w:sz="0" w:val="nil"/>
                <w:bottom w:space="0" w:sz="0" w:val="nil"/>
                <w:right w:space="0" w:sz="0" w:val="nil"/>
                <w:between w:space="0" w:sz="0" w:val="nil"/>
              </w:pBdr>
              <w:shd w:fill="auto" w:val="clear"/>
              <w:spacing w:after="0" w:before="14"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3475 (3.5%)</w:t>
            </w:r>
          </w:p>
        </w:tc>
        <w:tc>
          <w:tcPr/>
          <w:p w:rsidR="00000000" w:rsidDel="00000000" w:rsidP="00000000" w:rsidRDefault="00000000" w:rsidRPr="00000000" w14:paraId="000011C9">
            <w:pPr>
              <w:keepNext w:val="0"/>
              <w:keepLines w:val="0"/>
              <w:widowControl w:val="0"/>
              <w:pBdr>
                <w:top w:space="0" w:sz="0" w:val="nil"/>
                <w:left w:space="0" w:sz="0" w:val="nil"/>
                <w:bottom w:space="0" w:sz="0" w:val="nil"/>
                <w:right w:space="0" w:sz="0" w:val="nil"/>
                <w:between w:space="0" w:sz="0" w:val="nil"/>
              </w:pBdr>
              <w:shd w:fill="auto" w:val="clear"/>
              <w:spacing w:after="0" w:before="0" w:line="151"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170" w:hRule="atLeast"/>
          <w:tblHeader w:val="0"/>
        </w:trPr>
        <w:tc>
          <w:tcPr/>
          <w:p w:rsidR="00000000" w:rsidDel="00000000" w:rsidP="00000000" w:rsidRDefault="00000000" w:rsidRPr="00000000" w14:paraId="000011CA">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Psychoses</w:t>
            </w:r>
          </w:p>
        </w:tc>
        <w:tc>
          <w:tcPr/>
          <w:p w:rsidR="00000000" w:rsidDel="00000000" w:rsidP="00000000" w:rsidRDefault="00000000" w:rsidRPr="00000000" w14:paraId="000011CB">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31,810 (1.8%)</w:t>
            </w:r>
          </w:p>
        </w:tc>
        <w:tc>
          <w:tcPr/>
          <w:p w:rsidR="00000000" w:rsidDel="00000000" w:rsidP="00000000" w:rsidRDefault="00000000" w:rsidRPr="00000000" w14:paraId="000011CC">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30,035 (1.8%)</w:t>
            </w:r>
          </w:p>
        </w:tc>
        <w:tc>
          <w:tcPr/>
          <w:p w:rsidR="00000000" w:rsidDel="00000000" w:rsidP="00000000" w:rsidRDefault="00000000" w:rsidRPr="00000000" w14:paraId="000011CD">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1775 (1.8%)</w:t>
            </w:r>
          </w:p>
        </w:tc>
        <w:tc>
          <w:tcPr/>
          <w:p w:rsidR="00000000" w:rsidDel="00000000" w:rsidP="00000000" w:rsidRDefault="00000000" w:rsidRPr="00000000" w14:paraId="000011CE">
            <w:pPr>
              <w:keepNext w:val="0"/>
              <w:keepLines w:val="0"/>
              <w:widowControl w:val="0"/>
              <w:pBdr>
                <w:top w:space="0" w:sz="0" w:val="nil"/>
                <w:left w:space="0" w:sz="0" w:val="nil"/>
                <w:bottom w:space="0" w:sz="0" w:val="nil"/>
                <w:right w:space="0" w:sz="0" w:val="nil"/>
                <w:between w:space="0" w:sz="0" w:val="nil"/>
              </w:pBdr>
              <w:shd w:fill="auto" w:val="clear"/>
              <w:spacing w:after="0" w:before="14" w:line="136"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0.56</w:t>
            </w:r>
          </w:p>
        </w:tc>
      </w:tr>
      <w:tr>
        <w:trPr>
          <w:cantSplit w:val="0"/>
          <w:trHeight w:val="172" w:hRule="atLeast"/>
          <w:tblHeader w:val="0"/>
        </w:trPr>
        <w:tc>
          <w:tcPr/>
          <w:p w:rsidR="00000000" w:rsidDel="00000000" w:rsidP="00000000" w:rsidRDefault="00000000" w:rsidRPr="00000000" w14:paraId="000011CF">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Smoking</w:t>
            </w:r>
          </w:p>
        </w:tc>
        <w:tc>
          <w:tcPr/>
          <w:p w:rsidR="00000000" w:rsidDel="00000000" w:rsidP="00000000" w:rsidRDefault="00000000" w:rsidRPr="00000000" w14:paraId="000011D0">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482,730 (26.6%)</w:t>
            </w:r>
          </w:p>
        </w:tc>
        <w:tc>
          <w:tcPr/>
          <w:p w:rsidR="00000000" w:rsidDel="00000000" w:rsidP="00000000" w:rsidRDefault="00000000" w:rsidRPr="00000000" w14:paraId="000011D1">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465,020 (27.1%)</w:t>
            </w:r>
          </w:p>
        </w:tc>
        <w:tc>
          <w:tcPr/>
          <w:p w:rsidR="00000000" w:rsidDel="00000000" w:rsidP="00000000" w:rsidRDefault="00000000" w:rsidRPr="00000000" w14:paraId="000011D2">
            <w:pPr>
              <w:keepNext w:val="0"/>
              <w:keepLines w:val="0"/>
              <w:widowControl w:val="0"/>
              <w:pBdr>
                <w:top w:space="0" w:sz="0" w:val="nil"/>
                <w:left w:space="0" w:sz="0" w:val="nil"/>
                <w:bottom w:space="0" w:sz="0" w:val="nil"/>
                <w:right w:space="0" w:sz="0" w:val="nil"/>
                <w:between w:space="0" w:sz="0" w:val="nil"/>
              </w:pBdr>
              <w:shd w:fill="auto" w:val="clear"/>
              <w:spacing w:after="0" w:before="15" w:line="137"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17,710 (18%)</w:t>
            </w:r>
          </w:p>
        </w:tc>
        <w:tc>
          <w:tcPr/>
          <w:p w:rsidR="00000000" w:rsidDel="00000000" w:rsidP="00000000" w:rsidRDefault="00000000" w:rsidRPr="00000000" w14:paraId="000011D3">
            <w:pPr>
              <w:keepNext w:val="0"/>
              <w:keepLines w:val="0"/>
              <w:widowControl w:val="0"/>
              <w:pBdr>
                <w:top w:space="0" w:sz="0" w:val="nil"/>
                <w:left w:space="0" w:sz="0" w:val="nil"/>
                <w:bottom w:space="0" w:sz="0" w:val="nil"/>
                <w:right w:space="0" w:sz="0" w:val="nil"/>
                <w:between w:space="0" w:sz="0" w:val="nil"/>
              </w:pBdr>
              <w:shd w:fill="auto" w:val="clear"/>
              <w:spacing w:after="0" w:before="0" w:line="152"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2"/>
                <w:szCs w:val="1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0.001</w:t>
            </w:r>
          </w:p>
        </w:tc>
      </w:tr>
      <w:tr>
        <w:trPr>
          <w:cantSplit w:val="0"/>
          <w:trHeight w:val="206" w:hRule="atLeast"/>
          <w:tblHeader w:val="0"/>
        </w:trPr>
        <w:tc>
          <w:tcPr>
            <w:tcBorders>
              <w:bottom w:color="000000" w:space="0" w:sz="4" w:val="single"/>
            </w:tcBorders>
          </w:tcPr>
          <w:p w:rsidR="00000000" w:rsidDel="00000000" w:rsidP="00000000" w:rsidRDefault="00000000" w:rsidRPr="00000000" w14:paraId="000011D4">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11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Drug abuse</w:t>
            </w:r>
          </w:p>
        </w:tc>
        <w:tc>
          <w:tcPr>
            <w:tcBorders>
              <w:bottom w:color="000000" w:space="0" w:sz="4" w:val="single"/>
            </w:tcBorders>
          </w:tcPr>
          <w:p w:rsidR="00000000" w:rsidDel="00000000" w:rsidP="00000000" w:rsidRDefault="00000000" w:rsidRPr="00000000" w14:paraId="000011D5">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32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39,495 (2.2%)</w:t>
            </w:r>
          </w:p>
        </w:tc>
        <w:tc>
          <w:tcPr>
            <w:tcBorders>
              <w:bottom w:color="000000" w:space="0" w:sz="4" w:val="single"/>
            </w:tcBorders>
          </w:tcPr>
          <w:p w:rsidR="00000000" w:rsidDel="00000000" w:rsidP="00000000" w:rsidRDefault="00000000" w:rsidRPr="00000000" w14:paraId="000011D6">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32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37,470 (2.2%)</w:t>
            </w:r>
          </w:p>
        </w:tc>
        <w:tc>
          <w:tcPr>
            <w:tcBorders>
              <w:bottom w:color="000000" w:space="0" w:sz="4" w:val="single"/>
            </w:tcBorders>
          </w:tcPr>
          <w:p w:rsidR="00000000" w:rsidDel="00000000" w:rsidP="00000000" w:rsidRDefault="00000000" w:rsidRPr="00000000" w14:paraId="000011D7">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2025 (2.1%)</w:t>
            </w:r>
          </w:p>
        </w:tc>
        <w:tc>
          <w:tcPr>
            <w:tcBorders>
              <w:bottom w:color="000000" w:space="0" w:sz="4" w:val="single"/>
            </w:tcBorders>
          </w:tcPr>
          <w:p w:rsidR="00000000" w:rsidDel="00000000" w:rsidP="00000000" w:rsidRDefault="00000000" w:rsidRPr="00000000" w14:paraId="000011D8">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32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0.25</w:t>
            </w:r>
          </w:p>
        </w:tc>
      </w:tr>
    </w:tbl>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0.86 (95% CI 0.85–0.87, </w:t>
      </w:r>
      <w:hyperlink w:anchor="_heading=h.1tdr5v4">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 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AUC for each class of outcomes ranged from 0.71 to 0.94. Of note, the calibration metrics were also satisfactory with ECEs of 0.003 and 0.002 for uncalibrated and calibrated models, respectively (</w:t>
      </w:r>
      <w:hyperlink w:anchor="_heading=h.4ddeoix">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Figs. 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most important features were Elixhauser comorbidity score, moderate renal failure, Charlson comorbidity index, family history of heart diseases, acute renal failure, ST-segment elevation myocardial infarction, dyslipidemia myocarditis and cardiomyopathy, personal/family history of disease, age, and female gender. (Supplementary Fig. S8). Our programming codes are open-source and were published on the </w:t>
      </w:r>
      <w:hyperlink r:id="rId47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GitHub</w:t>
        </w:r>
      </w:hyperlin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profile of the first author, making it possible for anyone to develop their own ML model based on NIS datasets.</w:t>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Using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streamlit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we built a web-based software facilitating practical implementation of our ML model. After an authorized user input data of the intended patient (age, gender, race, type of admission, a month of admission, discharge quarter, and all ICD10 codes related to the current hospital stay) and click “Predict the risk” button, the web-application provides the estimated risk with 8 possible outputs: the patient has a</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low risk of in-hospital events, the patient has a high risk of in-hospital death, a high risk of in-hospital major bleeding, a high risk of in-hospital ischemic stroke, a high risk of in-hospital major bleeding and death, a high risk of in-hospital death and ischemic stroke, a high risk of in-hospital ischemic stroke and major bleeding, a high risk of in-hospital death, ischemic stroke and major bleeding (Supplementary video). The Python code for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streamlit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application is also available on the </w:t>
      </w:r>
      <w:hyperlink r:id="rId47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GitHub</w:t>
        </w:r>
      </w:hyperlin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profile of the first author. Due to the risk of re-identification of the original database and copyright issues, we are not able to release our ML model and web-based software publicly.</w:t>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DD">
      <w:pPr>
        <w:pStyle w:val="Heading5"/>
        <w:numPr>
          <w:ilvl w:val="0"/>
          <w:numId w:val="7"/>
        </w:numPr>
        <w:tabs>
          <w:tab w:val="left" w:leader="none" w:pos="374"/>
        </w:tabs>
        <w:spacing w:after="0" w:before="1" w:line="240" w:lineRule="auto"/>
        <w:ind w:left="374" w:right="0" w:hanging="243"/>
        <w:jc w:val="left"/>
        <w:rPr/>
      </w:pPr>
      <w:r w:rsidDel="00000000" w:rsidR="00000000" w:rsidRPr="00000000">
        <w:rPr>
          <w:rtl w:val="0"/>
        </w:rPr>
        <w:t xml:space="preserve">Discussion</w:t>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 the current analysis using a large sample of 1,815,595 PCI hospitalizations from a national administrative dataset we show the feasibility in developing a ML model to predict all-cause death, ischemic CVE and major bleeding with a satisfactory discriminatory and calibration performance. With 101 clinical input variables, the best XGBoost</w:t>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11E1">
      <w:pPr>
        <w:spacing w:before="115" w:lineRule="auto"/>
        <w:ind w:left="131" w:firstLine="0"/>
        <w:rPr>
          <w:b w:val="1"/>
          <w:sz w:val="14"/>
          <w:szCs w:val="14"/>
        </w:rPr>
      </w:pPr>
      <w:bookmarkStart w:colFirst="0" w:colLast="0" w:name="_heading=h.u8tczi" w:id="163"/>
      <w:bookmarkEnd w:id="163"/>
      <w:r w:rsidDel="00000000" w:rsidR="00000000" w:rsidRPr="00000000">
        <w:rPr>
          <w:b w:val="1"/>
          <w:sz w:val="14"/>
          <w:szCs w:val="14"/>
          <w:rtl w:val="0"/>
        </w:rPr>
        <w:t xml:space="preserve">Table 2</w:t>
      </w:r>
    </w:p>
    <w:p w:rsidR="00000000" w:rsidDel="00000000" w:rsidP="00000000" w:rsidRDefault="00000000" w:rsidRPr="00000000" w14:paraId="000011E2">
      <w:pPr>
        <w:spacing w:before="31" w:lineRule="auto"/>
        <w:ind w:left="131" w:firstLine="0"/>
        <w:rPr>
          <w:sz w:val="14"/>
          <w:szCs w:val="14"/>
        </w:rPr>
      </w:pPr>
      <w:r w:rsidDel="00000000" w:rsidR="00000000" w:rsidRPr="00000000">
        <w:rPr>
          <w:sz w:val="14"/>
          <w:szCs w:val="14"/>
          <w:rtl w:val="0"/>
        </w:rPr>
        <w:t xml:space="preserve">Baseline characteristics for study population.</w:t>
      </w:r>
    </w:p>
    <w:sdt>
      <w:sdtPr>
        <w:lock w:val="contentLocked"/>
        <w:tag w:val="goog_rdk_0"/>
      </w:sdtPr>
      <w:sdtContent>
        <w:tbl>
          <w:tblPr>
            <w:tblStyle w:val="Table28"/>
            <w:tblW w:w="5024.0" w:type="dxa"/>
            <w:jc w:val="left"/>
            <w:tblInd w:w="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692"/>
            <w:gridCol w:w="967"/>
            <w:gridCol w:w="1431"/>
            <w:gridCol w:w="934"/>
            <w:tblGridChange w:id="0">
              <w:tblGrid>
                <w:gridCol w:w="1692"/>
                <w:gridCol w:w="967"/>
                <w:gridCol w:w="1431"/>
                <w:gridCol w:w="934"/>
              </w:tblGrid>
            </w:tblGridChange>
          </w:tblGrid>
          <w:tr>
            <w:trPr>
              <w:cantSplit w:val="0"/>
              <w:trHeight w:val="424" w:hRule="atLeast"/>
              <w:tblHeader w:val="0"/>
            </w:trPr>
            <w:tc>
              <w:tcPr>
                <w:tcBorders>
                  <w:top w:color="000000" w:space="0" w:sz="4" w:val="single"/>
                  <w:bottom w:color="000000" w:space="0" w:sz="4" w:val="single"/>
                </w:tcBorders>
              </w:tcPr>
              <w:p w:rsidR="00000000" w:rsidDel="00000000" w:rsidP="00000000" w:rsidRDefault="00000000" w:rsidRPr="00000000" w14:paraId="000011E3">
                <w:pPr>
                  <w:rPr>
                    <w:sz w:val="14"/>
                    <w:szCs w:val="1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11E4">
                <w:pPr>
                  <w:spacing w:before="61" w:lineRule="auto"/>
                  <w:ind w:left="114" w:firstLine="0"/>
                  <w:rPr>
                    <w:sz w:val="12"/>
                    <w:szCs w:val="12"/>
                  </w:rPr>
                </w:pPr>
                <w:r w:rsidDel="00000000" w:rsidR="00000000" w:rsidRPr="00000000">
                  <w:rPr>
                    <w:sz w:val="12"/>
                    <w:szCs w:val="12"/>
                    <w:rtl w:val="0"/>
                  </w:rPr>
                  <w:t xml:space="preserve">Total</w:t>
                </w:r>
              </w:p>
            </w:tc>
            <w:tc>
              <w:tcPr>
                <w:tcBorders>
                  <w:top w:color="000000" w:space="0" w:sz="4" w:val="single"/>
                  <w:bottom w:color="000000" w:space="0" w:sz="4" w:val="single"/>
                </w:tcBorders>
              </w:tcPr>
              <w:p w:rsidR="00000000" w:rsidDel="00000000" w:rsidP="00000000" w:rsidRDefault="00000000" w:rsidRPr="00000000" w14:paraId="000011E5">
                <w:pPr>
                  <w:spacing w:before="61" w:line="297" w:lineRule="auto"/>
                  <w:ind w:left="112" w:right="151" w:firstLine="0"/>
                  <w:rPr>
                    <w:sz w:val="12"/>
                    <w:szCs w:val="12"/>
                  </w:rPr>
                </w:pPr>
                <w:r w:rsidDel="00000000" w:rsidR="00000000" w:rsidRPr="00000000">
                  <w:rPr>
                    <w:sz w:val="12"/>
                    <w:szCs w:val="12"/>
                    <w:rtl w:val="0"/>
                  </w:rPr>
                  <w:t xml:space="preserve">Train and validation cohort</w:t>
                </w:r>
              </w:p>
            </w:tc>
            <w:tc>
              <w:tcPr>
                <w:tcBorders>
                  <w:top w:color="000000" w:space="0" w:sz="4" w:val="single"/>
                  <w:bottom w:color="000000" w:space="0" w:sz="4" w:val="single"/>
                </w:tcBorders>
              </w:tcPr>
              <w:p w:rsidR="00000000" w:rsidDel="00000000" w:rsidP="00000000" w:rsidRDefault="00000000" w:rsidRPr="00000000" w14:paraId="000011E6">
                <w:pPr>
                  <w:spacing w:before="61" w:lineRule="auto"/>
                  <w:ind w:left="158" w:firstLine="0"/>
                  <w:rPr>
                    <w:sz w:val="12"/>
                    <w:szCs w:val="12"/>
                  </w:rPr>
                </w:pPr>
                <w:r w:rsidDel="00000000" w:rsidR="00000000" w:rsidRPr="00000000">
                  <w:rPr>
                    <w:sz w:val="12"/>
                    <w:szCs w:val="12"/>
                    <w:rtl w:val="0"/>
                  </w:rPr>
                  <w:t xml:space="preserve">Test cohort</w:t>
                </w:r>
              </w:p>
            </w:tc>
          </w:tr>
          <w:tr>
            <w:trPr>
              <w:cantSplit w:val="0"/>
              <w:trHeight w:val="217" w:hRule="atLeast"/>
              <w:tblHeader w:val="0"/>
            </w:trPr>
            <w:tc>
              <w:tcPr>
                <w:tcBorders>
                  <w:top w:color="000000" w:space="0" w:sz="4" w:val="single"/>
                </w:tcBorders>
              </w:tcPr>
              <w:p w:rsidR="00000000" w:rsidDel="00000000" w:rsidP="00000000" w:rsidRDefault="00000000" w:rsidRPr="00000000" w14:paraId="000011E7">
                <w:pPr>
                  <w:spacing w:before="61" w:line="136" w:lineRule="auto"/>
                  <w:ind w:left="119" w:firstLine="0"/>
                  <w:rPr>
                    <w:sz w:val="12"/>
                    <w:szCs w:val="12"/>
                  </w:rPr>
                </w:pPr>
                <w:r w:rsidDel="00000000" w:rsidR="00000000" w:rsidRPr="00000000">
                  <w:rPr>
                    <w:sz w:val="12"/>
                    <w:szCs w:val="12"/>
                    <w:rtl w:val="0"/>
                  </w:rPr>
                  <w:t xml:space="preserve">n</w:t>
                </w:r>
              </w:p>
            </w:tc>
            <w:tc>
              <w:tcPr>
                <w:tcBorders>
                  <w:top w:color="000000" w:space="0" w:sz="4" w:val="single"/>
                </w:tcBorders>
              </w:tcPr>
              <w:p w:rsidR="00000000" w:rsidDel="00000000" w:rsidP="00000000" w:rsidRDefault="00000000" w:rsidRPr="00000000" w14:paraId="000011E8">
                <w:pPr>
                  <w:spacing w:before="61" w:line="136" w:lineRule="auto"/>
                  <w:ind w:left="114" w:firstLine="0"/>
                  <w:rPr>
                    <w:sz w:val="12"/>
                    <w:szCs w:val="12"/>
                  </w:rPr>
                </w:pPr>
                <w:r w:rsidDel="00000000" w:rsidR="00000000" w:rsidRPr="00000000">
                  <w:rPr>
                    <w:sz w:val="12"/>
                    <w:szCs w:val="12"/>
                    <w:rtl w:val="0"/>
                  </w:rPr>
                  <w:t xml:space="preserve">1,815,595</w:t>
                </w:r>
              </w:p>
            </w:tc>
            <w:tc>
              <w:tcPr>
                <w:tcBorders>
                  <w:top w:color="000000" w:space="0" w:sz="4" w:val="single"/>
                </w:tcBorders>
              </w:tcPr>
              <w:p w:rsidR="00000000" w:rsidDel="00000000" w:rsidP="00000000" w:rsidRDefault="00000000" w:rsidRPr="00000000" w14:paraId="000011E9">
                <w:pPr>
                  <w:spacing w:before="61" w:line="136" w:lineRule="auto"/>
                  <w:ind w:left="112" w:firstLine="0"/>
                  <w:rPr>
                    <w:sz w:val="12"/>
                    <w:szCs w:val="12"/>
                  </w:rPr>
                </w:pPr>
                <w:r w:rsidDel="00000000" w:rsidR="00000000" w:rsidRPr="00000000">
                  <w:rPr>
                    <w:sz w:val="12"/>
                    <w:szCs w:val="12"/>
                    <w:rtl w:val="0"/>
                  </w:rPr>
                  <w:t xml:space="preserve">1,483,605</w:t>
                </w:r>
              </w:p>
            </w:tc>
            <w:tc>
              <w:tcPr>
                <w:tcBorders>
                  <w:top w:color="000000" w:space="0" w:sz="4" w:val="single"/>
                </w:tcBorders>
              </w:tcPr>
              <w:p w:rsidR="00000000" w:rsidDel="00000000" w:rsidP="00000000" w:rsidRDefault="00000000" w:rsidRPr="00000000" w14:paraId="000011EA">
                <w:pPr>
                  <w:spacing w:before="61" w:line="136" w:lineRule="auto"/>
                  <w:ind w:left="158" w:firstLine="0"/>
                  <w:rPr>
                    <w:sz w:val="12"/>
                    <w:szCs w:val="12"/>
                  </w:rPr>
                </w:pPr>
                <w:r w:rsidDel="00000000" w:rsidR="00000000" w:rsidRPr="00000000">
                  <w:rPr>
                    <w:sz w:val="12"/>
                    <w:szCs w:val="12"/>
                    <w:rtl w:val="0"/>
                  </w:rPr>
                  <w:t xml:space="preserve">331,990</w:t>
                </w:r>
              </w:p>
            </w:tc>
          </w:tr>
          <w:tr>
            <w:trPr>
              <w:cantSplit w:val="0"/>
              <w:trHeight w:val="171" w:hRule="atLeast"/>
              <w:tblHeader w:val="0"/>
            </w:trPr>
            <w:tc>
              <w:tcPr/>
              <w:p w:rsidR="00000000" w:rsidDel="00000000" w:rsidP="00000000" w:rsidRDefault="00000000" w:rsidRPr="00000000" w14:paraId="000011EB">
                <w:pPr>
                  <w:spacing w:before="15" w:line="136" w:lineRule="auto"/>
                  <w:ind w:left="119" w:firstLine="0"/>
                  <w:rPr>
                    <w:sz w:val="12"/>
                    <w:szCs w:val="12"/>
                  </w:rPr>
                </w:pPr>
                <w:r w:rsidDel="00000000" w:rsidR="00000000" w:rsidRPr="00000000">
                  <w:rPr>
                    <w:sz w:val="12"/>
                    <w:szCs w:val="12"/>
                    <w:rtl w:val="0"/>
                  </w:rPr>
                  <w:t xml:space="preserve">Death only</w:t>
                </w:r>
              </w:p>
            </w:tc>
            <w:tc>
              <w:tcPr/>
              <w:p w:rsidR="00000000" w:rsidDel="00000000" w:rsidP="00000000" w:rsidRDefault="00000000" w:rsidRPr="00000000" w14:paraId="000011EC">
                <w:pPr>
                  <w:spacing w:before="15" w:line="136" w:lineRule="auto"/>
                  <w:ind w:left="114" w:firstLine="0"/>
                  <w:rPr>
                    <w:sz w:val="12"/>
                    <w:szCs w:val="12"/>
                  </w:rPr>
                </w:pPr>
                <w:r w:rsidDel="00000000" w:rsidR="00000000" w:rsidRPr="00000000">
                  <w:rPr>
                    <w:sz w:val="12"/>
                    <w:szCs w:val="12"/>
                    <w:rtl w:val="0"/>
                  </w:rPr>
                  <w:t xml:space="preserve">42,820</w:t>
                </w:r>
              </w:p>
            </w:tc>
            <w:tc>
              <w:tcPr/>
              <w:p w:rsidR="00000000" w:rsidDel="00000000" w:rsidP="00000000" w:rsidRDefault="00000000" w:rsidRPr="00000000" w14:paraId="000011ED">
                <w:pPr>
                  <w:spacing w:before="15" w:line="136" w:lineRule="auto"/>
                  <w:ind w:left="112" w:firstLine="0"/>
                  <w:rPr>
                    <w:sz w:val="12"/>
                    <w:szCs w:val="12"/>
                  </w:rPr>
                </w:pPr>
                <w:r w:rsidDel="00000000" w:rsidR="00000000" w:rsidRPr="00000000">
                  <w:rPr>
                    <w:sz w:val="12"/>
                    <w:szCs w:val="12"/>
                    <w:rtl w:val="0"/>
                  </w:rPr>
                  <w:t xml:space="preserve">35,590 (2.4%)</w:t>
                </w:r>
              </w:p>
            </w:tc>
            <w:tc>
              <w:tcPr/>
              <w:p w:rsidR="00000000" w:rsidDel="00000000" w:rsidP="00000000" w:rsidRDefault="00000000" w:rsidRPr="00000000" w14:paraId="000011EE">
                <w:pPr>
                  <w:spacing w:before="15" w:line="136" w:lineRule="auto"/>
                  <w:ind w:left="158" w:firstLine="0"/>
                  <w:rPr>
                    <w:sz w:val="12"/>
                    <w:szCs w:val="12"/>
                  </w:rPr>
                </w:pPr>
                <w:r w:rsidDel="00000000" w:rsidR="00000000" w:rsidRPr="00000000">
                  <w:rPr>
                    <w:sz w:val="12"/>
                    <w:szCs w:val="12"/>
                    <w:rtl w:val="0"/>
                  </w:rPr>
                  <w:t xml:space="preserve">7230</w:t>
                </w:r>
              </w:p>
            </w:tc>
          </w:tr>
          <w:tr>
            <w:trPr>
              <w:cantSplit w:val="0"/>
              <w:trHeight w:val="171" w:hRule="atLeast"/>
              <w:tblHeader w:val="0"/>
            </w:trPr>
            <w:tc>
              <w:tcPr/>
              <w:p w:rsidR="00000000" w:rsidDel="00000000" w:rsidP="00000000" w:rsidRDefault="00000000" w:rsidRPr="00000000" w14:paraId="000011EF">
                <w:pPr>
                  <w:rPr>
                    <w:sz w:val="10"/>
                    <w:szCs w:val="10"/>
                  </w:rPr>
                </w:pPr>
                <w:r w:rsidDel="00000000" w:rsidR="00000000" w:rsidRPr="00000000">
                  <w:rPr>
                    <w:rtl w:val="0"/>
                  </w:rPr>
                </w:r>
              </w:p>
            </w:tc>
            <w:tc>
              <w:tcPr/>
              <w:p w:rsidR="00000000" w:rsidDel="00000000" w:rsidP="00000000" w:rsidRDefault="00000000" w:rsidRPr="00000000" w14:paraId="000011F0">
                <w:pPr>
                  <w:spacing w:before="15" w:line="136" w:lineRule="auto"/>
                  <w:ind w:left="114" w:firstLine="0"/>
                  <w:rPr>
                    <w:sz w:val="12"/>
                    <w:szCs w:val="12"/>
                  </w:rPr>
                </w:pPr>
                <w:r w:rsidDel="00000000" w:rsidR="00000000" w:rsidRPr="00000000">
                  <w:rPr>
                    <w:sz w:val="12"/>
                    <w:szCs w:val="12"/>
                    <w:rtl w:val="0"/>
                  </w:rPr>
                  <w:t xml:space="preserve">(2.4%)</w:t>
                </w:r>
              </w:p>
            </w:tc>
            <w:tc>
              <w:tcPr/>
              <w:p w:rsidR="00000000" w:rsidDel="00000000" w:rsidP="00000000" w:rsidRDefault="00000000" w:rsidRPr="00000000" w14:paraId="000011F1">
                <w:pPr>
                  <w:rPr>
                    <w:sz w:val="10"/>
                    <w:szCs w:val="10"/>
                  </w:rPr>
                </w:pPr>
                <w:r w:rsidDel="00000000" w:rsidR="00000000" w:rsidRPr="00000000">
                  <w:rPr>
                    <w:rtl w:val="0"/>
                  </w:rPr>
                </w:r>
              </w:p>
            </w:tc>
            <w:tc>
              <w:tcPr/>
              <w:p w:rsidR="00000000" w:rsidDel="00000000" w:rsidP="00000000" w:rsidRDefault="00000000" w:rsidRPr="00000000" w14:paraId="000011F2">
                <w:pPr>
                  <w:spacing w:before="15" w:line="136" w:lineRule="auto"/>
                  <w:ind w:left="158" w:firstLine="0"/>
                  <w:rPr>
                    <w:sz w:val="12"/>
                    <w:szCs w:val="12"/>
                  </w:rPr>
                </w:pPr>
                <w:r w:rsidDel="00000000" w:rsidR="00000000" w:rsidRPr="00000000">
                  <w:rPr>
                    <w:sz w:val="12"/>
                    <w:szCs w:val="12"/>
                    <w:rtl w:val="0"/>
                  </w:rPr>
                  <w:t xml:space="preserve">(2.2%)</w:t>
                </w:r>
              </w:p>
            </w:tc>
          </w:tr>
          <w:tr>
            <w:trPr>
              <w:cantSplit w:val="0"/>
              <w:trHeight w:val="171" w:hRule="atLeast"/>
              <w:tblHeader w:val="0"/>
            </w:trPr>
            <w:tc>
              <w:tcPr/>
              <w:p w:rsidR="00000000" w:rsidDel="00000000" w:rsidP="00000000" w:rsidRDefault="00000000" w:rsidRPr="00000000" w14:paraId="000011F3">
                <w:pPr>
                  <w:spacing w:before="15" w:line="136" w:lineRule="auto"/>
                  <w:ind w:left="119" w:firstLine="0"/>
                  <w:rPr>
                    <w:sz w:val="12"/>
                    <w:szCs w:val="12"/>
                  </w:rPr>
                </w:pPr>
                <w:r w:rsidDel="00000000" w:rsidR="00000000" w:rsidRPr="00000000">
                  <w:rPr>
                    <w:sz w:val="12"/>
                    <w:szCs w:val="12"/>
                    <w:rtl w:val="0"/>
                  </w:rPr>
                  <w:t xml:space="preserve">Major bleeding only</w:t>
                </w:r>
              </w:p>
            </w:tc>
            <w:tc>
              <w:tcPr/>
              <w:p w:rsidR="00000000" w:rsidDel="00000000" w:rsidP="00000000" w:rsidRDefault="00000000" w:rsidRPr="00000000" w14:paraId="000011F4">
                <w:pPr>
                  <w:spacing w:before="15" w:line="136" w:lineRule="auto"/>
                  <w:ind w:left="114" w:firstLine="0"/>
                  <w:rPr>
                    <w:sz w:val="12"/>
                    <w:szCs w:val="12"/>
                  </w:rPr>
                </w:pPr>
                <w:r w:rsidDel="00000000" w:rsidR="00000000" w:rsidRPr="00000000">
                  <w:rPr>
                    <w:sz w:val="12"/>
                    <w:szCs w:val="12"/>
                    <w:rtl w:val="0"/>
                  </w:rPr>
                  <w:t xml:space="preserve">27,900</w:t>
                </w:r>
              </w:p>
            </w:tc>
            <w:tc>
              <w:tcPr/>
              <w:p w:rsidR="00000000" w:rsidDel="00000000" w:rsidP="00000000" w:rsidRDefault="00000000" w:rsidRPr="00000000" w14:paraId="000011F5">
                <w:pPr>
                  <w:spacing w:before="15" w:line="136" w:lineRule="auto"/>
                  <w:ind w:left="112" w:firstLine="0"/>
                  <w:rPr>
                    <w:sz w:val="12"/>
                    <w:szCs w:val="12"/>
                  </w:rPr>
                </w:pPr>
                <w:r w:rsidDel="00000000" w:rsidR="00000000" w:rsidRPr="00000000">
                  <w:rPr>
                    <w:sz w:val="12"/>
                    <w:szCs w:val="12"/>
                    <w:rtl w:val="0"/>
                  </w:rPr>
                  <w:t xml:space="preserve">22,260 (1.5%)</w:t>
                </w:r>
              </w:p>
            </w:tc>
            <w:tc>
              <w:tcPr/>
              <w:p w:rsidR="00000000" w:rsidDel="00000000" w:rsidP="00000000" w:rsidRDefault="00000000" w:rsidRPr="00000000" w14:paraId="000011F6">
                <w:pPr>
                  <w:spacing w:before="15" w:line="136" w:lineRule="auto"/>
                  <w:ind w:left="158" w:firstLine="0"/>
                  <w:rPr>
                    <w:sz w:val="12"/>
                    <w:szCs w:val="12"/>
                  </w:rPr>
                </w:pPr>
                <w:r w:rsidDel="00000000" w:rsidR="00000000" w:rsidRPr="00000000">
                  <w:rPr>
                    <w:sz w:val="12"/>
                    <w:szCs w:val="12"/>
                    <w:rtl w:val="0"/>
                  </w:rPr>
                  <w:t xml:space="preserve">5640</w:t>
                </w:r>
              </w:p>
            </w:tc>
          </w:tr>
          <w:tr>
            <w:trPr>
              <w:cantSplit w:val="0"/>
              <w:trHeight w:val="171" w:hRule="atLeast"/>
              <w:tblHeader w:val="0"/>
            </w:trPr>
            <w:tc>
              <w:tcPr/>
              <w:p w:rsidR="00000000" w:rsidDel="00000000" w:rsidP="00000000" w:rsidRDefault="00000000" w:rsidRPr="00000000" w14:paraId="000011F7">
                <w:pPr>
                  <w:rPr>
                    <w:sz w:val="10"/>
                    <w:szCs w:val="10"/>
                  </w:rPr>
                </w:pPr>
                <w:r w:rsidDel="00000000" w:rsidR="00000000" w:rsidRPr="00000000">
                  <w:rPr>
                    <w:rtl w:val="0"/>
                  </w:rPr>
                </w:r>
              </w:p>
            </w:tc>
            <w:tc>
              <w:tcPr/>
              <w:p w:rsidR="00000000" w:rsidDel="00000000" w:rsidP="00000000" w:rsidRDefault="00000000" w:rsidRPr="00000000" w14:paraId="000011F8">
                <w:pPr>
                  <w:spacing w:before="15" w:line="137" w:lineRule="auto"/>
                  <w:ind w:left="114" w:firstLine="0"/>
                  <w:rPr>
                    <w:sz w:val="12"/>
                    <w:szCs w:val="12"/>
                  </w:rPr>
                </w:pPr>
                <w:r w:rsidDel="00000000" w:rsidR="00000000" w:rsidRPr="00000000">
                  <w:rPr>
                    <w:sz w:val="12"/>
                    <w:szCs w:val="12"/>
                    <w:rtl w:val="0"/>
                  </w:rPr>
                  <w:t xml:space="preserve">(1.5%)</w:t>
                </w:r>
              </w:p>
            </w:tc>
            <w:tc>
              <w:tcPr/>
              <w:p w:rsidR="00000000" w:rsidDel="00000000" w:rsidP="00000000" w:rsidRDefault="00000000" w:rsidRPr="00000000" w14:paraId="000011F9">
                <w:pPr>
                  <w:rPr>
                    <w:sz w:val="10"/>
                    <w:szCs w:val="10"/>
                  </w:rPr>
                </w:pPr>
                <w:r w:rsidDel="00000000" w:rsidR="00000000" w:rsidRPr="00000000">
                  <w:rPr>
                    <w:rtl w:val="0"/>
                  </w:rPr>
                </w:r>
              </w:p>
            </w:tc>
            <w:tc>
              <w:tcPr/>
              <w:p w:rsidR="00000000" w:rsidDel="00000000" w:rsidP="00000000" w:rsidRDefault="00000000" w:rsidRPr="00000000" w14:paraId="000011FA">
                <w:pPr>
                  <w:spacing w:before="15" w:line="137" w:lineRule="auto"/>
                  <w:ind w:left="158" w:firstLine="0"/>
                  <w:rPr>
                    <w:sz w:val="12"/>
                    <w:szCs w:val="12"/>
                  </w:rPr>
                </w:pPr>
                <w:r w:rsidDel="00000000" w:rsidR="00000000" w:rsidRPr="00000000">
                  <w:rPr>
                    <w:sz w:val="12"/>
                    <w:szCs w:val="12"/>
                    <w:rtl w:val="0"/>
                  </w:rPr>
                  <w:t xml:space="preserve">(1.7%)</w:t>
                </w:r>
              </w:p>
            </w:tc>
          </w:tr>
          <w:tr>
            <w:trPr>
              <w:cantSplit w:val="0"/>
              <w:trHeight w:val="171" w:hRule="atLeast"/>
              <w:tblHeader w:val="0"/>
            </w:trPr>
            <w:tc>
              <w:tcPr/>
              <w:p w:rsidR="00000000" w:rsidDel="00000000" w:rsidP="00000000" w:rsidRDefault="00000000" w:rsidRPr="00000000" w14:paraId="000011FB">
                <w:pPr>
                  <w:spacing w:before="15" w:line="136" w:lineRule="auto"/>
                  <w:ind w:left="119" w:firstLine="0"/>
                  <w:rPr>
                    <w:sz w:val="12"/>
                    <w:szCs w:val="12"/>
                  </w:rPr>
                </w:pPr>
                <w:r w:rsidDel="00000000" w:rsidR="00000000" w:rsidRPr="00000000">
                  <w:rPr>
                    <w:sz w:val="12"/>
                    <w:szCs w:val="12"/>
                    <w:rtl w:val="0"/>
                  </w:rPr>
                  <w:t xml:space="preserve">Ischemic CVE only</w:t>
                </w:r>
              </w:p>
            </w:tc>
            <w:tc>
              <w:tcPr/>
              <w:p w:rsidR="00000000" w:rsidDel="00000000" w:rsidP="00000000" w:rsidRDefault="00000000" w:rsidRPr="00000000" w14:paraId="000011FC">
                <w:pPr>
                  <w:spacing w:before="15" w:line="136" w:lineRule="auto"/>
                  <w:ind w:left="114" w:firstLine="0"/>
                  <w:rPr>
                    <w:sz w:val="12"/>
                    <w:szCs w:val="12"/>
                  </w:rPr>
                </w:pPr>
                <w:r w:rsidDel="00000000" w:rsidR="00000000" w:rsidRPr="00000000">
                  <w:rPr>
                    <w:sz w:val="12"/>
                    <w:szCs w:val="12"/>
                    <w:rtl w:val="0"/>
                  </w:rPr>
                  <w:t xml:space="preserve">17,390</w:t>
                </w:r>
              </w:p>
            </w:tc>
            <w:tc>
              <w:tcPr/>
              <w:p w:rsidR="00000000" w:rsidDel="00000000" w:rsidP="00000000" w:rsidRDefault="00000000" w:rsidRPr="00000000" w14:paraId="000011FD">
                <w:pPr>
                  <w:spacing w:before="15" w:line="136" w:lineRule="auto"/>
                  <w:ind w:left="112" w:firstLine="0"/>
                  <w:rPr>
                    <w:sz w:val="12"/>
                    <w:szCs w:val="12"/>
                  </w:rPr>
                </w:pPr>
                <w:r w:rsidDel="00000000" w:rsidR="00000000" w:rsidRPr="00000000">
                  <w:rPr>
                    <w:sz w:val="12"/>
                    <w:szCs w:val="12"/>
                    <w:rtl w:val="0"/>
                  </w:rPr>
                  <w:t xml:space="preserve">14,145 (1.0%)</w:t>
                </w:r>
              </w:p>
            </w:tc>
            <w:tc>
              <w:tcPr/>
              <w:p w:rsidR="00000000" w:rsidDel="00000000" w:rsidP="00000000" w:rsidRDefault="00000000" w:rsidRPr="00000000" w14:paraId="000011FE">
                <w:pPr>
                  <w:spacing w:before="15" w:line="136" w:lineRule="auto"/>
                  <w:ind w:left="158" w:firstLine="0"/>
                  <w:rPr>
                    <w:sz w:val="12"/>
                    <w:szCs w:val="12"/>
                  </w:rPr>
                </w:pPr>
                <w:r w:rsidDel="00000000" w:rsidR="00000000" w:rsidRPr="00000000">
                  <w:rPr>
                    <w:sz w:val="12"/>
                    <w:szCs w:val="12"/>
                    <w:rtl w:val="0"/>
                  </w:rPr>
                  <w:t xml:space="preserve">3245</w:t>
                </w:r>
              </w:p>
            </w:tc>
          </w:tr>
          <w:tr>
            <w:trPr>
              <w:cantSplit w:val="0"/>
              <w:trHeight w:val="171" w:hRule="atLeast"/>
              <w:tblHeader w:val="0"/>
            </w:trPr>
            <w:tc>
              <w:tcPr/>
              <w:p w:rsidR="00000000" w:rsidDel="00000000" w:rsidP="00000000" w:rsidRDefault="00000000" w:rsidRPr="00000000" w14:paraId="000011FF">
                <w:pPr>
                  <w:rPr>
                    <w:sz w:val="10"/>
                    <w:szCs w:val="10"/>
                  </w:rPr>
                </w:pPr>
                <w:r w:rsidDel="00000000" w:rsidR="00000000" w:rsidRPr="00000000">
                  <w:rPr>
                    <w:rtl w:val="0"/>
                  </w:rPr>
                </w:r>
              </w:p>
            </w:tc>
            <w:tc>
              <w:tcPr/>
              <w:p w:rsidR="00000000" w:rsidDel="00000000" w:rsidP="00000000" w:rsidRDefault="00000000" w:rsidRPr="00000000" w14:paraId="00001200">
                <w:pPr>
                  <w:spacing w:before="15" w:line="136" w:lineRule="auto"/>
                  <w:ind w:left="114" w:firstLine="0"/>
                  <w:rPr>
                    <w:sz w:val="12"/>
                    <w:szCs w:val="12"/>
                  </w:rPr>
                </w:pPr>
                <w:r w:rsidDel="00000000" w:rsidR="00000000" w:rsidRPr="00000000">
                  <w:rPr>
                    <w:sz w:val="12"/>
                    <w:szCs w:val="12"/>
                    <w:rtl w:val="0"/>
                  </w:rPr>
                  <w:t xml:space="preserve">(1.0%)</w:t>
                </w:r>
              </w:p>
            </w:tc>
            <w:tc>
              <w:tcPr/>
              <w:p w:rsidR="00000000" w:rsidDel="00000000" w:rsidP="00000000" w:rsidRDefault="00000000" w:rsidRPr="00000000" w14:paraId="00001201">
                <w:pPr>
                  <w:rPr>
                    <w:sz w:val="10"/>
                    <w:szCs w:val="10"/>
                  </w:rPr>
                </w:pPr>
                <w:r w:rsidDel="00000000" w:rsidR="00000000" w:rsidRPr="00000000">
                  <w:rPr>
                    <w:rtl w:val="0"/>
                  </w:rPr>
                </w:r>
              </w:p>
            </w:tc>
            <w:tc>
              <w:tcPr/>
              <w:p w:rsidR="00000000" w:rsidDel="00000000" w:rsidP="00000000" w:rsidRDefault="00000000" w:rsidRPr="00000000" w14:paraId="00001202">
                <w:pPr>
                  <w:spacing w:before="15" w:line="136" w:lineRule="auto"/>
                  <w:ind w:left="158" w:firstLine="0"/>
                  <w:rPr>
                    <w:sz w:val="12"/>
                    <w:szCs w:val="12"/>
                  </w:rPr>
                </w:pPr>
                <w:r w:rsidDel="00000000" w:rsidR="00000000" w:rsidRPr="00000000">
                  <w:rPr>
                    <w:sz w:val="12"/>
                    <w:szCs w:val="12"/>
                    <w:rtl w:val="0"/>
                  </w:rPr>
                  <w:t xml:space="preserve">(1.0%)</w:t>
                </w:r>
              </w:p>
            </w:tc>
          </w:tr>
          <w:tr>
            <w:trPr>
              <w:cantSplit w:val="0"/>
              <w:trHeight w:val="171" w:hRule="atLeast"/>
              <w:tblHeader w:val="0"/>
            </w:trPr>
            <w:tc>
              <w:tcPr/>
              <w:p w:rsidR="00000000" w:rsidDel="00000000" w:rsidP="00000000" w:rsidRDefault="00000000" w:rsidRPr="00000000" w14:paraId="00001203">
                <w:pPr>
                  <w:spacing w:before="15" w:line="136" w:lineRule="auto"/>
                  <w:ind w:left="119" w:firstLine="0"/>
                  <w:rPr>
                    <w:sz w:val="12"/>
                    <w:szCs w:val="12"/>
                  </w:rPr>
                </w:pPr>
                <w:r w:rsidDel="00000000" w:rsidR="00000000" w:rsidRPr="00000000">
                  <w:rPr>
                    <w:sz w:val="12"/>
                    <w:szCs w:val="12"/>
                    <w:rtl w:val="0"/>
                  </w:rPr>
                  <w:t xml:space="preserve">Major bleeding and death</w:t>
                </w:r>
              </w:p>
            </w:tc>
            <w:tc>
              <w:tcPr/>
              <w:p w:rsidR="00000000" w:rsidDel="00000000" w:rsidP="00000000" w:rsidRDefault="00000000" w:rsidRPr="00000000" w14:paraId="00001204">
                <w:pPr>
                  <w:spacing w:before="15" w:line="136" w:lineRule="auto"/>
                  <w:ind w:left="114" w:firstLine="0"/>
                  <w:rPr>
                    <w:sz w:val="12"/>
                    <w:szCs w:val="12"/>
                  </w:rPr>
                </w:pPr>
                <w:r w:rsidDel="00000000" w:rsidR="00000000" w:rsidRPr="00000000">
                  <w:rPr>
                    <w:sz w:val="12"/>
                    <w:szCs w:val="12"/>
                    <w:rtl w:val="0"/>
                  </w:rPr>
                  <w:t xml:space="preserve">5780 (0.3%)</w:t>
                </w:r>
              </w:p>
            </w:tc>
            <w:tc>
              <w:tcPr/>
              <w:p w:rsidR="00000000" w:rsidDel="00000000" w:rsidP="00000000" w:rsidRDefault="00000000" w:rsidRPr="00000000" w14:paraId="00001205">
                <w:pPr>
                  <w:spacing w:before="15" w:line="136" w:lineRule="auto"/>
                  <w:ind w:left="112" w:firstLine="0"/>
                  <w:rPr>
                    <w:sz w:val="12"/>
                    <w:szCs w:val="12"/>
                  </w:rPr>
                </w:pPr>
                <w:r w:rsidDel="00000000" w:rsidR="00000000" w:rsidRPr="00000000">
                  <w:rPr>
                    <w:sz w:val="12"/>
                    <w:szCs w:val="12"/>
                    <w:rtl w:val="0"/>
                  </w:rPr>
                  <w:t xml:space="preserve">4575 (0.3%)</w:t>
                </w:r>
              </w:p>
            </w:tc>
            <w:tc>
              <w:tcPr/>
              <w:p w:rsidR="00000000" w:rsidDel="00000000" w:rsidP="00000000" w:rsidRDefault="00000000" w:rsidRPr="00000000" w14:paraId="00001206">
                <w:pPr>
                  <w:spacing w:before="15" w:line="136" w:lineRule="auto"/>
                  <w:ind w:left="158" w:firstLine="0"/>
                  <w:rPr>
                    <w:sz w:val="12"/>
                    <w:szCs w:val="12"/>
                  </w:rPr>
                </w:pPr>
                <w:r w:rsidDel="00000000" w:rsidR="00000000" w:rsidRPr="00000000">
                  <w:rPr>
                    <w:sz w:val="12"/>
                    <w:szCs w:val="12"/>
                    <w:rtl w:val="0"/>
                  </w:rPr>
                  <w:t xml:space="preserve">1205</w:t>
                </w:r>
              </w:p>
            </w:tc>
          </w:tr>
          <w:tr>
            <w:trPr>
              <w:cantSplit w:val="0"/>
              <w:trHeight w:val="171" w:hRule="atLeast"/>
              <w:tblHeader w:val="0"/>
            </w:trPr>
            <w:tc>
              <w:tcPr/>
              <w:p w:rsidR="00000000" w:rsidDel="00000000" w:rsidP="00000000" w:rsidRDefault="00000000" w:rsidRPr="00000000" w14:paraId="00001207">
                <w:pPr>
                  <w:rPr>
                    <w:sz w:val="10"/>
                    <w:szCs w:val="10"/>
                  </w:rPr>
                </w:pPr>
                <w:r w:rsidDel="00000000" w:rsidR="00000000" w:rsidRPr="00000000">
                  <w:rPr>
                    <w:rtl w:val="0"/>
                  </w:rPr>
                </w:r>
              </w:p>
            </w:tc>
            <w:tc>
              <w:tcPr/>
              <w:p w:rsidR="00000000" w:rsidDel="00000000" w:rsidP="00000000" w:rsidRDefault="00000000" w:rsidRPr="00000000" w14:paraId="00001208">
                <w:pPr>
                  <w:rPr>
                    <w:sz w:val="10"/>
                    <w:szCs w:val="10"/>
                  </w:rPr>
                </w:pPr>
                <w:r w:rsidDel="00000000" w:rsidR="00000000" w:rsidRPr="00000000">
                  <w:rPr>
                    <w:rtl w:val="0"/>
                  </w:rPr>
                </w:r>
              </w:p>
            </w:tc>
            <w:tc>
              <w:tcPr/>
              <w:p w:rsidR="00000000" w:rsidDel="00000000" w:rsidP="00000000" w:rsidRDefault="00000000" w:rsidRPr="00000000" w14:paraId="00001209">
                <w:pPr>
                  <w:rPr>
                    <w:sz w:val="10"/>
                    <w:szCs w:val="10"/>
                  </w:rPr>
                </w:pPr>
                <w:r w:rsidDel="00000000" w:rsidR="00000000" w:rsidRPr="00000000">
                  <w:rPr>
                    <w:rtl w:val="0"/>
                  </w:rPr>
                </w:r>
              </w:p>
            </w:tc>
            <w:tc>
              <w:tcPr/>
              <w:p w:rsidR="00000000" w:rsidDel="00000000" w:rsidP="00000000" w:rsidRDefault="00000000" w:rsidRPr="00000000" w14:paraId="0000120A">
                <w:pPr>
                  <w:spacing w:before="15" w:line="136" w:lineRule="auto"/>
                  <w:ind w:left="158" w:firstLine="0"/>
                  <w:rPr>
                    <w:sz w:val="12"/>
                    <w:szCs w:val="12"/>
                  </w:rPr>
                </w:pPr>
                <w:r w:rsidDel="00000000" w:rsidR="00000000" w:rsidRPr="00000000">
                  <w:rPr>
                    <w:sz w:val="12"/>
                    <w:szCs w:val="12"/>
                    <w:rtl w:val="0"/>
                  </w:rPr>
                  <w:t xml:space="preserve">(0.4%)</w:t>
                </w:r>
              </w:p>
            </w:tc>
          </w:tr>
          <w:tr>
            <w:trPr>
              <w:cantSplit w:val="0"/>
              <w:trHeight w:val="171" w:hRule="atLeast"/>
              <w:tblHeader w:val="0"/>
            </w:trPr>
            <w:tc>
              <w:tcPr/>
              <w:p w:rsidR="00000000" w:rsidDel="00000000" w:rsidP="00000000" w:rsidRDefault="00000000" w:rsidRPr="00000000" w14:paraId="0000120B">
                <w:pPr>
                  <w:spacing w:before="15" w:line="136" w:lineRule="auto"/>
                  <w:ind w:left="119" w:firstLine="0"/>
                  <w:rPr>
                    <w:sz w:val="12"/>
                    <w:szCs w:val="12"/>
                  </w:rPr>
                </w:pPr>
                <w:r w:rsidDel="00000000" w:rsidR="00000000" w:rsidRPr="00000000">
                  <w:rPr>
                    <w:sz w:val="12"/>
                    <w:szCs w:val="12"/>
                    <w:rtl w:val="0"/>
                  </w:rPr>
                  <w:t xml:space="preserve">Ischemic CVE and death</w:t>
                </w:r>
              </w:p>
            </w:tc>
            <w:tc>
              <w:tcPr/>
              <w:p w:rsidR="00000000" w:rsidDel="00000000" w:rsidP="00000000" w:rsidRDefault="00000000" w:rsidRPr="00000000" w14:paraId="0000120C">
                <w:pPr>
                  <w:spacing w:before="15" w:line="136" w:lineRule="auto"/>
                  <w:ind w:left="114" w:firstLine="0"/>
                  <w:rPr>
                    <w:sz w:val="12"/>
                    <w:szCs w:val="12"/>
                  </w:rPr>
                </w:pPr>
                <w:r w:rsidDel="00000000" w:rsidR="00000000" w:rsidRPr="00000000">
                  <w:rPr>
                    <w:sz w:val="12"/>
                    <w:szCs w:val="12"/>
                    <w:rtl w:val="0"/>
                  </w:rPr>
                  <w:t xml:space="preserve">2020 (0.1%)</w:t>
                </w:r>
              </w:p>
            </w:tc>
            <w:tc>
              <w:tcPr/>
              <w:p w:rsidR="00000000" w:rsidDel="00000000" w:rsidP="00000000" w:rsidRDefault="00000000" w:rsidRPr="00000000" w14:paraId="0000120D">
                <w:pPr>
                  <w:spacing w:before="15" w:line="136" w:lineRule="auto"/>
                  <w:ind w:left="112" w:firstLine="0"/>
                  <w:rPr>
                    <w:sz w:val="12"/>
                    <w:szCs w:val="12"/>
                  </w:rPr>
                </w:pPr>
                <w:r w:rsidDel="00000000" w:rsidR="00000000" w:rsidRPr="00000000">
                  <w:rPr>
                    <w:sz w:val="12"/>
                    <w:szCs w:val="12"/>
                    <w:rtl w:val="0"/>
                  </w:rPr>
                  <w:t xml:space="preserve">1590 (0.1%)</w:t>
                </w:r>
              </w:p>
            </w:tc>
            <w:tc>
              <w:tcPr/>
              <w:p w:rsidR="00000000" w:rsidDel="00000000" w:rsidP="00000000" w:rsidRDefault="00000000" w:rsidRPr="00000000" w14:paraId="0000120E">
                <w:pPr>
                  <w:spacing w:before="15" w:line="136" w:lineRule="auto"/>
                  <w:ind w:left="158" w:firstLine="0"/>
                  <w:rPr>
                    <w:sz w:val="12"/>
                    <w:szCs w:val="12"/>
                  </w:rPr>
                </w:pPr>
                <w:r w:rsidDel="00000000" w:rsidR="00000000" w:rsidRPr="00000000">
                  <w:rPr>
                    <w:sz w:val="12"/>
                    <w:szCs w:val="12"/>
                    <w:rtl w:val="0"/>
                  </w:rPr>
                  <w:t xml:space="preserve">430 (0.1%)</w:t>
                </w:r>
              </w:p>
            </w:tc>
          </w:tr>
          <w:tr>
            <w:trPr>
              <w:cantSplit w:val="0"/>
              <w:trHeight w:val="172" w:hRule="atLeast"/>
              <w:tblHeader w:val="0"/>
            </w:trPr>
            <w:tc>
              <w:tcPr/>
              <w:p w:rsidR="00000000" w:rsidDel="00000000" w:rsidP="00000000" w:rsidRDefault="00000000" w:rsidRPr="00000000" w14:paraId="0000120F">
                <w:pPr>
                  <w:spacing w:before="15" w:line="137" w:lineRule="auto"/>
                  <w:ind w:left="119" w:firstLine="0"/>
                  <w:rPr>
                    <w:sz w:val="12"/>
                    <w:szCs w:val="12"/>
                  </w:rPr>
                </w:pPr>
                <w:r w:rsidDel="00000000" w:rsidR="00000000" w:rsidRPr="00000000">
                  <w:rPr>
                    <w:sz w:val="12"/>
                    <w:szCs w:val="12"/>
                    <w:rtl w:val="0"/>
                  </w:rPr>
                  <w:t xml:space="preserve">Major bleeding and</w:t>
                </w:r>
              </w:p>
            </w:tc>
            <w:tc>
              <w:tcPr/>
              <w:p w:rsidR="00000000" w:rsidDel="00000000" w:rsidP="00000000" w:rsidRDefault="00000000" w:rsidRPr="00000000" w14:paraId="00001210">
                <w:pPr>
                  <w:spacing w:before="15" w:line="137" w:lineRule="auto"/>
                  <w:ind w:left="114" w:firstLine="0"/>
                  <w:rPr>
                    <w:sz w:val="12"/>
                    <w:szCs w:val="12"/>
                  </w:rPr>
                </w:pPr>
                <w:r w:rsidDel="00000000" w:rsidR="00000000" w:rsidRPr="00000000">
                  <w:rPr>
                    <w:sz w:val="12"/>
                    <w:szCs w:val="12"/>
                    <w:rtl w:val="0"/>
                  </w:rPr>
                  <w:t xml:space="preserve">1500</w:t>
                </w:r>
              </w:p>
            </w:tc>
            <w:tc>
              <w:tcPr/>
              <w:p w:rsidR="00000000" w:rsidDel="00000000" w:rsidP="00000000" w:rsidRDefault="00000000" w:rsidRPr="00000000" w14:paraId="00001211">
                <w:pPr>
                  <w:spacing w:line="152" w:lineRule="auto"/>
                  <w:ind w:left="112" w:firstLine="0"/>
                  <w:rPr>
                    <w:sz w:val="12"/>
                    <w:szCs w:val="12"/>
                  </w:rPr>
                </w:pPr>
                <w:r w:rsidDel="00000000" w:rsidR="00000000" w:rsidRPr="00000000">
                  <w:rPr>
                    <w:sz w:val="12"/>
                    <w:szCs w:val="12"/>
                    <w:rtl w:val="0"/>
                  </w:rPr>
                  <w:t xml:space="preserve">1175 (</w:t>
                </w:r>
                <w:r w:rsidDel="00000000" w:rsidR="00000000" w:rsidRPr="00000000">
                  <w:rPr>
                    <w:rFonts w:ascii="Lucida Sans" w:cs="Lucida Sans" w:eastAsia="Lucida Sans" w:hAnsi="Lucida Sans"/>
                    <w:sz w:val="12"/>
                    <w:szCs w:val="12"/>
                    <w:rtl w:val="0"/>
                  </w:rPr>
                  <w:t xml:space="preserve">&lt;</w:t>
                </w:r>
                <w:r w:rsidDel="00000000" w:rsidR="00000000" w:rsidRPr="00000000">
                  <w:rPr>
                    <w:sz w:val="12"/>
                    <w:szCs w:val="12"/>
                    <w:rtl w:val="0"/>
                  </w:rPr>
                  <w:t xml:space="preserve">0.1%)</w:t>
                </w:r>
              </w:p>
            </w:tc>
            <w:tc>
              <w:tcPr/>
              <w:p w:rsidR="00000000" w:rsidDel="00000000" w:rsidP="00000000" w:rsidRDefault="00000000" w:rsidRPr="00000000" w14:paraId="00001212">
                <w:pPr>
                  <w:spacing w:before="15" w:line="137" w:lineRule="auto"/>
                  <w:ind w:left="158" w:firstLine="0"/>
                  <w:rPr>
                    <w:sz w:val="12"/>
                    <w:szCs w:val="12"/>
                  </w:rPr>
                </w:pPr>
                <w:r w:rsidDel="00000000" w:rsidR="00000000" w:rsidRPr="00000000">
                  <w:rPr>
                    <w:sz w:val="12"/>
                    <w:szCs w:val="12"/>
                    <w:rtl w:val="0"/>
                  </w:rPr>
                  <w:t xml:space="preserve">325</w:t>
                </w:r>
              </w:p>
            </w:tc>
          </w:tr>
          <w:tr>
            <w:trPr>
              <w:cantSplit w:val="0"/>
              <w:trHeight w:val="171" w:hRule="atLeast"/>
              <w:tblHeader w:val="0"/>
            </w:trPr>
            <w:tc>
              <w:tcPr/>
              <w:p w:rsidR="00000000" w:rsidDel="00000000" w:rsidP="00000000" w:rsidRDefault="00000000" w:rsidRPr="00000000" w14:paraId="00001213">
                <w:pPr>
                  <w:spacing w:before="14" w:line="137" w:lineRule="auto"/>
                  <w:ind w:left="238" w:firstLine="0"/>
                  <w:rPr>
                    <w:sz w:val="12"/>
                    <w:szCs w:val="12"/>
                  </w:rPr>
                </w:pPr>
                <w:r w:rsidDel="00000000" w:rsidR="00000000" w:rsidRPr="00000000">
                  <w:rPr>
                    <w:sz w:val="12"/>
                    <w:szCs w:val="12"/>
                    <w:rtl w:val="0"/>
                  </w:rPr>
                  <w:t xml:space="preserve">ischemic CVE</w:t>
                </w:r>
              </w:p>
            </w:tc>
            <w:tc>
              <w:tcPr/>
              <w:p w:rsidR="00000000" w:rsidDel="00000000" w:rsidP="00000000" w:rsidRDefault="00000000" w:rsidRPr="00000000" w14:paraId="00001214">
                <w:pPr>
                  <w:spacing w:line="151" w:lineRule="auto"/>
                  <w:ind w:left="114" w:firstLine="0"/>
                  <w:rPr>
                    <w:sz w:val="12"/>
                    <w:szCs w:val="12"/>
                  </w:rPr>
                </w:pPr>
                <w:r w:rsidDel="00000000" w:rsidR="00000000" w:rsidRPr="00000000">
                  <w:rPr>
                    <w:sz w:val="12"/>
                    <w:szCs w:val="12"/>
                    <w:rtl w:val="0"/>
                  </w:rPr>
                  <w:t xml:space="preserve">(</w:t>
                </w:r>
                <w:r w:rsidDel="00000000" w:rsidR="00000000" w:rsidRPr="00000000">
                  <w:rPr>
                    <w:rFonts w:ascii="Lucida Sans" w:cs="Lucida Sans" w:eastAsia="Lucida Sans" w:hAnsi="Lucida Sans"/>
                    <w:sz w:val="12"/>
                    <w:szCs w:val="12"/>
                    <w:rtl w:val="0"/>
                  </w:rPr>
                  <w:t xml:space="preserve">&lt;</w:t>
                </w:r>
                <w:r w:rsidDel="00000000" w:rsidR="00000000" w:rsidRPr="00000000">
                  <w:rPr>
                    <w:sz w:val="12"/>
                    <w:szCs w:val="12"/>
                    <w:rtl w:val="0"/>
                  </w:rPr>
                  <w:t xml:space="preserve">0.1%)</w:t>
                </w:r>
              </w:p>
            </w:tc>
            <w:tc>
              <w:tcPr/>
              <w:p w:rsidR="00000000" w:rsidDel="00000000" w:rsidP="00000000" w:rsidRDefault="00000000" w:rsidRPr="00000000" w14:paraId="00001215">
                <w:pPr>
                  <w:rPr>
                    <w:sz w:val="10"/>
                    <w:szCs w:val="10"/>
                  </w:rPr>
                </w:pPr>
                <w:r w:rsidDel="00000000" w:rsidR="00000000" w:rsidRPr="00000000">
                  <w:rPr>
                    <w:rtl w:val="0"/>
                  </w:rPr>
                </w:r>
              </w:p>
            </w:tc>
            <w:tc>
              <w:tcPr/>
              <w:p w:rsidR="00000000" w:rsidDel="00000000" w:rsidP="00000000" w:rsidRDefault="00000000" w:rsidRPr="00000000" w14:paraId="00001216">
                <w:pPr>
                  <w:spacing w:line="151" w:lineRule="auto"/>
                  <w:ind w:left="158" w:firstLine="0"/>
                  <w:rPr>
                    <w:sz w:val="12"/>
                    <w:szCs w:val="12"/>
                  </w:rPr>
                </w:pPr>
                <w:r w:rsidDel="00000000" w:rsidR="00000000" w:rsidRPr="00000000">
                  <w:rPr>
                    <w:sz w:val="12"/>
                    <w:szCs w:val="12"/>
                    <w:rtl w:val="0"/>
                  </w:rPr>
                  <w:t xml:space="preserve">(</w:t>
                </w:r>
                <w:r w:rsidDel="00000000" w:rsidR="00000000" w:rsidRPr="00000000">
                  <w:rPr>
                    <w:rFonts w:ascii="Lucida Sans" w:cs="Lucida Sans" w:eastAsia="Lucida Sans" w:hAnsi="Lucida Sans"/>
                    <w:sz w:val="12"/>
                    <w:szCs w:val="12"/>
                    <w:rtl w:val="0"/>
                  </w:rPr>
                  <w:t xml:space="preserve">&lt;</w:t>
                </w:r>
                <w:r w:rsidDel="00000000" w:rsidR="00000000" w:rsidRPr="00000000">
                  <w:rPr>
                    <w:sz w:val="12"/>
                    <w:szCs w:val="12"/>
                    <w:rtl w:val="0"/>
                  </w:rPr>
                  <w:t xml:space="preserve">0.1%)</w:t>
                </w:r>
              </w:p>
            </w:tc>
          </w:tr>
          <w:tr>
            <w:trPr>
              <w:cantSplit w:val="0"/>
              <w:trHeight w:val="171" w:hRule="atLeast"/>
              <w:tblHeader w:val="0"/>
            </w:trPr>
            <w:tc>
              <w:tcPr/>
              <w:p w:rsidR="00000000" w:rsidDel="00000000" w:rsidP="00000000" w:rsidRDefault="00000000" w:rsidRPr="00000000" w14:paraId="00001217">
                <w:pPr>
                  <w:spacing w:before="14" w:line="138" w:lineRule="auto"/>
                  <w:ind w:left="119" w:firstLine="0"/>
                  <w:rPr>
                    <w:sz w:val="12"/>
                    <w:szCs w:val="12"/>
                  </w:rPr>
                </w:pPr>
                <w:r w:rsidDel="00000000" w:rsidR="00000000" w:rsidRPr="00000000">
                  <w:rPr>
                    <w:sz w:val="12"/>
                    <w:szCs w:val="12"/>
                    <w:rtl w:val="0"/>
                  </w:rPr>
                  <w:t xml:space="preserve">All three outcomes</w:t>
                </w:r>
              </w:p>
            </w:tc>
            <w:tc>
              <w:tcPr/>
              <w:p w:rsidR="00000000" w:rsidDel="00000000" w:rsidP="00000000" w:rsidRDefault="00000000" w:rsidRPr="00000000" w14:paraId="00001218">
                <w:pPr>
                  <w:spacing w:line="152" w:lineRule="auto"/>
                  <w:ind w:left="114" w:firstLine="0"/>
                  <w:rPr>
                    <w:sz w:val="12"/>
                    <w:szCs w:val="12"/>
                  </w:rPr>
                </w:pPr>
                <w:r w:rsidDel="00000000" w:rsidR="00000000" w:rsidRPr="00000000">
                  <w:rPr>
                    <w:sz w:val="12"/>
                    <w:szCs w:val="12"/>
                    <w:rtl w:val="0"/>
                  </w:rPr>
                  <w:t xml:space="preserve">770 (</w:t>
                </w:r>
                <w:r w:rsidDel="00000000" w:rsidR="00000000" w:rsidRPr="00000000">
                  <w:rPr>
                    <w:rFonts w:ascii="Lucida Sans" w:cs="Lucida Sans" w:eastAsia="Lucida Sans" w:hAnsi="Lucida Sans"/>
                    <w:sz w:val="12"/>
                    <w:szCs w:val="12"/>
                    <w:rtl w:val="0"/>
                  </w:rPr>
                  <w:t xml:space="preserve">&lt;</w:t>
                </w:r>
                <w:r w:rsidDel="00000000" w:rsidR="00000000" w:rsidRPr="00000000">
                  <w:rPr>
                    <w:sz w:val="12"/>
                    <w:szCs w:val="12"/>
                    <w:rtl w:val="0"/>
                  </w:rPr>
                  <w:t xml:space="preserve">0.1%)</w:t>
                </w:r>
              </w:p>
            </w:tc>
            <w:tc>
              <w:tcPr/>
              <w:p w:rsidR="00000000" w:rsidDel="00000000" w:rsidP="00000000" w:rsidRDefault="00000000" w:rsidRPr="00000000" w14:paraId="00001219">
                <w:pPr>
                  <w:spacing w:line="152" w:lineRule="auto"/>
                  <w:ind w:left="112" w:firstLine="0"/>
                  <w:rPr>
                    <w:sz w:val="12"/>
                    <w:szCs w:val="12"/>
                  </w:rPr>
                </w:pPr>
                <w:r w:rsidDel="00000000" w:rsidR="00000000" w:rsidRPr="00000000">
                  <w:rPr>
                    <w:sz w:val="12"/>
                    <w:szCs w:val="12"/>
                    <w:rtl w:val="0"/>
                  </w:rPr>
                  <w:t xml:space="preserve">590 (</w:t>
                </w:r>
                <w:r w:rsidDel="00000000" w:rsidR="00000000" w:rsidRPr="00000000">
                  <w:rPr>
                    <w:rFonts w:ascii="Lucida Sans" w:cs="Lucida Sans" w:eastAsia="Lucida Sans" w:hAnsi="Lucida Sans"/>
                    <w:sz w:val="12"/>
                    <w:szCs w:val="12"/>
                    <w:rtl w:val="0"/>
                  </w:rPr>
                  <w:t xml:space="preserve">&lt;</w:t>
                </w:r>
                <w:r w:rsidDel="00000000" w:rsidR="00000000" w:rsidRPr="00000000">
                  <w:rPr>
                    <w:sz w:val="12"/>
                    <w:szCs w:val="12"/>
                    <w:rtl w:val="0"/>
                  </w:rPr>
                  <w:t xml:space="preserve">0.1%)</w:t>
                </w:r>
              </w:p>
            </w:tc>
            <w:tc>
              <w:tcPr/>
              <w:p w:rsidR="00000000" w:rsidDel="00000000" w:rsidP="00000000" w:rsidRDefault="00000000" w:rsidRPr="00000000" w14:paraId="0000121A">
                <w:pPr>
                  <w:spacing w:before="14" w:line="138" w:lineRule="auto"/>
                  <w:ind w:left="158" w:firstLine="0"/>
                  <w:rPr>
                    <w:sz w:val="12"/>
                    <w:szCs w:val="12"/>
                  </w:rPr>
                </w:pPr>
                <w:r w:rsidDel="00000000" w:rsidR="00000000" w:rsidRPr="00000000">
                  <w:rPr>
                    <w:sz w:val="12"/>
                    <w:szCs w:val="12"/>
                    <w:rtl w:val="0"/>
                  </w:rPr>
                  <w:t xml:space="preserve">180</w:t>
                </w:r>
              </w:p>
            </w:tc>
          </w:tr>
          <w:tr>
            <w:trPr>
              <w:cantSplit w:val="0"/>
              <w:trHeight w:val="171" w:hRule="atLeast"/>
              <w:tblHeader w:val="0"/>
            </w:trPr>
            <w:tc>
              <w:tcPr/>
              <w:p w:rsidR="00000000" w:rsidDel="00000000" w:rsidP="00000000" w:rsidRDefault="00000000" w:rsidRPr="00000000" w14:paraId="0000121B">
                <w:pPr>
                  <w:rPr>
                    <w:sz w:val="10"/>
                    <w:szCs w:val="10"/>
                  </w:rPr>
                </w:pPr>
                <w:r w:rsidDel="00000000" w:rsidR="00000000" w:rsidRPr="00000000">
                  <w:rPr>
                    <w:rtl w:val="0"/>
                  </w:rPr>
                </w:r>
              </w:p>
            </w:tc>
            <w:tc>
              <w:tcPr/>
              <w:p w:rsidR="00000000" w:rsidDel="00000000" w:rsidP="00000000" w:rsidRDefault="00000000" w:rsidRPr="00000000" w14:paraId="0000121C">
                <w:pPr>
                  <w:rPr>
                    <w:sz w:val="10"/>
                    <w:szCs w:val="10"/>
                  </w:rPr>
                </w:pPr>
                <w:r w:rsidDel="00000000" w:rsidR="00000000" w:rsidRPr="00000000">
                  <w:rPr>
                    <w:rtl w:val="0"/>
                  </w:rPr>
                </w:r>
              </w:p>
            </w:tc>
            <w:tc>
              <w:tcPr/>
              <w:p w:rsidR="00000000" w:rsidDel="00000000" w:rsidP="00000000" w:rsidRDefault="00000000" w:rsidRPr="00000000" w14:paraId="0000121D">
                <w:pPr>
                  <w:rPr>
                    <w:sz w:val="10"/>
                    <w:szCs w:val="10"/>
                  </w:rPr>
                </w:pPr>
                <w:r w:rsidDel="00000000" w:rsidR="00000000" w:rsidRPr="00000000">
                  <w:rPr>
                    <w:rtl w:val="0"/>
                  </w:rPr>
                </w:r>
              </w:p>
            </w:tc>
            <w:tc>
              <w:tcPr/>
              <w:p w:rsidR="00000000" w:rsidDel="00000000" w:rsidP="00000000" w:rsidRDefault="00000000" w:rsidRPr="00000000" w14:paraId="0000121E">
                <w:pPr>
                  <w:spacing w:line="152" w:lineRule="auto"/>
                  <w:ind w:left="158" w:firstLine="0"/>
                  <w:rPr>
                    <w:sz w:val="12"/>
                    <w:szCs w:val="12"/>
                  </w:rPr>
                </w:pPr>
                <w:r w:rsidDel="00000000" w:rsidR="00000000" w:rsidRPr="00000000">
                  <w:rPr>
                    <w:sz w:val="12"/>
                    <w:szCs w:val="12"/>
                    <w:rtl w:val="0"/>
                  </w:rPr>
                  <w:t xml:space="preserve">(</w:t>
                </w:r>
                <w:r w:rsidDel="00000000" w:rsidR="00000000" w:rsidRPr="00000000">
                  <w:rPr>
                    <w:rFonts w:ascii="Lucida Sans" w:cs="Lucida Sans" w:eastAsia="Lucida Sans" w:hAnsi="Lucida Sans"/>
                    <w:sz w:val="12"/>
                    <w:szCs w:val="12"/>
                    <w:rtl w:val="0"/>
                  </w:rPr>
                  <w:t xml:space="preserve">&lt;</w:t>
                </w:r>
                <w:r w:rsidDel="00000000" w:rsidR="00000000" w:rsidRPr="00000000">
                  <w:rPr>
                    <w:sz w:val="12"/>
                    <w:szCs w:val="12"/>
                    <w:rtl w:val="0"/>
                  </w:rPr>
                  <w:t xml:space="preserve">0.1%)</w:t>
                </w:r>
              </w:p>
            </w:tc>
          </w:tr>
          <w:tr>
            <w:trPr>
              <w:cantSplit w:val="0"/>
              <w:trHeight w:val="205" w:hRule="atLeast"/>
              <w:tblHeader w:val="0"/>
            </w:trPr>
            <w:tc>
              <w:tcPr>
                <w:tcBorders>
                  <w:bottom w:color="000000" w:space="0" w:sz="4" w:val="single"/>
                </w:tcBorders>
              </w:tcPr>
              <w:p w:rsidR="00000000" w:rsidDel="00000000" w:rsidP="00000000" w:rsidRDefault="00000000" w:rsidRPr="00000000" w14:paraId="0000121F">
                <w:pPr>
                  <w:spacing w:before="14" w:lineRule="auto"/>
                  <w:ind w:left="119" w:firstLine="0"/>
                  <w:rPr>
                    <w:sz w:val="12"/>
                    <w:szCs w:val="12"/>
                  </w:rPr>
                </w:pPr>
                <w:r w:rsidDel="00000000" w:rsidR="00000000" w:rsidRPr="00000000">
                  <w:rPr>
                    <w:sz w:val="12"/>
                    <w:szCs w:val="12"/>
                    <w:rtl w:val="0"/>
                  </w:rPr>
                  <w:t xml:space="preserve">Total</w:t>
                </w:r>
              </w:p>
            </w:tc>
            <w:tc>
              <w:tcPr>
                <w:tcBorders>
                  <w:bottom w:color="000000" w:space="0" w:sz="4" w:val="single"/>
                </w:tcBorders>
              </w:tcPr>
              <w:p w:rsidR="00000000" w:rsidDel="00000000" w:rsidP="00000000" w:rsidRDefault="00000000" w:rsidRPr="00000000" w14:paraId="00001220">
                <w:pPr>
                  <w:spacing w:before="14" w:lineRule="auto"/>
                  <w:ind w:left="114" w:firstLine="0"/>
                  <w:rPr>
                    <w:sz w:val="12"/>
                    <w:szCs w:val="12"/>
                  </w:rPr>
                </w:pPr>
                <w:r w:rsidDel="00000000" w:rsidR="00000000" w:rsidRPr="00000000">
                  <w:rPr>
                    <w:sz w:val="12"/>
                    <w:szCs w:val="12"/>
                    <w:rtl w:val="0"/>
                  </w:rPr>
                  <w:t xml:space="preserve">98,180</w:t>
                </w:r>
              </w:p>
            </w:tc>
            <w:tc>
              <w:tcPr>
                <w:tcBorders>
                  <w:bottom w:color="000000" w:space="0" w:sz="4" w:val="single"/>
                </w:tcBorders>
              </w:tcPr>
              <w:p w:rsidR="00000000" w:rsidDel="00000000" w:rsidP="00000000" w:rsidRDefault="00000000" w:rsidRPr="00000000" w14:paraId="00001221">
                <w:pPr>
                  <w:spacing w:before="14" w:lineRule="auto"/>
                  <w:ind w:left="112" w:firstLine="0"/>
                  <w:rPr>
                    <w:sz w:val="12"/>
                    <w:szCs w:val="12"/>
                  </w:rPr>
                </w:pPr>
                <w:r w:rsidDel="00000000" w:rsidR="00000000" w:rsidRPr="00000000">
                  <w:rPr>
                    <w:sz w:val="12"/>
                    <w:szCs w:val="12"/>
                    <w:rtl w:val="0"/>
                  </w:rPr>
                  <w:t xml:space="preserve">79,925</w:t>
                </w:r>
              </w:p>
            </w:tc>
            <w:tc>
              <w:tcPr>
                <w:tcBorders>
                  <w:bottom w:color="000000" w:space="0" w:sz="4" w:val="single"/>
                </w:tcBorders>
              </w:tcPr>
              <w:p w:rsidR="00000000" w:rsidDel="00000000" w:rsidP="00000000" w:rsidRDefault="00000000" w:rsidRPr="00000000" w14:paraId="00001222">
                <w:pPr>
                  <w:spacing w:before="14" w:lineRule="auto"/>
                  <w:ind w:left="158" w:firstLine="0"/>
                  <w:rPr>
                    <w:sz w:val="12"/>
                    <w:szCs w:val="12"/>
                  </w:rPr>
                </w:pPr>
                <w:r w:rsidDel="00000000" w:rsidR="00000000" w:rsidRPr="00000000">
                  <w:rPr>
                    <w:sz w:val="12"/>
                    <w:szCs w:val="12"/>
                    <w:rtl w:val="0"/>
                  </w:rPr>
                  <w:t xml:space="preserve">18,255</w:t>
                </w:r>
              </w:p>
            </w:tc>
          </w:tr>
        </w:tbl>
      </w:sdtContent>
    </w:sdt>
    <w:p w:rsidR="00000000" w:rsidDel="00000000" w:rsidP="00000000" w:rsidRDefault="00000000" w:rsidRPr="00000000" w14:paraId="00001223">
      <w:pPr>
        <w:spacing w:before="31" w:lineRule="auto"/>
        <w:ind w:left="131" w:firstLine="0"/>
        <w:rPr>
          <w:sz w:val="14"/>
          <w:szCs w:val="14"/>
        </w:rPr>
      </w:pPr>
      <w:r w:rsidDel="00000000" w:rsidR="00000000" w:rsidRPr="00000000">
        <w:rPr>
          <w:sz w:val="14"/>
          <w:szCs w:val="14"/>
          <w:rtl w:val="0"/>
        </w:rPr>
        <w:t xml:space="preserve">Abbreviations: CVE, cerebro-vascular events.</w:t>
      </w:r>
    </w:p>
    <w:p w:rsidR="00000000" w:rsidDel="00000000" w:rsidP="00000000" w:rsidRDefault="00000000" w:rsidRPr="00000000" w14:paraId="00001224">
      <w:pPr>
        <w:spacing w:before="31" w:lineRule="auto"/>
        <w:ind w:left="131" w:firstLine="0"/>
        <w:rPr>
          <w:b w:val="1"/>
          <w:sz w:val="14"/>
          <w:szCs w:val="14"/>
        </w:rPr>
      </w:pPr>
      <w:r w:rsidDel="00000000" w:rsidR="00000000" w:rsidRPr="00000000">
        <w:rPr>
          <w:rtl w:val="0"/>
        </w:rPr>
      </w:r>
    </w:p>
    <w:p w:rsidR="00000000" w:rsidDel="00000000" w:rsidP="00000000" w:rsidRDefault="00000000" w:rsidRPr="00000000" w14:paraId="00001225">
      <w:pPr>
        <w:spacing w:line="273" w:lineRule="auto"/>
        <w:ind w:left="131" w:right="38" w:firstLine="0"/>
        <w:jc w:val="both"/>
        <w:rPr>
          <w:sz w:val="16"/>
          <w:szCs w:val="16"/>
        </w:rPr>
      </w:pPr>
      <w:r w:rsidDel="00000000" w:rsidR="00000000" w:rsidRPr="00000000">
        <w:rPr>
          <w:sz w:val="16"/>
          <w:szCs w:val="16"/>
          <w:rtl w:val="0"/>
        </w:rPr>
        <w:t xml:space="preserve">classifier demonstrated an optimal AUC of 0.86 (95% CI 0.85–0.87) which is significantly higher than the performance of many current risk-stratification tools. [</w:t>
      </w:r>
      <w:hyperlink w:anchor="_heading=h.2uh6nw4">
        <w:r w:rsidDel="00000000" w:rsidR="00000000" w:rsidRPr="00000000">
          <w:rPr>
            <w:color w:val="2196d1"/>
            <w:sz w:val="16"/>
            <w:szCs w:val="16"/>
            <w:rtl w:val="0"/>
          </w:rPr>
          <w:t xml:space="preserve">35–37</w:t>
        </w:r>
      </w:hyperlink>
      <w:r w:rsidDel="00000000" w:rsidR="00000000" w:rsidRPr="00000000">
        <w:rPr>
          <w:sz w:val="16"/>
          <w:szCs w:val="16"/>
          <w:rtl w:val="0"/>
        </w:rPr>
        <w:t xml:space="preserve">]</w:t>
      </w:r>
    </w:p>
    <w:p w:rsidR="00000000" w:rsidDel="00000000" w:rsidP="00000000" w:rsidRDefault="00000000" w:rsidRPr="00000000" w14:paraId="00001226">
      <w:pPr>
        <w:spacing w:before="31" w:lineRule="auto"/>
        <w:ind w:left="131" w:firstLine="0"/>
        <w:jc w:val="both"/>
        <w:rPr>
          <w:sz w:val="16"/>
          <w:szCs w:val="16"/>
        </w:rPr>
      </w:pPr>
      <w:r w:rsidDel="00000000" w:rsidR="00000000" w:rsidRPr="00000000">
        <w:rPr>
          <w:sz w:val="16"/>
          <w:szCs w:val="16"/>
          <w:rtl w:val="0"/>
        </w:rPr>
        <w:t xml:space="preserve">The current risk scores for in-hospital events aimed to predict only bleeding or ischemic events after PCI. Both the CRUSADE (Can Rapid risk stratification of Unstable angina patients Suppress ADverse outcomes with Early implementation of the ACC/AHA guidelines) and ACTION (the Acute Coronary Treatment and Intervention Outcomes Network Registry-Get With the Guidelines) bleeding score were derived on non-contemporary cohorts of selective MI patients, incorporated a limited set of risk factors and only few comorbidities, demonstrated moderate discrimination (c-statistics of 0.70–0.73). [</w:t>
      </w:r>
      <w:hyperlink w:anchor="_heading=h.2uh6nw4">
        <w:r w:rsidDel="00000000" w:rsidR="00000000" w:rsidRPr="00000000">
          <w:rPr>
            <w:color w:val="2196d1"/>
            <w:sz w:val="16"/>
            <w:szCs w:val="16"/>
            <w:rtl w:val="0"/>
          </w:rPr>
          <w:t xml:space="preserve">35</w:t>
        </w:r>
      </w:hyperlink>
      <w:r w:rsidDel="00000000" w:rsidR="00000000" w:rsidRPr="00000000">
        <w:rPr>
          <w:sz w:val="16"/>
          <w:szCs w:val="16"/>
          <w:rtl w:val="0"/>
        </w:rPr>
        <w:t xml:space="preserve">,</w:t>
      </w:r>
      <w:hyperlink w:anchor="_heading=h.19mgy3x">
        <w:r w:rsidDel="00000000" w:rsidR="00000000" w:rsidRPr="00000000">
          <w:rPr>
            <w:color w:val="2196d1"/>
            <w:sz w:val="16"/>
            <w:szCs w:val="16"/>
            <w:rtl w:val="0"/>
          </w:rPr>
          <w:t xml:space="preserve">36</w:t>
        </w:r>
      </w:hyperlink>
      <w:r w:rsidDel="00000000" w:rsidR="00000000" w:rsidRPr="00000000">
        <w:rPr>
          <w:sz w:val="16"/>
          <w:szCs w:val="16"/>
          <w:rtl w:val="0"/>
        </w:rPr>
        <w:t xml:space="preserve">] The recent studies revealed their poor performance on modern PCI cohorts (with c-statistic from 0.61 to 0.77). [</w:t>
      </w:r>
      <w:hyperlink w:anchor="_heading=h.28reqzj">
        <w:r w:rsidDel="00000000" w:rsidR="00000000" w:rsidRPr="00000000">
          <w:rPr>
            <w:color w:val="2196d1"/>
            <w:sz w:val="16"/>
            <w:szCs w:val="16"/>
            <w:rtl w:val="0"/>
          </w:rPr>
          <w:t xml:space="preserve">38–40</w:t>
        </w:r>
      </w:hyperlink>
      <w:r w:rsidDel="00000000" w:rsidR="00000000" w:rsidRPr="00000000">
        <w:rPr>
          <w:sz w:val="16"/>
          <w:szCs w:val="16"/>
          <w:rtl w:val="0"/>
        </w:rPr>
        <w:t xml:space="preserve">] While being developed on data from all-comer PCI patients enrolled from 2008 to 2011 with exclusion of non-index admissions, the National Cardiovascular Data CathPCI registry score included a broader spectrum of comorbidities but still demonstrated moderate discrimination value (c-statistics of 0.77–0.78). [</w:t>
      </w:r>
      <w:hyperlink w:anchor="_heading=h.35xuupr">
        <w:r w:rsidDel="00000000" w:rsidR="00000000" w:rsidRPr="00000000">
          <w:rPr>
            <w:color w:val="2196d1"/>
            <w:sz w:val="16"/>
            <w:szCs w:val="16"/>
            <w:rtl w:val="0"/>
          </w:rPr>
          <w:t xml:space="preserve">5</w:t>
        </w:r>
      </w:hyperlink>
      <w:r w:rsidDel="00000000" w:rsidR="00000000" w:rsidRPr="00000000">
        <w:rPr>
          <w:sz w:val="16"/>
          <w:szCs w:val="16"/>
          <w:rtl w:val="0"/>
        </w:rPr>
        <w:t xml:space="preserve">]</w:t>
      </w:r>
    </w:p>
    <w:p w:rsidR="00000000" w:rsidDel="00000000" w:rsidP="00000000" w:rsidRDefault="00000000" w:rsidRPr="00000000" w14:paraId="00001227">
      <w:pPr>
        <w:spacing w:before="31" w:line="276" w:lineRule="auto"/>
        <w:ind w:left="131" w:firstLine="0"/>
        <w:jc w:val="both"/>
        <w:rPr>
          <w:sz w:val="16"/>
          <w:szCs w:val="16"/>
        </w:rPr>
        <w:sectPr>
          <w:type w:val="continuous"/>
          <w:pgSz w:h="16840" w:w="11920" w:orient="portrait"/>
          <w:pgMar w:bottom="280" w:top="1060" w:left="620" w:right="640" w:header="655" w:footer="544"/>
          <w:cols w:equalWidth="0" w:num="1">
            <w:col w:space="0" w:w="10645.5"/>
          </w:cols>
        </w:sectPr>
      </w:pPr>
      <w:r w:rsidDel="00000000" w:rsidR="00000000" w:rsidRPr="00000000">
        <w:rPr>
          <w:sz w:val="16"/>
          <w:szCs w:val="16"/>
          <w:rtl w:val="0"/>
        </w:rPr>
        <w:t xml:space="preserve">While the Global Registry of Acute Coronary Events (GRACE) risk score showed high discrimination but poor calibration performance for in-hospital mortality, particularly for PCI patients, other current risk stratification tools performed significantly better in predicting death during hospital stay. [</w:t>
      </w:r>
      <w:hyperlink w:anchor="_heading=h.1l354xk">
        <w:r w:rsidDel="00000000" w:rsidR="00000000" w:rsidRPr="00000000">
          <w:rPr>
            <w:color w:val="2196d1"/>
            <w:sz w:val="16"/>
            <w:szCs w:val="16"/>
            <w:rtl w:val="0"/>
          </w:rPr>
          <w:t xml:space="preserve">6</w:t>
        </w:r>
      </w:hyperlink>
      <w:r w:rsidDel="00000000" w:rsidR="00000000" w:rsidRPr="00000000">
        <w:rPr>
          <w:sz w:val="16"/>
          <w:szCs w:val="16"/>
          <w:rtl w:val="0"/>
        </w:rPr>
        <w:t xml:space="preserve">,</w:t>
      </w:r>
      <w:hyperlink w:anchor="_heading=h.452snld">
        <w:r w:rsidDel="00000000" w:rsidR="00000000" w:rsidRPr="00000000">
          <w:rPr>
            <w:color w:val="2196d1"/>
            <w:sz w:val="16"/>
            <w:szCs w:val="16"/>
            <w:rtl w:val="0"/>
          </w:rPr>
          <w:t xml:space="preserve">7</w:t>
        </w:r>
      </w:hyperlink>
      <w:r w:rsidDel="00000000" w:rsidR="00000000" w:rsidRPr="00000000">
        <w:rPr>
          <w:sz w:val="16"/>
          <w:szCs w:val="16"/>
          <w:rtl w:val="0"/>
        </w:rPr>
        <w:t xml:space="preserve">,</w:t>
      </w:r>
      <w:hyperlink w:anchor="_heading=h.3tm4grq">
        <w:r w:rsidDel="00000000" w:rsidR="00000000" w:rsidRPr="00000000">
          <w:rPr>
            <w:color w:val="2196d1"/>
            <w:sz w:val="16"/>
            <w:szCs w:val="16"/>
            <w:rtl w:val="0"/>
          </w:rPr>
          <w:t xml:space="preserve">37</w:t>
        </w:r>
      </w:hyperlink>
      <w:r w:rsidDel="00000000" w:rsidR="00000000" w:rsidRPr="00000000">
        <w:rPr>
          <w:sz w:val="16"/>
          <w:szCs w:val="16"/>
          <w:rtl w:val="0"/>
        </w:rPr>
        <w:t xml:space="preserve">] In PCI patients, none of these techniques could predict both ischemic and bleeding in-hospital events. The Dual Antiplatelet Therapy (DAPT) score, on the other hand, assesses both thrombotic and hemorrhagic risk in a single patient, directing the duration of DAPT. [</w:t>
      </w:r>
      <w:hyperlink w:anchor="_heading=h.nwp17c">
        <w:r w:rsidDel="00000000" w:rsidR="00000000" w:rsidRPr="00000000">
          <w:rPr>
            <w:color w:val="2196d1"/>
            <w:sz w:val="16"/>
            <w:szCs w:val="16"/>
            <w:rtl w:val="0"/>
          </w:rPr>
          <w:t xml:space="preserve">41</w:t>
        </w:r>
      </w:hyperlink>
      <w:r w:rsidDel="00000000" w:rsidR="00000000" w:rsidRPr="00000000">
        <w:rPr>
          <w:sz w:val="16"/>
          <w:szCs w:val="16"/>
          <w:rtl w:val="0"/>
        </w:rPr>
        <w:t xml:space="preserve">] A physician, on the other hand, need simultaneous risk assessment for in-hospital events in order to choose an antiplatelet medication, decide on gastro-intestinal protection, or implement other bleeding reduction techniques. In this regard, our ML model is multi-task which means that it could predict all-cause mortality, ischemic and hemorrhagic events as a single output for a given patient. Our ML algorithm can assist a physician to tailor the type and strategy of antithrombotic treatment based on the estimated risk of death, ischemic stroke, major bleeding and their combination. In comparison to current models, our derived model can identify a specific group of individuals who are at high risk of all three outcomes described above. Overall, the created risk-stratification tool may aid clinical decision making in routine hospital settings by categorizing each individual patient into one of eight distinct groups: low-risk, high risk of death only, ischemic CVE only, and major bleeding only, a combination of death and ischemic CVE, death and major bleeding, ischemic CVE and</w:t>
      </w:r>
    </w:p>
    <w:p w:rsidR="00000000" w:rsidDel="00000000" w:rsidP="00000000" w:rsidRDefault="00000000" w:rsidRPr="00000000" w14:paraId="00001228">
      <w:pPr>
        <w:spacing w:before="31" w:line="276" w:lineRule="auto"/>
        <w:ind w:left="131" w:firstLine="0"/>
        <w:rPr>
          <w:sz w:val="16"/>
          <w:szCs w:val="16"/>
        </w:rPr>
      </w:pPr>
      <w:r w:rsidDel="00000000" w:rsidR="00000000" w:rsidRPr="00000000">
        <w:rPr>
          <w:rtl w:val="0"/>
        </w:rPr>
      </w:r>
    </w:p>
    <w:p w:rsidR="00000000" w:rsidDel="00000000" w:rsidP="00000000" w:rsidRDefault="00000000" w:rsidRPr="00000000" w14:paraId="00001229">
      <w:pPr>
        <w:spacing w:before="31" w:line="276" w:lineRule="auto"/>
        <w:ind w:left="131" w:firstLine="0"/>
        <w:rPr>
          <w:sz w:val="16"/>
          <w:szCs w:val="16"/>
        </w:rPr>
        <w:sectPr>
          <w:type w:val="continuous"/>
          <w:pgSz w:h="16840" w:w="11920" w:orient="portrait"/>
          <w:pgMar w:bottom="280" w:top="1060" w:left="620" w:right="640" w:header="655" w:footer="544"/>
          <w:cols w:equalWidth="0" w:num="2">
            <w:col w:space="720" w:w="4970"/>
            <w:col w:space="0" w:w="4970"/>
          </w:cols>
        </w:sectPr>
      </w:pPr>
      <w:r w:rsidDel="00000000" w:rsidR="00000000" w:rsidRPr="00000000">
        <w:rPr>
          <w:rtl w:val="0"/>
        </w:rPr>
      </w:r>
    </w:p>
    <w:p w:rsidR="00000000" w:rsidDel="00000000" w:rsidP="00000000" w:rsidRDefault="00000000" w:rsidRPr="00000000" w14:paraId="0000122A">
      <w:pPr>
        <w:ind w:left="212" w:firstLine="0"/>
        <w:rPr>
          <w:sz w:val="20"/>
          <w:szCs w:val="20"/>
        </w:rPr>
      </w:pPr>
      <w:r w:rsidDel="00000000" w:rsidR="00000000" w:rsidRPr="00000000">
        <w:rPr>
          <w:sz w:val="20"/>
          <w:szCs w:val="20"/>
        </w:rPr>
        <w:drawing>
          <wp:inline distB="0" distT="0" distL="0" distR="0">
            <wp:extent cx="6130925" cy="3968175"/>
            <wp:effectExtent b="0" l="0" r="0" t="0"/>
            <wp:docPr id="477" name="image34.jpg"/>
            <a:graphic>
              <a:graphicData uri="http://schemas.openxmlformats.org/drawingml/2006/picture">
                <pic:pic>
                  <pic:nvPicPr>
                    <pic:cNvPr id="0" name="image34.jpg"/>
                    <pic:cNvPicPr preferRelativeResize="0"/>
                  </pic:nvPicPr>
                  <pic:blipFill>
                    <a:blip r:embed="rId478"/>
                    <a:srcRect b="0" l="0" r="0" t="0"/>
                    <a:stretch>
                      <a:fillRect/>
                    </a:stretch>
                  </pic:blipFill>
                  <pic:spPr>
                    <a:xfrm>
                      <a:off x="0" y="0"/>
                      <a:ext cx="6130925" cy="3968175"/>
                    </a:xfrm>
                    <a:prstGeom prst="rect"/>
                    <a:ln/>
                  </pic:spPr>
                </pic:pic>
              </a:graphicData>
            </a:graphic>
          </wp:inline>
        </w:drawing>
      </w:r>
      <w:r w:rsidDel="00000000" w:rsidR="00000000" w:rsidRPr="00000000">
        <w:rPr>
          <w:rtl w:val="0"/>
        </w:rPr>
      </w:r>
    </w:p>
    <w:p w:rsidR="00000000" w:rsidDel="00000000" w:rsidP="00000000" w:rsidRDefault="00000000" w:rsidRPr="00000000" w14:paraId="0000122B">
      <w:pPr>
        <w:spacing w:before="9" w:lineRule="auto"/>
        <w:rPr>
          <w:sz w:val="14"/>
          <w:szCs w:val="14"/>
        </w:rPr>
      </w:pPr>
      <w:r w:rsidDel="00000000" w:rsidR="00000000" w:rsidRPr="00000000">
        <w:rPr>
          <w:rtl w:val="0"/>
        </w:rPr>
      </w:r>
    </w:p>
    <w:p w:rsidR="00000000" w:rsidDel="00000000" w:rsidP="00000000" w:rsidRDefault="00000000" w:rsidRPr="00000000" w14:paraId="0000122C">
      <w:pPr>
        <w:spacing w:before="31" w:lineRule="auto"/>
        <w:ind w:left="131" w:firstLine="0"/>
        <w:rPr>
          <w:b w:val="1"/>
          <w:sz w:val="14"/>
          <w:szCs w:val="14"/>
        </w:rPr>
        <w:sectPr>
          <w:type w:val="continuous"/>
          <w:pgSz w:h="16840" w:w="11920" w:orient="portrait"/>
          <w:pgMar w:bottom="280" w:top="1060" w:left="620" w:right="640" w:header="655" w:footer="544"/>
        </w:sectPr>
      </w:pPr>
      <w:r w:rsidDel="00000000" w:rsidR="00000000" w:rsidRPr="00000000">
        <w:rPr>
          <w:b w:val="1"/>
          <w:sz w:val="14"/>
          <w:szCs w:val="14"/>
          <w:rtl w:val="0"/>
        </w:rPr>
        <w:t xml:space="preserve">Fig. 2. </w:t>
      </w:r>
      <w:r w:rsidDel="00000000" w:rsidR="00000000" w:rsidRPr="00000000">
        <w:rPr>
          <w:sz w:val="14"/>
          <w:szCs w:val="14"/>
          <w:rtl w:val="0"/>
        </w:rPr>
        <w:t xml:space="preserve">The receiver operating characteristics for the best random forest model. AUC, an area under the curve; ROC, the receiver operating characteristics.</w:t>
      </w:r>
      <w:r w:rsidDel="00000000" w:rsidR="00000000" w:rsidRPr="00000000">
        <w:rPr>
          <w:rtl w:val="0"/>
        </w:rPr>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e8gvnb" w:id="164"/>
      <w:bookmarkEnd w:id="164"/>
      <w:r w:rsidDel="00000000" w:rsidR="00000000" w:rsidRPr="00000000">
        <w:rPr>
          <w:rtl w:val="0"/>
        </w:rPr>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491353" cy="4203192"/>
            <wp:effectExtent b="0" l="0" r="0" t="0"/>
            <wp:docPr id="478" name="image35.jpg"/>
            <a:graphic>
              <a:graphicData uri="http://schemas.openxmlformats.org/drawingml/2006/picture">
                <pic:pic>
                  <pic:nvPicPr>
                    <pic:cNvPr id="0" name="image35.jpg"/>
                    <pic:cNvPicPr preferRelativeResize="0"/>
                  </pic:nvPicPr>
                  <pic:blipFill>
                    <a:blip r:embed="rId479"/>
                    <a:srcRect b="0" l="0" r="0" t="0"/>
                    <a:stretch>
                      <a:fillRect/>
                    </a:stretch>
                  </pic:blipFill>
                  <pic:spPr>
                    <a:xfrm>
                      <a:off x="0" y="0"/>
                      <a:ext cx="6491353" cy="4203192"/>
                    </a:xfrm>
                    <a:prstGeom prst="rect"/>
                    <a:ln/>
                  </pic:spPr>
                </pic:pic>
              </a:graphicData>
            </a:graphic>
          </wp:inline>
        </w:drawing>
      </w:r>
      <w:r w:rsidDel="00000000" w:rsidR="00000000" w:rsidRPr="00000000">
        <w:rPr>
          <w:rtl w:val="0"/>
        </w:rPr>
      </w:r>
    </w:p>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230">
      <w:pPr>
        <w:spacing w:before="0" w:line="283" w:lineRule="auto"/>
        <w:ind w:left="131" w:right="0" w:firstLine="0"/>
        <w:jc w:val="left"/>
        <w:rPr>
          <w:sz w:val="14"/>
          <w:szCs w:val="14"/>
        </w:rPr>
      </w:pPr>
      <w:bookmarkStart w:colFirst="0" w:colLast="0" w:name="_heading=h.1tdr5v4" w:id="165"/>
      <w:bookmarkEnd w:id="165"/>
      <w:r w:rsidDel="00000000" w:rsidR="00000000" w:rsidRPr="00000000">
        <w:rPr>
          <w:b w:val="1"/>
          <w:sz w:val="14"/>
          <w:szCs w:val="14"/>
          <w:rtl w:val="0"/>
        </w:rPr>
        <w:t xml:space="preserve">Fig. 3. </w:t>
      </w:r>
      <w:r w:rsidDel="00000000" w:rsidR="00000000" w:rsidRPr="00000000">
        <w:rPr>
          <w:sz w:val="14"/>
          <w:szCs w:val="14"/>
          <w:rtl w:val="0"/>
        </w:rPr>
        <w:t xml:space="preserve">The receiver operating characteristics for the best XGboost model. AUC, an area under the curve; ROC, the receiver operating characteristics; XGBoost, extreme gradient boosting.</w:t>
      </w:r>
    </w:p>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922845</wp:posOffset>
            </wp:positionH>
            <wp:positionV relativeFrom="paragraph">
              <wp:posOffset>259223</wp:posOffset>
            </wp:positionV>
            <wp:extent cx="4919122" cy="2026920"/>
            <wp:effectExtent b="0" l="0" r="0" t="0"/>
            <wp:wrapTopAndBottom distB="0" distT="0"/>
            <wp:docPr id="481" name="image57.jpg"/>
            <a:graphic>
              <a:graphicData uri="http://schemas.openxmlformats.org/drawingml/2006/picture">
                <pic:pic>
                  <pic:nvPicPr>
                    <pic:cNvPr id="0" name="image57.jpg"/>
                    <pic:cNvPicPr preferRelativeResize="0"/>
                  </pic:nvPicPr>
                  <pic:blipFill>
                    <a:blip r:embed="rId480"/>
                    <a:srcRect b="0" l="0" r="0" t="0"/>
                    <a:stretch>
                      <a:fillRect/>
                    </a:stretch>
                  </pic:blipFill>
                  <pic:spPr>
                    <a:xfrm>
                      <a:off x="0" y="0"/>
                      <a:ext cx="4919122" cy="2026920"/>
                    </a:xfrm>
                    <a:prstGeom prst="rect"/>
                    <a:ln/>
                  </pic:spPr>
                </pic:pic>
              </a:graphicData>
            </a:graphic>
          </wp:anchor>
        </w:drawing>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233">
      <w:pPr>
        <w:spacing w:before="0" w:lineRule="auto"/>
        <w:ind w:left="374" w:right="0" w:firstLine="0"/>
        <w:jc w:val="left"/>
        <w:rPr>
          <w:sz w:val="14"/>
          <w:szCs w:val="14"/>
        </w:rPr>
        <w:sectPr>
          <w:type w:val="nextPage"/>
          <w:pgSz w:h="16840" w:w="11920" w:orient="portrait"/>
          <w:pgMar w:bottom="740" w:top="840" w:left="620" w:right="640" w:header="655" w:footer="544"/>
        </w:sectPr>
      </w:pPr>
      <w:bookmarkStart w:colFirst="0" w:colLast="0" w:name="_heading=h.4ddeoix" w:id="166"/>
      <w:bookmarkEnd w:id="166"/>
      <w:r w:rsidDel="00000000" w:rsidR="00000000" w:rsidRPr="00000000">
        <w:rPr>
          <w:b w:val="1"/>
          <w:sz w:val="14"/>
          <w:szCs w:val="14"/>
          <w:rtl w:val="0"/>
        </w:rPr>
        <w:t xml:space="preserve">Fig. 4. </w:t>
      </w:r>
      <w:r w:rsidDel="00000000" w:rsidR="00000000" w:rsidRPr="00000000">
        <w:rPr>
          <w:sz w:val="14"/>
          <w:szCs w:val="14"/>
          <w:rtl w:val="0"/>
        </w:rPr>
        <w:t xml:space="preserve">The calibration curve for the best XGboost model. A, for the uncalibrated model; B, for the calibrated model. XGBoost, extreme gradient boosting.</w:t>
      </w:r>
    </w:p>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major bleeding, and all three outcomes. We believe that the integration of our model to routine EHRs will not meet significant difficulties and demonstrated this by building a web-based application that needs only baseline patient data and ICD10 codes to provide predictions for in-hospital events.</w:t>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Based on standard regression techniques, current point-based scores could incorporate only a limited set of classical variables thus leaving out other potential predictors. [</w:t>
      </w:r>
      <w:hyperlink w:anchor="_heading=h.2k82xt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 recent large meta-analysis demonstrated that prediction tools from Electronic Health Record systems utilize on average 27 variables in a model excluding the vast majority of available information. [</w:t>
      </w:r>
      <w:hyperlink w:anchor="_heading=h.37wcjv5">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In this regard, ML algorithms are</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able to handle all potential features taking into account their complex interrelationship. [</w:t>
      </w:r>
      <w:hyperlink w:anchor="_heading=h.1yib0wl">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Moreover, ML does not require any assumption for linearity, normality, and data distribution of input data. [</w:t>
      </w:r>
      <w:hyperlink w:anchor="_heading=h.1yib0wl">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12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Handling these limitations of standard scores, our ML approach provides a better alternative to the current solutions. Of note, the majority of standard prediction scores were developed in randomized controlled trials or observational studies with rigorous exclusion criteria making it difficult to apply in real-world populations. [</w:t>
      </w:r>
      <w:hyperlink w:anchor="_heading=h.2k82xt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In our study, we developed the ML models in an unselected cohort of PCI patients with few exclusion criteria, thus facilitating its wider clinical application in routine practice.</w:t>
      </w:r>
    </w:p>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Whilst our machine learning algorithm may be difficult to apply at the bedside by an individual physician given that the risk score requires complex computational algorithms and contains 101 features, we believe that it may be better placed for use by hospital administrators to benchmark individual operators or centers. Our high-dimensional ML model, which was built on one of the largest electronic healthcare da- tabases in the United States, could be incorporated in a hospital computing system, providing everyday digital assistance to a physician during clinical decision making and also to hospital administrators for benchmarking. The integration of our derived model in the current electronic-health record systems can facilitate automation of risk stratification processes and to help guide antithrombotic regimes, where the type and duration of antiplatelet agents depends on the perceived balance between ischemic and bleeding risk. Furthermore, it allows administrators to benchmarker PCI services offered by the hospital for a number of patient relevant clinically meaningful endpoints. Such inte- grated ML models could be continuously updated and retrained with additional input data even without any human interaction. [</w:t>
      </w:r>
      <w:hyperlink w:anchor="_heading=h.1n1mu2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Unfortunately, regardless of the high aspirations for artificial intelligence in medicine, there have been obstacles in translating the developed machine learning models from EHRs into real-life clinical applications. [</w:t>
      </w:r>
      <w:hyperlink w:anchor="_heading=h.1n1mu2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43–45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Only a tiny handful of peer-reviewed publications have really made it to the market and are currently used routinely in some hospitals. [</w:t>
      </w:r>
      <w:hyperlink w:anchor="_heading=h.1n1mu2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2m6kmy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 recent study found only 21 publications on ML models that were then implemented in healthcare settings. [</w:t>
      </w:r>
      <w:hyperlink w:anchor="_heading=h.471acqr">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11bux6d">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According to recent reviews, the large gap between model development and deployment in practice arises not only from flaws in models them- selves, but also from logistical challenges, a lack of multidisciplinary cooperation, a lack of working infrastructure for implementation, privacy and sociocultural issues, and a need for continuous model assessment and financial support. [</w:t>
      </w:r>
      <w:hyperlink w:anchor="_heading=h.1n1mu2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2m6kmy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Some authors discovered parallels between translational ML and the drug discovery pathway and viewed ML models as a result of the pre-clinical phase that requires further validation in clinical trials. [</w:t>
      </w:r>
      <w:hyperlink w:anchor="_heading=h.1n1mu2y">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However, we believe that these difficulties should not deter researchers from developing ML models for clinical applications. We have several inspiring examples of successful ML implementations to date. For example, eCart is a ward ML algorithm in use retrospectively developed on EHR data from 5 hospitals to predict death, cardiac arrest, and intensive care transfer. [</w:t>
      </w:r>
      <w:hyperlink w:anchor="_heading=h.471acqr">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11bux6d">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46</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96" w:right="0" w:firstLine="248.2677165354330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From a scientific perspective, our results could be used to benchmark</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future studies on the NIS databases. A recent analysis of 445 articles performed on the NIS demonstrated a substantial variation in code selection for case definitions with 8.8% of studies using off-target codes.[</w:t>
      </w:r>
      <w:hyperlink w:anchor="_heading=h.3lbifu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Also, a total 84% of analyzed studies did not follow required research practices. [</w:t>
      </w:r>
      <w:hyperlink w:anchor="_heading=h.3lbifu6">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47</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The use of a common framework for coding and preprocessing data will help to standardize and improve the quality of future research.. For example, the recent study developed a workflow platform for Medical Information Mart for Intensive Care IV Emergency Department database. [</w:t>
      </w:r>
      <w:hyperlink w:anchor="_heading=h.20gsq1z">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48</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Similarly to this, our study proposes a pipeline for preprocessing raw NIS datasets into benchmark datasets with standardized variables that then could be trained with the ready-to-use Python code. It means that anyone can use our open-source programming codes to train their own ML model on available databases.</w:t>
      </w:r>
    </w:p>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Last but not least, we performed calibration for all models and provided reliability graphs with calibration metrics to detect agreement between the predicted and actual values in the test cohort. A recent systematic review has found that almost 95% of published ML-based prediction models missed calibration data although it is highly recommended by reporting guidelines. [</w:t>
      </w:r>
      <w:hyperlink w:anchor="_heading=h.4kgg8ps">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49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2zlqixl">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50</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Despite high discrimination performance, poor calibrated models provide misleading predictions with over- or underestimation of the risks that could be dangerous in healthcare settings. [</w:t>
      </w:r>
      <w:hyperlink w:anchor="_heading=h.1er0t5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Due to its utmost importance, calibration is considered to be “the Achilles heel of predictive analytics” that prevents real-world application of most ML models. [</w:t>
      </w:r>
      <w:hyperlink w:anchor="_heading=h.1er0t5e">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51</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Concerning this, our XGboost model demonstrated optimal performance for both discrimination and calibration facilitating its implementation in real clinical</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practice.</w:t>
      </w:r>
    </w:p>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73" w:lineRule="auto"/>
        <w:ind w:left="131" w:right="109"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Several limitations should be considered when interpreting our findings. These limitations are primarily due to the NIS's unique characteristics as a database. First, the NIS data is an example of a record-wise dataset but not subject-wise, which means the sample unit is a single hospitalization rather than an individual subject. [</w:t>
      </w:r>
      <w:hyperlink w:anchor="_heading=h.14hx32g">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3ohklq9">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24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As a result, one patient may contribute to several entries in the dataset that can be placed in both the training and test cohorts, making test performance appear overly optimistic. To address this issue, we used stratum-based train-test split and group cross-validation, which significantly reduced the possibility of a single subject being placed in multiple cohorts. Second, we did not conduct totally independent external validation. We did, however, employ internal-external validation with train-validation-test splitting depending on NIS strata. [</w:t>
      </w:r>
      <w:hyperlink w:anchor="_heading=h.3yqobt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Because the NIS stratums are divided based on census division, area, hospital ownership, location, teaching status, and hospital bed size, the baseline characteristics of the study population differ. We anticipate that the resulting diversity and calibration of the models will improve the outcomes of future external validation and ease practical use in the real world. Internal validation that is methodologically robust can then lead to effective performance on unseen data. [</w:t>
      </w:r>
      <w:hyperlink w:anchor="_heading=h.3yqobt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Nonetheless, we feel that external validation of our data is necessary; however, we agree with many other researchers that such validation should be undertaken by independent authors in order to prevent potential reporting and publication bias. [</w:t>
      </w:r>
      <w:hyperlink w:anchor="_heading=h.3yqobt7">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52</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Third, the NIS does not provide an exact time for its ICD-10 codes making it very challenging to distinguish endpoints from baseline comorbidities. We then removed all ICD-10 codes that can be a part of outcomes thus alleviating the risk of data leakage. We could not also include re-infarction, target vessel revascularization and stent thrombosis as an outcome due to absence of diagnosis time. In terms of other outcomes, recent research has indicated that only about 1% of patients with acute ischemic stroke develop MI during their hospital stay, while just 0.3% of patients with acute cerebral bleeding have concomitant MI. It is reasonable to suppose that the fraction of these individuals who underwent PCI is considerably lower given the risk associated with performing PCI in such settings. [</w:t>
      </w:r>
      <w:hyperlink w:anchor="_heading=h.2dvym10">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53</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hyperlink w:anchor="_heading=h.t18w8t">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54</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As a result, it is highly unlikely that ICD-10 codes utilized as outcomes were baseline characteristics of the study population. Fourth, the NIS lacks any laboratory or instrumental tests, reducing the number of potential key predictors of adverse outcomes following PCI. Furthermore, we only analyzed structured data, despite the fact that unstructured information (medical images, free texts from medical records) may increase risk prediction even further. However, our model contained a complete set of comorbidities that earlier scores could not sufficiently represent. As a result, our model could be used in future ensemble models. With the widespread availability of EHRs, ensemble ML approaches offer an opportunity to integrate numerous classifiers based on different types of input data and considerably improve predicted accuracy. [</w:t>
      </w:r>
      <w:hyperlink w:anchor="_heading=h.3d0wewm">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55</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Finally, as the NIS is an administrative database, any inconsistencies in coding by physicians might impact the reliability and generalization of our findings.</w:t>
      </w:r>
    </w:p>
    <w:p w:rsidR="00000000" w:rsidDel="00000000" w:rsidP="00000000" w:rsidRDefault="00000000" w:rsidRPr="00000000" w14:paraId="0000123C">
      <w:pPr>
        <w:pStyle w:val="Heading5"/>
        <w:numPr>
          <w:ilvl w:val="0"/>
          <w:numId w:val="7"/>
        </w:numPr>
        <w:tabs>
          <w:tab w:val="left" w:leader="none" w:pos="374"/>
        </w:tabs>
        <w:spacing w:after="0" w:before="182" w:line="240" w:lineRule="auto"/>
        <w:ind w:left="374" w:right="0" w:hanging="243"/>
        <w:jc w:val="left"/>
        <w:rPr/>
      </w:pPr>
      <w:r w:rsidDel="00000000" w:rsidR="00000000" w:rsidRPr="00000000">
        <w:rPr>
          <w:rtl w:val="0"/>
        </w:rPr>
        <w:t xml:space="preserve">Conclusion</w:t>
      </w:r>
    </w:p>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After testing five most common ML algorithms on a large sample of 1,815,595 PCI hospitalizations from the NIS database, we derived the multi-task XGBoost classifier based on 101 features to predict different combinations of all-cause death, ischemic CVE and major bleeding with an excellent discriminatory performance compared to this from the previous regression-based scores. Our study highlights the potential benefits of integration of high-dimensional artificial intelligence models in healthcare electronic systems to aid in benchmarking PCI services / operators.</w:t>
      </w:r>
    </w:p>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31" w:right="110"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40" w:w="11920" w:orient="portrait"/>
          <w:pgMar w:bottom="280" w:top="1060" w:left="620" w:right="640" w:header="655" w:footer="544"/>
          <w:cols w:equalWidth="0" w:num="1">
            <w:col w:space="0" w:w="10645.5"/>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Supplementary data to this article can be found online at </w:t>
      </w:r>
      <w:hyperlink r:id="rId481">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https://doi.</w:t>
        </w:r>
      </w:hyperlink>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 </w:t>
      </w:r>
      <w:hyperlink r:id="rId482">
        <w:r w:rsidDel="00000000" w:rsidR="00000000" w:rsidRPr="00000000">
          <w:rPr>
            <w:rFonts w:ascii="Times New Roman" w:cs="Times New Roman" w:eastAsia="Times New Roman" w:hAnsi="Times New Roman"/>
            <w:b w:val="0"/>
            <w:i w:val="0"/>
            <w:smallCaps w:val="0"/>
            <w:strike w:val="0"/>
            <w:color w:val="2196d1"/>
            <w:sz w:val="16"/>
            <w:szCs w:val="16"/>
            <w:u w:val="none"/>
            <w:shd w:fill="auto" w:val="clear"/>
            <w:vertAlign w:val="baseline"/>
            <w:rtl w:val="0"/>
          </w:rPr>
          <w:t xml:space="preserve">org/10.1016/j.ijcard.2023.131339</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6840" w:w="11920" w:orient="portrait"/>
          <w:pgMar w:bottom="740" w:top="840" w:left="620" w:right="640" w:header="655" w:footer="544"/>
        </w:sectPr>
      </w:pPr>
      <w:r w:rsidDel="00000000" w:rsidR="00000000" w:rsidRPr="00000000">
        <w:rPr>
          <w:rtl w:val="0"/>
        </w:rPr>
      </w:r>
    </w:p>
    <w:p w:rsidR="00000000" w:rsidDel="00000000" w:rsidP="00000000" w:rsidRDefault="00000000" w:rsidRPr="00000000" w14:paraId="00001240">
      <w:pPr>
        <w:pStyle w:val="Heading5"/>
        <w:spacing w:before="91" w:lineRule="auto"/>
        <w:ind w:left="141.73228346456696" w:right="4434" w:firstLine="0"/>
        <w:rPr/>
      </w:pPr>
      <w:r w:rsidDel="00000000" w:rsidR="00000000" w:rsidRPr="00000000">
        <w:rPr>
          <w:rtl w:val="0"/>
        </w:rPr>
        <w:t xml:space="preserve">Funding</w:t>
      </w:r>
    </w:p>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41.73228346456696"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73228346456696" w:right="4406" w:firstLine="0"/>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None.</w:t>
      </w:r>
    </w:p>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44">
      <w:pPr>
        <w:pStyle w:val="Heading5"/>
        <w:ind w:left="131" w:firstLine="0"/>
        <w:rPr/>
      </w:pPr>
      <w:r w:rsidDel="00000000" w:rsidR="00000000" w:rsidRPr="00000000">
        <w:rPr>
          <w:rtl w:val="0"/>
        </w:rPr>
        <w:t xml:space="preserve">CRediT authorship contribution statement</w:t>
      </w:r>
    </w:p>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Akhmetzhan Galimzhanov: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Conceptualization, Methodology, Software, Validation, Formal analysis, Investigation, Data curation, Writing – original draft, Writing – review &amp; editing, Visualization, Su- pervision.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Andrija Matetic: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Conceptualization, Methodology, Resources, Data curation.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Erhan Tenekecioglu: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Conceptualization, Methodology, Writing – review &amp; editing.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Mamas A. Mamas: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Conceptualization, Methodology, Resources, Writing – review &amp; editing, Su- pervision, Project administration.</w:t>
      </w:r>
    </w:p>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47">
      <w:pPr>
        <w:pStyle w:val="Heading5"/>
        <w:ind w:left="131" w:firstLine="0"/>
        <w:rPr/>
      </w:pPr>
      <w:r w:rsidDel="00000000" w:rsidR="00000000" w:rsidRPr="00000000">
        <w:rPr>
          <w:rtl w:val="0"/>
        </w:rPr>
        <w:t xml:space="preserve">Declaration of Competing Interest</w:t>
      </w:r>
    </w:p>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96" w:right="4406" w:firstLine="0"/>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None.</w:t>
      </w:r>
    </w:p>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4A">
      <w:pPr>
        <w:pStyle w:val="Heading5"/>
        <w:ind w:left="131" w:firstLine="0"/>
        <w:rPr/>
      </w:pPr>
      <w:r w:rsidDel="00000000" w:rsidR="00000000" w:rsidRPr="00000000">
        <w:rPr>
          <w:rtl w:val="0"/>
        </w:rPr>
        <w:t xml:space="preserve">Acknowledgments</w:t>
      </w:r>
    </w:p>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31" w:right="38" w:firstLine="23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 Akhmetzhan, would like to express my deepest gratitude to my mother, Ibraeva Azipa, for devoting her entire life to me, for being my source of inspiration, support, and guidance throughout my life. I believe that this work as well all other my achievements would not be possible without her constant support.</w:t>
      </w:r>
    </w:p>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4D">
      <w:pPr>
        <w:pStyle w:val="Heading5"/>
        <w:spacing w:before="1" w:lineRule="auto"/>
        <w:ind w:left="131" w:firstLine="0"/>
        <w:rPr/>
      </w:pPr>
      <w:r w:rsidDel="00000000" w:rsidR="00000000" w:rsidRPr="00000000">
        <w:rPr>
          <w:rtl w:val="0"/>
        </w:rPr>
        <w:t xml:space="preserve">References</w:t>
      </w:r>
    </w:p>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20.078740157480297"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8.0000000000000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7nz8yj" w:id="167"/>
      <w:bookmarkEnd w:id="167"/>
      <w:hyperlink r:id="rId48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 Simonsson, J. Alfredsson, K. Szummer, T. Jernberg, P. Ueda, Association of</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8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ischemic and bleeding events with mortality among patients in Sweden with recent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8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acute myocardial infarction receiving antithrombotic therapy, JAMA Netw. Open 5</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8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(2022), e2220030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8.0000000000000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rnmrmc" w:id="168"/>
      <w:bookmarkEnd w:id="168"/>
      <w:hyperlink r:id="rId48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F.-J. Neumann, M. Sousa-Uva, A. Ahlsson, F. Alfonso, A.P. Banning, U. Benedetto,</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8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et al., 2018 ESC/EACTS Guidelines on myocardial revascularization, Eur. Heart J.</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8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40 (2019) 87–165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8.0000000000000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6sx1u5" w:id="169"/>
      <w:bookmarkEnd w:id="169"/>
      <w:hyperlink r:id="rId49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 Valgimigli, H. Bueno, R.A. Byrne, J.-P. Collet, F. Costa, A. Jeppsson, et al., 2017</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ESC focused update on dual antiplatelet therapy in coronary artery disease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developed in collaboration with EACTS: the task force for dual antiplatelet therapy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 coronary artery disease of the European Society of Cardiology (ESC) and of the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European Association for Cardio-Thoracic Surgery (EACTS), Eur. Heart J. 39</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(2018) 213–260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8.0000000000000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ly7c1y" w:id="170"/>
      <w:bookmarkEnd w:id="170"/>
      <w:hyperlink r:id="rId49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G.N. Levine, E.R. Bates, J.A. Bittl, R.G. Brindis, S.D. Fihn, L.A. Fleisher, et al., 2016</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ACC/AHA guideline focused update on duration of dual antiplatelet therapy in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patients with coronary artery disease: a report of the American College of</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49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Cardiology/American Heart Association task force on clinical practice guidelines: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an update of the 2011 ACCF/AHA/SCAI guideline for percutaneous coronary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intervention, 2011 ACCF/AHA guideline for coronary artery bypass graft surgery,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2012 ACC/AHA/ACP/AATS/PCNA/SCAI/STS guideline for the diagnosis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Management of Patients with Stable Ischemic Heart Disease, 2013 ACCF/AHA</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guideline for the management of St-elevation myocardial infarction, 2014 AHA/</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ACC guideline for the management of patients with non-ST-elevation acute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coronary syndromes, and 2014 ACC/AHA guideline on perioperative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cardiovascular evaluation and management of patients undergoing noncardiac</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0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surgery, Circulation. 134 (2016) e123–e155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s>
        <w:spacing w:after="0" w:before="0" w:line="240" w:lineRule="auto"/>
        <w:ind w:left="457" w:right="20.078740157480297" w:hanging="258"/>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5xuupr" w:id="171"/>
      <w:bookmarkEnd w:id="171"/>
      <w:hyperlink r:id="rId50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S.V. Rao, L.A. McCoy, J.A. Spertus, R.J. Krone, M. Singh, S. Fitzgerald, et al., An</w:t>
        </w:r>
      </w:hyperlink>
      <w:hyperlink r:id="rId510">
        <w:r w:rsidDel="00000000" w:rsidR="00000000" w:rsidRPr="00000000">
          <w:rPr>
            <w:sz w:val="12"/>
            <w:szCs w:val="12"/>
            <w:rtl w:val="0"/>
          </w:rPr>
          <w:t xml:space="preserve"> </w:t>
        </w:r>
      </w:hyperlink>
      <w:hyperlink r:id="rId511">
        <w:r w:rsidDel="00000000" w:rsidR="00000000" w:rsidRPr="00000000">
          <w:rPr>
            <w:color w:val="2196d1"/>
            <w:sz w:val="12"/>
            <w:szCs w:val="12"/>
            <w:rtl w:val="0"/>
          </w:rPr>
          <w:t xml:space="preserve">updated bleeding model to predict the risk of post-procedure bleeding among</w:t>
        </w:r>
      </w:hyperlink>
      <w:r w:rsidDel="00000000" w:rsidR="00000000" w:rsidRPr="00000000">
        <w:rPr>
          <w:color w:val="2196d1"/>
          <w:sz w:val="12"/>
          <w:szCs w:val="12"/>
          <w:rtl w:val="0"/>
        </w:rPr>
        <w:t xml:space="preserve"> </w:t>
      </w:r>
      <w:hyperlink r:id="rId512">
        <w:r w:rsidDel="00000000" w:rsidR="00000000" w:rsidRPr="00000000">
          <w:rPr>
            <w:color w:val="2196d1"/>
            <w:sz w:val="12"/>
            <w:szCs w:val="12"/>
            <w:rtl w:val="0"/>
          </w:rPr>
          <w:t xml:space="preserve">patients undergoing percutaneous coronary intervention: a report using an</w:t>
        </w:r>
      </w:hyperlink>
      <w:r w:rsidDel="00000000" w:rsidR="00000000" w:rsidRPr="00000000">
        <w:rPr>
          <w:color w:val="2196d1"/>
          <w:sz w:val="12"/>
          <w:szCs w:val="12"/>
          <w:rtl w:val="0"/>
        </w:rPr>
        <w:t xml:space="preserve"> </w:t>
      </w:r>
      <w:hyperlink r:id="rId513">
        <w:r w:rsidDel="00000000" w:rsidR="00000000" w:rsidRPr="00000000">
          <w:rPr>
            <w:color w:val="2196d1"/>
            <w:sz w:val="12"/>
            <w:szCs w:val="12"/>
            <w:rtl w:val="0"/>
          </w:rPr>
          <w:t xml:space="preserve">expanded bleeding definition from the National Cardiovascular Data Registry</w:t>
        </w:r>
      </w:hyperlink>
      <w:r w:rsidDel="00000000" w:rsidR="00000000" w:rsidRPr="00000000">
        <w:rPr>
          <w:color w:val="2196d1"/>
          <w:sz w:val="12"/>
          <w:szCs w:val="12"/>
          <w:rtl w:val="0"/>
        </w:rPr>
        <w:t xml:space="preserve"> </w:t>
      </w:r>
      <w:hyperlink r:id="rId514">
        <w:r w:rsidDel="00000000" w:rsidR="00000000" w:rsidRPr="00000000">
          <w:rPr>
            <w:color w:val="2196d1"/>
            <w:sz w:val="12"/>
            <w:szCs w:val="12"/>
            <w:rtl w:val="0"/>
          </w:rPr>
          <w:t xml:space="preserve">CathPCI Registry, JACC Cardiovasc. Interv. 6 (2013) 897–904</w:t>
        </w:r>
      </w:hyperlink>
      <w:r w:rsidDel="00000000" w:rsidR="00000000" w:rsidRPr="00000000">
        <w:rPr>
          <w:sz w:val="12"/>
          <w:szCs w:val="12"/>
          <w:rtl w:val="0"/>
        </w:rPr>
        <w:t xml:space="preserve">.</w:t>
      </w:r>
    </w:p>
    <w:p w:rsidR="00000000" w:rsidDel="00000000" w:rsidP="00000000" w:rsidRDefault="00000000" w:rsidRPr="00000000" w14:paraId="0000125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8.0000000000000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l354xk" w:id="172"/>
      <w:bookmarkEnd w:id="172"/>
      <w:hyperlink r:id="rId51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E.L. Hannan, L.S. Farrell, G. Walford, A.K. Jacobs, P.B. Berger, D.R. Holmes Jr., et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1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al., The New York state risk score for predicting in-hospital/30-day mortality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1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following percutaneous coronary intervention, JACC Cardiovasc. Interv. 6 (2013)</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1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614–622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s>
        <w:spacing w:after="0" w:before="0" w:line="135" w:lineRule="auto"/>
        <w:ind w:left="457" w:right="20.078740157480297" w:hanging="258"/>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52snld" w:id="173"/>
      <w:bookmarkEnd w:id="173"/>
      <w:hyperlink r:id="rId51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Y.S. Castro-Dominguez, Y. Wang, K.E. Minges, R.L. McNamara, J.A. Spertus, G.</w:t>
        </w:r>
      </w:hyperlink>
      <w:hyperlink r:id="rId520">
        <w:r w:rsidDel="00000000" w:rsidR="00000000" w:rsidRPr="00000000">
          <w:rPr>
            <w:color w:val="2196d1"/>
            <w:sz w:val="12"/>
            <w:szCs w:val="12"/>
            <w:rtl w:val="0"/>
          </w:rPr>
          <w:t xml:space="preserve">J. Dehmer, et al., Predicting in-hospital mortality in patients undergoing</w:t>
        </w:r>
      </w:hyperlink>
      <w:r w:rsidDel="00000000" w:rsidR="00000000" w:rsidRPr="00000000">
        <w:rPr>
          <w:color w:val="2196d1"/>
          <w:sz w:val="12"/>
          <w:szCs w:val="12"/>
          <w:rtl w:val="0"/>
        </w:rPr>
        <w:t xml:space="preserve"> </w:t>
      </w:r>
      <w:hyperlink r:id="rId521">
        <w:r w:rsidDel="00000000" w:rsidR="00000000" w:rsidRPr="00000000">
          <w:rPr>
            <w:color w:val="2196d1"/>
            <w:sz w:val="12"/>
            <w:szCs w:val="12"/>
            <w:rtl w:val="0"/>
          </w:rPr>
          <w:t xml:space="preserve">percutaneous coronary intervention, J. Am. Coll. Cardiol. 78 (2021) 216–229</w:t>
        </w:r>
      </w:hyperlink>
      <w:r w:rsidDel="00000000" w:rsidR="00000000" w:rsidRPr="00000000">
        <w:rPr>
          <w:sz w:val="12"/>
          <w:szCs w:val="12"/>
          <w:rtl w:val="0"/>
        </w:rPr>
        <w:t xml:space="preserve">.</w:t>
      </w:r>
    </w:p>
    <w:p w:rsidR="00000000" w:rsidDel="00000000" w:rsidP="00000000" w:rsidRDefault="00000000" w:rsidRPr="00000000" w14:paraId="0000125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0" w:line="27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hyperlink r:id="rId52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 Singh, C.S. Rihal, R.J. Lennon, J. Spertus, J.S. Rumsfeld, D.R. Holmes Jr.,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2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Bedside estimation of risk from percutaneous coronary intervention: the new Mayo</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2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Clinic risk scores, Mayo Clin. Proc. 82 (2007) 701–708</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57"/>
          <w:tab w:val="left" w:leader="none" w:pos="459"/>
        </w:tabs>
        <w:spacing w:after="0" w:before="1" w:line="276" w:lineRule="auto"/>
        <w:ind w:left="459" w:right="20.078740157480297" w:hanging="26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k82xt6" w:id="174"/>
      <w:bookmarkEnd w:id="174"/>
      <w:hyperlink r:id="rId52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 Urban, R. Mehran, R. Colleran, D.J. Angiolillo, R.A. Byrne, D. Capodanno, et 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2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Defining high bleeding risk in patients undergoing percutaneous coronary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2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intervention, Circulation. 140 (2019) 240–261</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zdd80z" w:id="175"/>
      <w:bookmarkEnd w:id="175"/>
      <w:hyperlink r:id="rId52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G. Quer, R. Arnaout, M. Henne, R. Arnaout, Machine learning and the future of</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2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cardiovascular care: JACC state-of-the-art review, J. Am. Coll. Cardiol. 77 (2021)</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3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300–313</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2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w8rl8h9n1vv" w:id="176"/>
      <w:bookmarkEnd w:id="176"/>
      <w:hyperlink r:id="rId53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K. Seetharam, S. Balla, C. Bianco, J. Cheung, R. Pachulski, D. Asti, et 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3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Applications of machine learning in cardiology, Cardiol Ther. 11 (2022) 355–368</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yib0wl" w:id="177"/>
      <w:bookmarkEnd w:id="177"/>
      <w:hyperlink r:id="rId53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 Bzdok, N. Altman, M. Krzywinski, Statistics versus machine learning, Nat.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3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Methods 15 (2018) 233–234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ihyjke" w:id="178"/>
      <w:bookmarkEnd w:id="178"/>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HCUP-US NIS Overview [cited 12 Jan 2023]. Available, </w:t>
      </w:r>
      <w:hyperlink r:id="rId53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https://www.hcup-us.ah</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3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rq.gov/nisoverview.jsp</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xn8ts7" w:id="179"/>
      <w:bookmarkEnd w:id="179"/>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Clinical Classifications Software Refined (CCSR) for ICD-10-PCS Procedures [cited 12 Jan 2023]. Available, </w:t>
      </w:r>
      <w:hyperlink r:id="rId53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https://www.hcup-us.ahrq.gov/toolssoftware/ccsr/prccs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3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r.jsp</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csj400" w:id="180"/>
      <w:bookmarkEnd w:id="180"/>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Clinical Classifications Software Refined (CCSR) for ICD-10-CM Diagnoses [cited 12 Jan 2023]. Available, </w:t>
      </w:r>
      <w:hyperlink r:id="rId53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https://www.hcup-us.ahrq.gov/toolssoftware/ccsr/dxccs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4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r.jsp</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ws6mnt" w:id="181"/>
      <w:bookmarkEnd w:id="181"/>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Elixhauser Comorbidity Software Refined for ICD-10-CM [cited 12 Jan 2023]. Available, </w:t>
      </w:r>
      <w:hyperlink r:id="rId54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https://www.hcup-us.ahrq.gov/toolssoftware/comorbidityicd10/como</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4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rbidity_icd10.jsp</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5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bxgwvm" w:id="182"/>
      <w:bookmarkEnd w:id="182"/>
      <w:hyperlink r:id="rId54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 Quan, V. Sundararajan, P. Halfon, A. Fong, B. Burnand, J.-C. Luthi, et al., Coding</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4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algorithms for defining comorbidities in ICD-9-CM and ICD-10 administrative data,</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4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Med. Care 43 (2005) 1130–1139</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r2r73f" w:id="183"/>
      <w:bookmarkEnd w:id="183"/>
      <w:hyperlink r:id="rId54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 Gasparini, Comorbidity: an R package for computing comorbidity scores, J Open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4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Source Softw. 3 (2018) 648</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b2epr8" w:id="184"/>
      <w:bookmarkEnd w:id="184"/>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GitHub - atif-hassan/FRUFS: An unsupervised feature selection technique using supervised algorithms such as XGBoost, GitHub, 2023 [Internet]. [cited 14 May 2023]. Available, </w:t>
      </w:r>
      <w:hyperlink r:id="rId54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https://github.com/atif-hassan/FRUFS</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q7ozz1" w:id="185"/>
      <w:bookmarkEnd w:id="185"/>
      <w:hyperlink r:id="rId54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 Oger, M.-A. Botrel, C. Juchault, J. Bouget, Sensitivity and specificity of an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algorithm based on medico-administrative data to identify hospitalized patients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with major bleeding presenting to an emergency department, BMC Med. Res.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Methodol. 19 (2019) 194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a7cimu" w:id="186"/>
      <w:bookmarkEnd w:id="186"/>
      <w:hyperlink r:id="rId55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 Joos, K. Lawrence, A.E. Jones, S.A. Johnson, D.M. Witt, Accuracy of ICD-10</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codes for identifying hospitalizations for acute anticoagulation therapy-related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bleeding events, Thromb. Res. 181 (2019) 71–76</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pcmsun" w:id="187"/>
      <w:bookmarkEnd w:id="187"/>
      <w:hyperlink r:id="rId55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 Mehran, S.V. Rao, D.L. Bhatt, C.M. Gibson, A. Caixeta, J. Eikelboom, et 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Standardized bleeding definitions for cardiovascular clinical trials: a consensus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report from the Bleeding Academic Research Consortium, Circulation. 123 (2011)</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5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2736–2747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4hx32g" w:id="188"/>
      <w:bookmarkEnd w:id="188"/>
      <w:hyperlink r:id="rId56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 Saeb, L. Lonini, A. Jayaraman, D.C. Mohr, K.P. Kording, The need to</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6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approximate the use-case in clinical machine learning, Gigascience. 6 (2017) 1–9</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ohklq9" w:id="189"/>
      <w:bookmarkEnd w:id="189"/>
      <w:hyperlink r:id="rId56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 Tougui, A. Jilbab, J.E. Mhamdi, Impact of the choice of cross-validation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6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techniques on the results of machine learning-based diagnostic applications,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6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Healthc Inform Res. 27 (2021) 189–199</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3muvy2" w:id="190"/>
      <w:bookmarkEnd w:id="190"/>
      <w:hyperlink r:id="rId56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 Shwartz-Ziv, A. Armon, Tabular data: deep learning is not all you need, Inf</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6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Fusion. 81 (2022) 84–90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is565v" w:id="191"/>
      <w:bookmarkEnd w:id="191"/>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 Grinsztajn, E. Oyallon, G. Varoquaux, Why do Tree-Based Models Still Outperform Deep Learning on Tabular Data?, 2022, </w:t>
      </w:r>
      <w:hyperlink r:id="rId56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https://doi.org/10.48550/</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6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ARXIV.2207.08815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2rsoto" w:id="192"/>
      <w:bookmarkEnd w:id="192"/>
      <w:hyperlink r:id="rId56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A.K. Menon, X.J. Jiang, S. Vembu, C. Elkan, L. Ohno-Machado, Predicting accurate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7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probabilities with a ranking loss, Proc Int Conf Mach Learn. 2012 (2012) 703–710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hx2z1h" w:id="193"/>
      <w:bookmarkEnd w:id="193"/>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KDE Group, University of Kassel, DMIR Group, University of Würzburg, L3S Research Center, (Germany), H. Probabilistic Outputs for Support Vector Machines and Comparison to Regularized Likelihood Methods [cited 16 Apr 2023]. Available: </w:t>
      </w:r>
      <w:hyperlink r:id="rId57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https://www.bibsonomy.org/bibtex/2b13a556c2a6c1a3a2a30fe889</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7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ea9b738/zeno</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4"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1wqhpa" w:id="194"/>
      <w:bookmarkEnd w:id="194"/>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F. Kuppers, J. Kronenberger, A. Shantia, A. Haselhoff, Multivariate confidence calibration for object detection, in: 2020 IEEE/CVF Conference on Computer Vision and Pattern Recognition Workshops (CVPRW), IEEE, 2020, </w:t>
      </w:r>
      <w:hyperlink r:id="rId57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https://doi.org/</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7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10.1109/cvprw50498.2020.00171</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h20rx3" w:id="195"/>
      <w:bookmarkEnd w:id="195"/>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 Lundberg, S.-I. Lee, A Unified Approach to Interpreting Model Predictions, 2017, </w:t>
      </w:r>
      <w:hyperlink r:id="rId57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https://doi.org/10.48550/ARXIV.1705.07874</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0" w:line="136" w:lineRule="auto"/>
        <w:ind w:left="461" w:right="20.078740157480297"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w7b24w" w:id="196"/>
      <w:bookmarkEnd w:id="196"/>
      <w:hyperlink r:id="rId57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 Lumley, Analysis of complex survey samples, J. Stat. Softw. 9 (2004) 1–19</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8"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g6yksp" w:id="197"/>
      <w:bookmarkEnd w:id="197"/>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 Runmin, W. Jingye, J. Wei, Calculating and Visualizing ROC and PR Curves Across Multi-Class Classifications [cited 13 Jan 2023]. Available: </w:t>
      </w:r>
      <w:hyperlink r:id="rId57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https://cran.rstu</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7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dio.com/web/packages/multiROC/multiROC.pdf</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vc8v0i" w:id="198"/>
      <w:bookmarkEnd w:id="198"/>
      <w:hyperlink r:id="rId57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 Pedregosa, G. Varoquaux, A. Gramfort, V. Michel, B. Thirion, O. Grisel, et 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8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Scikit-learn: machine learning in Python, J. Mach. Learn. Res. 12 (2011)</w:t>
        </w:r>
      </w:hyperlink>
      <w:r w:rsidDel="00000000" w:rsidR="00000000" w:rsidRPr="00000000">
        <w:rPr>
          <w:rtl w:val="0"/>
        </w:rPr>
      </w:r>
    </w:p>
    <w:p w:rsidR="00000000" w:rsidDel="00000000" w:rsidP="00000000" w:rsidRDefault="00000000" w:rsidRPr="00000000" w14:paraId="00001270">
      <w:pPr>
        <w:spacing w:before="1" w:lineRule="auto"/>
        <w:ind w:left="462" w:right="20.078740157480297" w:firstLine="0"/>
        <w:jc w:val="both"/>
        <w:rPr>
          <w:sz w:val="12"/>
          <w:szCs w:val="12"/>
        </w:rPr>
      </w:pPr>
      <w:hyperlink r:id="rId581">
        <w:r w:rsidDel="00000000" w:rsidR="00000000" w:rsidRPr="00000000">
          <w:rPr>
            <w:color w:val="2196d1"/>
            <w:sz w:val="12"/>
            <w:szCs w:val="12"/>
            <w:rtl w:val="0"/>
          </w:rPr>
          <w:t xml:space="preserve">2825–2830</w:t>
        </w:r>
      </w:hyperlink>
      <w:r w:rsidDel="00000000" w:rsidR="00000000" w:rsidRPr="00000000">
        <w:rPr>
          <w:sz w:val="12"/>
          <w:szCs w:val="12"/>
          <w:rtl w:val="0"/>
        </w:rPr>
        <w:t xml:space="preserve">.</w:t>
      </w:r>
    </w:p>
    <w:p w:rsidR="00000000" w:rsidDel="00000000" w:rsidP="00000000" w:rsidRDefault="00000000" w:rsidRPr="00000000" w14:paraId="0000127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2"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fbwdob" w:id="199"/>
      <w:bookmarkEnd w:id="199"/>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 Chen, C. Guestrin, XGBoost, in: Proceedings of the 22nd ACM SIGKDD International Conference on Knowledge Discovery and Data Mining, ACM, New York, NY, USA, 2016, </w:t>
      </w:r>
      <w:hyperlink r:id="rId58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https://doi.org/10.1145/2939672.2939785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uh6nw4" w:id="200"/>
      <w:bookmarkEnd w:id="200"/>
      <w:hyperlink r:id="rId58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 Subherwal, R.G. Bach, A.Y. Chen, B.F. Gage, S.V. Rao, L.K. Newby, et 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8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Baseline risk of major bleeding in non-ST-segment-elevation myocardial infarction:</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8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the CRUSADE (can rapid risk stratification of unstable angina patients suppress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8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ADverse outcomes with early implementation of the ACC/AHA guidelines)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8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bleeding score, Circulation. 119 (2009) 1873–1882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8.0000000000000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9mgy3x" w:id="201"/>
      <w:bookmarkEnd w:id="201"/>
      <w:hyperlink r:id="rId58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 Mathews, E.D. Peterson, A.Y. Chen, T.Y. Wang, C.T. Chin, G.C. Fonarow, et 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8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In-hospital major bleeding during ST-elevation and non-ST-elevation myocardial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infarction care: derivation and validation of a model from the ACTION registry®-</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GWTGTM, Am. J. Cardiol. 107 (2011) 1136–1143</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tm4grq" w:id="202"/>
      <w:bookmarkEnd w:id="202"/>
      <w:hyperlink r:id="rId59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 Elbarouni, S.G. Goodman, R.T. Yan, R.C. Welsh, J.M. Kornder, J.P. Deyoung, et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al., Validation of the global registry of acute coronary event (GRACE) risk score for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in-hospital mortality in patients with acute coronary syndrome in Canada, Am.</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Heart J. 158 (2009) 392–399</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8reqzj" w:id="203"/>
      <w:bookmarkEnd w:id="203"/>
      <w:hyperlink r:id="rId59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 Bento, N. Marques, P. Azevedo, J. Guedes, J. Bispo, D. Silva, et al., CRUSADE: is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it still a good score to predict bleeding in acute coronary syndrome? Rev. Port.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59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Cardiol. 37 (2018) 889–897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76" w:lineRule="auto"/>
        <w:ind w:left="462" w:right="20.07874015748029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hyperlink r:id="rId59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K. Tscherny, C. Kienbacher, V. Fuhrmann, R. van Tulder, W. Schreiber, H. Herkner,</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0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et al., Risk stratification in acute coronary syndrome: evaluation of the GRACE and</w:t>
        </w:r>
      </w:hyperlink>
      <w:hyperlink r:id="rId601">
        <w:r w:rsidDel="00000000" w:rsidR="00000000" w:rsidRPr="00000000">
          <w:rPr>
            <w:sz w:val="11"/>
            <w:szCs w:val="11"/>
            <w:rtl w:val="0"/>
          </w:rPr>
          <w:t xml:space="preserve"> </w:t>
        </w:r>
      </w:hyperlink>
      <w:hyperlink r:id="rId602">
        <w:r w:rsidDel="00000000" w:rsidR="00000000" w:rsidRPr="00000000">
          <w:rPr>
            <w:color w:val="2196d1"/>
            <w:sz w:val="12"/>
            <w:szCs w:val="12"/>
            <w:rtl w:val="0"/>
          </w:rPr>
          <w:t xml:space="preserve">CRUSADE scores in the setting of a tertiary care centre, Int. J. Clin. Pract. 74</w:t>
        </w:r>
      </w:hyperlink>
      <w:r w:rsidDel="00000000" w:rsidR="00000000" w:rsidRPr="00000000">
        <w:rPr>
          <w:color w:val="2196d1"/>
          <w:sz w:val="12"/>
          <w:szCs w:val="12"/>
          <w:rtl w:val="0"/>
        </w:rPr>
        <w:t xml:space="preserve"> </w:t>
      </w:r>
      <w:hyperlink r:id="rId603">
        <w:r w:rsidDel="00000000" w:rsidR="00000000" w:rsidRPr="00000000">
          <w:rPr>
            <w:color w:val="2196d1"/>
            <w:sz w:val="12"/>
            <w:szCs w:val="12"/>
            <w:rtl w:val="0"/>
          </w:rPr>
          <w:t xml:space="preserve">(2020), e13444</w:t>
        </w:r>
      </w:hyperlink>
      <w:r w:rsidDel="00000000" w:rsidR="00000000" w:rsidRPr="00000000">
        <w:rPr>
          <w:sz w:val="12"/>
          <w:szCs w:val="12"/>
          <w:rtl w:val="0"/>
        </w:rPr>
        <w:t xml:space="preserve">.</w:t>
      </w:r>
    </w:p>
    <w:p w:rsidR="00000000" w:rsidDel="00000000" w:rsidP="00000000" w:rsidRDefault="00000000" w:rsidRPr="00000000" w14:paraId="0000127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0" w:line="240" w:lineRule="auto"/>
        <w:ind w:left="461" w:right="0"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hyperlink r:id="rId60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X. Flores-Ríos, D. Couto-Mallo</w:t>
        </w:r>
      </w:hyperlink>
      <w:hyperlink r:id="rId605">
        <w:r w:rsidDel="00000000" w:rsidR="00000000" w:rsidRPr="00000000">
          <w:rPr>
            <w:rFonts w:ascii="Georgia" w:cs="Georgia" w:eastAsia="Georgia" w:hAnsi="Georgia"/>
            <w:b w:val="0"/>
            <w:i w:val="0"/>
            <w:smallCaps w:val="0"/>
            <w:strike w:val="0"/>
            <w:color w:val="2196d1"/>
            <w:sz w:val="12"/>
            <w:szCs w:val="12"/>
            <w:u w:val="none"/>
            <w:shd w:fill="auto" w:val="clear"/>
            <w:vertAlign w:val="baseline"/>
            <w:rtl w:val="0"/>
          </w:rPr>
          <w:t xml:space="preserve">´</w:t>
        </w:r>
      </w:hyperlink>
      <w:hyperlink r:id="rId60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n, J. Rodríguez-Garrido, M. García-Guimaraes,</w:t>
        </w:r>
      </w:hyperlink>
      <w:hyperlink r:id="rId607">
        <w:r w:rsidDel="00000000" w:rsidR="00000000" w:rsidRPr="00000000">
          <w:rPr>
            <w:sz w:val="12"/>
            <w:szCs w:val="12"/>
            <w:rtl w:val="0"/>
          </w:rPr>
          <w:t xml:space="preserve"> </w:t>
        </w:r>
      </w:hyperlink>
      <w:hyperlink r:id="rId608">
        <w:r w:rsidDel="00000000" w:rsidR="00000000" w:rsidRPr="00000000">
          <w:rPr>
            <w:color w:val="2196d1"/>
            <w:sz w:val="12"/>
            <w:szCs w:val="12"/>
            <w:rtl w:val="0"/>
          </w:rPr>
          <w:t xml:space="preserve">P. Gargallo-Fern</w:t>
        </w:r>
      </w:hyperlink>
      <w:hyperlink r:id="rId609">
        <w:r w:rsidDel="00000000" w:rsidR="00000000" w:rsidRPr="00000000">
          <w:rPr>
            <w:rFonts w:ascii="Georgia" w:cs="Georgia" w:eastAsia="Georgia" w:hAnsi="Georgia"/>
            <w:color w:val="2196d1"/>
            <w:sz w:val="12"/>
            <w:szCs w:val="12"/>
            <w:vertAlign w:val="baseline"/>
            <w:rtl w:val="0"/>
          </w:rPr>
          <w:t xml:space="preserve">´</w:t>
        </w:r>
      </w:hyperlink>
      <w:hyperlink r:id="rId610">
        <w:r w:rsidDel="00000000" w:rsidR="00000000" w:rsidRPr="00000000">
          <w:rPr>
            <w:color w:val="2196d1"/>
            <w:sz w:val="12"/>
            <w:szCs w:val="12"/>
            <w:rtl w:val="0"/>
          </w:rPr>
          <w:t xml:space="preserve">andez, P. Pin</w:t>
        </w:r>
      </w:hyperlink>
      <w:hyperlink r:id="rId611">
        <w:r w:rsidDel="00000000" w:rsidR="00000000" w:rsidRPr="00000000">
          <w:rPr>
            <w:rFonts w:ascii="Georgia" w:cs="Georgia" w:eastAsia="Georgia" w:hAnsi="Georgia"/>
            <w:color w:val="2196d1"/>
            <w:sz w:val="12"/>
            <w:szCs w:val="12"/>
            <w:vertAlign w:val="baseline"/>
            <w:rtl w:val="0"/>
          </w:rPr>
          <w:t xml:space="preserve">˜</w:t>
        </w:r>
      </w:hyperlink>
      <w:hyperlink r:id="rId612">
        <w:r w:rsidDel="00000000" w:rsidR="00000000" w:rsidRPr="00000000">
          <w:rPr>
            <w:color w:val="2196d1"/>
            <w:sz w:val="12"/>
            <w:szCs w:val="12"/>
            <w:rtl w:val="0"/>
          </w:rPr>
          <w:t xml:space="preserve">o</w:t>
        </w:r>
      </w:hyperlink>
      <w:hyperlink r:id="rId613">
        <w:r w:rsidDel="00000000" w:rsidR="00000000" w:rsidRPr="00000000">
          <w:rPr>
            <w:rFonts w:ascii="Georgia" w:cs="Georgia" w:eastAsia="Georgia" w:hAnsi="Georgia"/>
            <w:color w:val="2196d1"/>
            <w:sz w:val="12"/>
            <w:szCs w:val="12"/>
            <w:vertAlign w:val="baseline"/>
            <w:rtl w:val="0"/>
          </w:rPr>
          <w:t xml:space="preserve">´</w:t>
        </w:r>
      </w:hyperlink>
      <w:hyperlink r:id="rId614">
        <w:r w:rsidDel="00000000" w:rsidR="00000000" w:rsidRPr="00000000">
          <w:rPr>
            <w:color w:val="2196d1"/>
            <w:sz w:val="12"/>
            <w:szCs w:val="12"/>
            <w:rtl w:val="0"/>
          </w:rPr>
          <w:t xml:space="preserve">n-Esteban, et al., Comparison of the performance of</w:t>
        </w:r>
      </w:hyperlink>
      <w:r w:rsidDel="00000000" w:rsidR="00000000" w:rsidRPr="00000000">
        <w:rPr>
          <w:color w:val="2196d1"/>
          <w:sz w:val="12"/>
          <w:szCs w:val="12"/>
          <w:rtl w:val="0"/>
        </w:rPr>
        <w:t xml:space="preserve"> </w:t>
      </w:r>
      <w:hyperlink r:id="rId615">
        <w:r w:rsidDel="00000000" w:rsidR="00000000" w:rsidRPr="00000000">
          <w:rPr>
            <w:color w:val="2196d1"/>
            <w:sz w:val="12"/>
            <w:szCs w:val="12"/>
            <w:rtl w:val="0"/>
          </w:rPr>
          <w:t xml:space="preserve">the CRUSADE, ACUITY-HORIZONS, and ACTION bleeding risk scores in STEMI</w:t>
        </w:r>
      </w:hyperlink>
      <w:r w:rsidDel="00000000" w:rsidR="00000000" w:rsidRPr="00000000">
        <w:rPr>
          <w:color w:val="2196d1"/>
          <w:sz w:val="12"/>
          <w:szCs w:val="12"/>
          <w:rtl w:val="0"/>
        </w:rPr>
        <w:t xml:space="preserve"> </w:t>
      </w:r>
      <w:hyperlink r:id="rId616">
        <w:r w:rsidDel="00000000" w:rsidR="00000000" w:rsidRPr="00000000">
          <w:rPr>
            <w:color w:val="2196d1"/>
            <w:sz w:val="12"/>
            <w:szCs w:val="12"/>
            <w:rtl w:val="0"/>
          </w:rPr>
          <w:t xml:space="preserve">undergoing primary PCI: insights from a cohort of 1391 patients, Eur. Heart J.</w:t>
        </w:r>
      </w:hyperlink>
      <w:r w:rsidDel="00000000" w:rsidR="00000000" w:rsidRPr="00000000">
        <w:rPr>
          <w:color w:val="2196d1"/>
          <w:sz w:val="12"/>
          <w:szCs w:val="12"/>
          <w:rtl w:val="0"/>
        </w:rPr>
        <w:t xml:space="preserve"> </w:t>
      </w:r>
      <w:hyperlink r:id="rId617">
        <w:r w:rsidDel="00000000" w:rsidR="00000000" w:rsidRPr="00000000">
          <w:rPr>
            <w:color w:val="2196d1"/>
            <w:sz w:val="12"/>
            <w:szCs w:val="12"/>
            <w:rtl w:val="0"/>
          </w:rPr>
          <w:t xml:space="preserve">Acute Cardiovasc. Care 2 (2013) 19–26</w:t>
        </w:r>
      </w:hyperlink>
      <w:r w:rsidDel="00000000" w:rsidR="00000000" w:rsidRPr="00000000">
        <w:rPr>
          <w:sz w:val="12"/>
          <w:szCs w:val="12"/>
          <w:rtl w:val="0"/>
        </w:rPr>
        <w:t xml:space="preserve">.</w:t>
      </w:r>
    </w:p>
    <w:p w:rsidR="00000000" w:rsidDel="00000000" w:rsidP="00000000" w:rsidRDefault="00000000" w:rsidRPr="00000000" w14:paraId="000012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0" w:line="240" w:lineRule="auto"/>
        <w:ind w:left="461" w:right="0"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nwp17c" w:id="204"/>
      <w:bookmarkEnd w:id="204"/>
      <w:hyperlink r:id="rId61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R.W. Yeh, E.A. Secemsky, D.J. Kereiakes, S.-L.T. Normand, A.H. Gershlick, D.</w:t>
        </w:r>
      </w:hyperlink>
      <w:hyperlink r:id="rId619">
        <w:r w:rsidDel="00000000" w:rsidR="00000000" w:rsidRPr="00000000">
          <w:rPr>
            <w:sz w:val="12"/>
            <w:szCs w:val="12"/>
            <w:rtl w:val="0"/>
          </w:rPr>
          <w:t xml:space="preserve"> </w:t>
        </w:r>
      </w:hyperlink>
      <w:hyperlink r:id="rId620">
        <w:r w:rsidDel="00000000" w:rsidR="00000000" w:rsidRPr="00000000">
          <w:rPr>
            <w:color w:val="2196d1"/>
            <w:sz w:val="12"/>
            <w:szCs w:val="12"/>
            <w:rtl w:val="0"/>
          </w:rPr>
          <w:t xml:space="preserve">J. Cohen, et al., Development and validation of a prediction rule for benefit and</w:t>
        </w:r>
      </w:hyperlink>
      <w:r w:rsidDel="00000000" w:rsidR="00000000" w:rsidRPr="00000000">
        <w:rPr>
          <w:color w:val="2196d1"/>
          <w:sz w:val="12"/>
          <w:szCs w:val="12"/>
          <w:rtl w:val="0"/>
        </w:rPr>
        <w:t xml:space="preserve"> </w:t>
      </w:r>
      <w:hyperlink r:id="rId621">
        <w:r w:rsidDel="00000000" w:rsidR="00000000" w:rsidRPr="00000000">
          <w:rPr>
            <w:color w:val="2196d1"/>
            <w:sz w:val="12"/>
            <w:szCs w:val="12"/>
            <w:rtl w:val="0"/>
          </w:rPr>
          <w:t xml:space="preserve">harm of dual antiplatelet therapy beyond 1 year after percutaneous coronary</w:t>
        </w:r>
      </w:hyperlink>
      <w:r w:rsidDel="00000000" w:rsidR="00000000" w:rsidRPr="00000000">
        <w:rPr>
          <w:color w:val="2196d1"/>
          <w:sz w:val="12"/>
          <w:szCs w:val="12"/>
          <w:rtl w:val="0"/>
        </w:rPr>
        <w:t xml:space="preserve"> </w:t>
      </w:r>
      <w:hyperlink r:id="rId622">
        <w:r w:rsidDel="00000000" w:rsidR="00000000" w:rsidRPr="00000000">
          <w:rPr>
            <w:color w:val="2196d1"/>
            <w:sz w:val="12"/>
            <w:szCs w:val="12"/>
            <w:rtl w:val="0"/>
          </w:rPr>
          <w:t xml:space="preserve">intervention, JAMA. 315 (2016) 1735–1749</w:t>
        </w:r>
      </w:hyperlink>
      <w:r w:rsidDel="00000000" w:rsidR="00000000" w:rsidRPr="00000000">
        <w:rPr>
          <w:sz w:val="12"/>
          <w:szCs w:val="12"/>
          <w:rtl w:val="0"/>
        </w:rPr>
        <w:t xml:space="preserve">.</w:t>
      </w:r>
    </w:p>
    <w:p w:rsidR="00000000" w:rsidDel="00000000" w:rsidP="00000000" w:rsidRDefault="00000000" w:rsidRPr="00000000" w14:paraId="000012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40" w:lineRule="auto"/>
        <w:ind w:left="462" w:right="221"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7wcjv5" w:id="205"/>
      <w:bookmarkEnd w:id="205"/>
      <w:hyperlink r:id="rId62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B.A. Goldstein, A.M. Navar, M.J. Pencina, J.P.A. Ioannidis, Opportunities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2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challenges in developing risk prediction models with electronic health records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2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data: a systematic review, J. Am. Med. Inform. Assoc. 24 (2017) 198–208</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40" w:lineRule="auto"/>
        <w:ind w:left="462" w:right="38"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n1mu2y" w:id="206"/>
      <w:bookmarkEnd w:id="206"/>
      <w:hyperlink r:id="rId62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S. Harris, T. Bonnici, T. Keen, W. Lilaonitkul, M.J. White, N. Swanepoel, Clinical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2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deployment environments: five pillars of translational machine learning for health,</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2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Front Digit Health. 4 (2022), 939292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40" w:lineRule="auto"/>
        <w:ind w:left="462" w:right="38"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71acqr" w:id="207"/>
      <w:bookmarkEnd w:id="207"/>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M.P. Sendak, J. D’Arcy, S. Kashyap, M. Gao, M. Nichols, K. Corey, et al., A path for translation of machine learning products into healthcare delivery, Euro Med J Innov. (2020), </w:t>
      </w:r>
      <w:hyperlink r:id="rId62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https://doi.org/10.33590/emjinnov/19-00172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3" w:line="240" w:lineRule="auto"/>
        <w:ind w:left="462" w:right="38"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m6kmyk" w:id="208"/>
      <w:bookmarkEnd w:id="208"/>
      <w:hyperlink r:id="rId63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C.J. Kelly, A. Karthikesalingam, M. Suleyman, G. Corrado, D. King, Key challenges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3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for delivering clinical impact with artificial intelligence, BMC Med. 17 (2019) 195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1" w:line="240" w:lineRule="auto"/>
        <w:ind w:left="462" w:right="38"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1bux6d" w:id="209"/>
      <w:bookmarkEnd w:id="209"/>
      <w:hyperlink r:id="rId63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M.M. Churpek, T.C. Yuen, C. Winslow, A.A. Robicsek, D.O. Meltzer, R.D. Gibbons,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3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et al., Multicenter development and validation of a risk stratification tool for ward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3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patients, Am. J. Respir. Crit. Care Med. 190 (2014) 649–655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40" w:lineRule="auto"/>
        <w:ind w:left="462" w:right="8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lbifu6" w:id="210"/>
      <w:bookmarkEnd w:id="210"/>
      <w:hyperlink r:id="rId63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J.W. Ostrominski, J. Amione-Guerra, B. Hernandez, J.E. Michalek, A. Prasad,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3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Coding variation and adherence to methodological standards in cardiac research</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3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using the National Inpatient Sample, Front Cardiovasc Med. 8 (2021), 713695</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2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40" w:lineRule="auto"/>
        <w:ind w:left="462" w:right="89"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cfih3skhfroe" w:id="211"/>
      <w:bookmarkEnd w:id="211"/>
      <w:hyperlink r:id="rId63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F. Xie, J. Zhou, J.W. Lee, M. Tan, S. Li, L.S. Rajnthern, et al., Benchmarking</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3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emergency department prediction models with machine learning and public</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4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electronic health records, Sci Data. 9 (2022) 658</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3" w:line="240" w:lineRule="auto"/>
        <w:ind w:left="461" w:right="0"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4kgg8ps" w:id="212"/>
      <w:bookmarkEnd w:id="212"/>
      <w:hyperlink r:id="rId64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C.L. Andaur Navarro, J.A.A. Damen, M. van Smeden, T. Takada, S.W.J. Nijman,</w:t>
        </w:r>
      </w:hyperlink>
      <w:hyperlink r:id="rId642">
        <w:r w:rsidDel="00000000" w:rsidR="00000000" w:rsidRPr="00000000">
          <w:rPr>
            <w:sz w:val="12"/>
            <w:szCs w:val="12"/>
            <w:rtl w:val="0"/>
          </w:rPr>
          <w:t xml:space="preserve"> </w:t>
        </w:r>
      </w:hyperlink>
      <w:hyperlink r:id="rId643">
        <w:r w:rsidDel="00000000" w:rsidR="00000000" w:rsidRPr="00000000">
          <w:rPr>
            <w:color w:val="2196d1"/>
            <w:sz w:val="12"/>
            <w:szCs w:val="12"/>
            <w:rtl w:val="0"/>
          </w:rPr>
          <w:t xml:space="preserve">P. Dhiman, et al., Systematic review identifies the design and methodological</w:t>
        </w:r>
      </w:hyperlink>
      <w:r w:rsidDel="00000000" w:rsidR="00000000" w:rsidRPr="00000000">
        <w:rPr>
          <w:color w:val="2196d1"/>
          <w:sz w:val="12"/>
          <w:szCs w:val="12"/>
          <w:rtl w:val="0"/>
        </w:rPr>
        <w:t xml:space="preserve"> </w:t>
      </w:r>
      <w:hyperlink r:id="rId644">
        <w:r w:rsidDel="00000000" w:rsidR="00000000" w:rsidRPr="00000000">
          <w:rPr>
            <w:color w:val="2196d1"/>
            <w:sz w:val="12"/>
            <w:szCs w:val="12"/>
            <w:rtl w:val="0"/>
          </w:rPr>
          <w:t xml:space="preserve">conduct of studies on machine learning-based prediction models, J. Clin.</w:t>
        </w:r>
      </w:hyperlink>
      <w:r w:rsidDel="00000000" w:rsidR="00000000" w:rsidRPr="00000000">
        <w:rPr>
          <w:color w:val="2196d1"/>
          <w:sz w:val="12"/>
          <w:szCs w:val="12"/>
          <w:rtl w:val="0"/>
        </w:rPr>
        <w:t xml:space="preserve"> </w:t>
      </w:r>
      <w:hyperlink r:id="rId645">
        <w:r w:rsidDel="00000000" w:rsidR="00000000" w:rsidRPr="00000000">
          <w:rPr>
            <w:color w:val="2196d1"/>
            <w:sz w:val="12"/>
            <w:szCs w:val="12"/>
            <w:rtl w:val="0"/>
          </w:rPr>
          <w:t xml:space="preserve">Epidemiol. 154 (2023) 8–22</w:t>
        </w:r>
      </w:hyperlink>
      <w:r w:rsidDel="00000000" w:rsidR="00000000" w:rsidRPr="00000000">
        <w:rPr>
          <w:sz w:val="12"/>
          <w:szCs w:val="12"/>
          <w:rtl w:val="0"/>
        </w:rPr>
        <w:t xml:space="preserve">.</w:t>
      </w:r>
    </w:p>
    <w:p w:rsidR="00000000" w:rsidDel="00000000" w:rsidP="00000000" w:rsidRDefault="00000000" w:rsidRPr="00000000" w14:paraId="000012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0" w:line="240" w:lineRule="auto"/>
        <w:ind w:left="461" w:right="0"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zlqixl" w:id="213"/>
      <w:bookmarkEnd w:id="213"/>
      <w:hyperlink r:id="rId64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K.G.M. Moons, D.G. Altman, J.B. Reitsma, J.P.A. Ioannidis, P. Macaskill, E.</w:t>
        </w:r>
      </w:hyperlink>
      <w:hyperlink r:id="rId647">
        <w:r w:rsidDel="00000000" w:rsidR="00000000" w:rsidRPr="00000000">
          <w:rPr>
            <w:color w:val="2196d1"/>
            <w:sz w:val="12"/>
            <w:szCs w:val="12"/>
            <w:rtl w:val="0"/>
          </w:rPr>
          <w:t xml:space="preserve">W. Steyerberg, et al., Transparent reporting of a multivariable prediction model for</w:t>
        </w:r>
      </w:hyperlink>
      <w:r w:rsidDel="00000000" w:rsidR="00000000" w:rsidRPr="00000000">
        <w:rPr>
          <w:color w:val="2196d1"/>
          <w:sz w:val="12"/>
          <w:szCs w:val="12"/>
          <w:rtl w:val="0"/>
        </w:rPr>
        <w:t xml:space="preserve"> </w:t>
      </w:r>
      <w:hyperlink r:id="rId648">
        <w:r w:rsidDel="00000000" w:rsidR="00000000" w:rsidRPr="00000000">
          <w:rPr>
            <w:color w:val="2196d1"/>
            <w:sz w:val="12"/>
            <w:szCs w:val="12"/>
            <w:rtl w:val="0"/>
          </w:rPr>
          <w:t xml:space="preserve">individual prognosis or diagnosis (TRIPOD): explanation and elaboration, Ann.</w:t>
        </w:r>
      </w:hyperlink>
      <w:r w:rsidDel="00000000" w:rsidR="00000000" w:rsidRPr="00000000">
        <w:rPr>
          <w:color w:val="2196d1"/>
          <w:sz w:val="12"/>
          <w:szCs w:val="12"/>
          <w:rtl w:val="0"/>
        </w:rPr>
        <w:t xml:space="preserve"> </w:t>
      </w:r>
      <w:hyperlink r:id="rId649">
        <w:r w:rsidDel="00000000" w:rsidR="00000000" w:rsidRPr="00000000">
          <w:rPr>
            <w:color w:val="2196d1"/>
            <w:sz w:val="12"/>
            <w:szCs w:val="12"/>
            <w:rtl w:val="0"/>
          </w:rPr>
          <w:t xml:space="preserve">Intern. Med. 162 (2015) W1–73</w:t>
        </w:r>
      </w:hyperlink>
      <w:r w:rsidDel="00000000" w:rsidR="00000000" w:rsidRPr="00000000">
        <w:rPr>
          <w:sz w:val="12"/>
          <w:szCs w:val="12"/>
          <w:rtl w:val="0"/>
        </w:rPr>
        <w:t xml:space="preserve">.</w:t>
      </w:r>
    </w:p>
    <w:p w:rsidR="00000000" w:rsidDel="00000000" w:rsidP="00000000" w:rsidRDefault="00000000" w:rsidRPr="00000000" w14:paraId="000012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40" w:lineRule="auto"/>
        <w:ind w:left="462" w:right="150"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1er0t5e" w:id="214"/>
      <w:bookmarkEnd w:id="214"/>
      <w:hyperlink r:id="rId650">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B. Van Calster, D.J. McLernon, M. van Smeden, L. Wynants, E.W. Steyerberg, Topic</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51">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group “evaluating diagnostic tests and prediction models” of the STRATOS</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5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initiative. Calibration: the Achilles heel of predictive analytics, BMC Med. 17</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5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(2019) 230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40" w:lineRule="auto"/>
        <w:ind w:left="462" w:right="150"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yqobt7" w:id="215"/>
      <w:bookmarkEnd w:id="215"/>
      <w:hyperlink r:id="rId65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E.W. Steyerberg, F.E. Harrell, Prediction models need appropriate internal,</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55">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internal–external, and external validation, J. Clin. Epidemiol. 69 (2016) 245–247</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2" w:line="240" w:lineRule="auto"/>
        <w:ind w:left="462" w:right="155"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2dvym10" w:id="216"/>
      <w:bookmarkEnd w:id="216"/>
      <w:hyperlink r:id="rId65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 Gattringer, K. Niederkorn, L. Seyfang, T. Seifert-Held, N. Simmet, J. Ferrari, et</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57">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al., Myocardial infarction as a complication in acute stroke: results from the</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58">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austrian stroke unit registry, Cerebrovasc. Dis. 37 (2014) 147–152</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p w:rsidR="00000000" w:rsidDel="00000000" w:rsidP="00000000" w:rsidRDefault="00000000" w:rsidRPr="00000000" w14:paraId="0000128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1"/>
        </w:tabs>
        <w:spacing w:after="0" w:before="2" w:line="240" w:lineRule="auto"/>
        <w:ind w:left="461" w:right="0" w:hanging="330"/>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t18w8t" w:id="217"/>
      <w:bookmarkEnd w:id="217"/>
      <w:hyperlink r:id="rId659">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T.A. Pana, A.D. Wood, M.A. Mamas, A.B. Clark, J.H. Bettencourt-Silva, D.</w:t>
        </w:r>
      </w:hyperlink>
      <w:hyperlink r:id="rId660">
        <w:r w:rsidDel="00000000" w:rsidR="00000000" w:rsidRPr="00000000">
          <w:rPr>
            <w:color w:val="2196d1"/>
            <w:sz w:val="12"/>
            <w:szCs w:val="12"/>
            <w:rtl w:val="0"/>
          </w:rPr>
          <w:t xml:space="preserve">J. McLernon, et al., Myocardial infarction after acute ischaemic stroke: incidence,</w:t>
        </w:r>
      </w:hyperlink>
      <w:r w:rsidDel="00000000" w:rsidR="00000000" w:rsidRPr="00000000">
        <w:rPr>
          <w:color w:val="2196d1"/>
          <w:sz w:val="12"/>
          <w:szCs w:val="12"/>
          <w:rtl w:val="0"/>
        </w:rPr>
        <w:t xml:space="preserve"> </w:t>
      </w:r>
      <w:hyperlink r:id="rId661">
        <w:r w:rsidDel="00000000" w:rsidR="00000000" w:rsidRPr="00000000">
          <w:rPr>
            <w:color w:val="2196d1"/>
            <w:sz w:val="12"/>
            <w:szCs w:val="12"/>
            <w:rtl w:val="0"/>
          </w:rPr>
          <w:t xml:space="preserve">mortality and risk factors, Acta Neurol. Scand. 140 (2019) 219–228</w:t>
        </w:r>
      </w:hyperlink>
      <w:r w:rsidDel="00000000" w:rsidR="00000000" w:rsidRPr="00000000">
        <w:rPr>
          <w:sz w:val="12"/>
          <w:szCs w:val="12"/>
          <w:rtl w:val="0"/>
        </w:rPr>
        <w:t xml:space="preserve">.</w:t>
      </w:r>
    </w:p>
    <w:p w:rsidR="00000000" w:rsidDel="00000000" w:rsidP="00000000" w:rsidRDefault="00000000" w:rsidRPr="00000000" w14:paraId="0000128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0"/>
          <w:tab w:val="left" w:leader="none" w:pos="462"/>
        </w:tabs>
        <w:spacing w:after="0" w:before="0" w:line="240" w:lineRule="auto"/>
        <w:ind w:left="462" w:right="337" w:hanging="332"/>
        <w:jc w:val="both"/>
        <w:rPr>
          <w:rFonts w:ascii="Times New Roman" w:cs="Times New Roman" w:eastAsia="Times New Roman" w:hAnsi="Times New Roman"/>
          <w:b w:val="0"/>
          <w:i w:val="0"/>
          <w:smallCaps w:val="0"/>
          <w:strike w:val="0"/>
          <w:color w:val="000000"/>
          <w:sz w:val="12"/>
          <w:szCs w:val="12"/>
          <w:u w:val="none"/>
          <w:shd w:fill="auto" w:val="clear"/>
          <w:vertAlign w:val="baseline"/>
        </w:rPr>
      </w:pPr>
      <w:bookmarkStart w:colFirst="0" w:colLast="0" w:name="_heading=h.3d0wewm" w:id="218"/>
      <w:bookmarkEnd w:id="218"/>
      <w:hyperlink r:id="rId662">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D. Zhang, C. Yin, J. Zeng, X. Yuan, P. Zhang, Combining structured and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63">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unstructured data for predictive models: a deep learning approach, BMC Med.</w:t>
        </w:r>
      </w:hyperlink>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 </w:t>
      </w:r>
      <w:hyperlink r:id="rId664">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Inform. Decis. Mak. 20 (2020)</w:t>
        </w:r>
      </w:hyperlink>
      <w:hyperlink r:id="rId665">
        <w:r w:rsidDel="00000000" w:rsidR="00000000" w:rsidRPr="00000000">
          <w:rPr>
            <w:rtl w:val="0"/>
          </w:rPr>
          <w:t xml:space="preserve"> </w:t>
        </w:r>
      </w:hyperlink>
      <w:hyperlink r:id="rId666">
        <w:r w:rsidDel="00000000" w:rsidR="00000000" w:rsidRPr="00000000">
          <w:rPr>
            <w:rFonts w:ascii="Times New Roman" w:cs="Times New Roman" w:eastAsia="Times New Roman" w:hAnsi="Times New Roman"/>
            <w:b w:val="0"/>
            <w:i w:val="0"/>
            <w:smallCaps w:val="0"/>
            <w:strike w:val="0"/>
            <w:color w:val="2196d1"/>
            <w:sz w:val="12"/>
            <w:szCs w:val="12"/>
            <w:u w:val="none"/>
            <w:shd w:fill="auto" w:val="clear"/>
            <w:vertAlign w:val="baseline"/>
            <w:rtl w:val="0"/>
          </w:rPr>
          <w:t xml:space="preserve">280</w:t>
        </w:r>
      </w:hyperlink>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w:t>
      </w:r>
    </w:p>
    <w:sectPr>
      <w:type w:val="continuous"/>
      <w:pgSz w:h="16840" w:w="11920" w:orient="portrait"/>
      <w:pgMar w:bottom="280" w:top="1060" w:left="620" w:right="640" w:header="655" w:footer="544"/>
      <w:cols w:equalWidth="0" w:num="1">
        <w:col w:space="0" w:w="1064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Trebuchet MS"/>
  <w:font w:name="Georgia"/>
  <w:font w:name="Arial"/>
  <w:font w:name="Calibri"/>
  <w:font w:name="Cambria"/>
  <w:font w:name="Lucida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83" name=""/>
              <a:graphic>
                <a:graphicData uri="http://schemas.microsoft.com/office/word/2010/wordprocessingShape">
                  <wps:wsp>
                    <wps:cNvSpPr/>
                    <wps:cNvPr id="33" name="Shape 3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83"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3302000</wp:posOffset>
              </wp:positionH>
              <wp:positionV relativeFrom="paragraph">
                <wp:posOffset>9575800</wp:posOffset>
              </wp:positionV>
              <wp:extent cx="153670" cy="134620"/>
              <wp:effectExtent b="0" l="0" r="0" t="0"/>
              <wp:wrapNone/>
              <wp:docPr id="373" name=""/>
              <a:graphic>
                <a:graphicData uri="http://schemas.microsoft.com/office/word/2010/wordprocessingShape">
                  <wps:wsp>
                    <wps:cNvSpPr/>
                    <wps:cNvPr id="14" name="Shape 14"/>
                    <wps:spPr>
                      <a:xfrm>
                        <a:off x="5278690" y="3722215"/>
                        <a:ext cx="134620" cy="115570"/>
                      </a:xfrm>
                      <a:prstGeom prst="rect">
                        <a:avLst/>
                      </a:prstGeom>
                      <a:noFill/>
                      <a:ln>
                        <a:noFill/>
                      </a:ln>
                    </wps:spPr>
                    <wps:txbx>
                      <w:txbxContent>
                        <w:p w:rsidR="00000000" w:rsidDel="00000000" w:rsidP="00000000" w:rsidRDefault="00000000" w:rsidRPr="00000000">
                          <w:pPr>
                            <w:spacing w:after="0" w:before="22.000000476837158" w:line="240"/>
                            <w:ind w:left="60" w:right="0" w:firstLine="120"/>
                            <w:jc w:val="left"/>
                            <w:textDirection w:val="btLr"/>
                          </w:pPr>
                          <w:r w:rsidDel="00000000" w:rsidR="00000000" w:rsidRPr="00000000">
                            <w:rPr>
                              <w:rFonts w:ascii="Georgia" w:cs="Georgia" w:eastAsia="Georgia" w:hAnsi="Georgia"/>
                              <w:b w:val="0"/>
                              <w:i w:val="0"/>
                              <w:smallCaps w:val="0"/>
                              <w:strike w:val="0"/>
                              <w:color w:val="000000"/>
                              <w:sz w:val="12"/>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3302000</wp:posOffset>
              </wp:positionH>
              <wp:positionV relativeFrom="paragraph">
                <wp:posOffset>9575800</wp:posOffset>
              </wp:positionV>
              <wp:extent cx="153670" cy="134620"/>
              <wp:effectExtent b="0" l="0" r="0" t="0"/>
              <wp:wrapNone/>
              <wp:docPr id="373"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153670" cy="13462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3302000</wp:posOffset>
              </wp:positionH>
              <wp:positionV relativeFrom="paragraph">
                <wp:posOffset>9575800</wp:posOffset>
              </wp:positionV>
              <wp:extent cx="153670" cy="134620"/>
              <wp:effectExtent b="0" l="0" r="0" t="0"/>
              <wp:wrapNone/>
              <wp:docPr id="374" name=""/>
              <a:graphic>
                <a:graphicData uri="http://schemas.microsoft.com/office/word/2010/wordprocessingShape">
                  <wps:wsp>
                    <wps:cNvSpPr/>
                    <wps:cNvPr id="15" name="Shape 15"/>
                    <wps:spPr>
                      <a:xfrm>
                        <a:off x="5278690" y="3722215"/>
                        <a:ext cx="134620" cy="115570"/>
                      </a:xfrm>
                      <a:prstGeom prst="rect">
                        <a:avLst/>
                      </a:prstGeom>
                      <a:noFill/>
                      <a:ln>
                        <a:noFill/>
                      </a:ln>
                    </wps:spPr>
                    <wps:txbx>
                      <w:txbxContent>
                        <w:p w:rsidR="00000000" w:rsidDel="00000000" w:rsidP="00000000" w:rsidRDefault="00000000" w:rsidRPr="00000000">
                          <w:pPr>
                            <w:spacing w:after="0" w:before="22.000000476837158" w:line="240"/>
                            <w:ind w:left="60" w:right="0" w:firstLine="120"/>
                            <w:jc w:val="left"/>
                            <w:textDirection w:val="btLr"/>
                          </w:pPr>
                          <w:r w:rsidDel="00000000" w:rsidR="00000000" w:rsidRPr="00000000">
                            <w:rPr>
                              <w:rFonts w:ascii="Georgia" w:cs="Georgia" w:eastAsia="Georgia" w:hAnsi="Georgia"/>
                              <w:b w:val="0"/>
                              <w:i w:val="0"/>
                              <w:smallCaps w:val="0"/>
                              <w:strike w:val="0"/>
                              <w:color w:val="000000"/>
                              <w:sz w:val="12"/>
                              <w:vertAlign w:val="baseline"/>
                            </w:rPr>
                            <w:t xml:space="preserve"> PAGE 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3302000</wp:posOffset>
              </wp:positionH>
              <wp:positionV relativeFrom="paragraph">
                <wp:posOffset>9575800</wp:posOffset>
              </wp:positionV>
              <wp:extent cx="153670" cy="134620"/>
              <wp:effectExtent b="0" l="0" r="0" t="0"/>
              <wp:wrapNone/>
              <wp:docPr id="374"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53670" cy="134620"/>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71" name=""/>
              <a:graphic>
                <a:graphicData uri="http://schemas.microsoft.com/office/word/2010/wordprocessingShape">
                  <wps:wsp>
                    <wps:cNvSpPr/>
                    <wps:cNvPr id="12" name="Shape 12"/>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7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72" name=""/>
              <a:graphic>
                <a:graphicData uri="http://schemas.microsoft.com/office/word/2010/wordprocessingShape">
                  <wps:wsp>
                    <wps:cNvSpPr/>
                    <wps:cNvPr id="13" name="Shape 1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7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79" name=""/>
              <a:graphic>
                <a:graphicData uri="http://schemas.microsoft.com/office/word/2010/wordprocessingShape">
                  <wps:wsp>
                    <wps:cNvSpPr/>
                    <wps:cNvPr id="20" name="Shape 20"/>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79"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4" name=""/>
              <a:graphic>
                <a:graphicData uri="http://schemas.microsoft.com/office/word/2010/wordprocessingShape">
                  <wps:wsp>
                    <wps:cNvSpPr/>
                    <wps:cNvPr id="54" name="Shape 54"/>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4"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05" name=""/>
              <a:graphic>
                <a:graphicData uri="http://schemas.microsoft.com/office/word/2010/wordprocessingShape">
                  <wps:wsp>
                    <wps:cNvSpPr/>
                    <wps:cNvPr id="55" name="Shape 55"/>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05"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12" name=""/>
              <a:graphic>
                <a:graphicData uri="http://schemas.microsoft.com/office/word/2010/wordprocessingShape">
                  <wps:wsp>
                    <wps:cNvSpPr/>
                    <wps:cNvPr id="62" name="Shape 62"/>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12" name="image61.png"/>
              <a:graphic>
                <a:graphicData uri="http://schemas.openxmlformats.org/drawingml/2006/picture">
                  <pic:pic>
                    <pic:nvPicPr>
                      <pic:cNvPr id="0" name="image61.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3" name=""/>
              <a:graphic>
                <a:graphicData uri="http://schemas.microsoft.com/office/word/2010/wordprocessingShape">
                  <wps:wsp>
                    <wps:cNvSpPr/>
                    <wps:cNvPr id="63" name="Shape 6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3" name="image62.png"/>
              <a:graphic>
                <a:graphicData uri="http://schemas.openxmlformats.org/drawingml/2006/picture">
                  <pic:pic>
                    <pic:nvPicPr>
                      <pic:cNvPr id="0" name="image62.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10" name=""/>
              <a:graphic>
                <a:graphicData uri="http://schemas.microsoft.com/office/word/2010/wordprocessingShape">
                  <wps:wsp>
                    <wps:cNvSpPr/>
                    <wps:cNvPr id="60" name="Shape 60"/>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10" name="image59.png"/>
              <a:graphic>
                <a:graphicData uri="http://schemas.openxmlformats.org/drawingml/2006/picture">
                  <pic:pic>
                    <pic:nvPicPr>
                      <pic:cNvPr id="0" name="image59.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2" name=""/>
              <a:graphic>
                <a:graphicData uri="http://schemas.microsoft.com/office/word/2010/wordprocessingShape">
                  <wps:wsp>
                    <wps:cNvSpPr/>
                    <wps:cNvPr id="42" name="Shape 42"/>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2"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1" name=""/>
              <a:graphic>
                <a:graphicData uri="http://schemas.microsoft.com/office/word/2010/wordprocessingShape">
                  <wps:wsp>
                    <wps:cNvSpPr/>
                    <wps:cNvPr id="61" name="Shape 61"/>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1"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8" name=""/>
              <a:graphic>
                <a:graphicData uri="http://schemas.microsoft.com/office/word/2010/wordprocessingShape">
                  <wps:wsp>
                    <wps:cNvSpPr/>
                    <wps:cNvPr id="58" name="Shape 58"/>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8" name="image56.png"/>
              <a:graphic>
                <a:graphicData uri="http://schemas.openxmlformats.org/drawingml/2006/picture">
                  <pic:pic>
                    <pic:nvPicPr>
                      <pic:cNvPr id="0" name="image56.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09" name=""/>
              <a:graphic>
                <a:graphicData uri="http://schemas.microsoft.com/office/word/2010/wordprocessingShape">
                  <wps:wsp>
                    <wps:cNvSpPr/>
                    <wps:cNvPr id="59" name="Shape 59"/>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09" name="image58.png"/>
              <a:graphic>
                <a:graphicData uri="http://schemas.openxmlformats.org/drawingml/2006/picture">
                  <pic:pic>
                    <pic:nvPicPr>
                      <pic:cNvPr id="0" name="image58.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06" name=""/>
              <a:graphic>
                <a:graphicData uri="http://schemas.microsoft.com/office/word/2010/wordprocessingShape">
                  <wps:wsp>
                    <wps:cNvSpPr/>
                    <wps:cNvPr id="56" name="Shape 56"/>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06"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07" name=""/>
              <a:graphic>
                <a:graphicData uri="http://schemas.microsoft.com/office/word/2010/wordprocessingShape">
                  <wps:wsp>
                    <wps:cNvSpPr/>
                    <wps:cNvPr id="57" name="Shape 57"/>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07"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96" name=""/>
              <a:graphic>
                <a:graphicData uri="http://schemas.microsoft.com/office/word/2010/wordprocessingShape">
                  <wps:wsp>
                    <wps:cNvSpPr/>
                    <wps:cNvPr id="46" name="Shape 46"/>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96"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4" name=""/>
              <a:graphic>
                <a:graphicData uri="http://schemas.microsoft.com/office/word/2010/wordprocessingShape">
                  <wps:wsp>
                    <wps:cNvSpPr/>
                    <wps:cNvPr id="44" name="Shape 44"/>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4"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395" name=""/>
              <a:graphic>
                <a:graphicData uri="http://schemas.microsoft.com/office/word/2010/wordprocessingShape">
                  <wps:wsp>
                    <wps:cNvSpPr/>
                    <wps:cNvPr id="45" name="Shape 45"/>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395"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02" name=""/>
              <a:graphic>
                <a:graphicData uri="http://schemas.microsoft.com/office/word/2010/wordprocessingShape">
                  <wps:wsp>
                    <wps:cNvSpPr/>
                    <wps:cNvPr id="52" name="Shape 52"/>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02"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03" name=""/>
              <a:graphic>
                <a:graphicData uri="http://schemas.microsoft.com/office/word/2010/wordprocessingShape">
                  <wps:wsp>
                    <wps:cNvSpPr/>
                    <wps:cNvPr id="53" name="Shape 5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403"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93" name=""/>
              <a:graphic>
                <a:graphicData uri="http://schemas.microsoft.com/office/word/2010/wordprocessingShape">
                  <wps:wsp>
                    <wps:cNvSpPr/>
                    <wps:cNvPr id="43" name="Shape 4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93"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D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0" name=""/>
              <a:graphic>
                <a:graphicData uri="http://schemas.microsoft.com/office/word/2010/wordprocessingShape">
                  <wps:wsp>
                    <wps:cNvSpPr/>
                    <wps:cNvPr id="50" name="Shape 50"/>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0" name="image47.png"/>
              <a:graphic>
                <a:graphicData uri="http://schemas.openxmlformats.org/drawingml/2006/picture">
                  <pic:pic>
                    <pic:nvPicPr>
                      <pic:cNvPr id="0" name="image47.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1" name=""/>
              <a:graphic>
                <a:graphicData uri="http://schemas.microsoft.com/office/word/2010/wordprocessingShape">
                  <wps:wsp>
                    <wps:cNvSpPr/>
                    <wps:cNvPr id="51" name="Shape 51"/>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01" name="image48.png"/>
              <a:graphic>
                <a:graphicData uri="http://schemas.openxmlformats.org/drawingml/2006/picture">
                  <pic:pic>
                    <pic:nvPicPr>
                      <pic:cNvPr id="0" name="image48.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8" name=""/>
              <a:graphic>
                <a:graphicData uri="http://schemas.microsoft.com/office/word/2010/wordprocessingShape">
                  <wps:wsp>
                    <wps:cNvSpPr/>
                    <wps:cNvPr id="48" name="Shape 48"/>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8"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9" name=""/>
              <a:graphic>
                <a:graphicData uri="http://schemas.microsoft.com/office/word/2010/wordprocessingShape">
                  <wps:wsp>
                    <wps:cNvSpPr/>
                    <wps:cNvPr id="49" name="Shape 49"/>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9"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7" name=""/>
              <a:graphic>
                <a:graphicData uri="http://schemas.microsoft.com/office/word/2010/wordprocessingShape">
                  <wps:wsp>
                    <wps:cNvSpPr/>
                    <wps:cNvPr id="47" name="Shape 47"/>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97" name="image44.png"/>
              <a:graphic>
                <a:graphicData uri="http://schemas.openxmlformats.org/drawingml/2006/picture">
                  <pic:pic>
                    <pic:nvPicPr>
                      <pic:cNvPr id="0" name="image44.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57" name=""/>
              <a:graphic>
                <a:graphicData uri="http://schemas.microsoft.com/office/word/2010/wordprocessingShape">
                  <wps:wsp>
                    <wps:cNvSpPr/>
                    <wps:cNvPr id="119" name="Shape 119"/>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57" name="image140.png"/>
              <a:graphic>
                <a:graphicData uri="http://schemas.openxmlformats.org/drawingml/2006/picture">
                  <pic:pic>
                    <pic:nvPicPr>
                      <pic:cNvPr id="0" name="image140.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8" name=""/>
              <a:graphic>
                <a:graphicData uri="http://schemas.microsoft.com/office/word/2010/wordprocessingShape">
                  <wps:wsp>
                    <wps:cNvSpPr/>
                    <wps:cNvPr id="120" name="Shape 120"/>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8" name="image141.png"/>
              <a:graphic>
                <a:graphicData uri="http://schemas.openxmlformats.org/drawingml/2006/picture">
                  <pic:pic>
                    <pic:nvPicPr>
                      <pic:cNvPr id="0" name="image141.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5" name=""/>
              <a:graphic>
                <a:graphicData uri="http://schemas.microsoft.com/office/word/2010/wordprocessingShape">
                  <wps:wsp>
                    <wps:cNvSpPr/>
                    <wps:cNvPr id="117" name="Shape 117"/>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5" name="image138.png"/>
              <a:graphic>
                <a:graphicData uri="http://schemas.openxmlformats.org/drawingml/2006/picture">
                  <pic:pic>
                    <pic:nvPicPr>
                      <pic:cNvPr id="0" name="image138.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6" name=""/>
              <a:graphic>
                <a:graphicData uri="http://schemas.microsoft.com/office/word/2010/wordprocessingShape">
                  <wps:wsp>
                    <wps:cNvSpPr/>
                    <wps:cNvPr id="118" name="Shape 118"/>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6" name="image139.png"/>
              <a:graphic>
                <a:graphicData uri="http://schemas.openxmlformats.org/drawingml/2006/picture">
                  <pic:pic>
                    <pic:nvPicPr>
                      <pic:cNvPr id="0" name="image139.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70" name=""/>
              <a:graphic>
                <a:graphicData uri="http://schemas.microsoft.com/office/word/2010/wordprocessingShape">
                  <wps:wsp>
                    <wps:cNvSpPr/>
                    <wps:cNvPr id="11" name="Shape 11"/>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7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48285" cy="213360"/>
              <wp:effectExtent b="0" l="0" r="0" t="0"/>
              <wp:wrapNone/>
              <wp:docPr id="463" name=""/>
              <a:graphic>
                <a:graphicData uri="http://schemas.microsoft.com/office/word/2010/wordprocessingShape">
                  <wps:wsp>
                    <wps:cNvSpPr/>
                    <wps:cNvPr id="125" name="Shape 125"/>
                    <wps:spPr>
                      <a:xfrm>
                        <a:off x="5231383" y="3682845"/>
                        <a:ext cx="229235"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48285" cy="213360"/>
              <wp:effectExtent b="0" l="0" r="0" t="0"/>
              <wp:wrapNone/>
              <wp:docPr id="463" name="image149.png"/>
              <a:graphic>
                <a:graphicData uri="http://schemas.openxmlformats.org/drawingml/2006/picture">
                  <pic:pic>
                    <pic:nvPicPr>
                      <pic:cNvPr id="0" name="image149.png"/>
                      <pic:cNvPicPr preferRelativeResize="0"/>
                    </pic:nvPicPr>
                    <pic:blipFill>
                      <a:blip r:embed="rId1"/>
                      <a:srcRect/>
                      <a:stretch>
                        <a:fillRect/>
                      </a:stretch>
                    </pic:blipFill>
                    <pic:spPr>
                      <a:xfrm>
                        <a:off x="0" y="0"/>
                        <a:ext cx="248285" cy="213360"/>
                      </a:xfrm>
                      <a:prstGeom prst="rect"/>
                      <a:ln/>
                    </pic:spPr>
                  </pic:pic>
                </a:graphicData>
              </a:graphic>
            </wp:anchor>
          </w:drawing>
        </mc:Fallback>
      </mc:AlternateConten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4" name=""/>
              <a:graphic>
                <a:graphicData uri="http://schemas.microsoft.com/office/word/2010/wordprocessingShape">
                  <wps:wsp>
                    <wps:cNvSpPr/>
                    <wps:cNvPr id="126" name="Shape 126"/>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4" name="image150.png"/>
              <a:graphic>
                <a:graphicData uri="http://schemas.openxmlformats.org/drawingml/2006/picture">
                  <pic:pic>
                    <pic:nvPicPr>
                      <pic:cNvPr id="0" name="image150.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1" name=""/>
              <a:graphic>
                <a:graphicData uri="http://schemas.microsoft.com/office/word/2010/wordprocessingShape">
                  <wps:wsp>
                    <wps:cNvSpPr/>
                    <wps:cNvPr id="123" name="Shape 12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1" name="image144.png"/>
              <a:graphic>
                <a:graphicData uri="http://schemas.openxmlformats.org/drawingml/2006/picture">
                  <pic:pic>
                    <pic:nvPicPr>
                      <pic:cNvPr id="0" name="image144.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2" name=""/>
              <a:graphic>
                <a:graphicData uri="http://schemas.microsoft.com/office/word/2010/wordprocessingShape">
                  <wps:wsp>
                    <wps:cNvSpPr/>
                    <wps:cNvPr id="124" name="Shape 124"/>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2" name="image145.png"/>
              <a:graphic>
                <a:graphicData uri="http://schemas.openxmlformats.org/drawingml/2006/picture">
                  <pic:pic>
                    <pic:nvPicPr>
                      <pic:cNvPr id="0" name="image145.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9" name=""/>
              <a:graphic>
                <a:graphicData uri="http://schemas.microsoft.com/office/word/2010/wordprocessingShape">
                  <wps:wsp>
                    <wps:cNvSpPr/>
                    <wps:cNvPr id="121" name="Shape 121"/>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59" name="image142.png"/>
              <a:graphic>
                <a:graphicData uri="http://schemas.openxmlformats.org/drawingml/2006/picture">
                  <pic:pic>
                    <pic:nvPicPr>
                      <pic:cNvPr id="0" name="image142.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E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0" name=""/>
              <a:graphic>
                <a:graphicData uri="http://schemas.microsoft.com/office/word/2010/wordprocessingShape">
                  <wps:wsp>
                    <wps:cNvSpPr/>
                    <wps:cNvPr id="122" name="Shape 122"/>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60" name="image143.png"/>
              <a:graphic>
                <a:graphicData uri="http://schemas.openxmlformats.org/drawingml/2006/picture">
                  <pic:pic>
                    <pic:nvPicPr>
                      <pic:cNvPr id="0" name="image143.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127000</wp:posOffset>
              </wp:positionH>
              <wp:positionV relativeFrom="paragraph">
                <wp:posOffset>9575800</wp:posOffset>
              </wp:positionV>
              <wp:extent cx="1270" cy="12700"/>
              <wp:effectExtent b="0" l="0" r="0" t="0"/>
              <wp:wrapNone/>
              <wp:docPr id="426" name=""/>
              <a:graphic>
                <a:graphicData uri="http://schemas.microsoft.com/office/word/2010/wordprocessingShape">
                  <wps:wsp>
                    <wps:cNvSpPr/>
                    <wps:cNvPr id="76" name="Shape 76"/>
                    <wps:spPr>
                      <a:xfrm>
                        <a:off x="2099245" y="3779365"/>
                        <a:ext cx="6493510" cy="1270"/>
                      </a:xfrm>
                      <a:custGeom>
                        <a:rect b="b" l="l" r="r" t="t"/>
                        <a:pathLst>
                          <a:path extrusionOk="0" h="120000" w="6493510">
                            <a:moveTo>
                              <a:pt x="0" y="0"/>
                            </a:moveTo>
                            <a:lnTo>
                              <a:pt x="6493205" y="0"/>
                            </a:lnTo>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127000</wp:posOffset>
              </wp:positionH>
              <wp:positionV relativeFrom="paragraph">
                <wp:posOffset>9575800</wp:posOffset>
              </wp:positionV>
              <wp:extent cx="1270" cy="12700"/>
              <wp:effectExtent b="0" l="0" r="0" t="0"/>
              <wp:wrapNone/>
              <wp:docPr id="426" name="image78.png"/>
              <a:graphic>
                <a:graphicData uri="http://schemas.openxmlformats.org/drawingml/2006/picture">
                  <pic:pic>
                    <pic:nvPicPr>
                      <pic:cNvPr id="0" name="image78.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9575800</wp:posOffset>
              </wp:positionV>
              <wp:extent cx="3276600" cy="165735"/>
              <wp:effectExtent b="0" l="0" r="0" t="0"/>
              <wp:wrapNone/>
              <wp:docPr id="425" name=""/>
              <a:graphic>
                <a:graphicData uri="http://schemas.microsoft.com/office/word/2010/wordprocessingShape">
                  <wps:wsp>
                    <wps:cNvSpPr/>
                    <wps:cNvPr id="75" name="Shape 75"/>
                    <wps:spPr>
                      <a:xfrm>
                        <a:off x="3717225" y="3706658"/>
                        <a:ext cx="3257550" cy="146685"/>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Trebuchet MS" w:cs="Trebuchet MS" w:eastAsia="Trebuchet MS" w:hAnsi="Trebuchet MS"/>
                              <w:b w:val="0"/>
                              <w:i w:val="0"/>
                              <w:smallCaps w:val="0"/>
                              <w:strike w:val="0"/>
                              <w:color w:val="231f20"/>
                              <w:sz w:val="16"/>
                              <w:vertAlign w:val="baseline"/>
                            </w:rPr>
                            <w:t xml:space="preserve">Galimzhanov A, </w:t>
                          </w:r>
                          <w:r w:rsidDel="00000000" w:rsidR="00000000" w:rsidRPr="00000000">
                            <w:rPr>
                              <w:rFonts w:ascii="Trebuchet MS" w:cs="Trebuchet MS" w:eastAsia="Trebuchet MS" w:hAnsi="Trebuchet MS"/>
                              <w:b w:val="0"/>
                              <w:i w:val="1"/>
                              <w:smallCaps w:val="0"/>
                              <w:strike w:val="0"/>
                              <w:color w:val="231f20"/>
                              <w:sz w:val="16"/>
                              <w:vertAlign w:val="baseline"/>
                            </w:rPr>
                            <w:t xml:space="preserve">et al</w:t>
                          </w:r>
                          <w:r w:rsidDel="00000000" w:rsidR="00000000" w:rsidRPr="00000000">
                            <w:rPr>
                              <w:rFonts w:ascii="Trebuchet MS" w:cs="Trebuchet MS" w:eastAsia="Trebuchet MS" w:hAnsi="Trebuchet MS"/>
                              <w:b w:val="0"/>
                              <w:i w:val="0"/>
                              <w:smallCaps w:val="0"/>
                              <w:strike w:val="0"/>
                              <w:color w:val="231f20"/>
                              <w:sz w:val="16"/>
                              <w:vertAlign w:val="baseline"/>
                            </w:rPr>
                            <w:t xml:space="preserve">. </w:t>
                          </w:r>
                          <w:r w:rsidDel="00000000" w:rsidR="00000000" w:rsidRPr="00000000">
                            <w:rPr>
                              <w:rFonts w:ascii="Trebuchet MS" w:cs="Trebuchet MS" w:eastAsia="Trebuchet MS" w:hAnsi="Trebuchet MS"/>
                              <w:b w:val="0"/>
                              <w:i w:val="1"/>
                              <w:smallCaps w:val="0"/>
                              <w:strike w:val="0"/>
                              <w:color w:val="231f20"/>
                              <w:sz w:val="16"/>
                              <w:vertAlign w:val="baseline"/>
                            </w:rPr>
                            <w:t xml:space="preserve">Heart </w:t>
                          </w:r>
                          <w:r w:rsidDel="00000000" w:rsidR="00000000" w:rsidRPr="00000000">
                            <w:rPr>
                              <w:rFonts w:ascii="Trebuchet MS" w:cs="Trebuchet MS" w:eastAsia="Trebuchet MS" w:hAnsi="Trebuchet MS"/>
                              <w:b w:val="0"/>
                              <w:i w:val="0"/>
                              <w:smallCaps w:val="0"/>
                              <w:strike w:val="0"/>
                              <w:color w:val="231f20"/>
                              <w:sz w:val="16"/>
                              <w:vertAlign w:val="baseline"/>
                            </w:rPr>
                            <w:t xml:space="preserve">2022;</w:t>
                          </w:r>
                          <w:r w:rsidDel="00000000" w:rsidR="00000000" w:rsidRPr="00000000">
                            <w:rPr>
                              <w:rFonts w:ascii="Trebuchet MS" w:cs="Trebuchet MS" w:eastAsia="Trebuchet MS" w:hAnsi="Trebuchet MS"/>
                              <w:b w:val="1"/>
                              <w:i w:val="0"/>
                              <w:smallCaps w:val="0"/>
                              <w:strike w:val="0"/>
                              <w:color w:val="231f20"/>
                              <w:sz w:val="16"/>
                              <w:vertAlign w:val="baseline"/>
                            </w:rPr>
                            <w:t xml:space="preserve">108</w:t>
                          </w:r>
                          <w:r w:rsidDel="00000000" w:rsidR="00000000" w:rsidRPr="00000000">
                            <w:rPr>
                              <w:rFonts w:ascii="Trebuchet MS" w:cs="Trebuchet MS" w:eastAsia="Trebuchet MS" w:hAnsi="Trebuchet MS"/>
                              <w:b w:val="0"/>
                              <w:i w:val="0"/>
                              <w:smallCaps w:val="0"/>
                              <w:strike w:val="0"/>
                              <w:color w:val="231f20"/>
                              <w:sz w:val="16"/>
                              <w:vertAlign w:val="baseline"/>
                            </w:rPr>
                            <w:t xml:space="preserve">:1792–1799. doi:10.1136/heartjnl-2022-320910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9575800</wp:posOffset>
              </wp:positionV>
              <wp:extent cx="3276600" cy="165735"/>
              <wp:effectExtent b="0" l="0" r="0" t="0"/>
              <wp:wrapNone/>
              <wp:docPr id="425" name="image76.png"/>
              <a:graphic>
                <a:graphicData uri="http://schemas.openxmlformats.org/drawingml/2006/picture">
                  <pic:pic>
                    <pic:nvPicPr>
                      <pic:cNvPr id="0" name="image76.png"/>
                      <pic:cNvPicPr preferRelativeResize="0"/>
                    </pic:nvPicPr>
                    <pic:blipFill>
                      <a:blip r:embed="rId2"/>
                      <a:srcRect/>
                      <a:stretch>
                        <a:fillRect/>
                      </a:stretch>
                    </pic:blipFill>
                    <pic:spPr>
                      <a:xfrm>
                        <a:off x="0" y="0"/>
                        <a:ext cx="3276600" cy="1657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6375400</wp:posOffset>
              </wp:positionH>
              <wp:positionV relativeFrom="paragraph">
                <wp:posOffset>9588500</wp:posOffset>
              </wp:positionV>
              <wp:extent cx="303530" cy="163830"/>
              <wp:effectExtent b="0" l="0" r="0" t="0"/>
              <wp:wrapNone/>
              <wp:docPr id="428" name=""/>
              <a:graphic>
                <a:graphicData uri="http://schemas.microsoft.com/office/word/2010/wordprocessingShape">
                  <wps:wsp>
                    <wps:cNvSpPr/>
                    <wps:cNvPr id="78" name="Shape 78"/>
                    <wps:spPr>
                      <a:xfrm>
                        <a:off x="5203760" y="3707610"/>
                        <a:ext cx="284480" cy="144780"/>
                      </a:xfrm>
                      <a:prstGeom prst="rect">
                        <a:avLst/>
                      </a:prstGeom>
                      <a:noFill/>
                      <a:ln>
                        <a:noFill/>
                      </a:ln>
                    </wps:spPr>
                    <wps:txbx>
                      <w:txbxContent>
                        <w:p w:rsidR="00000000" w:rsidDel="00000000" w:rsidP="00000000" w:rsidRDefault="00000000" w:rsidRPr="00000000">
                          <w:pPr>
                            <w:spacing w:after="0" w:before="17.000000476837158" w:line="240"/>
                            <w:ind w:left="60" w:right="0" w:firstLine="60"/>
                            <w:jc w:val="left"/>
                            <w:textDirection w:val="btLr"/>
                          </w:pPr>
                          <w:r w:rsidDel="00000000" w:rsidR="00000000" w:rsidRPr="00000000">
                            <w:rPr>
                              <w:rFonts w:ascii="Trebuchet MS" w:cs="Trebuchet MS" w:eastAsia="Trebuchet MS" w:hAnsi="Trebuchet MS"/>
                              <w:b w:val="0"/>
                              <w:i w:val="0"/>
                              <w:smallCaps w:val="0"/>
                              <w:strike w:val="0"/>
                              <w:color w:val="231f20"/>
                              <w:sz w:val="16"/>
                              <w:vertAlign w:val="baseline"/>
                            </w:rPr>
                            <w:t xml:space="preserve"> PAGE 1793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6375400</wp:posOffset>
              </wp:positionH>
              <wp:positionV relativeFrom="paragraph">
                <wp:posOffset>9588500</wp:posOffset>
              </wp:positionV>
              <wp:extent cx="303530" cy="163830"/>
              <wp:effectExtent b="0" l="0" r="0" t="0"/>
              <wp:wrapNone/>
              <wp:docPr id="428" name="image81.png"/>
              <a:graphic>
                <a:graphicData uri="http://schemas.openxmlformats.org/drawingml/2006/picture">
                  <pic:pic>
                    <pic:nvPicPr>
                      <pic:cNvPr id="0" name="image81.png"/>
                      <pic:cNvPicPr preferRelativeResize="0"/>
                    </pic:nvPicPr>
                    <pic:blipFill>
                      <a:blip r:embed="rId3"/>
                      <a:srcRect/>
                      <a:stretch>
                        <a:fillRect/>
                      </a:stretch>
                    </pic:blipFill>
                    <pic:spPr>
                      <a:xfrm>
                        <a:off x="0" y="0"/>
                        <a:ext cx="303530" cy="163830"/>
                      </a:xfrm>
                      <a:prstGeom prst="rect"/>
                      <a:ln/>
                    </pic:spPr>
                  </pic:pic>
                </a:graphicData>
              </a:graphic>
            </wp:anchor>
          </w:drawing>
        </mc:Fallback>
      </mc:AlternateConten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127000</wp:posOffset>
              </wp:positionH>
              <wp:positionV relativeFrom="paragraph">
                <wp:posOffset>9575800</wp:posOffset>
              </wp:positionV>
              <wp:extent cx="1270" cy="12700"/>
              <wp:effectExtent b="0" l="0" r="0" t="0"/>
              <wp:wrapNone/>
              <wp:docPr id="427" name=""/>
              <a:graphic>
                <a:graphicData uri="http://schemas.microsoft.com/office/word/2010/wordprocessingShape">
                  <wps:wsp>
                    <wps:cNvSpPr/>
                    <wps:cNvPr id="77" name="Shape 77"/>
                    <wps:spPr>
                      <a:xfrm>
                        <a:off x="2099245" y="3779365"/>
                        <a:ext cx="6493510" cy="1270"/>
                      </a:xfrm>
                      <a:custGeom>
                        <a:rect b="b" l="l" r="r" t="t"/>
                        <a:pathLst>
                          <a:path extrusionOk="0" h="120000" w="6493510">
                            <a:moveTo>
                              <a:pt x="0" y="0"/>
                            </a:moveTo>
                            <a:lnTo>
                              <a:pt x="6493205" y="0"/>
                            </a:lnTo>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127000</wp:posOffset>
              </wp:positionH>
              <wp:positionV relativeFrom="paragraph">
                <wp:posOffset>9575800</wp:posOffset>
              </wp:positionV>
              <wp:extent cx="1270" cy="12700"/>
              <wp:effectExtent b="0" l="0" r="0" t="0"/>
              <wp:wrapNone/>
              <wp:docPr id="427" name="image79.png"/>
              <a:graphic>
                <a:graphicData uri="http://schemas.openxmlformats.org/drawingml/2006/picture">
                  <pic:pic>
                    <pic:nvPicPr>
                      <pic:cNvPr id="0" name="image79.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76200</wp:posOffset>
              </wp:positionH>
              <wp:positionV relativeFrom="paragraph">
                <wp:posOffset>9588500</wp:posOffset>
              </wp:positionV>
              <wp:extent cx="303530" cy="163830"/>
              <wp:effectExtent b="0" l="0" r="0" t="0"/>
              <wp:wrapNone/>
              <wp:docPr id="415" name=""/>
              <a:graphic>
                <a:graphicData uri="http://schemas.microsoft.com/office/word/2010/wordprocessingShape">
                  <wps:wsp>
                    <wps:cNvSpPr/>
                    <wps:cNvPr id="65" name="Shape 65"/>
                    <wps:spPr>
                      <a:xfrm>
                        <a:off x="5203760" y="3707610"/>
                        <a:ext cx="284480" cy="144780"/>
                      </a:xfrm>
                      <a:prstGeom prst="rect">
                        <a:avLst/>
                      </a:prstGeom>
                      <a:noFill/>
                      <a:ln>
                        <a:noFill/>
                      </a:ln>
                    </wps:spPr>
                    <wps:txbx>
                      <w:txbxContent>
                        <w:p w:rsidR="00000000" w:rsidDel="00000000" w:rsidP="00000000" w:rsidRDefault="00000000" w:rsidRPr="00000000">
                          <w:pPr>
                            <w:spacing w:after="0" w:before="17.000000476837158" w:line="240"/>
                            <w:ind w:left="60" w:right="0" w:firstLine="60"/>
                            <w:jc w:val="left"/>
                            <w:textDirection w:val="btLr"/>
                          </w:pPr>
                          <w:r w:rsidDel="00000000" w:rsidR="00000000" w:rsidRPr="00000000">
                            <w:rPr>
                              <w:rFonts w:ascii="Trebuchet MS" w:cs="Trebuchet MS" w:eastAsia="Trebuchet MS" w:hAnsi="Trebuchet MS"/>
                              <w:b w:val="0"/>
                              <w:i w:val="0"/>
                              <w:smallCaps w:val="0"/>
                              <w:strike w:val="0"/>
                              <w:color w:val="231f20"/>
                              <w:sz w:val="16"/>
                              <w:vertAlign w:val="baseline"/>
                            </w:rPr>
                            <w:t xml:space="preserve"> PAGE 1794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76200</wp:posOffset>
              </wp:positionH>
              <wp:positionV relativeFrom="paragraph">
                <wp:posOffset>9588500</wp:posOffset>
              </wp:positionV>
              <wp:extent cx="303530" cy="163830"/>
              <wp:effectExtent b="0" l="0" r="0" t="0"/>
              <wp:wrapNone/>
              <wp:docPr id="415" name="image65.png"/>
              <a:graphic>
                <a:graphicData uri="http://schemas.openxmlformats.org/drawingml/2006/picture">
                  <pic:pic>
                    <pic:nvPicPr>
                      <pic:cNvPr id="0" name="image65.png"/>
                      <pic:cNvPicPr preferRelativeResize="0"/>
                    </pic:nvPicPr>
                    <pic:blipFill>
                      <a:blip r:embed="rId2"/>
                      <a:srcRect/>
                      <a:stretch>
                        <a:fillRect/>
                      </a:stretch>
                    </pic:blipFill>
                    <pic:spPr>
                      <a:xfrm>
                        <a:off x="0" y="0"/>
                        <a:ext cx="303530" cy="1638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3365500</wp:posOffset>
              </wp:positionH>
              <wp:positionV relativeFrom="paragraph">
                <wp:posOffset>9575800</wp:posOffset>
              </wp:positionV>
              <wp:extent cx="3276600" cy="165735"/>
              <wp:effectExtent b="0" l="0" r="0" t="0"/>
              <wp:wrapNone/>
              <wp:docPr id="414" name=""/>
              <a:graphic>
                <a:graphicData uri="http://schemas.microsoft.com/office/word/2010/wordprocessingShape">
                  <wps:wsp>
                    <wps:cNvSpPr/>
                    <wps:cNvPr id="64" name="Shape 64"/>
                    <wps:spPr>
                      <a:xfrm>
                        <a:off x="3717225" y="3706658"/>
                        <a:ext cx="3257550" cy="146685"/>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Trebuchet MS" w:cs="Trebuchet MS" w:eastAsia="Trebuchet MS" w:hAnsi="Trebuchet MS"/>
                              <w:b w:val="0"/>
                              <w:i w:val="0"/>
                              <w:smallCaps w:val="0"/>
                              <w:strike w:val="0"/>
                              <w:color w:val="231f20"/>
                              <w:sz w:val="16"/>
                              <w:vertAlign w:val="baseline"/>
                            </w:rPr>
                            <w:t xml:space="preserve">Galimzhanov A, </w:t>
                          </w:r>
                          <w:r w:rsidDel="00000000" w:rsidR="00000000" w:rsidRPr="00000000">
                            <w:rPr>
                              <w:rFonts w:ascii="Trebuchet MS" w:cs="Trebuchet MS" w:eastAsia="Trebuchet MS" w:hAnsi="Trebuchet MS"/>
                              <w:b w:val="0"/>
                              <w:i w:val="1"/>
                              <w:smallCaps w:val="0"/>
                              <w:strike w:val="0"/>
                              <w:color w:val="231f20"/>
                              <w:sz w:val="16"/>
                              <w:vertAlign w:val="baseline"/>
                            </w:rPr>
                            <w:t xml:space="preserve">et al</w:t>
                          </w:r>
                          <w:r w:rsidDel="00000000" w:rsidR="00000000" w:rsidRPr="00000000">
                            <w:rPr>
                              <w:rFonts w:ascii="Trebuchet MS" w:cs="Trebuchet MS" w:eastAsia="Trebuchet MS" w:hAnsi="Trebuchet MS"/>
                              <w:b w:val="0"/>
                              <w:i w:val="0"/>
                              <w:smallCaps w:val="0"/>
                              <w:strike w:val="0"/>
                              <w:color w:val="231f20"/>
                              <w:sz w:val="16"/>
                              <w:vertAlign w:val="baseline"/>
                            </w:rPr>
                            <w:t xml:space="preserve">. </w:t>
                          </w:r>
                          <w:r w:rsidDel="00000000" w:rsidR="00000000" w:rsidRPr="00000000">
                            <w:rPr>
                              <w:rFonts w:ascii="Trebuchet MS" w:cs="Trebuchet MS" w:eastAsia="Trebuchet MS" w:hAnsi="Trebuchet MS"/>
                              <w:b w:val="0"/>
                              <w:i w:val="1"/>
                              <w:smallCaps w:val="0"/>
                              <w:strike w:val="0"/>
                              <w:color w:val="231f20"/>
                              <w:sz w:val="16"/>
                              <w:vertAlign w:val="baseline"/>
                            </w:rPr>
                            <w:t xml:space="preserve">Heart </w:t>
                          </w:r>
                          <w:r w:rsidDel="00000000" w:rsidR="00000000" w:rsidRPr="00000000">
                            <w:rPr>
                              <w:rFonts w:ascii="Trebuchet MS" w:cs="Trebuchet MS" w:eastAsia="Trebuchet MS" w:hAnsi="Trebuchet MS"/>
                              <w:b w:val="0"/>
                              <w:i w:val="0"/>
                              <w:smallCaps w:val="0"/>
                              <w:strike w:val="0"/>
                              <w:color w:val="231f20"/>
                              <w:sz w:val="16"/>
                              <w:vertAlign w:val="baseline"/>
                            </w:rPr>
                            <w:t xml:space="preserve">2022;</w:t>
                          </w:r>
                          <w:r w:rsidDel="00000000" w:rsidR="00000000" w:rsidRPr="00000000">
                            <w:rPr>
                              <w:rFonts w:ascii="Trebuchet MS" w:cs="Trebuchet MS" w:eastAsia="Trebuchet MS" w:hAnsi="Trebuchet MS"/>
                              <w:b w:val="1"/>
                              <w:i w:val="0"/>
                              <w:smallCaps w:val="0"/>
                              <w:strike w:val="0"/>
                              <w:color w:val="231f20"/>
                              <w:sz w:val="16"/>
                              <w:vertAlign w:val="baseline"/>
                            </w:rPr>
                            <w:t xml:space="preserve">108</w:t>
                          </w:r>
                          <w:r w:rsidDel="00000000" w:rsidR="00000000" w:rsidRPr="00000000">
                            <w:rPr>
                              <w:rFonts w:ascii="Trebuchet MS" w:cs="Trebuchet MS" w:eastAsia="Trebuchet MS" w:hAnsi="Trebuchet MS"/>
                              <w:b w:val="0"/>
                              <w:i w:val="0"/>
                              <w:smallCaps w:val="0"/>
                              <w:strike w:val="0"/>
                              <w:color w:val="231f20"/>
                              <w:sz w:val="16"/>
                              <w:vertAlign w:val="baseline"/>
                            </w:rPr>
                            <w:t xml:space="preserve">:1792–1799. doi:10.1136/heartjnl-2022-320910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3365500</wp:posOffset>
              </wp:positionH>
              <wp:positionV relativeFrom="paragraph">
                <wp:posOffset>9575800</wp:posOffset>
              </wp:positionV>
              <wp:extent cx="3276600" cy="165735"/>
              <wp:effectExtent b="0" l="0" r="0" t="0"/>
              <wp:wrapNone/>
              <wp:docPr id="414" name="image63.png"/>
              <a:graphic>
                <a:graphicData uri="http://schemas.openxmlformats.org/drawingml/2006/picture">
                  <pic:pic>
                    <pic:nvPicPr>
                      <pic:cNvPr id="0" name="image63.png"/>
                      <pic:cNvPicPr preferRelativeResize="0"/>
                    </pic:nvPicPr>
                    <pic:blipFill>
                      <a:blip r:embed="rId3"/>
                      <a:srcRect/>
                      <a:stretch>
                        <a:fillRect/>
                      </a:stretch>
                    </pic:blipFill>
                    <pic:spPr>
                      <a:xfrm>
                        <a:off x="0" y="0"/>
                        <a:ext cx="3276600" cy="1657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77" name=""/>
              <a:graphic>
                <a:graphicData uri="http://schemas.microsoft.com/office/word/2010/wordprocessingShape">
                  <wps:wsp>
                    <wps:cNvSpPr/>
                    <wps:cNvPr id="18" name="Shape 18"/>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20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9372600</wp:posOffset>
              </wp:positionH>
              <wp:positionV relativeFrom="paragraph">
                <wp:posOffset>7353300</wp:posOffset>
              </wp:positionV>
              <wp:extent cx="260350" cy="213360"/>
              <wp:effectExtent b="0" l="0" r="0" t="0"/>
              <wp:wrapNone/>
              <wp:docPr id="377"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7" name=""/>
              <a:graphic>
                <a:graphicData uri="http://schemas.microsoft.com/office/word/2010/wordprocessingShape">
                  <wps:wsp>
                    <wps:cNvSpPr/>
                    <wps:cNvPr id="67" name="Shape 67"/>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7" name="image67.png"/>
              <a:graphic>
                <a:graphicData uri="http://schemas.openxmlformats.org/drawingml/2006/picture">
                  <pic:pic>
                    <pic:nvPicPr>
                      <pic:cNvPr id="0" name="image67.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6" name=""/>
              <a:graphic>
                <a:graphicData uri="http://schemas.microsoft.com/office/word/2010/wordprocessingShape">
                  <wps:wsp>
                    <wps:cNvSpPr/>
                    <wps:cNvPr id="66" name="Shape 66"/>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6" name="image66.png"/>
              <a:graphic>
                <a:graphicData uri="http://schemas.openxmlformats.org/drawingml/2006/picture">
                  <pic:pic>
                    <pic:nvPicPr>
                      <pic:cNvPr id="0" name="image66.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9" name=""/>
              <a:graphic>
                <a:graphicData uri="http://schemas.microsoft.com/office/word/2010/wordprocessingShape">
                  <wps:wsp>
                    <wps:cNvSpPr/>
                    <wps:cNvPr id="69" name="Shape 69"/>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9" name="image69.png"/>
              <a:graphic>
                <a:graphicData uri="http://schemas.openxmlformats.org/drawingml/2006/picture">
                  <pic:pic>
                    <pic:nvPicPr>
                      <pic:cNvPr id="0" name="image69.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8" name=""/>
              <a:graphic>
                <a:graphicData uri="http://schemas.microsoft.com/office/word/2010/wordprocessingShape">
                  <wps:wsp>
                    <wps:cNvSpPr/>
                    <wps:cNvPr id="68" name="Shape 68"/>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18"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20" name=""/>
              <a:graphic>
                <a:graphicData uri="http://schemas.microsoft.com/office/word/2010/wordprocessingShape">
                  <wps:wsp>
                    <wps:cNvSpPr/>
                    <wps:cNvPr id="70" name="Shape 70"/>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20" name="image70.png"/>
              <a:graphic>
                <a:graphicData uri="http://schemas.openxmlformats.org/drawingml/2006/picture">
                  <pic:pic>
                    <pic:nvPicPr>
                      <pic:cNvPr id="0" name="image70.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22" name=""/>
              <a:graphic>
                <a:graphicData uri="http://schemas.microsoft.com/office/word/2010/wordprocessingShape">
                  <wps:wsp>
                    <wps:cNvSpPr/>
                    <wps:cNvPr id="72" name="Shape 72"/>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22" name="image72.png"/>
              <a:graphic>
                <a:graphicData uri="http://schemas.openxmlformats.org/drawingml/2006/picture">
                  <pic:pic>
                    <pic:nvPicPr>
                      <pic:cNvPr id="0" name="image72.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21" name=""/>
              <a:graphic>
                <a:graphicData uri="http://schemas.microsoft.com/office/word/2010/wordprocessingShape">
                  <wps:wsp>
                    <wps:cNvSpPr/>
                    <wps:cNvPr id="71" name="Shape 71"/>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21" name="image71.png"/>
              <a:graphic>
                <a:graphicData uri="http://schemas.openxmlformats.org/drawingml/2006/picture">
                  <pic:pic>
                    <pic:nvPicPr>
                      <pic:cNvPr id="0" name="image71.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24" name=""/>
              <a:graphic>
                <a:graphicData uri="http://schemas.microsoft.com/office/word/2010/wordprocessingShape">
                  <wps:wsp>
                    <wps:cNvSpPr/>
                    <wps:cNvPr id="74" name="Shape 74"/>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24"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23" name=""/>
              <a:graphic>
                <a:graphicData uri="http://schemas.microsoft.com/office/word/2010/wordprocessingShape">
                  <wps:wsp>
                    <wps:cNvSpPr/>
                    <wps:cNvPr id="73" name="Shape 73"/>
                    <wps:spPr>
                      <a:xfrm>
                        <a:off x="5263450" y="3682845"/>
                        <a:ext cx="1651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6311900</wp:posOffset>
              </wp:positionH>
              <wp:positionV relativeFrom="paragraph">
                <wp:posOffset>10477500</wp:posOffset>
              </wp:positionV>
              <wp:extent cx="184150" cy="213360"/>
              <wp:effectExtent b="0" l="0" r="0" t="0"/>
              <wp:wrapNone/>
              <wp:docPr id="423"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184150" cy="213360"/>
                      </a:xfrm>
                      <a:prstGeom prst="rect"/>
                      <a:ln/>
                    </pic:spPr>
                  </pic:pic>
                </a:graphicData>
              </a:graphic>
            </wp:anchor>
          </w:drawing>
        </mc:Fallback>
      </mc:AlternateConten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36" name=""/>
              <a:graphic>
                <a:graphicData uri="http://schemas.microsoft.com/office/word/2010/wordprocessingShape">
                  <wps:wsp>
                    <wps:cNvSpPr/>
                    <wps:cNvPr id="86" name="Shape 86"/>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436" name="image95.png"/>
              <a:graphic>
                <a:graphicData uri="http://schemas.openxmlformats.org/drawingml/2006/picture">
                  <pic:pic>
                    <pic:nvPicPr>
                      <pic:cNvPr id="0" name="image95.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78" name=""/>
              <a:graphic>
                <a:graphicData uri="http://schemas.microsoft.com/office/word/2010/wordprocessingShape">
                  <wps:wsp>
                    <wps:cNvSpPr/>
                    <wps:cNvPr id="19" name="Shape 19"/>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42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6235700</wp:posOffset>
              </wp:positionH>
              <wp:positionV relativeFrom="paragraph">
                <wp:posOffset>10477500</wp:posOffset>
              </wp:positionV>
              <wp:extent cx="260350" cy="213360"/>
              <wp:effectExtent b="0" l="0" r="0" t="0"/>
              <wp:wrapNone/>
              <wp:docPr id="378"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260350" cy="21336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3314700</wp:posOffset>
              </wp:positionH>
              <wp:positionV relativeFrom="paragraph">
                <wp:posOffset>9575800</wp:posOffset>
              </wp:positionV>
              <wp:extent cx="173990" cy="134620"/>
              <wp:effectExtent b="0" l="0" r="0" t="0"/>
              <wp:wrapNone/>
              <wp:docPr id="375" name=""/>
              <a:graphic>
                <a:graphicData uri="http://schemas.microsoft.com/office/word/2010/wordprocessingShape">
                  <wps:wsp>
                    <wps:cNvSpPr/>
                    <wps:cNvPr id="16" name="Shape 16"/>
                    <wps:spPr>
                      <a:xfrm>
                        <a:off x="5268530" y="3722215"/>
                        <a:ext cx="154940" cy="115570"/>
                      </a:xfrm>
                      <a:prstGeom prst="rect">
                        <a:avLst/>
                      </a:prstGeom>
                      <a:noFill/>
                      <a:ln>
                        <a:noFill/>
                      </a:ln>
                    </wps:spPr>
                    <wps:txbx>
                      <w:txbxContent>
                        <w:p w:rsidR="00000000" w:rsidDel="00000000" w:rsidP="00000000" w:rsidRDefault="00000000" w:rsidRPr="00000000">
                          <w:pPr>
                            <w:spacing w:after="0" w:before="22.000000476837158" w:line="240"/>
                            <w:ind w:left="20" w:right="0" w:firstLine="40"/>
                            <w:jc w:val="left"/>
                            <w:textDirection w:val="btLr"/>
                          </w:pPr>
                          <w:r w:rsidDel="00000000" w:rsidR="00000000" w:rsidRPr="00000000">
                            <w:rPr>
                              <w:rFonts w:ascii="Georgia" w:cs="Georgia" w:eastAsia="Georgia" w:hAnsi="Georgia"/>
                              <w:b w:val="0"/>
                              <w:i w:val="0"/>
                              <w:smallCaps w:val="0"/>
                              <w:strike w:val="0"/>
                              <w:color w:val="000000"/>
                              <w:sz w:val="12"/>
                              <w:vertAlign w:val="baseline"/>
                            </w:rPr>
                            <w:t xml:space="preserve">1 PAGE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3314700</wp:posOffset>
              </wp:positionH>
              <wp:positionV relativeFrom="paragraph">
                <wp:posOffset>9575800</wp:posOffset>
              </wp:positionV>
              <wp:extent cx="173990" cy="134620"/>
              <wp:effectExtent b="0" l="0" r="0" t="0"/>
              <wp:wrapNone/>
              <wp:docPr id="375"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73990" cy="13462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3314700</wp:posOffset>
              </wp:positionH>
              <wp:positionV relativeFrom="paragraph">
                <wp:posOffset>9575800</wp:posOffset>
              </wp:positionV>
              <wp:extent cx="173990" cy="134620"/>
              <wp:effectExtent b="0" l="0" r="0" t="0"/>
              <wp:wrapNone/>
              <wp:docPr id="376" name=""/>
              <a:graphic>
                <a:graphicData uri="http://schemas.microsoft.com/office/word/2010/wordprocessingShape">
                  <wps:wsp>
                    <wps:cNvSpPr/>
                    <wps:cNvPr id="17" name="Shape 17"/>
                    <wps:spPr>
                      <a:xfrm>
                        <a:off x="5268530" y="3722215"/>
                        <a:ext cx="154940" cy="115570"/>
                      </a:xfrm>
                      <a:prstGeom prst="rect">
                        <a:avLst/>
                      </a:prstGeom>
                      <a:noFill/>
                      <a:ln>
                        <a:noFill/>
                      </a:ln>
                    </wps:spPr>
                    <wps:txbx>
                      <w:txbxContent>
                        <w:p w:rsidR="00000000" w:rsidDel="00000000" w:rsidP="00000000" w:rsidRDefault="00000000" w:rsidRPr="00000000">
                          <w:pPr>
                            <w:spacing w:after="0" w:before="22.000000476837158" w:line="240"/>
                            <w:ind w:left="20" w:right="0" w:firstLine="40"/>
                            <w:jc w:val="left"/>
                            <w:textDirection w:val="btLr"/>
                          </w:pPr>
                          <w:r w:rsidDel="00000000" w:rsidR="00000000" w:rsidRPr="00000000">
                            <w:rPr>
                              <w:rFonts w:ascii="Georgia" w:cs="Georgia" w:eastAsia="Georgia" w:hAnsi="Georgia"/>
                              <w:b w:val="0"/>
                              <w:i w:val="0"/>
                              <w:smallCaps w:val="0"/>
                              <w:strike w:val="0"/>
                              <w:color w:val="000000"/>
                              <w:sz w:val="12"/>
                              <w:vertAlign w:val="baseline"/>
                            </w:rPr>
                            <w:t xml:space="preserve">1 PAGE 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3314700</wp:posOffset>
              </wp:positionH>
              <wp:positionV relativeFrom="paragraph">
                <wp:posOffset>9575800</wp:posOffset>
              </wp:positionV>
              <wp:extent cx="173990" cy="134620"/>
              <wp:effectExtent b="0" l="0" r="0" t="0"/>
              <wp:wrapNone/>
              <wp:docPr id="376"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173990" cy="13462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9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697103</wp:posOffset>
              </wp:positionH>
              <wp:positionV relativeFrom="page">
                <wp:posOffset>698458</wp:posOffset>
              </wp:positionV>
              <wp:extent cx="5863590" cy="213360"/>
              <wp:effectExtent b="0" l="0" r="0" t="0"/>
              <wp:wrapNone/>
              <wp:docPr id="442" name=""/>
              <a:graphic>
                <a:graphicData uri="http://schemas.microsoft.com/office/word/2010/wordprocessingShape">
                  <wps:wsp>
                    <wps:cNvSpPr/>
                    <wps:cNvPr id="92" name="Shape 92"/>
                    <wps:spPr>
                      <a:xfrm>
                        <a:off x="2423730" y="3682845"/>
                        <a:ext cx="5844540" cy="194310"/>
                      </a:xfrm>
                      <a:prstGeom prst="rect">
                        <a:avLst/>
                      </a:prstGeom>
                      <a:no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Supplementary Table 4. </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Risk of bias assessment of included studies according to QUIPS tool.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697103</wp:posOffset>
              </wp:positionH>
              <wp:positionV relativeFrom="page">
                <wp:posOffset>698458</wp:posOffset>
              </wp:positionV>
              <wp:extent cx="5863590" cy="213360"/>
              <wp:effectExtent b="0" l="0" r="0" t="0"/>
              <wp:wrapNone/>
              <wp:docPr id="442" name="image107.png"/>
              <a:graphic>
                <a:graphicData uri="http://schemas.openxmlformats.org/drawingml/2006/picture">
                  <pic:pic>
                    <pic:nvPicPr>
                      <pic:cNvPr id="0" name="image107.png"/>
                      <pic:cNvPicPr preferRelativeResize="0"/>
                    </pic:nvPicPr>
                    <pic:blipFill>
                      <a:blip r:embed="rId1"/>
                      <a:srcRect/>
                      <a:stretch>
                        <a:fillRect/>
                      </a:stretch>
                    </pic:blipFill>
                    <pic:spPr>
                      <a:xfrm>
                        <a:off x="0" y="0"/>
                        <a:ext cx="5863590" cy="213360"/>
                      </a:xfrm>
                      <a:prstGeom prst="rect"/>
                      <a:ln/>
                    </pic:spPr>
                  </pic:pic>
                </a:graphicData>
              </a:graphic>
            </wp:anchor>
          </w:drawing>
        </mc:Fallback>
      </mc:AlternateContent>
    </w: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697103</wp:posOffset>
              </wp:positionH>
              <wp:positionV relativeFrom="page">
                <wp:posOffset>698458</wp:posOffset>
              </wp:positionV>
              <wp:extent cx="1440815" cy="213360"/>
              <wp:effectExtent b="0" l="0" r="0" t="0"/>
              <wp:wrapNone/>
              <wp:docPr id="432" name=""/>
              <a:graphic>
                <a:graphicData uri="http://schemas.microsoft.com/office/word/2010/wordprocessingShape">
                  <wps:wsp>
                    <wps:cNvSpPr/>
                    <wps:cNvPr id="82" name="Shape 82"/>
                    <wps:spPr>
                      <a:xfrm>
                        <a:off x="4635118" y="3682845"/>
                        <a:ext cx="1421765" cy="194310"/>
                      </a:xfrm>
                      <a:prstGeom prst="rect">
                        <a:avLst/>
                      </a:prstGeom>
                      <a:noFill/>
                      <a:ln>
                        <a:noFill/>
                      </a:ln>
                    </wps:spPr>
                    <wps:txbx>
                      <w:txbxContent>
                        <w:p w:rsidR="00000000" w:rsidDel="00000000" w:rsidP="00000000" w:rsidRDefault="00000000" w:rsidRPr="00000000">
                          <w:pPr>
                            <w:spacing w:after="0" w:before="10" w:line="240"/>
                            <w:ind w:left="20" w:right="0" w:firstLine="4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events, OR, odds ratio.</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697103</wp:posOffset>
              </wp:positionH>
              <wp:positionV relativeFrom="page">
                <wp:posOffset>698458</wp:posOffset>
              </wp:positionV>
              <wp:extent cx="1440815" cy="213360"/>
              <wp:effectExtent b="0" l="0" r="0" t="0"/>
              <wp:wrapNone/>
              <wp:docPr id="432" name="image86.png"/>
              <a:graphic>
                <a:graphicData uri="http://schemas.openxmlformats.org/drawingml/2006/picture">
                  <pic:pic>
                    <pic:nvPicPr>
                      <pic:cNvPr id="0" name="image86.png"/>
                      <pic:cNvPicPr preferRelativeResize="0"/>
                    </pic:nvPicPr>
                    <pic:blipFill>
                      <a:blip r:embed="rId1"/>
                      <a:srcRect/>
                      <a:stretch>
                        <a:fillRect/>
                      </a:stretch>
                    </pic:blipFill>
                    <pic:spPr>
                      <a:xfrm>
                        <a:off x="0" y="0"/>
                        <a:ext cx="1440815" cy="213360"/>
                      </a:xfrm>
                      <a:prstGeom prst="rect"/>
                      <a:ln/>
                    </pic:spPr>
                  </pic:pic>
                </a:graphicData>
              </a:graphic>
            </wp:anchor>
          </w:drawing>
        </mc:Fallback>
      </mc:AlternateContent>
    </w: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440" name=""/>
              <a:graphic>
                <a:graphicData uri="http://schemas.microsoft.com/office/word/2010/wordprocessingShape">
                  <wps:wsp>
                    <wps:cNvSpPr/>
                    <wps:cNvPr id="90" name="Shape 90"/>
                    <wps:spPr>
                      <a:xfrm>
                        <a:off x="4958015" y="3722215"/>
                        <a:ext cx="775970" cy="1155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imes New Roman" w:cs="Times New Roman" w:eastAsia="Times New Roman" w:hAnsi="Times New Roman"/>
                              <w:b w:val="0"/>
                              <w:i w:val="1"/>
                              <w:smallCaps w:val="0"/>
                              <w:strike w:val="0"/>
                              <w:color w:val="000000"/>
                              <w:sz w:val="12"/>
                              <w:vertAlign w:val="baseline"/>
                            </w:rPr>
                            <w:t xml:space="preserve">A. Galimzhanov et 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440"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795020" cy="13462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5143856</wp:posOffset>
              </wp:positionH>
              <wp:positionV relativeFrom="page">
                <wp:posOffset>430868</wp:posOffset>
              </wp:positionV>
              <wp:extent cx="1968500" cy="134620"/>
              <wp:effectExtent b="0" l="0" r="0" t="0"/>
              <wp:wrapNone/>
              <wp:docPr id="444" name=""/>
              <a:graphic>
                <a:graphicData uri="http://schemas.microsoft.com/office/word/2010/wordprocessingShape">
                  <wps:wsp>
                    <wps:cNvSpPr/>
                    <wps:cNvPr id="94" name="Shape 94"/>
                    <wps:spPr>
                      <a:xfrm>
                        <a:off x="4371275" y="3722215"/>
                        <a:ext cx="1949450" cy="115570"/>
                      </a:xfrm>
                      <a:prstGeom prst="rect">
                        <a:avLst/>
                      </a:prstGeom>
                      <a:noFill/>
                      <a:ln>
                        <a:noFill/>
                      </a:ln>
                    </wps:spPr>
                    <wps:txbx>
                      <w:txbxContent>
                        <w:p w:rsidR="00000000" w:rsidDel="00000000" w:rsidP="00000000" w:rsidRDefault="00000000" w:rsidRPr="00000000">
                          <w:pPr>
                            <w:spacing w:after="0" w:before="22.000000476837158" w:line="240"/>
                            <w:ind w:left="20" w:right="0" w:firstLine="40"/>
                            <w:jc w:val="left"/>
                            <w:textDirection w:val="btLr"/>
                          </w:pPr>
                          <w:r w:rsidDel="00000000" w:rsidR="00000000" w:rsidRPr="00000000">
                            <w:rPr>
                              <w:rFonts w:ascii="Georgia" w:cs="Georgia" w:eastAsia="Georgia" w:hAnsi="Georgia"/>
                              <w:b w:val="0"/>
                              <w:i w:val="1"/>
                              <w:smallCaps w:val="0"/>
                              <w:strike w:val="0"/>
                              <w:color w:val="000000"/>
                              <w:sz w:val="12"/>
                              <w:vertAlign w:val="baseline"/>
                            </w:rPr>
                            <w:t xml:space="preserve">International Journal of Cardiology 392 (2023) 131339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5143856</wp:posOffset>
              </wp:positionH>
              <wp:positionV relativeFrom="page">
                <wp:posOffset>430868</wp:posOffset>
              </wp:positionV>
              <wp:extent cx="1968500" cy="134620"/>
              <wp:effectExtent b="0" l="0" r="0" t="0"/>
              <wp:wrapNone/>
              <wp:docPr id="444" name="image127.png"/>
              <a:graphic>
                <a:graphicData uri="http://schemas.openxmlformats.org/drawingml/2006/picture">
                  <pic:pic>
                    <pic:nvPicPr>
                      <pic:cNvPr id="0" name="image127.png"/>
                      <pic:cNvPicPr preferRelativeResize="0"/>
                    </pic:nvPicPr>
                    <pic:blipFill>
                      <a:blip r:embed="rId2"/>
                      <a:srcRect/>
                      <a:stretch>
                        <a:fillRect/>
                      </a:stretch>
                    </pic:blipFill>
                    <pic:spPr>
                      <a:xfrm>
                        <a:off x="0" y="0"/>
                        <a:ext cx="1968500" cy="134620"/>
                      </a:xfrm>
                      <a:prstGeom prst="rect"/>
                      <a:ln/>
                    </pic:spPr>
                  </pic:pic>
                </a:graphicData>
              </a:graphic>
            </wp:anchor>
          </w:drawing>
        </mc:Fallback>
      </mc:AlternateContent>
    </w: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511176</wp:posOffset>
              </wp:positionH>
              <wp:positionV relativeFrom="page">
                <wp:posOffset>267149</wp:posOffset>
              </wp:positionV>
              <wp:extent cx="6537959" cy="210820"/>
              <wp:effectExtent b="0" l="0" r="0" t="0"/>
              <wp:wrapNone/>
              <wp:docPr id="431" name=""/>
              <a:graphic>
                <a:graphicData uri="http://schemas.microsoft.com/office/word/2010/wordprocessingShape">
                  <wps:wsp>
                    <wps:cNvSpPr/>
                    <wps:cNvPr id="81" name="Shape 81"/>
                    <wps:spPr>
                      <a:xfrm>
                        <a:off x="2086546" y="3684115"/>
                        <a:ext cx="6518909" cy="1917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ffffff"/>
                              <w:sz w:val="22"/>
                              <w:shd w:fill="898b8e"/>
                              <w:vertAlign w:val="baseline"/>
                            </w:rPr>
                            <w:t xml:space="preserve"> Coronary artery disease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511176</wp:posOffset>
              </wp:positionH>
              <wp:positionV relativeFrom="page">
                <wp:posOffset>267149</wp:posOffset>
              </wp:positionV>
              <wp:extent cx="6537959" cy="210820"/>
              <wp:effectExtent b="0" l="0" r="0" t="0"/>
              <wp:wrapNone/>
              <wp:docPr id="431" name="image85.png"/>
              <a:graphic>
                <a:graphicData uri="http://schemas.openxmlformats.org/drawingml/2006/picture">
                  <pic:pic>
                    <pic:nvPicPr>
                      <pic:cNvPr id="0" name="image85.png"/>
                      <pic:cNvPicPr preferRelativeResize="0"/>
                    </pic:nvPicPr>
                    <pic:blipFill>
                      <a:blip r:embed="rId1"/>
                      <a:srcRect/>
                      <a:stretch>
                        <a:fillRect/>
                      </a:stretch>
                    </pic:blipFill>
                    <pic:spPr>
                      <a:xfrm>
                        <a:off x="0" y="0"/>
                        <a:ext cx="6537959" cy="210820"/>
                      </a:xfrm>
                      <a:prstGeom prst="rect"/>
                      <a:ln/>
                    </pic:spPr>
                  </pic:pic>
                </a:graphicData>
              </a:graphic>
            </wp:anchor>
          </w:drawing>
        </mc:Fallback>
      </mc:AlternateContent>
    </w: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523876</wp:posOffset>
              </wp:positionH>
              <wp:positionV relativeFrom="page">
                <wp:posOffset>250824</wp:posOffset>
              </wp:positionV>
              <wp:extent cx="6512560" cy="234950"/>
              <wp:effectExtent b="0" l="0" r="0" t="0"/>
              <wp:wrapNone/>
              <wp:docPr id="429" name=""/>
              <a:graphic>
                <a:graphicData uri="http://schemas.microsoft.com/office/word/2010/wordprocessingShape">
                  <wps:wsp>
                    <wps:cNvSpPr/>
                    <wps:cNvPr id="79" name="Shape 79"/>
                    <wps:spPr>
                      <a:xfrm>
                        <a:off x="2099245" y="3672050"/>
                        <a:ext cx="6493510" cy="215900"/>
                      </a:xfrm>
                      <a:custGeom>
                        <a:rect b="b" l="l" r="r" t="t"/>
                        <a:pathLst>
                          <a:path extrusionOk="0" h="215900" w="6493510">
                            <a:moveTo>
                              <a:pt x="6493205" y="0"/>
                            </a:moveTo>
                            <a:lnTo>
                              <a:pt x="0" y="0"/>
                            </a:lnTo>
                            <a:lnTo>
                              <a:pt x="0" y="215900"/>
                            </a:lnTo>
                            <a:lnTo>
                              <a:pt x="6493205" y="215900"/>
                            </a:lnTo>
                            <a:lnTo>
                              <a:pt x="6493205" y="0"/>
                            </a:lnTo>
                            <a:close/>
                          </a:path>
                        </a:pathLst>
                      </a:custGeom>
                      <a:solidFill>
                        <a:srgbClr val="898B8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523876</wp:posOffset>
              </wp:positionH>
              <wp:positionV relativeFrom="page">
                <wp:posOffset>250824</wp:posOffset>
              </wp:positionV>
              <wp:extent cx="6512560" cy="234950"/>
              <wp:effectExtent b="0" l="0" r="0" t="0"/>
              <wp:wrapNone/>
              <wp:docPr id="429" name="image82.png"/>
              <a:graphic>
                <a:graphicData uri="http://schemas.openxmlformats.org/drawingml/2006/picture">
                  <pic:pic>
                    <pic:nvPicPr>
                      <pic:cNvPr id="0" name="image82.png"/>
                      <pic:cNvPicPr preferRelativeResize="0"/>
                    </pic:nvPicPr>
                    <pic:blipFill>
                      <a:blip r:embed="rId1"/>
                      <a:srcRect/>
                      <a:stretch>
                        <a:fillRect/>
                      </a:stretch>
                    </pic:blipFill>
                    <pic:spPr>
                      <a:xfrm>
                        <a:off x="0" y="0"/>
                        <a:ext cx="6512560" cy="2349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5393172</wp:posOffset>
              </wp:positionH>
              <wp:positionV relativeFrom="page">
                <wp:posOffset>267149</wp:posOffset>
              </wp:positionV>
              <wp:extent cx="1615440" cy="210820"/>
              <wp:effectExtent b="0" l="0" r="0" t="0"/>
              <wp:wrapNone/>
              <wp:docPr id="430" name=""/>
              <a:graphic>
                <a:graphicData uri="http://schemas.microsoft.com/office/word/2010/wordprocessingShape">
                  <wps:wsp>
                    <wps:cNvSpPr/>
                    <wps:cNvPr id="80" name="Shape 80"/>
                    <wps:spPr>
                      <a:xfrm>
                        <a:off x="4547805" y="3684115"/>
                        <a:ext cx="1596390" cy="1917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ffffff"/>
                              <w:sz w:val="22"/>
                              <w:vertAlign w:val="baseline"/>
                            </w:rPr>
                            <w:t xml:space="preserve">Coronary artery disease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5393172</wp:posOffset>
              </wp:positionH>
              <wp:positionV relativeFrom="page">
                <wp:posOffset>267149</wp:posOffset>
              </wp:positionV>
              <wp:extent cx="1615440" cy="210820"/>
              <wp:effectExtent b="0" l="0" r="0" t="0"/>
              <wp:wrapNone/>
              <wp:docPr id="430" name="image84.png"/>
              <a:graphic>
                <a:graphicData uri="http://schemas.openxmlformats.org/drawingml/2006/picture">
                  <pic:pic>
                    <pic:nvPicPr>
                      <pic:cNvPr id="0" name="image84.png"/>
                      <pic:cNvPicPr preferRelativeResize="0"/>
                    </pic:nvPicPr>
                    <pic:blipFill>
                      <a:blip r:embed="rId2"/>
                      <a:srcRect/>
                      <a:stretch>
                        <a:fillRect/>
                      </a:stretch>
                    </pic:blipFill>
                    <pic:spPr>
                      <a:xfrm>
                        <a:off x="0" y="0"/>
                        <a:ext cx="1615440" cy="210820"/>
                      </a:xfrm>
                      <a:prstGeom prst="rect"/>
                      <a:ln/>
                    </pic:spPr>
                  </pic:pic>
                </a:graphicData>
              </a:graphic>
            </wp:anchor>
          </w:drawing>
        </mc:Fallback>
      </mc:AlternateContent>
    </w: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523876</wp:posOffset>
              </wp:positionH>
              <wp:positionV relativeFrom="page">
                <wp:posOffset>250824</wp:posOffset>
              </wp:positionV>
              <wp:extent cx="6512560" cy="234950"/>
              <wp:effectExtent b="0" l="0" r="0" t="0"/>
              <wp:wrapNone/>
              <wp:docPr id="434" name=""/>
              <a:graphic>
                <a:graphicData uri="http://schemas.microsoft.com/office/word/2010/wordprocessingShape">
                  <wps:wsp>
                    <wps:cNvSpPr/>
                    <wps:cNvPr id="84" name="Shape 84"/>
                    <wps:spPr>
                      <a:xfrm>
                        <a:off x="2099245" y="3672050"/>
                        <a:ext cx="6493510" cy="215900"/>
                      </a:xfrm>
                      <a:custGeom>
                        <a:rect b="b" l="l" r="r" t="t"/>
                        <a:pathLst>
                          <a:path extrusionOk="0" h="215900" w="6493510">
                            <a:moveTo>
                              <a:pt x="6493205" y="0"/>
                            </a:moveTo>
                            <a:lnTo>
                              <a:pt x="0" y="0"/>
                            </a:lnTo>
                            <a:lnTo>
                              <a:pt x="0" y="215900"/>
                            </a:lnTo>
                            <a:lnTo>
                              <a:pt x="6493205" y="215900"/>
                            </a:lnTo>
                            <a:lnTo>
                              <a:pt x="6493205" y="0"/>
                            </a:lnTo>
                            <a:close/>
                          </a:path>
                        </a:pathLst>
                      </a:custGeom>
                      <a:solidFill>
                        <a:srgbClr val="898B8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523876</wp:posOffset>
              </wp:positionH>
              <wp:positionV relativeFrom="page">
                <wp:posOffset>250824</wp:posOffset>
              </wp:positionV>
              <wp:extent cx="6512560" cy="234950"/>
              <wp:effectExtent b="0" l="0" r="0" t="0"/>
              <wp:wrapNone/>
              <wp:docPr id="434" name="image93.png"/>
              <a:graphic>
                <a:graphicData uri="http://schemas.openxmlformats.org/drawingml/2006/picture">
                  <pic:pic>
                    <pic:nvPicPr>
                      <pic:cNvPr id="0" name="image93.png"/>
                      <pic:cNvPicPr preferRelativeResize="0"/>
                    </pic:nvPicPr>
                    <pic:blipFill>
                      <a:blip r:embed="rId1"/>
                      <a:srcRect/>
                      <a:stretch>
                        <a:fillRect/>
                      </a:stretch>
                    </pic:blipFill>
                    <pic:spPr>
                      <a:xfrm>
                        <a:off x="0" y="0"/>
                        <a:ext cx="6512560" cy="2349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5393172</wp:posOffset>
              </wp:positionH>
              <wp:positionV relativeFrom="page">
                <wp:posOffset>267149</wp:posOffset>
              </wp:positionV>
              <wp:extent cx="1615440" cy="210820"/>
              <wp:effectExtent b="0" l="0" r="0" t="0"/>
              <wp:wrapNone/>
              <wp:docPr id="435" name=""/>
              <a:graphic>
                <a:graphicData uri="http://schemas.microsoft.com/office/word/2010/wordprocessingShape">
                  <wps:wsp>
                    <wps:cNvSpPr/>
                    <wps:cNvPr id="85" name="Shape 85"/>
                    <wps:spPr>
                      <a:xfrm>
                        <a:off x="4547805" y="3684115"/>
                        <a:ext cx="1596390" cy="1917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ffffff"/>
                              <w:sz w:val="22"/>
                              <w:vertAlign w:val="baseline"/>
                            </w:rPr>
                            <w:t xml:space="preserve">Coronary artery disease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5393172</wp:posOffset>
              </wp:positionH>
              <wp:positionV relativeFrom="page">
                <wp:posOffset>267149</wp:posOffset>
              </wp:positionV>
              <wp:extent cx="1615440" cy="210820"/>
              <wp:effectExtent b="0" l="0" r="0" t="0"/>
              <wp:wrapNone/>
              <wp:docPr id="435" name="image94.png"/>
              <a:graphic>
                <a:graphicData uri="http://schemas.openxmlformats.org/drawingml/2006/picture">
                  <pic:pic>
                    <pic:nvPicPr>
                      <pic:cNvPr id="0" name="image94.png"/>
                      <pic:cNvPicPr preferRelativeResize="0"/>
                    </pic:nvPicPr>
                    <pic:blipFill>
                      <a:blip r:embed="rId2"/>
                      <a:srcRect/>
                      <a:stretch>
                        <a:fillRect/>
                      </a:stretch>
                    </pic:blipFill>
                    <pic:spPr>
                      <a:xfrm>
                        <a:off x="0" y="0"/>
                        <a:ext cx="1615440" cy="210820"/>
                      </a:xfrm>
                      <a:prstGeom prst="rect"/>
                      <a:ln/>
                    </pic:spPr>
                  </pic:pic>
                </a:graphicData>
              </a:graphic>
            </wp:anchor>
          </w:drawing>
        </mc:Fallback>
      </mc:AlternateContent>
    </w: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511176</wp:posOffset>
              </wp:positionH>
              <wp:positionV relativeFrom="page">
                <wp:posOffset>267149</wp:posOffset>
              </wp:positionV>
              <wp:extent cx="6537959" cy="210820"/>
              <wp:effectExtent b="0" l="0" r="0" t="0"/>
              <wp:wrapNone/>
              <wp:docPr id="433" name=""/>
              <a:graphic>
                <a:graphicData uri="http://schemas.microsoft.com/office/word/2010/wordprocessingShape">
                  <wps:wsp>
                    <wps:cNvSpPr/>
                    <wps:cNvPr id="83" name="Shape 83"/>
                    <wps:spPr>
                      <a:xfrm>
                        <a:off x="2086546" y="3684115"/>
                        <a:ext cx="6518909" cy="1917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rebuchet MS" w:cs="Trebuchet MS" w:eastAsia="Trebuchet MS" w:hAnsi="Trebuchet MS"/>
                              <w:b w:val="1"/>
                              <w:i w:val="0"/>
                              <w:smallCaps w:val="0"/>
                              <w:strike w:val="0"/>
                              <w:color w:val="ffffff"/>
                              <w:sz w:val="22"/>
                              <w:shd w:fill="898b8e"/>
                              <w:vertAlign w:val="baseline"/>
                            </w:rPr>
                            <w:t xml:space="preserve"> Coronary artery disease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511176</wp:posOffset>
              </wp:positionH>
              <wp:positionV relativeFrom="page">
                <wp:posOffset>267149</wp:posOffset>
              </wp:positionV>
              <wp:extent cx="6537959" cy="210820"/>
              <wp:effectExtent b="0" l="0" r="0" t="0"/>
              <wp:wrapNone/>
              <wp:docPr id="433" name="image92.png"/>
              <a:graphic>
                <a:graphicData uri="http://schemas.openxmlformats.org/drawingml/2006/picture">
                  <pic:pic>
                    <pic:nvPicPr>
                      <pic:cNvPr id="0" name="image92.png"/>
                      <pic:cNvPicPr preferRelativeResize="0"/>
                    </pic:nvPicPr>
                    <pic:blipFill>
                      <a:blip r:embed="rId1"/>
                      <a:srcRect/>
                      <a:stretch>
                        <a:fillRect/>
                      </a:stretch>
                    </pic:blipFill>
                    <pic:spPr>
                      <a:xfrm>
                        <a:off x="0" y="0"/>
                        <a:ext cx="6537959" cy="210820"/>
                      </a:xfrm>
                      <a:prstGeom prst="rect"/>
                      <a:ln/>
                    </pic:spPr>
                  </pic:pic>
                </a:graphicData>
              </a:graphic>
            </wp:anchor>
          </w:drawing>
        </mc:Fallback>
      </mc:AlternateContent>
    </w: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389" name=""/>
              <a:graphic>
                <a:graphicData uri="http://schemas.microsoft.com/office/word/2010/wordprocessingShape">
                  <wps:wsp>
                    <wps:cNvSpPr/>
                    <wps:cNvPr id="39" name="Shape 39"/>
                    <wps:spPr>
                      <a:xfrm>
                        <a:off x="4958015" y="3722215"/>
                        <a:ext cx="775970" cy="1155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imes New Roman" w:cs="Times New Roman" w:eastAsia="Times New Roman" w:hAnsi="Times New Roman"/>
                              <w:b w:val="0"/>
                              <w:i w:val="1"/>
                              <w:smallCaps w:val="0"/>
                              <w:strike w:val="0"/>
                              <w:color w:val="000000"/>
                              <w:sz w:val="12"/>
                              <w:vertAlign w:val="baseline"/>
                            </w:rPr>
                            <w:t xml:space="preserve">A. Galimzhanov et 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389"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795020" cy="13462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5193386</wp:posOffset>
              </wp:positionH>
              <wp:positionV relativeFrom="page">
                <wp:posOffset>430868</wp:posOffset>
              </wp:positionV>
              <wp:extent cx="1918970" cy="134620"/>
              <wp:effectExtent b="0" l="0" r="0" t="0"/>
              <wp:wrapNone/>
              <wp:docPr id="390" name=""/>
              <a:graphic>
                <a:graphicData uri="http://schemas.microsoft.com/office/word/2010/wordprocessingShape">
                  <wps:wsp>
                    <wps:cNvSpPr/>
                    <wps:cNvPr id="40" name="Shape 40"/>
                    <wps:spPr>
                      <a:xfrm>
                        <a:off x="4396040" y="3722215"/>
                        <a:ext cx="1899920" cy="115570"/>
                      </a:xfrm>
                      <a:prstGeom prst="rect">
                        <a:avLst/>
                      </a:prstGeom>
                      <a:noFill/>
                      <a:ln>
                        <a:noFill/>
                      </a:ln>
                    </wps:spPr>
                    <wps:txbx>
                      <w:txbxContent>
                        <w:p w:rsidR="00000000" w:rsidDel="00000000" w:rsidP="00000000" w:rsidRDefault="00000000" w:rsidRPr="00000000">
                          <w:pPr>
                            <w:spacing w:after="0" w:before="22.000000476837158" w:line="240"/>
                            <w:ind w:left="20" w:right="0" w:firstLine="40"/>
                            <w:jc w:val="left"/>
                            <w:textDirection w:val="btLr"/>
                          </w:pPr>
                          <w:r w:rsidDel="00000000" w:rsidR="00000000" w:rsidRPr="00000000">
                            <w:rPr>
                              <w:rFonts w:ascii="Georgia" w:cs="Georgia" w:eastAsia="Georgia" w:hAnsi="Georgia"/>
                              <w:b w:val="0"/>
                              <w:i w:val="1"/>
                              <w:smallCaps w:val="0"/>
                              <w:strike w:val="0"/>
                              <w:color w:val="000000"/>
                              <w:sz w:val="12"/>
                              <w:vertAlign w:val="baseline"/>
                            </w:rPr>
                            <w:t xml:space="preserve">International Journal of Cardiology 374 (2023) 12–19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5193386</wp:posOffset>
              </wp:positionH>
              <wp:positionV relativeFrom="page">
                <wp:posOffset>430868</wp:posOffset>
              </wp:positionV>
              <wp:extent cx="1918970" cy="134620"/>
              <wp:effectExtent b="0" l="0" r="0" t="0"/>
              <wp:wrapNone/>
              <wp:docPr id="390" name="image36.png"/>
              <a:graphic>
                <a:graphicData uri="http://schemas.openxmlformats.org/drawingml/2006/picture">
                  <pic:pic>
                    <pic:nvPicPr>
                      <pic:cNvPr id="0" name="image36.png"/>
                      <pic:cNvPicPr preferRelativeResize="0"/>
                    </pic:nvPicPr>
                    <pic:blipFill>
                      <a:blip r:embed="rId2"/>
                      <a:srcRect/>
                      <a:stretch>
                        <a:fillRect/>
                      </a:stretch>
                    </pic:blipFill>
                    <pic:spPr>
                      <a:xfrm>
                        <a:off x="0" y="0"/>
                        <a:ext cx="1918970" cy="134620"/>
                      </a:xfrm>
                      <a:prstGeom prst="rect"/>
                      <a:ln/>
                    </pic:spPr>
                  </pic:pic>
                </a:graphicData>
              </a:graphic>
            </wp:anchor>
          </w:drawing>
        </mc:Fallback>
      </mc:AlternateContent>
    </w:r>
    <w:r w:rsidDel="00000000" w:rsidR="00000000" w:rsidRPr="00000000">
      <w:rPr>
        <w:rtl w:val="0"/>
      </w:r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385" name=""/>
              <a:graphic>
                <a:graphicData uri="http://schemas.microsoft.com/office/word/2010/wordprocessingShape">
                  <wps:wsp>
                    <wps:cNvSpPr/>
                    <wps:cNvPr id="35" name="Shape 35"/>
                    <wps:spPr>
                      <a:xfrm>
                        <a:off x="4958015" y="3722215"/>
                        <a:ext cx="775970" cy="1155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imes New Roman" w:cs="Times New Roman" w:eastAsia="Times New Roman" w:hAnsi="Times New Roman"/>
                              <w:b w:val="0"/>
                              <w:i w:val="1"/>
                              <w:smallCaps w:val="0"/>
                              <w:strike w:val="0"/>
                              <w:color w:val="000000"/>
                              <w:sz w:val="12"/>
                              <w:vertAlign w:val="baseline"/>
                            </w:rPr>
                            <w:t xml:space="preserve">A. Galimzhanov et 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38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795020" cy="13462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5193386</wp:posOffset>
              </wp:positionH>
              <wp:positionV relativeFrom="page">
                <wp:posOffset>430868</wp:posOffset>
              </wp:positionV>
              <wp:extent cx="1918970" cy="134620"/>
              <wp:effectExtent b="0" l="0" r="0" t="0"/>
              <wp:wrapNone/>
              <wp:docPr id="387" name=""/>
              <a:graphic>
                <a:graphicData uri="http://schemas.microsoft.com/office/word/2010/wordprocessingShape">
                  <wps:wsp>
                    <wps:cNvSpPr/>
                    <wps:cNvPr id="37" name="Shape 37"/>
                    <wps:spPr>
                      <a:xfrm>
                        <a:off x="4396040" y="3722215"/>
                        <a:ext cx="1899920" cy="115570"/>
                      </a:xfrm>
                      <a:prstGeom prst="rect">
                        <a:avLst/>
                      </a:prstGeom>
                      <a:noFill/>
                      <a:ln>
                        <a:noFill/>
                      </a:ln>
                    </wps:spPr>
                    <wps:txbx>
                      <w:txbxContent>
                        <w:p w:rsidR="00000000" w:rsidDel="00000000" w:rsidP="00000000" w:rsidRDefault="00000000" w:rsidRPr="00000000">
                          <w:pPr>
                            <w:spacing w:after="0" w:before="22.000000476837158" w:line="240"/>
                            <w:ind w:left="20" w:right="0" w:firstLine="40"/>
                            <w:jc w:val="left"/>
                            <w:textDirection w:val="btLr"/>
                          </w:pPr>
                          <w:r w:rsidDel="00000000" w:rsidR="00000000" w:rsidRPr="00000000">
                            <w:rPr>
                              <w:rFonts w:ascii="Georgia" w:cs="Georgia" w:eastAsia="Georgia" w:hAnsi="Georgia"/>
                              <w:b w:val="0"/>
                              <w:i w:val="1"/>
                              <w:smallCaps w:val="0"/>
                              <w:strike w:val="0"/>
                              <w:color w:val="000000"/>
                              <w:sz w:val="12"/>
                              <w:vertAlign w:val="baseline"/>
                            </w:rPr>
                            <w:t xml:space="preserve">International Journal of Cardiology 374 (2023) 12–19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5193386</wp:posOffset>
              </wp:positionH>
              <wp:positionV relativeFrom="page">
                <wp:posOffset>430868</wp:posOffset>
              </wp:positionV>
              <wp:extent cx="1918970" cy="134620"/>
              <wp:effectExtent b="0" l="0" r="0" t="0"/>
              <wp:wrapNone/>
              <wp:docPr id="387" name="image31.png"/>
              <a:graphic>
                <a:graphicData uri="http://schemas.openxmlformats.org/drawingml/2006/picture">
                  <pic:pic>
                    <pic:nvPicPr>
                      <pic:cNvPr id="0" name="image31.png"/>
                      <pic:cNvPicPr preferRelativeResize="0"/>
                    </pic:nvPicPr>
                    <pic:blipFill>
                      <a:blip r:embed="rId2"/>
                      <a:srcRect/>
                      <a:stretch>
                        <a:fillRect/>
                      </a:stretch>
                    </pic:blipFill>
                    <pic:spPr>
                      <a:xfrm>
                        <a:off x="0" y="0"/>
                        <a:ext cx="1918970" cy="134620"/>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445" name=""/>
              <a:graphic>
                <a:graphicData uri="http://schemas.microsoft.com/office/word/2010/wordprocessingShape">
                  <wps:wsp>
                    <wps:cNvSpPr/>
                    <wps:cNvPr id="95" name="Shape 95"/>
                    <wps:spPr>
                      <a:xfrm>
                        <a:off x="4958015" y="3722215"/>
                        <a:ext cx="775970" cy="115570"/>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Times New Roman" w:cs="Times New Roman" w:eastAsia="Times New Roman" w:hAnsi="Times New Roman"/>
                              <w:b w:val="0"/>
                              <w:i w:val="1"/>
                              <w:smallCaps w:val="0"/>
                              <w:strike w:val="0"/>
                              <w:color w:val="000000"/>
                              <w:sz w:val="12"/>
                              <w:vertAlign w:val="baseline"/>
                            </w:rPr>
                            <w:t xml:space="preserve">A. Galimzhanov et 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455134</wp:posOffset>
              </wp:positionH>
              <wp:positionV relativeFrom="page">
                <wp:posOffset>430773</wp:posOffset>
              </wp:positionV>
              <wp:extent cx="795020" cy="134620"/>
              <wp:effectExtent b="0" l="0" r="0" t="0"/>
              <wp:wrapNone/>
              <wp:docPr id="445" name="image128.png"/>
              <a:graphic>
                <a:graphicData uri="http://schemas.openxmlformats.org/drawingml/2006/picture">
                  <pic:pic>
                    <pic:nvPicPr>
                      <pic:cNvPr id="0" name="image128.png"/>
                      <pic:cNvPicPr preferRelativeResize="0"/>
                    </pic:nvPicPr>
                    <pic:blipFill>
                      <a:blip r:embed="rId1"/>
                      <a:srcRect/>
                      <a:stretch>
                        <a:fillRect/>
                      </a:stretch>
                    </pic:blipFill>
                    <pic:spPr>
                      <a:xfrm>
                        <a:off x="0" y="0"/>
                        <a:ext cx="795020" cy="13462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5143856</wp:posOffset>
              </wp:positionH>
              <wp:positionV relativeFrom="page">
                <wp:posOffset>430868</wp:posOffset>
              </wp:positionV>
              <wp:extent cx="1968500" cy="134620"/>
              <wp:effectExtent b="0" l="0" r="0" t="0"/>
              <wp:wrapNone/>
              <wp:docPr id="441" name=""/>
              <a:graphic>
                <a:graphicData uri="http://schemas.microsoft.com/office/word/2010/wordprocessingShape">
                  <wps:wsp>
                    <wps:cNvSpPr/>
                    <wps:cNvPr id="91" name="Shape 91"/>
                    <wps:spPr>
                      <a:xfrm>
                        <a:off x="4371275" y="3722215"/>
                        <a:ext cx="1949450" cy="115570"/>
                      </a:xfrm>
                      <a:prstGeom prst="rect">
                        <a:avLst/>
                      </a:prstGeom>
                      <a:noFill/>
                      <a:ln>
                        <a:noFill/>
                      </a:ln>
                    </wps:spPr>
                    <wps:txbx>
                      <w:txbxContent>
                        <w:p w:rsidR="00000000" w:rsidDel="00000000" w:rsidP="00000000" w:rsidRDefault="00000000" w:rsidRPr="00000000">
                          <w:pPr>
                            <w:spacing w:after="0" w:before="22.000000476837158" w:line="240"/>
                            <w:ind w:left="20" w:right="0" w:firstLine="40"/>
                            <w:jc w:val="left"/>
                            <w:textDirection w:val="btLr"/>
                          </w:pPr>
                          <w:r w:rsidDel="00000000" w:rsidR="00000000" w:rsidRPr="00000000">
                            <w:rPr>
                              <w:rFonts w:ascii="Georgia" w:cs="Georgia" w:eastAsia="Georgia" w:hAnsi="Georgia"/>
                              <w:b w:val="0"/>
                              <w:i w:val="1"/>
                              <w:smallCaps w:val="0"/>
                              <w:strike w:val="0"/>
                              <w:color w:val="000000"/>
                              <w:sz w:val="12"/>
                              <w:vertAlign w:val="baseline"/>
                            </w:rPr>
                            <w:t xml:space="preserve">International Journal of Cardiology 392 (2023) 131339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5143856</wp:posOffset>
              </wp:positionH>
              <wp:positionV relativeFrom="page">
                <wp:posOffset>430868</wp:posOffset>
              </wp:positionV>
              <wp:extent cx="1968500" cy="134620"/>
              <wp:effectExtent b="0" l="0" r="0" t="0"/>
              <wp:wrapNone/>
              <wp:docPr id="441" name="image106.png"/>
              <a:graphic>
                <a:graphicData uri="http://schemas.openxmlformats.org/drawingml/2006/picture">
                  <pic:pic>
                    <pic:nvPicPr>
                      <pic:cNvPr id="0" name="image106.png"/>
                      <pic:cNvPicPr preferRelativeResize="0"/>
                    </pic:nvPicPr>
                    <pic:blipFill>
                      <a:blip r:embed="rId2"/>
                      <a:srcRect/>
                      <a:stretch>
                        <a:fillRect/>
                      </a:stretch>
                    </pic:blipFill>
                    <pic:spPr>
                      <a:xfrm>
                        <a:off x="0" y="0"/>
                        <a:ext cx="1968500" cy="134620"/>
                      </a:xfrm>
                      <a:prstGeom prst="rect"/>
                      <a:ln/>
                    </pic:spPr>
                  </pic:pic>
                </a:graphicData>
              </a:graphic>
            </wp:anchor>
          </w:drawing>
        </mc:Fallback>
      </mc:AlternateContent>
    </w:r>
    <w:r w:rsidDel="00000000" w:rsidR="00000000" w:rsidRPr="00000000">
      <w:rPr>
        <w:rtl w:val="0"/>
      </w:r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B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C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8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50" w:hanging="315"/>
      </w:pPr>
      <w:rPr>
        <w:rFonts w:ascii="Times New Roman" w:cs="Times New Roman" w:eastAsia="Times New Roman" w:hAnsi="Times New Roman"/>
        <w:b w:val="0"/>
        <w:i w:val="0"/>
        <w:sz w:val="20"/>
        <w:szCs w:val="20"/>
      </w:rPr>
    </w:lvl>
    <w:lvl w:ilvl="1">
      <w:start w:val="0"/>
      <w:numFmt w:val="bullet"/>
      <w:lvlText w:val="•"/>
      <w:lvlJc w:val="left"/>
      <w:pPr>
        <w:ind w:left="1491" w:hanging="315"/>
      </w:pPr>
      <w:rPr/>
    </w:lvl>
    <w:lvl w:ilvl="2">
      <w:start w:val="0"/>
      <w:numFmt w:val="bullet"/>
      <w:lvlText w:val="•"/>
      <w:lvlJc w:val="left"/>
      <w:pPr>
        <w:ind w:left="1922" w:hanging="315"/>
      </w:pPr>
      <w:rPr/>
    </w:lvl>
    <w:lvl w:ilvl="3">
      <w:start w:val="0"/>
      <w:numFmt w:val="bullet"/>
      <w:lvlText w:val="•"/>
      <w:lvlJc w:val="left"/>
      <w:pPr>
        <w:ind w:left="2353" w:hanging="315"/>
      </w:pPr>
      <w:rPr/>
    </w:lvl>
    <w:lvl w:ilvl="4">
      <w:start w:val="0"/>
      <w:numFmt w:val="bullet"/>
      <w:lvlText w:val="•"/>
      <w:lvlJc w:val="left"/>
      <w:pPr>
        <w:ind w:left="2784" w:hanging="315"/>
      </w:pPr>
      <w:rPr/>
    </w:lvl>
    <w:lvl w:ilvl="5">
      <w:start w:val="0"/>
      <w:numFmt w:val="bullet"/>
      <w:lvlText w:val="•"/>
      <w:lvlJc w:val="left"/>
      <w:pPr>
        <w:ind w:left="3215" w:hanging="315"/>
      </w:pPr>
      <w:rPr/>
    </w:lvl>
    <w:lvl w:ilvl="6">
      <w:start w:val="0"/>
      <w:numFmt w:val="bullet"/>
      <w:lvlText w:val="•"/>
      <w:lvlJc w:val="left"/>
      <w:pPr>
        <w:ind w:left="3646" w:hanging="315"/>
      </w:pPr>
      <w:rPr/>
    </w:lvl>
    <w:lvl w:ilvl="7">
      <w:start w:val="0"/>
      <w:numFmt w:val="bullet"/>
      <w:lvlText w:val="•"/>
      <w:lvlJc w:val="left"/>
      <w:pPr>
        <w:ind w:left="4077" w:hanging="315"/>
      </w:pPr>
      <w:rPr/>
    </w:lvl>
    <w:lvl w:ilvl="8">
      <w:start w:val="0"/>
      <w:numFmt w:val="bullet"/>
      <w:lvlText w:val="•"/>
      <w:lvlJc w:val="left"/>
      <w:pPr>
        <w:ind w:left="4509" w:hanging="315"/>
      </w:pPr>
      <w:rPr/>
    </w:lvl>
  </w:abstractNum>
  <w:abstractNum w:abstractNumId="2">
    <w:lvl w:ilvl="0">
      <w:start w:val="0"/>
      <w:numFmt w:val="bullet"/>
      <w:lvlText w:val="►"/>
      <w:lvlJc w:val="left"/>
      <w:pPr>
        <w:ind w:left="219" w:hanging="187"/>
      </w:pPr>
      <w:rPr>
        <w:rFonts w:ascii="Arial" w:cs="Arial" w:eastAsia="Arial" w:hAnsi="Arial"/>
        <w:b w:val="0"/>
        <w:i w:val="0"/>
        <w:color w:val="231f20"/>
        <w:sz w:val="13"/>
        <w:szCs w:val="13"/>
      </w:rPr>
    </w:lvl>
    <w:lvl w:ilvl="1">
      <w:start w:val="0"/>
      <w:numFmt w:val="bullet"/>
      <w:lvlText w:val="•"/>
      <w:lvlJc w:val="left"/>
      <w:pPr>
        <w:ind w:left="407" w:hanging="186.99999999999994"/>
      </w:pPr>
      <w:rPr/>
    </w:lvl>
    <w:lvl w:ilvl="2">
      <w:start w:val="0"/>
      <w:numFmt w:val="bullet"/>
      <w:lvlText w:val="•"/>
      <w:lvlJc w:val="left"/>
      <w:pPr>
        <w:ind w:left="595" w:hanging="187"/>
      </w:pPr>
      <w:rPr/>
    </w:lvl>
    <w:lvl w:ilvl="3">
      <w:start w:val="0"/>
      <w:numFmt w:val="bullet"/>
      <w:lvlText w:val="•"/>
      <w:lvlJc w:val="left"/>
      <w:pPr>
        <w:ind w:left="782" w:hanging="187"/>
      </w:pPr>
      <w:rPr/>
    </w:lvl>
    <w:lvl w:ilvl="4">
      <w:start w:val="0"/>
      <w:numFmt w:val="bullet"/>
      <w:lvlText w:val="•"/>
      <w:lvlJc w:val="left"/>
      <w:pPr>
        <w:ind w:left="970" w:hanging="187"/>
      </w:pPr>
      <w:rPr/>
    </w:lvl>
    <w:lvl w:ilvl="5">
      <w:start w:val="0"/>
      <w:numFmt w:val="bullet"/>
      <w:lvlText w:val="•"/>
      <w:lvlJc w:val="left"/>
      <w:pPr>
        <w:ind w:left="1157" w:hanging="187"/>
      </w:pPr>
      <w:rPr/>
    </w:lvl>
    <w:lvl w:ilvl="6">
      <w:start w:val="0"/>
      <w:numFmt w:val="bullet"/>
      <w:lvlText w:val="•"/>
      <w:lvlJc w:val="left"/>
      <w:pPr>
        <w:ind w:left="1345" w:hanging="187"/>
      </w:pPr>
      <w:rPr/>
    </w:lvl>
    <w:lvl w:ilvl="7">
      <w:start w:val="0"/>
      <w:numFmt w:val="bullet"/>
      <w:lvlText w:val="•"/>
      <w:lvlJc w:val="left"/>
      <w:pPr>
        <w:ind w:left="1532" w:hanging="187"/>
      </w:pPr>
      <w:rPr/>
    </w:lvl>
    <w:lvl w:ilvl="8">
      <w:start w:val="0"/>
      <w:numFmt w:val="bullet"/>
      <w:lvlText w:val="•"/>
      <w:lvlJc w:val="left"/>
      <w:pPr>
        <w:ind w:left="1720" w:hanging="187"/>
      </w:pPr>
      <w:rPr/>
    </w:lvl>
  </w:abstractNum>
  <w:abstractNum w:abstractNumId="3">
    <w:lvl w:ilvl="0">
      <w:start w:val="0"/>
      <w:numFmt w:val="bullet"/>
      <w:lvlText w:val="-"/>
      <w:lvlJc w:val="left"/>
      <w:pPr>
        <w:ind w:left="335" w:hanging="140"/>
      </w:pPr>
      <w:rPr>
        <w:rFonts w:ascii="Times New Roman" w:cs="Times New Roman" w:eastAsia="Times New Roman" w:hAnsi="Times New Roman"/>
        <w:b w:val="0"/>
        <w:i w:val="0"/>
        <w:sz w:val="24"/>
        <w:szCs w:val="24"/>
      </w:rPr>
    </w:lvl>
    <w:lvl w:ilvl="1">
      <w:start w:val="0"/>
      <w:numFmt w:val="bullet"/>
      <w:lvlText w:val="•"/>
      <w:lvlJc w:val="left"/>
      <w:pPr>
        <w:ind w:left="508" w:hanging="140"/>
      </w:pPr>
      <w:rPr/>
    </w:lvl>
    <w:lvl w:ilvl="2">
      <w:start w:val="0"/>
      <w:numFmt w:val="bullet"/>
      <w:lvlText w:val="•"/>
      <w:lvlJc w:val="left"/>
      <w:pPr>
        <w:ind w:left="676" w:hanging="140"/>
      </w:pPr>
      <w:rPr/>
    </w:lvl>
    <w:lvl w:ilvl="3">
      <w:start w:val="0"/>
      <w:numFmt w:val="bullet"/>
      <w:lvlText w:val="•"/>
      <w:lvlJc w:val="left"/>
      <w:pPr>
        <w:ind w:left="844" w:hanging="140"/>
      </w:pPr>
      <w:rPr/>
    </w:lvl>
    <w:lvl w:ilvl="4">
      <w:start w:val="0"/>
      <w:numFmt w:val="bullet"/>
      <w:lvlText w:val="•"/>
      <w:lvlJc w:val="left"/>
      <w:pPr>
        <w:ind w:left="1012" w:hanging="140"/>
      </w:pPr>
      <w:rPr/>
    </w:lvl>
    <w:lvl w:ilvl="5">
      <w:start w:val="0"/>
      <w:numFmt w:val="bullet"/>
      <w:lvlText w:val="•"/>
      <w:lvlJc w:val="left"/>
      <w:pPr>
        <w:ind w:left="1180" w:hanging="140"/>
      </w:pPr>
      <w:rPr/>
    </w:lvl>
    <w:lvl w:ilvl="6">
      <w:start w:val="0"/>
      <w:numFmt w:val="bullet"/>
      <w:lvlText w:val="•"/>
      <w:lvlJc w:val="left"/>
      <w:pPr>
        <w:ind w:left="1348" w:hanging="140"/>
      </w:pPr>
      <w:rPr/>
    </w:lvl>
    <w:lvl w:ilvl="7">
      <w:start w:val="0"/>
      <w:numFmt w:val="bullet"/>
      <w:lvlText w:val="•"/>
      <w:lvlJc w:val="left"/>
      <w:pPr>
        <w:ind w:left="1516" w:hanging="140"/>
      </w:pPr>
      <w:rPr/>
    </w:lvl>
    <w:lvl w:ilvl="8">
      <w:start w:val="0"/>
      <w:numFmt w:val="bullet"/>
      <w:lvlText w:val="•"/>
      <w:lvlJc w:val="left"/>
      <w:pPr>
        <w:ind w:left="1684" w:hanging="140"/>
      </w:pPr>
      <w:rPr/>
    </w:lvl>
  </w:abstractNum>
  <w:abstractNum w:abstractNumId="4">
    <w:lvl w:ilvl="0">
      <w:start w:val="1"/>
      <w:numFmt w:val="decimal"/>
      <w:lvlText w:val="%1."/>
      <w:lvlJc w:val="left"/>
      <w:pPr>
        <w:ind w:left="846" w:hanging="260"/>
      </w:pPr>
      <w:rPr>
        <w:rFonts w:ascii="Times New Roman" w:cs="Times New Roman" w:eastAsia="Times New Roman" w:hAnsi="Times New Roman"/>
        <w:b w:val="0"/>
        <w:i w:val="0"/>
        <w:sz w:val="18"/>
        <w:szCs w:val="18"/>
      </w:rPr>
    </w:lvl>
    <w:lvl w:ilvl="1">
      <w:start w:val="1"/>
      <w:numFmt w:val="decimal"/>
      <w:lvlText w:val="%2."/>
      <w:lvlJc w:val="left"/>
      <w:pPr>
        <w:ind w:left="953" w:hanging="360"/>
      </w:pPr>
      <w:rPr>
        <w:rFonts w:ascii="Times New Roman" w:cs="Times New Roman" w:eastAsia="Times New Roman" w:hAnsi="Times New Roman"/>
        <w:b w:val="0"/>
        <w:i w:val="0"/>
        <w:sz w:val="24"/>
        <w:szCs w:val="24"/>
      </w:rPr>
    </w:lvl>
    <w:lvl w:ilvl="2">
      <w:start w:val="0"/>
      <w:numFmt w:val="bullet"/>
      <w:lvlText w:val="●"/>
      <w:lvlJc w:val="left"/>
      <w:pPr>
        <w:ind w:left="1313" w:hanging="359.9999999999998"/>
      </w:pPr>
      <w:rPr>
        <w:rFonts w:ascii="Times New Roman" w:cs="Times New Roman" w:eastAsia="Times New Roman" w:hAnsi="Times New Roman"/>
        <w:b w:val="0"/>
        <w:i w:val="0"/>
        <w:sz w:val="24"/>
        <w:szCs w:val="24"/>
      </w:rPr>
    </w:lvl>
    <w:lvl w:ilvl="3">
      <w:start w:val="0"/>
      <w:numFmt w:val="bullet"/>
      <w:lvlText w:val="•"/>
      <w:lvlJc w:val="left"/>
      <w:pPr>
        <w:ind w:left="1805" w:hanging="360"/>
      </w:pPr>
      <w:rPr/>
    </w:lvl>
    <w:lvl w:ilvl="4">
      <w:start w:val="0"/>
      <w:numFmt w:val="bullet"/>
      <w:lvlText w:val="•"/>
      <w:lvlJc w:val="left"/>
      <w:pPr>
        <w:ind w:left="2291" w:hanging="360"/>
      </w:pPr>
      <w:rPr/>
    </w:lvl>
    <w:lvl w:ilvl="5">
      <w:start w:val="0"/>
      <w:numFmt w:val="bullet"/>
      <w:lvlText w:val="•"/>
      <w:lvlJc w:val="left"/>
      <w:pPr>
        <w:ind w:left="2777" w:hanging="360"/>
      </w:pPr>
      <w:rPr/>
    </w:lvl>
    <w:lvl w:ilvl="6">
      <w:start w:val="0"/>
      <w:numFmt w:val="bullet"/>
      <w:lvlText w:val="•"/>
      <w:lvlJc w:val="left"/>
      <w:pPr>
        <w:ind w:left="3263" w:hanging="360"/>
      </w:pPr>
      <w:rPr/>
    </w:lvl>
    <w:lvl w:ilvl="7">
      <w:start w:val="0"/>
      <w:numFmt w:val="bullet"/>
      <w:lvlText w:val="•"/>
      <w:lvlJc w:val="left"/>
      <w:pPr>
        <w:ind w:left="3749" w:hanging="360"/>
      </w:pPr>
      <w:rPr/>
    </w:lvl>
    <w:lvl w:ilvl="8">
      <w:start w:val="0"/>
      <w:numFmt w:val="bullet"/>
      <w:lvlText w:val="•"/>
      <w:lvlJc w:val="left"/>
      <w:pPr>
        <w:ind w:left="4235" w:hanging="360"/>
      </w:pPr>
      <w:rPr/>
    </w:lvl>
  </w:abstractNum>
  <w:abstractNum w:abstractNumId="5">
    <w:lvl w:ilvl="0">
      <w:start w:val="1"/>
      <w:numFmt w:val="decimal"/>
      <w:lvlText w:val="[%1]"/>
      <w:lvlJc w:val="left"/>
      <w:pPr>
        <w:ind w:left="459" w:hanging="260"/>
      </w:pPr>
      <w:rPr>
        <w:rFonts w:ascii="Times New Roman" w:cs="Times New Roman" w:eastAsia="Times New Roman" w:hAnsi="Times New Roman"/>
        <w:b w:val="0"/>
        <w:i w:val="0"/>
        <w:sz w:val="12"/>
        <w:szCs w:val="12"/>
      </w:rPr>
    </w:lvl>
    <w:lvl w:ilvl="1">
      <w:start w:val="0"/>
      <w:numFmt w:val="bullet"/>
      <w:lvlText w:val="•"/>
      <w:lvlJc w:val="left"/>
      <w:pPr>
        <w:ind w:left="933" w:hanging="260"/>
      </w:pPr>
      <w:rPr/>
    </w:lvl>
    <w:lvl w:ilvl="2">
      <w:start w:val="0"/>
      <w:numFmt w:val="bullet"/>
      <w:lvlText w:val="•"/>
      <w:lvlJc w:val="left"/>
      <w:pPr>
        <w:ind w:left="1406" w:hanging="260"/>
      </w:pPr>
      <w:rPr/>
    </w:lvl>
    <w:lvl w:ilvl="3">
      <w:start w:val="0"/>
      <w:numFmt w:val="bullet"/>
      <w:lvlText w:val="•"/>
      <w:lvlJc w:val="left"/>
      <w:pPr>
        <w:ind w:left="1880" w:hanging="260"/>
      </w:pPr>
      <w:rPr/>
    </w:lvl>
    <w:lvl w:ilvl="4">
      <w:start w:val="0"/>
      <w:numFmt w:val="bullet"/>
      <w:lvlText w:val="•"/>
      <w:lvlJc w:val="left"/>
      <w:pPr>
        <w:ind w:left="2353" w:hanging="260"/>
      </w:pPr>
      <w:rPr/>
    </w:lvl>
    <w:lvl w:ilvl="5">
      <w:start w:val="0"/>
      <w:numFmt w:val="bullet"/>
      <w:lvlText w:val="•"/>
      <w:lvlJc w:val="left"/>
      <w:pPr>
        <w:ind w:left="2826" w:hanging="260"/>
      </w:pPr>
      <w:rPr/>
    </w:lvl>
    <w:lvl w:ilvl="6">
      <w:start w:val="0"/>
      <w:numFmt w:val="bullet"/>
      <w:lvlText w:val="•"/>
      <w:lvlJc w:val="left"/>
      <w:pPr>
        <w:ind w:left="3300" w:hanging="260"/>
      </w:pPr>
      <w:rPr/>
    </w:lvl>
    <w:lvl w:ilvl="7">
      <w:start w:val="0"/>
      <w:numFmt w:val="bullet"/>
      <w:lvlText w:val="•"/>
      <w:lvlJc w:val="left"/>
      <w:pPr>
        <w:ind w:left="3773" w:hanging="260"/>
      </w:pPr>
      <w:rPr/>
    </w:lvl>
    <w:lvl w:ilvl="8">
      <w:start w:val="0"/>
      <w:numFmt w:val="bullet"/>
      <w:lvlText w:val="•"/>
      <w:lvlJc w:val="left"/>
      <w:pPr>
        <w:ind w:left="4247" w:hanging="260"/>
      </w:pPr>
      <w:rPr/>
    </w:lvl>
  </w:abstractNum>
  <w:abstractNum w:abstractNumId="6">
    <w:lvl w:ilvl="0">
      <w:start w:val="1"/>
      <w:numFmt w:val="decimal"/>
      <w:lvlText w:val="[%1]"/>
      <w:lvlJc w:val="left"/>
      <w:pPr>
        <w:ind w:left="459" w:hanging="260"/>
      </w:pPr>
      <w:rPr>
        <w:rFonts w:ascii="Times New Roman" w:cs="Times New Roman" w:eastAsia="Times New Roman" w:hAnsi="Times New Roman"/>
        <w:b w:val="0"/>
        <w:i w:val="0"/>
        <w:sz w:val="12"/>
        <w:szCs w:val="12"/>
      </w:rPr>
    </w:lvl>
    <w:lvl w:ilvl="1">
      <w:start w:val="0"/>
      <w:numFmt w:val="bullet"/>
      <w:lvlText w:val="•"/>
      <w:lvlJc w:val="left"/>
      <w:pPr>
        <w:ind w:left="933" w:hanging="260"/>
      </w:pPr>
      <w:rPr/>
    </w:lvl>
    <w:lvl w:ilvl="2">
      <w:start w:val="0"/>
      <w:numFmt w:val="bullet"/>
      <w:lvlText w:val="•"/>
      <w:lvlJc w:val="left"/>
      <w:pPr>
        <w:ind w:left="1406" w:hanging="260"/>
      </w:pPr>
      <w:rPr/>
    </w:lvl>
    <w:lvl w:ilvl="3">
      <w:start w:val="0"/>
      <w:numFmt w:val="bullet"/>
      <w:lvlText w:val="•"/>
      <w:lvlJc w:val="left"/>
      <w:pPr>
        <w:ind w:left="1880" w:hanging="260"/>
      </w:pPr>
      <w:rPr/>
    </w:lvl>
    <w:lvl w:ilvl="4">
      <w:start w:val="0"/>
      <w:numFmt w:val="bullet"/>
      <w:lvlText w:val="•"/>
      <w:lvlJc w:val="left"/>
      <w:pPr>
        <w:ind w:left="2353" w:hanging="260"/>
      </w:pPr>
      <w:rPr/>
    </w:lvl>
    <w:lvl w:ilvl="5">
      <w:start w:val="0"/>
      <w:numFmt w:val="bullet"/>
      <w:lvlText w:val="•"/>
      <w:lvlJc w:val="left"/>
      <w:pPr>
        <w:ind w:left="2827" w:hanging="260"/>
      </w:pPr>
      <w:rPr/>
    </w:lvl>
    <w:lvl w:ilvl="6">
      <w:start w:val="0"/>
      <w:numFmt w:val="bullet"/>
      <w:lvlText w:val="•"/>
      <w:lvlJc w:val="left"/>
      <w:pPr>
        <w:ind w:left="3300" w:hanging="260"/>
      </w:pPr>
      <w:rPr/>
    </w:lvl>
    <w:lvl w:ilvl="7">
      <w:start w:val="0"/>
      <w:numFmt w:val="bullet"/>
      <w:lvlText w:val="•"/>
      <w:lvlJc w:val="left"/>
      <w:pPr>
        <w:ind w:left="3773" w:hanging="260"/>
      </w:pPr>
      <w:rPr/>
    </w:lvl>
    <w:lvl w:ilvl="8">
      <w:start w:val="0"/>
      <w:numFmt w:val="bullet"/>
      <w:lvlText w:val="•"/>
      <w:lvlJc w:val="left"/>
      <w:pPr>
        <w:ind w:left="4247" w:hanging="260"/>
      </w:pPr>
      <w:rPr/>
    </w:lvl>
  </w:abstractNum>
  <w:abstractNum w:abstractNumId="7">
    <w:lvl w:ilvl="0">
      <w:start w:val="1"/>
      <w:numFmt w:val="decimal"/>
      <w:lvlText w:val="%1."/>
      <w:lvlJc w:val="left"/>
      <w:pPr>
        <w:ind w:left="376" w:hanging="245"/>
      </w:pPr>
      <w:rPr>
        <w:rFonts w:ascii="Times New Roman" w:cs="Times New Roman" w:eastAsia="Times New Roman" w:hAnsi="Times New Roman"/>
        <w:b w:val="1"/>
        <w:i w:val="0"/>
        <w:sz w:val="16"/>
        <w:szCs w:val="16"/>
      </w:rPr>
    </w:lvl>
    <w:lvl w:ilvl="1">
      <w:start w:val="1"/>
      <w:numFmt w:val="decimal"/>
      <w:lvlText w:val="%1.%2."/>
      <w:lvlJc w:val="left"/>
      <w:pPr>
        <w:ind w:left="497" w:hanging="367"/>
      </w:pPr>
      <w:rPr>
        <w:rFonts w:ascii="Times New Roman" w:cs="Times New Roman" w:eastAsia="Times New Roman" w:hAnsi="Times New Roman"/>
        <w:b w:val="0"/>
        <w:i w:val="1"/>
        <w:sz w:val="16"/>
        <w:szCs w:val="16"/>
      </w:rPr>
    </w:lvl>
    <w:lvl w:ilvl="2">
      <w:start w:val="0"/>
      <w:numFmt w:val="bullet"/>
      <w:lvlText w:val="•"/>
      <w:lvlJc w:val="left"/>
      <w:pPr>
        <w:ind w:left="1021" w:hanging="367.0000000000002"/>
      </w:pPr>
      <w:rPr/>
    </w:lvl>
    <w:lvl w:ilvl="3">
      <w:start w:val="0"/>
      <w:numFmt w:val="bullet"/>
      <w:lvlText w:val="•"/>
      <w:lvlJc w:val="left"/>
      <w:pPr>
        <w:ind w:left="1543" w:hanging="367"/>
      </w:pPr>
      <w:rPr/>
    </w:lvl>
    <w:lvl w:ilvl="4">
      <w:start w:val="0"/>
      <w:numFmt w:val="bullet"/>
      <w:lvlText w:val="•"/>
      <w:lvlJc w:val="left"/>
      <w:pPr>
        <w:ind w:left="2064" w:hanging="367"/>
      </w:pPr>
      <w:rPr/>
    </w:lvl>
    <w:lvl w:ilvl="5">
      <w:start w:val="0"/>
      <w:numFmt w:val="bullet"/>
      <w:lvlText w:val="•"/>
      <w:lvlJc w:val="left"/>
      <w:pPr>
        <w:ind w:left="2586" w:hanging="366.99999999999955"/>
      </w:pPr>
      <w:rPr/>
    </w:lvl>
    <w:lvl w:ilvl="6">
      <w:start w:val="0"/>
      <w:numFmt w:val="bullet"/>
      <w:lvlText w:val="•"/>
      <w:lvlJc w:val="left"/>
      <w:pPr>
        <w:ind w:left="3107" w:hanging="367"/>
      </w:pPr>
      <w:rPr/>
    </w:lvl>
    <w:lvl w:ilvl="7">
      <w:start w:val="0"/>
      <w:numFmt w:val="bullet"/>
      <w:lvlText w:val="•"/>
      <w:lvlJc w:val="left"/>
      <w:pPr>
        <w:ind w:left="3629" w:hanging="367"/>
      </w:pPr>
      <w:rPr/>
    </w:lvl>
    <w:lvl w:ilvl="8">
      <w:start w:val="0"/>
      <w:numFmt w:val="bullet"/>
      <w:lvlText w:val="•"/>
      <w:lvlJc w:val="left"/>
      <w:pPr>
        <w:ind w:left="4150" w:hanging="367"/>
      </w:pPr>
      <w:rPr/>
    </w:lvl>
  </w:abstractNum>
  <w:abstractNum w:abstractNumId="8">
    <w:lvl w:ilvl="0">
      <w:start w:val="1"/>
      <w:numFmt w:val="decimal"/>
      <w:lvlText w:val="%1."/>
      <w:lvlJc w:val="left"/>
      <w:pPr>
        <w:ind w:left="376" w:hanging="245"/>
      </w:pPr>
      <w:rPr>
        <w:rFonts w:ascii="Times New Roman" w:cs="Times New Roman" w:eastAsia="Times New Roman" w:hAnsi="Times New Roman"/>
        <w:b w:val="1"/>
        <w:i w:val="0"/>
        <w:sz w:val="16"/>
        <w:szCs w:val="16"/>
      </w:rPr>
    </w:lvl>
    <w:lvl w:ilvl="1">
      <w:start w:val="1"/>
      <w:numFmt w:val="decimal"/>
      <w:lvlText w:val="%1.%2."/>
      <w:lvlJc w:val="left"/>
      <w:pPr>
        <w:ind w:left="497" w:hanging="367"/>
      </w:pPr>
      <w:rPr>
        <w:rFonts w:ascii="Times New Roman" w:cs="Times New Roman" w:eastAsia="Times New Roman" w:hAnsi="Times New Roman"/>
        <w:b w:val="0"/>
        <w:i w:val="1"/>
        <w:sz w:val="16"/>
        <w:szCs w:val="16"/>
      </w:rPr>
    </w:lvl>
    <w:lvl w:ilvl="2">
      <w:start w:val="1"/>
      <w:numFmt w:val="decimal"/>
      <w:lvlText w:val="%1.%2.%3."/>
      <w:lvlJc w:val="left"/>
      <w:pPr>
        <w:ind w:left="631" w:hanging="501"/>
      </w:pPr>
      <w:rPr>
        <w:rFonts w:ascii="Times New Roman" w:cs="Times New Roman" w:eastAsia="Times New Roman" w:hAnsi="Times New Roman"/>
        <w:b w:val="0"/>
        <w:i w:val="1"/>
        <w:sz w:val="16"/>
        <w:szCs w:val="16"/>
      </w:rPr>
    </w:lvl>
    <w:lvl w:ilvl="3">
      <w:start w:val="0"/>
      <w:numFmt w:val="bullet"/>
      <w:lvlText w:val="•"/>
      <w:lvlJc w:val="left"/>
      <w:pPr>
        <w:ind w:left="536" w:hanging="501"/>
      </w:pPr>
      <w:rPr/>
    </w:lvl>
    <w:lvl w:ilvl="4">
      <w:start w:val="0"/>
      <w:numFmt w:val="bullet"/>
      <w:lvlText w:val="•"/>
      <w:lvlJc w:val="left"/>
      <w:pPr>
        <w:ind w:left="433" w:hanging="501.0000000000001"/>
      </w:pPr>
      <w:rPr/>
    </w:lvl>
    <w:lvl w:ilvl="5">
      <w:start w:val="0"/>
      <w:numFmt w:val="bullet"/>
      <w:lvlText w:val="•"/>
      <w:lvlJc w:val="left"/>
      <w:pPr>
        <w:ind w:left="330" w:hanging="501"/>
      </w:pPr>
      <w:rPr/>
    </w:lvl>
    <w:lvl w:ilvl="6">
      <w:start w:val="0"/>
      <w:numFmt w:val="bullet"/>
      <w:lvlText w:val="•"/>
      <w:lvlJc w:val="left"/>
      <w:pPr>
        <w:ind w:left="226" w:hanging="501"/>
      </w:pPr>
      <w:rPr/>
    </w:lvl>
    <w:lvl w:ilvl="7">
      <w:start w:val="0"/>
      <w:numFmt w:val="bullet"/>
      <w:lvlText w:val="•"/>
      <w:lvlJc w:val="left"/>
      <w:pPr>
        <w:ind w:left="123" w:hanging="501"/>
      </w:pPr>
      <w:rPr/>
    </w:lvl>
    <w:lvl w:ilvl="8">
      <w:start w:val="0"/>
      <w:numFmt w:val="bullet"/>
      <w:lvlText w:val="•"/>
      <w:lvlJc w:val="left"/>
      <w:pPr>
        <w:ind w:left="20" w:hanging="501"/>
      </w:pPr>
      <w:rPr/>
    </w:lvl>
  </w:abstractNum>
  <w:abstractNum w:abstractNumId="9">
    <w:lvl w:ilvl="0">
      <w:start w:val="1"/>
      <w:numFmt w:val="decimal"/>
      <w:lvlText w:val="%1"/>
      <w:lvlJc w:val="left"/>
      <w:pPr>
        <w:ind w:left="472" w:hanging="180"/>
      </w:pPr>
      <w:rPr>
        <w:rFonts w:ascii="Trebuchet MS" w:cs="Trebuchet MS" w:eastAsia="Trebuchet MS" w:hAnsi="Trebuchet MS"/>
        <w:b w:val="0"/>
        <w:i w:val="0"/>
        <w:color w:val="231f20"/>
        <w:sz w:val="15"/>
        <w:szCs w:val="15"/>
      </w:rPr>
    </w:lvl>
    <w:lvl w:ilvl="1">
      <w:start w:val="0"/>
      <w:numFmt w:val="bullet"/>
      <w:lvlText w:val="•"/>
      <w:lvlJc w:val="left"/>
      <w:pPr>
        <w:ind w:left="951" w:hanging="180"/>
      </w:pPr>
      <w:rPr/>
    </w:lvl>
    <w:lvl w:ilvl="2">
      <w:start w:val="0"/>
      <w:numFmt w:val="bullet"/>
      <w:lvlText w:val="•"/>
      <w:lvlJc w:val="left"/>
      <w:pPr>
        <w:ind w:left="1422" w:hanging="180"/>
      </w:pPr>
      <w:rPr/>
    </w:lvl>
    <w:lvl w:ilvl="3">
      <w:start w:val="0"/>
      <w:numFmt w:val="bullet"/>
      <w:lvlText w:val="•"/>
      <w:lvlJc w:val="left"/>
      <w:pPr>
        <w:ind w:left="1893" w:hanging="180"/>
      </w:pPr>
      <w:rPr/>
    </w:lvl>
    <w:lvl w:ilvl="4">
      <w:start w:val="0"/>
      <w:numFmt w:val="bullet"/>
      <w:lvlText w:val="•"/>
      <w:lvlJc w:val="left"/>
      <w:pPr>
        <w:ind w:left="2364" w:hanging="180"/>
      </w:pPr>
      <w:rPr/>
    </w:lvl>
    <w:lvl w:ilvl="5">
      <w:start w:val="0"/>
      <w:numFmt w:val="bullet"/>
      <w:lvlText w:val="•"/>
      <w:lvlJc w:val="left"/>
      <w:pPr>
        <w:ind w:left="2835" w:hanging="180"/>
      </w:pPr>
      <w:rPr/>
    </w:lvl>
    <w:lvl w:ilvl="6">
      <w:start w:val="0"/>
      <w:numFmt w:val="bullet"/>
      <w:lvlText w:val="•"/>
      <w:lvlJc w:val="left"/>
      <w:pPr>
        <w:ind w:left="3307" w:hanging="180"/>
      </w:pPr>
      <w:rPr/>
    </w:lvl>
    <w:lvl w:ilvl="7">
      <w:start w:val="0"/>
      <w:numFmt w:val="bullet"/>
      <w:lvlText w:val="•"/>
      <w:lvlJc w:val="left"/>
      <w:pPr>
        <w:ind w:left="3778" w:hanging="180"/>
      </w:pPr>
      <w:rPr/>
    </w:lvl>
    <w:lvl w:ilvl="8">
      <w:start w:val="0"/>
      <w:numFmt w:val="bullet"/>
      <w:lvlText w:val="•"/>
      <w:lvlJc w:val="left"/>
      <w:pPr>
        <w:ind w:left="4249" w:hanging="180"/>
      </w:pPr>
      <w:rPr/>
    </w:lvl>
  </w:abstractNum>
  <w:abstractNum w:abstractNumId="10">
    <w:lvl w:ilvl="0">
      <w:start w:val="1"/>
      <w:numFmt w:val="decimal"/>
      <w:lvlText w:val="%1."/>
      <w:lvlJc w:val="left"/>
      <w:pPr>
        <w:ind w:left="500" w:hanging="281"/>
      </w:pPr>
      <w:rPr>
        <w:rFonts w:ascii="Cambria" w:cs="Cambria" w:eastAsia="Cambria" w:hAnsi="Cambria"/>
        <w:b w:val="0"/>
        <w:i w:val="0"/>
        <w:color w:val="231f20"/>
        <w:sz w:val="18"/>
        <w:szCs w:val="18"/>
      </w:rPr>
    </w:lvl>
    <w:lvl w:ilvl="1">
      <w:start w:val="0"/>
      <w:numFmt w:val="bullet"/>
      <w:lvlText w:val="•"/>
      <w:lvlJc w:val="left"/>
      <w:pPr>
        <w:ind w:left="969" w:hanging="280.9999999999999"/>
      </w:pPr>
      <w:rPr/>
    </w:lvl>
    <w:lvl w:ilvl="2">
      <w:start w:val="0"/>
      <w:numFmt w:val="bullet"/>
      <w:lvlText w:val="•"/>
      <w:lvlJc w:val="left"/>
      <w:pPr>
        <w:ind w:left="1438" w:hanging="280.9999999999998"/>
      </w:pPr>
      <w:rPr/>
    </w:lvl>
    <w:lvl w:ilvl="3">
      <w:start w:val="0"/>
      <w:numFmt w:val="bullet"/>
      <w:lvlText w:val="•"/>
      <w:lvlJc w:val="left"/>
      <w:pPr>
        <w:ind w:left="1907" w:hanging="281"/>
      </w:pPr>
      <w:rPr/>
    </w:lvl>
    <w:lvl w:ilvl="4">
      <w:start w:val="0"/>
      <w:numFmt w:val="bullet"/>
      <w:lvlText w:val="•"/>
      <w:lvlJc w:val="left"/>
      <w:pPr>
        <w:ind w:left="2377" w:hanging="281"/>
      </w:pPr>
      <w:rPr/>
    </w:lvl>
    <w:lvl w:ilvl="5">
      <w:start w:val="0"/>
      <w:numFmt w:val="bullet"/>
      <w:lvlText w:val="•"/>
      <w:lvlJc w:val="left"/>
      <w:pPr>
        <w:ind w:left="2846" w:hanging="281"/>
      </w:pPr>
      <w:rPr/>
    </w:lvl>
    <w:lvl w:ilvl="6">
      <w:start w:val="0"/>
      <w:numFmt w:val="bullet"/>
      <w:lvlText w:val="•"/>
      <w:lvlJc w:val="left"/>
      <w:pPr>
        <w:ind w:left="3315" w:hanging="281"/>
      </w:pPr>
      <w:rPr/>
    </w:lvl>
    <w:lvl w:ilvl="7">
      <w:start w:val="0"/>
      <w:numFmt w:val="bullet"/>
      <w:lvlText w:val="•"/>
      <w:lvlJc w:val="left"/>
      <w:pPr>
        <w:ind w:left="3785" w:hanging="281"/>
      </w:pPr>
      <w:rPr/>
    </w:lvl>
    <w:lvl w:ilvl="8">
      <w:start w:val="0"/>
      <w:numFmt w:val="bullet"/>
      <w:lvlText w:val="•"/>
      <w:lvlJc w:val="left"/>
      <w:pPr>
        <w:ind w:left="4254" w:hanging="281.0000000000004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1" w:right="673"/>
    </w:pPr>
    <w:rPr>
      <w:rFonts w:ascii="Times New Roman" w:cs="Times New Roman" w:eastAsia="Times New Roman" w:hAnsi="Times New Roman"/>
      <w:sz w:val="27"/>
      <w:szCs w:val="27"/>
    </w:rPr>
  </w:style>
  <w:style w:type="paragraph" w:styleId="Heading2">
    <w:name w:val="heading 2"/>
    <w:basedOn w:val="Normal"/>
    <w:next w:val="Normal"/>
    <w:pPr>
      <w:spacing w:before="17" w:lineRule="auto"/>
      <w:ind w:left="131"/>
    </w:pPr>
    <w:rPr>
      <w:rFonts w:ascii="Times New Roman" w:cs="Times New Roman" w:eastAsia="Times New Roman" w:hAnsi="Times New Roman"/>
      <w:sz w:val="21"/>
      <w:szCs w:val="21"/>
    </w:rPr>
  </w:style>
  <w:style w:type="paragraph" w:styleId="Heading3">
    <w:name w:val="heading 3"/>
    <w:basedOn w:val="Normal"/>
    <w:next w:val="Normal"/>
    <w:pPr>
      <w:ind w:left="220"/>
    </w:pPr>
    <w:rPr>
      <w:rFonts w:ascii="Trebuchet MS" w:cs="Trebuchet MS" w:eastAsia="Trebuchet MS" w:hAnsi="Trebuchet MS"/>
      <w:b w:val="1"/>
      <w:sz w:val="19"/>
      <w:szCs w:val="19"/>
    </w:rPr>
  </w:style>
  <w:style w:type="paragraph" w:styleId="Heading4">
    <w:name w:val="heading 4"/>
    <w:basedOn w:val="Normal"/>
    <w:next w:val="Normal"/>
    <w:pPr>
      <w:ind w:left="220"/>
    </w:pPr>
    <w:rPr>
      <w:rFonts w:ascii="Trebuchet MS" w:cs="Trebuchet MS" w:eastAsia="Trebuchet MS" w:hAnsi="Trebuchet MS"/>
      <w:b w:val="1"/>
      <w:sz w:val="19"/>
      <w:szCs w:val="19"/>
    </w:rPr>
  </w:style>
  <w:style w:type="paragraph" w:styleId="Heading5">
    <w:name w:val="heading 5"/>
    <w:basedOn w:val="Normal"/>
    <w:next w:val="Normal"/>
    <w:pPr>
      <w:ind w:left="375"/>
    </w:pPr>
    <w:rPr>
      <w:rFonts w:ascii="Times New Roman" w:cs="Times New Roman" w:eastAsia="Times New Roman" w:hAnsi="Times New Roman"/>
      <w:b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31" w:right="673"/>
    </w:pPr>
    <w:rPr>
      <w:rFonts w:ascii="Times New Roman" w:cs="Times New Roman" w:eastAsia="Times New Roman" w:hAnsi="Times New Roman"/>
      <w:sz w:val="27"/>
      <w:szCs w:val="27"/>
    </w:rPr>
  </w:style>
  <w:style w:type="paragraph" w:styleId="Heading2">
    <w:name w:val="heading 2"/>
    <w:basedOn w:val="Normal"/>
    <w:next w:val="Normal"/>
    <w:pPr>
      <w:spacing w:before="17" w:lineRule="auto"/>
      <w:ind w:left="131"/>
    </w:pPr>
    <w:rPr>
      <w:rFonts w:ascii="Times New Roman" w:cs="Times New Roman" w:eastAsia="Times New Roman" w:hAnsi="Times New Roman"/>
      <w:sz w:val="21"/>
      <w:szCs w:val="21"/>
    </w:rPr>
  </w:style>
  <w:style w:type="paragraph" w:styleId="Heading3">
    <w:name w:val="heading 3"/>
    <w:basedOn w:val="Normal"/>
    <w:next w:val="Normal"/>
    <w:pPr>
      <w:ind w:left="220"/>
    </w:pPr>
    <w:rPr>
      <w:rFonts w:ascii="Trebuchet MS" w:cs="Trebuchet MS" w:eastAsia="Trebuchet MS" w:hAnsi="Trebuchet MS"/>
      <w:b w:val="1"/>
      <w:sz w:val="19"/>
      <w:szCs w:val="19"/>
    </w:rPr>
  </w:style>
  <w:style w:type="paragraph" w:styleId="Heading4">
    <w:name w:val="heading 4"/>
    <w:basedOn w:val="Normal"/>
    <w:next w:val="Normal"/>
    <w:pPr>
      <w:ind w:left="220"/>
    </w:pPr>
    <w:rPr>
      <w:rFonts w:ascii="Trebuchet MS" w:cs="Trebuchet MS" w:eastAsia="Trebuchet MS" w:hAnsi="Trebuchet MS"/>
      <w:b w:val="1"/>
      <w:sz w:val="19"/>
      <w:szCs w:val="19"/>
    </w:rPr>
  </w:style>
  <w:style w:type="paragraph" w:styleId="Heading5">
    <w:name w:val="heading 5"/>
    <w:basedOn w:val="Normal"/>
    <w:next w:val="Normal"/>
    <w:pPr>
      <w:ind w:left="375"/>
    </w:pPr>
    <w:rPr>
      <w:rFonts w:ascii="Times New Roman" w:cs="Times New Roman" w:eastAsia="Times New Roman" w:hAnsi="Times New Roman"/>
      <w:b w:val="1"/>
      <w:sz w:val="16"/>
      <w:szCs w:val="1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en-US"/>
    </w:rPr>
  </w:style>
  <w:style w:type="paragraph" w:styleId="BodyText">
    <w:name w:val="Body Text"/>
    <w:basedOn w:val="Normal"/>
    <w:uiPriority w:val="1"/>
    <w:qFormat w:val="1"/>
    <w:pPr/>
    <w:rPr>
      <w:rFonts w:ascii="Times New Roman" w:cs="Times New Roman" w:eastAsia="Times New Roman" w:hAnsi="Times New Roman"/>
      <w:sz w:val="16"/>
      <w:szCs w:val="16"/>
      <w:lang w:bidi="ar-SA" w:eastAsia="en-US" w:val="en-US"/>
    </w:rPr>
  </w:style>
  <w:style w:type="paragraph" w:styleId="Heading1">
    <w:name w:val="Heading 1"/>
    <w:basedOn w:val="Normal"/>
    <w:uiPriority w:val="1"/>
    <w:qFormat w:val="1"/>
    <w:pPr>
      <w:ind w:left="131" w:right="673"/>
      <w:outlineLvl w:val="1"/>
    </w:pPr>
    <w:rPr>
      <w:rFonts w:ascii="Times New Roman" w:cs="Times New Roman" w:eastAsia="Times New Roman" w:hAnsi="Times New Roman"/>
      <w:sz w:val="27"/>
      <w:szCs w:val="27"/>
      <w:lang w:bidi="ar-SA" w:eastAsia="en-US" w:val="en-US"/>
    </w:rPr>
  </w:style>
  <w:style w:type="paragraph" w:styleId="Heading2">
    <w:name w:val="Heading 2"/>
    <w:basedOn w:val="Normal"/>
    <w:uiPriority w:val="1"/>
    <w:qFormat w:val="1"/>
    <w:pPr>
      <w:spacing w:before="17"/>
      <w:ind w:left="131"/>
      <w:outlineLvl w:val="2"/>
    </w:pPr>
    <w:rPr>
      <w:rFonts w:ascii="Times New Roman" w:cs="Times New Roman" w:eastAsia="Times New Roman" w:hAnsi="Times New Roman"/>
      <w:sz w:val="21"/>
      <w:szCs w:val="21"/>
      <w:lang w:bidi="ar-SA" w:eastAsia="en-US" w:val="en-US"/>
    </w:rPr>
  </w:style>
  <w:style w:type="paragraph" w:styleId="Heading3">
    <w:name w:val="Heading 3"/>
    <w:basedOn w:val="Normal"/>
    <w:uiPriority w:val="1"/>
    <w:qFormat w:val="1"/>
    <w:pPr>
      <w:ind w:left="220"/>
      <w:outlineLvl w:val="3"/>
    </w:pPr>
    <w:rPr>
      <w:rFonts w:ascii="Trebuchet MS" w:cs="Trebuchet MS" w:eastAsia="Trebuchet MS" w:hAnsi="Trebuchet MS"/>
      <w:b w:val="1"/>
      <w:bCs w:val="1"/>
      <w:sz w:val="19"/>
      <w:szCs w:val="19"/>
      <w:lang w:bidi="ar-SA" w:eastAsia="en-US" w:val="en-US"/>
    </w:rPr>
  </w:style>
  <w:style w:type="paragraph" w:styleId="Heading4">
    <w:name w:val="Heading 4"/>
    <w:basedOn w:val="Normal"/>
    <w:uiPriority w:val="1"/>
    <w:qFormat w:val="1"/>
    <w:pPr>
      <w:ind w:left="220"/>
      <w:outlineLvl w:val="4"/>
    </w:pPr>
    <w:rPr>
      <w:rFonts w:ascii="Trebuchet MS" w:cs="Trebuchet MS" w:eastAsia="Trebuchet MS" w:hAnsi="Trebuchet MS"/>
      <w:b w:val="1"/>
      <w:bCs w:val="1"/>
      <w:sz w:val="19"/>
      <w:szCs w:val="19"/>
      <w:lang w:bidi="ar-SA" w:eastAsia="en-US" w:val="en-US"/>
    </w:rPr>
  </w:style>
  <w:style w:type="paragraph" w:styleId="Heading5">
    <w:name w:val="Heading 5"/>
    <w:basedOn w:val="Normal"/>
    <w:uiPriority w:val="1"/>
    <w:qFormat w:val="1"/>
    <w:pPr>
      <w:ind w:left="375"/>
      <w:outlineLvl w:val="5"/>
    </w:pPr>
    <w:rPr>
      <w:rFonts w:ascii="Times New Roman" w:cs="Times New Roman" w:eastAsia="Times New Roman" w:hAnsi="Times New Roman"/>
      <w:b w:val="1"/>
      <w:bCs w:val="1"/>
      <w:sz w:val="16"/>
      <w:szCs w:val="16"/>
      <w:lang w:bidi="ar-SA" w:eastAsia="en-US" w:val="en-US"/>
    </w:rPr>
  </w:style>
  <w:style w:type="paragraph" w:styleId="ListParagraph">
    <w:name w:val="List Paragraph"/>
    <w:basedOn w:val="Normal"/>
    <w:uiPriority w:val="1"/>
    <w:qFormat w:val="1"/>
    <w:pPr>
      <w:ind w:left="462" w:hanging="332"/>
    </w:pPr>
    <w:rPr>
      <w:rFonts w:ascii="Times New Roman" w:cs="Times New Roman" w:eastAsia="Times New Roman" w:hAnsi="Times New Roman"/>
      <w:lang w:bidi="ar-SA" w:eastAsia="en-US" w:val="en-US"/>
    </w:rPr>
  </w:style>
  <w:style w:type="paragraph" w:styleId="TableParagraph">
    <w:name w:val="Table Paragraph"/>
    <w:basedOn w:val="Normal"/>
    <w:uiPriority w:val="1"/>
    <w:qFormat w:val="1"/>
    <w:pPr>
      <w:ind w:left="107"/>
    </w:pPr>
    <w:rPr>
      <w:rFonts w:ascii="Times New Roman" w:cs="Times New Roman" w:eastAsia="Times New Roman" w:hAnsi="Times New Roman"/>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footer" Target="footer46.xml"/><Relationship Id="rId194" Type="http://schemas.openxmlformats.org/officeDocument/2006/relationships/header" Target="header40.xml"/><Relationship Id="rId193" Type="http://schemas.openxmlformats.org/officeDocument/2006/relationships/image" Target="media/image80.jpg"/><Relationship Id="rId192" Type="http://schemas.openxmlformats.org/officeDocument/2006/relationships/image" Target="media/image118.jpg"/><Relationship Id="rId191" Type="http://schemas.openxmlformats.org/officeDocument/2006/relationships/footer" Target="footer45.xml"/><Relationship Id="rId187" Type="http://schemas.openxmlformats.org/officeDocument/2006/relationships/image" Target="media/image119.jpg"/><Relationship Id="rId186" Type="http://schemas.openxmlformats.org/officeDocument/2006/relationships/header" Target="header38.xml"/><Relationship Id="rId185" Type="http://schemas.openxmlformats.org/officeDocument/2006/relationships/image" Target="media/image116.png"/><Relationship Id="rId184" Type="http://schemas.openxmlformats.org/officeDocument/2006/relationships/footer" Target="footer43.xml"/><Relationship Id="rId189" Type="http://schemas.openxmlformats.org/officeDocument/2006/relationships/header" Target="header41.xml"/><Relationship Id="rId188" Type="http://schemas.openxmlformats.org/officeDocument/2006/relationships/image" Target="media/image97.jpg"/><Relationship Id="rId183" Type="http://schemas.openxmlformats.org/officeDocument/2006/relationships/footer" Target="footer41.xml"/><Relationship Id="rId182" Type="http://schemas.openxmlformats.org/officeDocument/2006/relationships/header" Target="header35.xml"/><Relationship Id="rId181" Type="http://schemas.openxmlformats.org/officeDocument/2006/relationships/image" Target="media/image117.jpg"/><Relationship Id="rId180" Type="http://schemas.openxmlformats.org/officeDocument/2006/relationships/header" Target="header33.xml"/><Relationship Id="rId176" Type="http://schemas.openxmlformats.org/officeDocument/2006/relationships/footer" Target="footer37.xml"/><Relationship Id="rId297" Type="http://schemas.openxmlformats.org/officeDocument/2006/relationships/hyperlink" Target="http://dx.doi.org/10.1093/eurheartj/ehx419" TargetMode="External"/><Relationship Id="rId175" Type="http://schemas.openxmlformats.org/officeDocument/2006/relationships/header" Target="header31.xml"/><Relationship Id="rId296" Type="http://schemas.openxmlformats.org/officeDocument/2006/relationships/hyperlink" Target="http://dx.doi.org/10.1161/CIRCINTERVENTIONS.118.006488" TargetMode="External"/><Relationship Id="rId174" Type="http://schemas.openxmlformats.org/officeDocument/2006/relationships/header" Target="header30.xml"/><Relationship Id="rId295" Type="http://schemas.openxmlformats.org/officeDocument/2006/relationships/hyperlink" Target="http://dx.doi.org/10.1016/j.jacc.2020.07.037" TargetMode="External"/><Relationship Id="rId173" Type="http://schemas.openxmlformats.org/officeDocument/2006/relationships/footer" Target="footer32.xml"/><Relationship Id="rId294" Type="http://schemas.openxmlformats.org/officeDocument/2006/relationships/hyperlink" Target="http://orcid.org/0000-0002-1605-9512" TargetMode="External"/><Relationship Id="rId179" Type="http://schemas.openxmlformats.org/officeDocument/2006/relationships/image" Target="media/image105.jpg"/><Relationship Id="rId178" Type="http://schemas.openxmlformats.org/officeDocument/2006/relationships/image" Target="media/image115.jpg"/><Relationship Id="rId299" Type="http://schemas.openxmlformats.org/officeDocument/2006/relationships/hyperlink" Target="http://dx.doi.org/10.4244/EIJV11I14A314" TargetMode="External"/><Relationship Id="rId177" Type="http://schemas.openxmlformats.org/officeDocument/2006/relationships/footer" Target="footer39.xml"/><Relationship Id="rId298" Type="http://schemas.openxmlformats.org/officeDocument/2006/relationships/hyperlink" Target="http://dx.doi.org/10.1016/j.amjcard.2020.07.059" TargetMode="External"/><Relationship Id="rId198" Type="http://schemas.openxmlformats.org/officeDocument/2006/relationships/footer" Target="footer51.xml"/><Relationship Id="rId197" Type="http://schemas.openxmlformats.org/officeDocument/2006/relationships/footer" Target="footer55.xml"/><Relationship Id="rId196" Type="http://schemas.openxmlformats.org/officeDocument/2006/relationships/header" Target="header54.xml"/><Relationship Id="rId195" Type="http://schemas.openxmlformats.org/officeDocument/2006/relationships/image" Target="media/image123.jpg"/><Relationship Id="rId199" Type="http://schemas.openxmlformats.org/officeDocument/2006/relationships/image" Target="media/image120.png"/><Relationship Id="rId150" Type="http://schemas.openxmlformats.org/officeDocument/2006/relationships/header" Target="header57.xml"/><Relationship Id="rId271" Type="http://schemas.openxmlformats.org/officeDocument/2006/relationships/hyperlink" Target="https://dx.doi.org/10.1136/heartjnl-2022-320910" TargetMode="External"/><Relationship Id="rId392" Type="http://schemas.openxmlformats.org/officeDocument/2006/relationships/hyperlink" Target="http://refhub.elsevier.com/S0167-5273(22)01919-2/rf0035" TargetMode="External"/><Relationship Id="rId270" Type="http://schemas.openxmlformats.org/officeDocument/2006/relationships/hyperlink" Target="https://dx.doi.org/10.1136/heartjnl-2022-320910" TargetMode="External"/><Relationship Id="rId391" Type="http://schemas.openxmlformats.org/officeDocument/2006/relationships/hyperlink" Target="http://refhub.elsevier.com/S0167-5273(22)01919-2/rf0035" TargetMode="External"/><Relationship Id="rId390" Type="http://schemas.openxmlformats.org/officeDocument/2006/relationships/hyperlink" Target="http://refhub.elsevier.com/S0167-5273(22)01919-2/rf003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footer" Target="footer56.xml"/><Relationship Id="rId4" Type="http://schemas.openxmlformats.org/officeDocument/2006/relationships/numbering" Target="numbering.xml"/><Relationship Id="rId148" Type="http://schemas.openxmlformats.org/officeDocument/2006/relationships/footer" Target="footer59.xml"/><Relationship Id="rId269" Type="http://schemas.openxmlformats.org/officeDocument/2006/relationships/hyperlink" Target="https://dx.doi.org/10.1136/heartjnl-2022-320910" TargetMode="External"/><Relationship Id="rId9" Type="http://schemas.openxmlformats.org/officeDocument/2006/relationships/hyperlink" Target="https://us.sagepub.com/en-us/journals-permissions" TargetMode="External"/><Relationship Id="rId143" Type="http://schemas.openxmlformats.org/officeDocument/2006/relationships/header" Target="header53.xml"/><Relationship Id="rId264" Type="http://schemas.openxmlformats.org/officeDocument/2006/relationships/footer" Target="footer49.xml"/><Relationship Id="rId385" Type="http://schemas.openxmlformats.org/officeDocument/2006/relationships/hyperlink" Target="http://refhub.elsevier.com/S0167-5273(22)01919-2/rf0025" TargetMode="External"/><Relationship Id="rId142" Type="http://schemas.openxmlformats.org/officeDocument/2006/relationships/header" Target="header39.xml"/><Relationship Id="rId263" Type="http://schemas.openxmlformats.org/officeDocument/2006/relationships/footer" Target="footer48.xml"/><Relationship Id="rId384" Type="http://schemas.openxmlformats.org/officeDocument/2006/relationships/hyperlink" Target="http://refhub.elsevier.com/S0167-5273(22)01919-2/rf0020" TargetMode="External"/><Relationship Id="rId141" Type="http://schemas.openxmlformats.org/officeDocument/2006/relationships/hyperlink" Target="https://www.cocites.com/" TargetMode="External"/><Relationship Id="rId262" Type="http://schemas.openxmlformats.org/officeDocument/2006/relationships/header" Target="header45.xml"/><Relationship Id="rId383" Type="http://schemas.openxmlformats.org/officeDocument/2006/relationships/hyperlink" Target="http://refhub.elsevier.com/S0167-5273(22)01919-2/rf0020" TargetMode="External"/><Relationship Id="rId140" Type="http://schemas.openxmlformats.org/officeDocument/2006/relationships/hyperlink" Target="https://www.tctmd.com/see-all/conference" TargetMode="External"/><Relationship Id="rId261" Type="http://schemas.openxmlformats.org/officeDocument/2006/relationships/header" Target="header44.xml"/><Relationship Id="rId382" Type="http://schemas.openxmlformats.org/officeDocument/2006/relationships/hyperlink" Target="http://refhub.elsevier.com/S0167-5273(22)01919-2/rf0020" TargetMode="External"/><Relationship Id="rId5" Type="http://schemas.openxmlformats.org/officeDocument/2006/relationships/styles" Target="styles.xml"/><Relationship Id="rId147" Type="http://schemas.openxmlformats.org/officeDocument/2006/relationships/header" Target="header58.xml"/><Relationship Id="rId268" Type="http://schemas.openxmlformats.org/officeDocument/2006/relationships/hyperlink" Target="https://dx.doi.org/10.1136/heartjnl-2022-320910" TargetMode="External"/><Relationship Id="rId389" Type="http://schemas.openxmlformats.org/officeDocument/2006/relationships/hyperlink" Target="http://refhub.elsevier.com/S0167-5273(22)01919-2/rf0030" TargetMode="External"/><Relationship Id="rId6" Type="http://schemas.openxmlformats.org/officeDocument/2006/relationships/customXml" Target="../customXML/item1.xml"/><Relationship Id="rId146" Type="http://schemas.openxmlformats.org/officeDocument/2006/relationships/header" Target="header51.xml"/><Relationship Id="rId267" Type="http://schemas.openxmlformats.org/officeDocument/2006/relationships/hyperlink" Target="https://dx.doi.org/10.1136/heartjnl-2022-320910" TargetMode="External"/><Relationship Id="rId388" Type="http://schemas.openxmlformats.org/officeDocument/2006/relationships/hyperlink" Target="http://refhub.elsevier.com/S0167-5273(22)01919-2/rf0030" TargetMode="External"/><Relationship Id="rId7" Type="http://schemas.openxmlformats.org/officeDocument/2006/relationships/footer" Target="footer31.xml"/><Relationship Id="rId145" Type="http://schemas.openxmlformats.org/officeDocument/2006/relationships/footer" Target="footer50.xml"/><Relationship Id="rId266" Type="http://schemas.openxmlformats.org/officeDocument/2006/relationships/hyperlink" Target="https://dx.doi.org/10.1136/heartjnl-2022-320910" TargetMode="External"/><Relationship Id="rId387" Type="http://schemas.openxmlformats.org/officeDocument/2006/relationships/hyperlink" Target="http://refhub.elsevier.com/S0167-5273(22)01919-2/rf0025" TargetMode="External"/><Relationship Id="rId8" Type="http://schemas.openxmlformats.org/officeDocument/2006/relationships/image" Target="media/image37.png"/><Relationship Id="rId144" Type="http://schemas.openxmlformats.org/officeDocument/2006/relationships/footer" Target="footer54.xml"/><Relationship Id="rId265" Type="http://schemas.openxmlformats.org/officeDocument/2006/relationships/image" Target="media/image13.jpg"/><Relationship Id="rId386" Type="http://schemas.openxmlformats.org/officeDocument/2006/relationships/hyperlink" Target="http://refhub.elsevier.com/S0167-5273(22)01919-2/rf0025" TargetMode="External"/><Relationship Id="rId260" Type="http://schemas.openxmlformats.org/officeDocument/2006/relationships/hyperlink" Target="https://dx.doi.org/10.1136/heartjnl-2022-320910" TargetMode="External"/><Relationship Id="rId381" Type="http://schemas.openxmlformats.org/officeDocument/2006/relationships/hyperlink" Target="http://refhub.elsevier.com/S0167-5273(22)01919-2/rf0015" TargetMode="External"/><Relationship Id="rId380" Type="http://schemas.openxmlformats.org/officeDocument/2006/relationships/hyperlink" Target="http://refhub.elsevier.com/S0167-5273(22)01919-2/rf0015" TargetMode="External"/><Relationship Id="rId139" Type="http://schemas.openxmlformats.org/officeDocument/2006/relationships/hyperlink" Target="https://esc365.escardio.org/" TargetMode="External"/><Relationship Id="rId138" Type="http://schemas.openxmlformats.org/officeDocument/2006/relationships/hyperlink" Target="https://app.dimensions.ai/" TargetMode="External"/><Relationship Id="rId259" Type="http://schemas.openxmlformats.org/officeDocument/2006/relationships/image" Target="media/image151.png"/><Relationship Id="rId137" Type="http://schemas.openxmlformats.org/officeDocument/2006/relationships/hyperlink" Target="https://sites.research.google/biomedexplorer/" TargetMode="External"/><Relationship Id="rId258" Type="http://schemas.openxmlformats.org/officeDocument/2006/relationships/image" Target="media/image153.png"/><Relationship Id="rId379" Type="http://schemas.openxmlformats.org/officeDocument/2006/relationships/hyperlink" Target="http://refhub.elsevier.com/S0167-5273(22)01919-2/rf0015" TargetMode="External"/><Relationship Id="rId132" Type="http://schemas.openxmlformats.org/officeDocument/2006/relationships/hyperlink" Target="https://link.springer.com/" TargetMode="External"/><Relationship Id="rId253" Type="http://schemas.openxmlformats.org/officeDocument/2006/relationships/image" Target="media/image10.png"/><Relationship Id="rId374" Type="http://schemas.openxmlformats.org/officeDocument/2006/relationships/hyperlink" Target="http://refhub.elsevier.com/S0167-5273(22)01919-2/rf0010" TargetMode="External"/><Relationship Id="rId495" Type="http://schemas.openxmlformats.org/officeDocument/2006/relationships/hyperlink" Target="http://refhub.elsevier.com/S0167-5273(23)01296-2/rf0015" TargetMode="External"/><Relationship Id="rId131" Type="http://schemas.openxmlformats.org/officeDocument/2006/relationships/hyperlink" Target="https://www.jacc.org/" TargetMode="External"/><Relationship Id="rId252" Type="http://schemas.openxmlformats.org/officeDocument/2006/relationships/image" Target="media/image7.png"/><Relationship Id="rId373" Type="http://schemas.openxmlformats.org/officeDocument/2006/relationships/hyperlink" Target="http://refhub.elsevier.com/S0167-5273(22)01919-2/rf0005" TargetMode="External"/><Relationship Id="rId494" Type="http://schemas.openxmlformats.org/officeDocument/2006/relationships/hyperlink" Target="http://refhub.elsevier.com/S0167-5273(23)01296-2/rf0015" TargetMode="External"/><Relationship Id="rId130" Type="http://schemas.openxmlformats.org/officeDocument/2006/relationships/hyperlink" Target="https://journals.lww.com/bloodcoagulation/" TargetMode="External"/><Relationship Id="rId251" Type="http://schemas.openxmlformats.org/officeDocument/2006/relationships/image" Target="media/image30.png"/><Relationship Id="rId372" Type="http://schemas.openxmlformats.org/officeDocument/2006/relationships/hyperlink" Target="http://refhub.elsevier.com/S0167-5273(22)01919-2/rf0005" TargetMode="External"/><Relationship Id="rId493" Type="http://schemas.openxmlformats.org/officeDocument/2006/relationships/hyperlink" Target="http://refhub.elsevier.com/S0167-5273(23)01296-2/rf0015" TargetMode="External"/><Relationship Id="rId250" Type="http://schemas.openxmlformats.org/officeDocument/2006/relationships/hyperlink" Target="mailto:ahmed.galimzhan@gmail.com" TargetMode="External"/><Relationship Id="rId371" Type="http://schemas.openxmlformats.org/officeDocument/2006/relationships/hyperlink" Target="https://doi.org/10.1016/j.ijcard.2022.12.035" TargetMode="External"/><Relationship Id="rId492" Type="http://schemas.openxmlformats.org/officeDocument/2006/relationships/hyperlink" Target="http://refhub.elsevier.com/S0167-5273(23)01296-2/rf0015" TargetMode="External"/><Relationship Id="rId136" Type="http://schemas.openxmlformats.org/officeDocument/2006/relationships/hyperlink" Target="https://www.thrombosisresearch.com/" TargetMode="External"/><Relationship Id="rId257" Type="http://schemas.openxmlformats.org/officeDocument/2006/relationships/hyperlink" Target="http://heart.bmj.com/" TargetMode="External"/><Relationship Id="rId378" Type="http://schemas.openxmlformats.org/officeDocument/2006/relationships/hyperlink" Target="http://refhub.elsevier.com/S0167-5273(22)01919-2/rf0010" TargetMode="External"/><Relationship Id="rId499" Type="http://schemas.openxmlformats.org/officeDocument/2006/relationships/hyperlink" Target="http://refhub.elsevier.com/S0167-5273(23)01296-2/rf0020" TargetMode="External"/><Relationship Id="rId135" Type="http://schemas.openxmlformats.org/officeDocument/2006/relationships/footer" Target="footer34.xml"/><Relationship Id="rId256" Type="http://schemas.openxmlformats.org/officeDocument/2006/relationships/image" Target="media/image152.png"/><Relationship Id="rId377" Type="http://schemas.openxmlformats.org/officeDocument/2006/relationships/hyperlink" Target="http://refhub.elsevier.com/S0167-5273(22)01919-2/rf0010" TargetMode="External"/><Relationship Id="rId498" Type="http://schemas.openxmlformats.org/officeDocument/2006/relationships/hyperlink" Target="http://refhub.elsevier.com/S0167-5273(23)01296-2/rf0020" TargetMode="External"/><Relationship Id="rId134" Type="http://schemas.openxmlformats.org/officeDocument/2006/relationships/footer" Target="footer33.xml"/><Relationship Id="rId255" Type="http://schemas.openxmlformats.org/officeDocument/2006/relationships/hyperlink" Target="http://www.bcs.com/pages/default.asp" TargetMode="External"/><Relationship Id="rId376" Type="http://schemas.openxmlformats.org/officeDocument/2006/relationships/hyperlink" Target="http://refhub.elsevier.com/S0167-5273(22)01919-2/rf0010" TargetMode="External"/><Relationship Id="rId497" Type="http://schemas.openxmlformats.org/officeDocument/2006/relationships/hyperlink" Target="http://refhub.elsevier.com/S0167-5273(23)01296-2/rf0020" TargetMode="External"/><Relationship Id="rId133" Type="http://schemas.openxmlformats.org/officeDocument/2006/relationships/header" Target="header37.xml"/><Relationship Id="rId254" Type="http://schemas.openxmlformats.org/officeDocument/2006/relationships/image" Target="media/image28.png"/><Relationship Id="rId375" Type="http://schemas.openxmlformats.org/officeDocument/2006/relationships/hyperlink" Target="http://refhub.elsevier.com/S0167-5273(22)01919-2/rf0010" TargetMode="External"/><Relationship Id="rId496" Type="http://schemas.openxmlformats.org/officeDocument/2006/relationships/hyperlink" Target="http://refhub.elsevier.com/S0167-5273(23)01296-2/rf0020" TargetMode="External"/><Relationship Id="rId172" Type="http://schemas.openxmlformats.org/officeDocument/2006/relationships/footer" Target="footer30.xml"/><Relationship Id="rId293" Type="http://schemas.openxmlformats.org/officeDocument/2006/relationships/hyperlink" Target="https://twitter.com/AkhmetzhanG" TargetMode="External"/><Relationship Id="rId171" Type="http://schemas.openxmlformats.org/officeDocument/2006/relationships/header" Target="header27.xml"/><Relationship Id="rId292" Type="http://schemas.openxmlformats.org/officeDocument/2006/relationships/hyperlink" Target="https://dx.doi.org/10.1136/heartjnl-2022-320910" TargetMode="External"/><Relationship Id="rId170" Type="http://schemas.openxmlformats.org/officeDocument/2006/relationships/header" Target="header29.xml"/><Relationship Id="rId291" Type="http://schemas.openxmlformats.org/officeDocument/2006/relationships/hyperlink" Target="https://dx.doi.org/10.1136/heartjnl-2022-320910" TargetMode="External"/><Relationship Id="rId290" Type="http://schemas.openxmlformats.org/officeDocument/2006/relationships/image" Target="media/image15.png"/><Relationship Id="rId165" Type="http://schemas.openxmlformats.org/officeDocument/2006/relationships/footer" Target="footer25.xml"/><Relationship Id="rId286" Type="http://schemas.openxmlformats.org/officeDocument/2006/relationships/hyperlink" Target="https://dx.doi.org/10.1136/heartjnl-2022-320910" TargetMode="External"/><Relationship Id="rId164" Type="http://schemas.openxmlformats.org/officeDocument/2006/relationships/footer" Target="footer19.xml"/><Relationship Id="rId285" Type="http://schemas.openxmlformats.org/officeDocument/2006/relationships/hyperlink" Target="https://dx.doi.org/10.1136/heartjnl-2022-320910" TargetMode="External"/><Relationship Id="rId163" Type="http://schemas.openxmlformats.org/officeDocument/2006/relationships/header" Target="header14.xml"/><Relationship Id="rId284" Type="http://schemas.openxmlformats.org/officeDocument/2006/relationships/hyperlink" Target="https://dx.doi.org/10.1136/heartjnl-2022-320910" TargetMode="External"/><Relationship Id="rId162" Type="http://schemas.openxmlformats.org/officeDocument/2006/relationships/header" Target="header16.xml"/><Relationship Id="rId283" Type="http://schemas.openxmlformats.org/officeDocument/2006/relationships/hyperlink" Target="https://dx.doi.org/10.1136/heartjnl-2022-320910" TargetMode="External"/><Relationship Id="rId169" Type="http://schemas.openxmlformats.org/officeDocument/2006/relationships/footer" Target="footer29.xml"/><Relationship Id="rId168" Type="http://schemas.openxmlformats.org/officeDocument/2006/relationships/footer" Target="footer24.xml"/><Relationship Id="rId289" Type="http://schemas.openxmlformats.org/officeDocument/2006/relationships/hyperlink" Target="https://dx.doi.org/10.1136/heartjnl-2022-320910" TargetMode="External"/><Relationship Id="rId167" Type="http://schemas.openxmlformats.org/officeDocument/2006/relationships/header" Target="header21.xml"/><Relationship Id="rId288" Type="http://schemas.openxmlformats.org/officeDocument/2006/relationships/hyperlink" Target="https://dx.doi.org/10.1136/heartjnl-2022-320910" TargetMode="External"/><Relationship Id="rId166" Type="http://schemas.openxmlformats.org/officeDocument/2006/relationships/header" Target="header24.xml"/><Relationship Id="rId287" Type="http://schemas.openxmlformats.org/officeDocument/2006/relationships/hyperlink" Target="https://dx.doi.org/10.1136/heartjnl-2022-320910" TargetMode="External"/><Relationship Id="rId161" Type="http://schemas.openxmlformats.org/officeDocument/2006/relationships/footer" Target="footer17.xml"/><Relationship Id="rId282" Type="http://schemas.openxmlformats.org/officeDocument/2006/relationships/hyperlink" Target="https://dx.doi.org/10.1136/heartjnl-2022-320910" TargetMode="External"/><Relationship Id="rId160" Type="http://schemas.openxmlformats.org/officeDocument/2006/relationships/footer" Target="footer16.xml"/><Relationship Id="rId281" Type="http://schemas.openxmlformats.org/officeDocument/2006/relationships/hyperlink" Target="https://dx.doi.org/10.1136/heartjnl-2022-320910" TargetMode="External"/><Relationship Id="rId280" Type="http://schemas.openxmlformats.org/officeDocument/2006/relationships/image" Target="media/image14.png"/><Relationship Id="rId159" Type="http://schemas.openxmlformats.org/officeDocument/2006/relationships/header" Target="header11.xml"/><Relationship Id="rId154" Type="http://schemas.openxmlformats.org/officeDocument/2006/relationships/header" Target="header6.xml"/><Relationship Id="rId275" Type="http://schemas.openxmlformats.org/officeDocument/2006/relationships/hyperlink" Target="https://dx.doi.org/10.1136/heartjnl-2022-320910" TargetMode="External"/><Relationship Id="rId396" Type="http://schemas.openxmlformats.org/officeDocument/2006/relationships/hyperlink" Target="http://refhub.elsevier.com/S0167-5273(22)01919-2/rf0045" TargetMode="External"/><Relationship Id="rId153" Type="http://schemas.openxmlformats.org/officeDocument/2006/relationships/footer" Target="footer5.xml"/><Relationship Id="rId274" Type="http://schemas.openxmlformats.org/officeDocument/2006/relationships/hyperlink" Target="https://dx.doi.org/10.1136/heartjnl-2022-320910" TargetMode="External"/><Relationship Id="rId395" Type="http://schemas.openxmlformats.org/officeDocument/2006/relationships/hyperlink" Target="http://refhub.elsevier.com/S0167-5273(22)01919-2/rf0040" TargetMode="External"/><Relationship Id="rId152" Type="http://schemas.openxmlformats.org/officeDocument/2006/relationships/footer" Target="footer3.xml"/><Relationship Id="rId273" Type="http://schemas.openxmlformats.org/officeDocument/2006/relationships/hyperlink" Target="https://dx.doi.org/10.1136/heartjnl-2022-320910" TargetMode="External"/><Relationship Id="rId394" Type="http://schemas.openxmlformats.org/officeDocument/2006/relationships/hyperlink" Target="http://refhub.elsevier.com/S0167-5273(22)01919-2/rf0040" TargetMode="External"/><Relationship Id="rId151" Type="http://schemas.openxmlformats.org/officeDocument/2006/relationships/header" Target="header47.xml"/><Relationship Id="rId272" Type="http://schemas.openxmlformats.org/officeDocument/2006/relationships/image" Target="media/image41.jpg"/><Relationship Id="rId393" Type="http://schemas.openxmlformats.org/officeDocument/2006/relationships/hyperlink" Target="http://refhub.elsevier.com/S0167-5273(22)01919-2/rf0040" TargetMode="External"/><Relationship Id="rId158" Type="http://schemas.openxmlformats.org/officeDocument/2006/relationships/header" Target="header10.xml"/><Relationship Id="rId279" Type="http://schemas.openxmlformats.org/officeDocument/2006/relationships/hyperlink" Target="https://dx.doi.org/10.1136/heartjnl-2022-320910" TargetMode="External"/><Relationship Id="rId157" Type="http://schemas.openxmlformats.org/officeDocument/2006/relationships/footer" Target="footer14.xml"/><Relationship Id="rId278" Type="http://schemas.openxmlformats.org/officeDocument/2006/relationships/hyperlink" Target="https://dx.doi.org/10.1136/heartjnl-2022-320910" TargetMode="External"/><Relationship Id="rId399" Type="http://schemas.openxmlformats.org/officeDocument/2006/relationships/hyperlink" Target="http://refhub.elsevier.com/S0167-5273(22)01919-2/rf0050" TargetMode="External"/><Relationship Id="rId156" Type="http://schemas.openxmlformats.org/officeDocument/2006/relationships/footer" Target="footer12.xml"/><Relationship Id="rId277" Type="http://schemas.openxmlformats.org/officeDocument/2006/relationships/hyperlink" Target="https://dx.doi.org/10.1136/heartjnl-2022-320910" TargetMode="External"/><Relationship Id="rId398" Type="http://schemas.openxmlformats.org/officeDocument/2006/relationships/hyperlink" Target="http://refhub.elsevier.com/S0167-5273(22)01919-2/rf0045" TargetMode="External"/><Relationship Id="rId155" Type="http://schemas.openxmlformats.org/officeDocument/2006/relationships/header" Target="header8.xml"/><Relationship Id="rId276" Type="http://schemas.openxmlformats.org/officeDocument/2006/relationships/hyperlink" Target="https://dx.doi.org/10.1136/heartjnl-2022-320910" TargetMode="External"/><Relationship Id="rId397" Type="http://schemas.openxmlformats.org/officeDocument/2006/relationships/hyperlink" Target="http://refhub.elsevier.com/S0167-5273(22)01919-2/rf0045" TargetMode="External"/><Relationship Id="rId40" Type="http://schemas.openxmlformats.org/officeDocument/2006/relationships/hyperlink" Target="https://journals.sagepub.com./doi/suppl/10.1177/00033197211070908" TargetMode="External"/><Relationship Id="rId42" Type="http://schemas.openxmlformats.org/officeDocument/2006/relationships/hyperlink" Target="https://journals.sagepub.com./doi/suppl/10.1177/00033197211070908" TargetMode="External"/><Relationship Id="rId41" Type="http://schemas.openxmlformats.org/officeDocument/2006/relationships/hyperlink" Target="https://journals.sagepub.com./doi/suppl/10.1177/00033197211070908" TargetMode="External"/><Relationship Id="rId44" Type="http://schemas.openxmlformats.org/officeDocument/2006/relationships/hyperlink" Target="https://journals.sagepub.com./doi/suppl/10.1177/00033197211070908" TargetMode="External"/><Relationship Id="rId43" Type="http://schemas.openxmlformats.org/officeDocument/2006/relationships/hyperlink" Target="https://journals.sagepub.com./doi/suppl/10.1177/00033197211070908" TargetMode="External"/><Relationship Id="rId46" Type="http://schemas.openxmlformats.org/officeDocument/2006/relationships/hyperlink" Target="https://journals.sagepub.com./doi/suppl/10.1177/00033197211070908" TargetMode="External"/><Relationship Id="rId45" Type="http://schemas.openxmlformats.org/officeDocument/2006/relationships/hyperlink" Target="https://journals.sagepub.com./doi/suppl/10.1177/00033197211070908" TargetMode="External"/><Relationship Id="rId509" Type="http://schemas.openxmlformats.org/officeDocument/2006/relationships/hyperlink" Target="http://refhub.elsevier.com/S0167-5273(23)01296-2/rf0025" TargetMode="External"/><Relationship Id="rId508" Type="http://schemas.openxmlformats.org/officeDocument/2006/relationships/hyperlink" Target="http://refhub.elsevier.com/S0167-5273(23)01296-2/rf0020" TargetMode="External"/><Relationship Id="rId629" Type="http://schemas.openxmlformats.org/officeDocument/2006/relationships/hyperlink" Target="https://doi.org/10.33590/emjinnov/19-00172" TargetMode="External"/><Relationship Id="rId503" Type="http://schemas.openxmlformats.org/officeDocument/2006/relationships/hyperlink" Target="http://refhub.elsevier.com/S0167-5273(23)01296-2/rf0020" TargetMode="External"/><Relationship Id="rId624" Type="http://schemas.openxmlformats.org/officeDocument/2006/relationships/hyperlink" Target="http://refhub.elsevier.com/S0167-5273(23)01296-2/rf0210" TargetMode="External"/><Relationship Id="rId502" Type="http://schemas.openxmlformats.org/officeDocument/2006/relationships/hyperlink" Target="http://refhub.elsevier.com/S0167-5273(23)01296-2/rf0020" TargetMode="External"/><Relationship Id="rId623" Type="http://schemas.openxmlformats.org/officeDocument/2006/relationships/hyperlink" Target="http://refhub.elsevier.com/S0167-5273(23)01296-2/rf0210" TargetMode="External"/><Relationship Id="rId501" Type="http://schemas.openxmlformats.org/officeDocument/2006/relationships/hyperlink" Target="http://refhub.elsevier.com/S0167-5273(23)01296-2/rf0020" TargetMode="External"/><Relationship Id="rId622" Type="http://schemas.openxmlformats.org/officeDocument/2006/relationships/hyperlink" Target="http://refhub.elsevier.com/S0167-5273(23)01296-2/rf0205" TargetMode="External"/><Relationship Id="rId500" Type="http://schemas.openxmlformats.org/officeDocument/2006/relationships/hyperlink" Target="http://refhub.elsevier.com/S0167-5273(23)01296-2/rf0020" TargetMode="External"/><Relationship Id="rId621" Type="http://schemas.openxmlformats.org/officeDocument/2006/relationships/hyperlink" Target="http://refhub.elsevier.com/S0167-5273(23)01296-2/rf0205" TargetMode="External"/><Relationship Id="rId507" Type="http://schemas.openxmlformats.org/officeDocument/2006/relationships/hyperlink" Target="http://refhub.elsevier.com/S0167-5273(23)01296-2/rf0020" TargetMode="External"/><Relationship Id="rId628" Type="http://schemas.openxmlformats.org/officeDocument/2006/relationships/hyperlink" Target="http://refhub.elsevier.com/S0167-5273(23)01296-2/rf0215" TargetMode="External"/><Relationship Id="rId506" Type="http://schemas.openxmlformats.org/officeDocument/2006/relationships/hyperlink" Target="http://refhub.elsevier.com/S0167-5273(23)01296-2/rf0020" TargetMode="External"/><Relationship Id="rId627" Type="http://schemas.openxmlformats.org/officeDocument/2006/relationships/hyperlink" Target="http://refhub.elsevier.com/S0167-5273(23)01296-2/rf0215" TargetMode="External"/><Relationship Id="rId505" Type="http://schemas.openxmlformats.org/officeDocument/2006/relationships/hyperlink" Target="http://refhub.elsevier.com/S0167-5273(23)01296-2/rf0020" TargetMode="External"/><Relationship Id="rId626" Type="http://schemas.openxmlformats.org/officeDocument/2006/relationships/hyperlink" Target="http://refhub.elsevier.com/S0167-5273(23)01296-2/rf0215" TargetMode="External"/><Relationship Id="rId504" Type="http://schemas.openxmlformats.org/officeDocument/2006/relationships/hyperlink" Target="http://refhub.elsevier.com/S0167-5273(23)01296-2/rf0020" TargetMode="External"/><Relationship Id="rId625" Type="http://schemas.openxmlformats.org/officeDocument/2006/relationships/hyperlink" Target="http://refhub.elsevier.com/S0167-5273(23)01296-2/rf0210" TargetMode="External"/><Relationship Id="rId48" Type="http://schemas.openxmlformats.org/officeDocument/2006/relationships/hyperlink" Target="https://journals.sagepub.com./doi/suppl/10.1177/00033197211070908" TargetMode="External"/><Relationship Id="rId47" Type="http://schemas.openxmlformats.org/officeDocument/2006/relationships/hyperlink" Target="https://journals.sagepub.com./doi/suppl/10.1177/00033197211070908" TargetMode="External"/><Relationship Id="rId49" Type="http://schemas.openxmlformats.org/officeDocument/2006/relationships/hyperlink" Target="https://journals.sagepub.com./doi/suppl/10.1177/00033197211070908" TargetMode="External"/><Relationship Id="rId620" Type="http://schemas.openxmlformats.org/officeDocument/2006/relationships/hyperlink" Target="http://refhub.elsevier.com/S0167-5273(23)01296-2/rf0205" TargetMode="External"/><Relationship Id="rId31" Type="http://schemas.openxmlformats.org/officeDocument/2006/relationships/hyperlink" Target="https://journals.sagepub.com./doi/suppl/10.1177/00033197211070908" TargetMode="External"/><Relationship Id="rId30" Type="http://schemas.openxmlformats.org/officeDocument/2006/relationships/hyperlink" Target="https://journals.sagepub.com./doi/suppl/10.1177/00033197211070908" TargetMode="External"/><Relationship Id="rId33" Type="http://schemas.openxmlformats.org/officeDocument/2006/relationships/hyperlink" Target="https://journals.sagepub.com./doi/suppl/10.1177/00033197211070908" TargetMode="External"/><Relationship Id="rId32" Type="http://schemas.openxmlformats.org/officeDocument/2006/relationships/hyperlink" Target="https://journals.sagepub.com./doi/suppl/10.1177/00033197211070908" TargetMode="External"/><Relationship Id="rId35" Type="http://schemas.openxmlformats.org/officeDocument/2006/relationships/image" Target="media/image137.png"/><Relationship Id="rId34" Type="http://schemas.openxmlformats.org/officeDocument/2006/relationships/image" Target="media/image146.jpg"/><Relationship Id="rId619" Type="http://schemas.openxmlformats.org/officeDocument/2006/relationships/hyperlink" Target="http://refhub.elsevier.com/S0167-5273(23)01296-2/rf0205" TargetMode="External"/><Relationship Id="rId618" Type="http://schemas.openxmlformats.org/officeDocument/2006/relationships/hyperlink" Target="http://refhub.elsevier.com/S0167-5273(23)01296-2/rf0205" TargetMode="External"/><Relationship Id="rId613" Type="http://schemas.openxmlformats.org/officeDocument/2006/relationships/hyperlink" Target="http://refhub.elsevier.com/S0167-5273(23)01296-2/rf0200" TargetMode="External"/><Relationship Id="rId612" Type="http://schemas.openxmlformats.org/officeDocument/2006/relationships/hyperlink" Target="http://refhub.elsevier.com/S0167-5273(23)01296-2/rf0200" TargetMode="External"/><Relationship Id="rId611" Type="http://schemas.openxmlformats.org/officeDocument/2006/relationships/hyperlink" Target="http://refhub.elsevier.com/S0167-5273(23)01296-2/rf0200" TargetMode="External"/><Relationship Id="rId610" Type="http://schemas.openxmlformats.org/officeDocument/2006/relationships/hyperlink" Target="http://refhub.elsevier.com/S0167-5273(23)01296-2/rf0200" TargetMode="External"/><Relationship Id="rId617" Type="http://schemas.openxmlformats.org/officeDocument/2006/relationships/hyperlink" Target="http://refhub.elsevier.com/S0167-5273(23)01296-2/rf0200" TargetMode="External"/><Relationship Id="rId616" Type="http://schemas.openxmlformats.org/officeDocument/2006/relationships/hyperlink" Target="http://refhub.elsevier.com/S0167-5273(23)01296-2/rf0200" TargetMode="External"/><Relationship Id="rId615" Type="http://schemas.openxmlformats.org/officeDocument/2006/relationships/hyperlink" Target="http://refhub.elsevier.com/S0167-5273(23)01296-2/rf0200" TargetMode="External"/><Relationship Id="rId614" Type="http://schemas.openxmlformats.org/officeDocument/2006/relationships/hyperlink" Target="http://refhub.elsevier.com/S0167-5273(23)01296-2/rf0200" TargetMode="External"/><Relationship Id="rId37" Type="http://schemas.openxmlformats.org/officeDocument/2006/relationships/hyperlink" Target="https://journals.sagepub.com./doi/suppl/10.1177/00033197211070908" TargetMode="External"/><Relationship Id="rId36" Type="http://schemas.openxmlformats.org/officeDocument/2006/relationships/hyperlink" Target="https://journals.sagepub.com./doi/suppl/10.1177/00033197211070908" TargetMode="External"/><Relationship Id="rId39" Type="http://schemas.openxmlformats.org/officeDocument/2006/relationships/hyperlink" Target="https://journals.sagepub.com./doi/suppl/10.1177/00033197211070908" TargetMode="External"/><Relationship Id="rId38" Type="http://schemas.openxmlformats.org/officeDocument/2006/relationships/hyperlink" Target="https://journals.sagepub.com./doi/suppl/10.1177/00033197211070908" TargetMode="External"/><Relationship Id="rId20" Type="http://schemas.openxmlformats.org/officeDocument/2006/relationships/hyperlink" Target="https://journals.sagepub.com./doi/suppl/10.1177/00033197211070908" TargetMode="External"/><Relationship Id="rId22" Type="http://schemas.openxmlformats.org/officeDocument/2006/relationships/image" Target="media/image135.png"/><Relationship Id="rId21" Type="http://schemas.openxmlformats.org/officeDocument/2006/relationships/image" Target="media/image147.png"/><Relationship Id="rId24" Type="http://schemas.openxmlformats.org/officeDocument/2006/relationships/hyperlink" Target="https://journals.sagepub.com./doi/suppl/10.1177/00033197211070908" TargetMode="External"/><Relationship Id="rId23" Type="http://schemas.openxmlformats.org/officeDocument/2006/relationships/hyperlink" Target="https://journals.sagepub.com./doi/suppl/10.1177/00033197211070908" TargetMode="External"/><Relationship Id="rId409" Type="http://schemas.openxmlformats.org/officeDocument/2006/relationships/hyperlink" Target="http://refhub.elsevier.com/S0167-5273(22)01919-2/rf0065" TargetMode="External"/><Relationship Id="rId404" Type="http://schemas.openxmlformats.org/officeDocument/2006/relationships/hyperlink" Target="http://refhub.elsevier.com/S0167-5273(22)01919-2/rf0060" TargetMode="External"/><Relationship Id="rId525" Type="http://schemas.openxmlformats.org/officeDocument/2006/relationships/hyperlink" Target="http://refhub.elsevier.com/S0167-5273(23)01296-2/rf0045" TargetMode="External"/><Relationship Id="rId646" Type="http://schemas.openxmlformats.org/officeDocument/2006/relationships/hyperlink" Target="http://refhub.elsevier.com/S0167-5273(23)01296-2/rf0250" TargetMode="External"/><Relationship Id="rId403" Type="http://schemas.openxmlformats.org/officeDocument/2006/relationships/hyperlink" Target="http://refhub.elsevier.com/S0167-5273(22)01919-2/rf0055" TargetMode="External"/><Relationship Id="rId524" Type="http://schemas.openxmlformats.org/officeDocument/2006/relationships/hyperlink" Target="http://refhub.elsevier.com/S0167-5273(23)01296-2/rf0040" TargetMode="External"/><Relationship Id="rId645" Type="http://schemas.openxmlformats.org/officeDocument/2006/relationships/hyperlink" Target="http://refhub.elsevier.com/S0167-5273(23)01296-2/rf0245" TargetMode="External"/><Relationship Id="rId402" Type="http://schemas.openxmlformats.org/officeDocument/2006/relationships/hyperlink" Target="http://refhub.elsevier.com/S0167-5273(22)01919-2/rf0055" TargetMode="External"/><Relationship Id="rId523" Type="http://schemas.openxmlformats.org/officeDocument/2006/relationships/hyperlink" Target="http://refhub.elsevier.com/S0167-5273(23)01296-2/rf0040" TargetMode="External"/><Relationship Id="rId644" Type="http://schemas.openxmlformats.org/officeDocument/2006/relationships/hyperlink" Target="http://refhub.elsevier.com/S0167-5273(23)01296-2/rf0245" TargetMode="External"/><Relationship Id="rId401" Type="http://schemas.openxmlformats.org/officeDocument/2006/relationships/hyperlink" Target="http://refhub.elsevier.com/S0167-5273(22)01919-2/rf0055" TargetMode="External"/><Relationship Id="rId522" Type="http://schemas.openxmlformats.org/officeDocument/2006/relationships/hyperlink" Target="http://refhub.elsevier.com/S0167-5273(23)01296-2/rf0040" TargetMode="External"/><Relationship Id="rId643" Type="http://schemas.openxmlformats.org/officeDocument/2006/relationships/hyperlink" Target="http://refhub.elsevier.com/S0167-5273(23)01296-2/rf0245" TargetMode="External"/><Relationship Id="rId408" Type="http://schemas.openxmlformats.org/officeDocument/2006/relationships/hyperlink" Target="http://refhub.elsevier.com/S0167-5273(22)01919-2/rf0065" TargetMode="External"/><Relationship Id="rId529" Type="http://schemas.openxmlformats.org/officeDocument/2006/relationships/hyperlink" Target="http://refhub.elsevier.com/S0167-5273(23)01296-2/rf0050" TargetMode="External"/><Relationship Id="rId407" Type="http://schemas.openxmlformats.org/officeDocument/2006/relationships/hyperlink" Target="http://refhub.elsevier.com/S0167-5273(22)01919-2/rf0065" TargetMode="External"/><Relationship Id="rId528" Type="http://schemas.openxmlformats.org/officeDocument/2006/relationships/hyperlink" Target="http://refhub.elsevier.com/S0167-5273(23)01296-2/rf0050" TargetMode="External"/><Relationship Id="rId649" Type="http://schemas.openxmlformats.org/officeDocument/2006/relationships/hyperlink" Target="http://refhub.elsevier.com/S0167-5273(23)01296-2/rf0250" TargetMode="External"/><Relationship Id="rId406" Type="http://schemas.openxmlformats.org/officeDocument/2006/relationships/hyperlink" Target="http://refhub.elsevier.com/S0167-5273(22)01919-2/rf0060" TargetMode="External"/><Relationship Id="rId527" Type="http://schemas.openxmlformats.org/officeDocument/2006/relationships/hyperlink" Target="http://refhub.elsevier.com/S0167-5273(23)01296-2/rf0045" TargetMode="External"/><Relationship Id="rId648" Type="http://schemas.openxmlformats.org/officeDocument/2006/relationships/hyperlink" Target="http://refhub.elsevier.com/S0167-5273(23)01296-2/rf0250" TargetMode="External"/><Relationship Id="rId405" Type="http://schemas.openxmlformats.org/officeDocument/2006/relationships/hyperlink" Target="http://refhub.elsevier.com/S0167-5273(22)01919-2/rf0060" TargetMode="External"/><Relationship Id="rId526" Type="http://schemas.openxmlformats.org/officeDocument/2006/relationships/hyperlink" Target="http://refhub.elsevier.com/S0167-5273(23)01296-2/rf0045" TargetMode="External"/><Relationship Id="rId647" Type="http://schemas.openxmlformats.org/officeDocument/2006/relationships/hyperlink" Target="http://refhub.elsevier.com/S0167-5273(23)01296-2/rf0250" TargetMode="External"/><Relationship Id="rId26" Type="http://schemas.openxmlformats.org/officeDocument/2006/relationships/hyperlink" Target="https://journals.sagepub.com./doi/suppl/10.1177/00033197211070908" TargetMode="External"/><Relationship Id="rId25" Type="http://schemas.openxmlformats.org/officeDocument/2006/relationships/hyperlink" Target="https://journals.sagepub.com./doi/suppl/10.1177/00033197211070908" TargetMode="External"/><Relationship Id="rId28" Type="http://schemas.openxmlformats.org/officeDocument/2006/relationships/hyperlink" Target="https://journals.sagepub.com./doi/suppl/10.1177/00033197211070908" TargetMode="External"/><Relationship Id="rId27" Type="http://schemas.openxmlformats.org/officeDocument/2006/relationships/hyperlink" Target="https://journals.sagepub.com./doi/suppl/10.1177/00033197211070908" TargetMode="External"/><Relationship Id="rId400" Type="http://schemas.openxmlformats.org/officeDocument/2006/relationships/hyperlink" Target="http://refhub.elsevier.com/S0167-5273(22)01919-2/rf0050" TargetMode="External"/><Relationship Id="rId521" Type="http://schemas.openxmlformats.org/officeDocument/2006/relationships/hyperlink" Target="http://refhub.elsevier.com/S0167-5273(23)01296-2/rf0035" TargetMode="External"/><Relationship Id="rId642" Type="http://schemas.openxmlformats.org/officeDocument/2006/relationships/hyperlink" Target="http://refhub.elsevier.com/S0167-5273(23)01296-2/rf0245" TargetMode="External"/><Relationship Id="rId29" Type="http://schemas.openxmlformats.org/officeDocument/2006/relationships/hyperlink" Target="https://journals.sagepub.com./doi/suppl/10.1177/00033197211070908" TargetMode="External"/><Relationship Id="rId520" Type="http://schemas.openxmlformats.org/officeDocument/2006/relationships/hyperlink" Target="http://refhub.elsevier.com/S0167-5273(23)01296-2/rf0035" TargetMode="External"/><Relationship Id="rId641" Type="http://schemas.openxmlformats.org/officeDocument/2006/relationships/hyperlink" Target="http://refhub.elsevier.com/S0167-5273(23)01296-2/rf0245" TargetMode="External"/><Relationship Id="rId640" Type="http://schemas.openxmlformats.org/officeDocument/2006/relationships/hyperlink" Target="http://refhub.elsevier.com/S0167-5273(23)01296-2/rf0240" TargetMode="External"/><Relationship Id="rId11" Type="http://schemas.openxmlformats.org/officeDocument/2006/relationships/hyperlink" Target="https://journals.sagepub.com/home/ang" TargetMode="External"/><Relationship Id="rId10" Type="http://schemas.openxmlformats.org/officeDocument/2006/relationships/hyperlink" Target="https://doi.org/10.1177/00033197211070908" TargetMode="External"/><Relationship Id="rId13" Type="http://schemas.openxmlformats.org/officeDocument/2006/relationships/hyperlink" Target="https://orcid.org/0000-0002-1605-9512" TargetMode="External"/><Relationship Id="rId12" Type="http://schemas.openxmlformats.org/officeDocument/2006/relationships/image" Target="media/image114.png"/><Relationship Id="rId519" Type="http://schemas.openxmlformats.org/officeDocument/2006/relationships/hyperlink" Target="http://refhub.elsevier.com/S0167-5273(23)01296-2/rf0035" TargetMode="External"/><Relationship Id="rId514" Type="http://schemas.openxmlformats.org/officeDocument/2006/relationships/hyperlink" Target="http://refhub.elsevier.com/S0167-5273(23)01296-2/rf0025" TargetMode="External"/><Relationship Id="rId635" Type="http://schemas.openxmlformats.org/officeDocument/2006/relationships/hyperlink" Target="http://refhub.elsevier.com/S0167-5273(23)01296-2/rf0235" TargetMode="External"/><Relationship Id="rId513" Type="http://schemas.openxmlformats.org/officeDocument/2006/relationships/hyperlink" Target="http://refhub.elsevier.com/S0167-5273(23)01296-2/rf0025" TargetMode="External"/><Relationship Id="rId634" Type="http://schemas.openxmlformats.org/officeDocument/2006/relationships/hyperlink" Target="http://refhub.elsevier.com/S0167-5273(23)01296-2/rf0230" TargetMode="External"/><Relationship Id="rId512" Type="http://schemas.openxmlformats.org/officeDocument/2006/relationships/hyperlink" Target="http://refhub.elsevier.com/S0167-5273(23)01296-2/rf0025" TargetMode="External"/><Relationship Id="rId633" Type="http://schemas.openxmlformats.org/officeDocument/2006/relationships/hyperlink" Target="http://refhub.elsevier.com/S0167-5273(23)01296-2/rf0230" TargetMode="External"/><Relationship Id="rId511" Type="http://schemas.openxmlformats.org/officeDocument/2006/relationships/hyperlink" Target="http://refhub.elsevier.com/S0167-5273(23)01296-2/rf0025" TargetMode="External"/><Relationship Id="rId632" Type="http://schemas.openxmlformats.org/officeDocument/2006/relationships/hyperlink" Target="http://refhub.elsevier.com/S0167-5273(23)01296-2/rf0230" TargetMode="External"/><Relationship Id="rId518" Type="http://schemas.openxmlformats.org/officeDocument/2006/relationships/hyperlink" Target="http://refhub.elsevier.com/S0167-5273(23)01296-2/rf0030" TargetMode="External"/><Relationship Id="rId639" Type="http://schemas.openxmlformats.org/officeDocument/2006/relationships/hyperlink" Target="http://refhub.elsevier.com/S0167-5273(23)01296-2/rf0240" TargetMode="External"/><Relationship Id="rId517" Type="http://schemas.openxmlformats.org/officeDocument/2006/relationships/hyperlink" Target="http://refhub.elsevier.com/S0167-5273(23)01296-2/rf0030" TargetMode="External"/><Relationship Id="rId638" Type="http://schemas.openxmlformats.org/officeDocument/2006/relationships/hyperlink" Target="http://refhub.elsevier.com/S0167-5273(23)01296-2/rf0240" TargetMode="External"/><Relationship Id="rId516" Type="http://schemas.openxmlformats.org/officeDocument/2006/relationships/hyperlink" Target="http://refhub.elsevier.com/S0167-5273(23)01296-2/rf0030" TargetMode="External"/><Relationship Id="rId637" Type="http://schemas.openxmlformats.org/officeDocument/2006/relationships/hyperlink" Target="http://refhub.elsevier.com/S0167-5273(23)01296-2/rf0235" TargetMode="External"/><Relationship Id="rId515" Type="http://schemas.openxmlformats.org/officeDocument/2006/relationships/hyperlink" Target="http://refhub.elsevier.com/S0167-5273(23)01296-2/rf0030" TargetMode="External"/><Relationship Id="rId636" Type="http://schemas.openxmlformats.org/officeDocument/2006/relationships/hyperlink" Target="http://refhub.elsevier.com/S0167-5273(23)01296-2/rf0235" TargetMode="External"/><Relationship Id="rId15" Type="http://schemas.openxmlformats.org/officeDocument/2006/relationships/hyperlink" Target="http://rayyan.qcri.org/" TargetMode="External"/><Relationship Id="rId14" Type="http://schemas.openxmlformats.org/officeDocument/2006/relationships/hyperlink" Target="mailto:ahmed.galimzhan@gmail.com" TargetMode="External"/><Relationship Id="rId17" Type="http://schemas.openxmlformats.org/officeDocument/2006/relationships/hyperlink" Target="https://journals.sagepub.com./doi/suppl/10.1177/00033197211070908" TargetMode="External"/><Relationship Id="rId16" Type="http://schemas.openxmlformats.org/officeDocument/2006/relationships/hyperlink" Target="https://journals.sagepub.com./doi/suppl/10.1177/00033197211070908" TargetMode="External"/><Relationship Id="rId19" Type="http://schemas.openxmlformats.org/officeDocument/2006/relationships/hyperlink" Target="https://journals.sagepub.com./doi/suppl/10.1177/00033197211070908" TargetMode="External"/><Relationship Id="rId510" Type="http://schemas.openxmlformats.org/officeDocument/2006/relationships/hyperlink" Target="http://refhub.elsevier.com/S0167-5273(23)01296-2/rf0025" TargetMode="External"/><Relationship Id="rId631" Type="http://schemas.openxmlformats.org/officeDocument/2006/relationships/hyperlink" Target="http://refhub.elsevier.com/S0167-5273(23)01296-2/rf0225" TargetMode="External"/><Relationship Id="rId18" Type="http://schemas.openxmlformats.org/officeDocument/2006/relationships/hyperlink" Target="https://journals.sagepub.com./doi/suppl/10.1177/00033197211070908" TargetMode="External"/><Relationship Id="rId630" Type="http://schemas.openxmlformats.org/officeDocument/2006/relationships/hyperlink" Target="http://refhub.elsevier.com/S0167-5273(23)01296-2/rf0225" TargetMode="External"/><Relationship Id="rId84" Type="http://schemas.openxmlformats.org/officeDocument/2006/relationships/header" Target="header32.xml"/><Relationship Id="rId83" Type="http://schemas.openxmlformats.org/officeDocument/2006/relationships/footer" Target="footer38.xml"/><Relationship Id="rId86" Type="http://schemas.openxmlformats.org/officeDocument/2006/relationships/hyperlink" Target="https://www.anzctr.org.au/" TargetMode="External"/><Relationship Id="rId85" Type="http://schemas.openxmlformats.org/officeDocument/2006/relationships/hyperlink" Target="https://clinicaltrials.gov/" TargetMode="External"/><Relationship Id="rId88" Type="http://schemas.openxmlformats.org/officeDocument/2006/relationships/hyperlink" Target="https://www.clinicaltrialsregister.eu/" TargetMode="External"/><Relationship Id="rId87" Type="http://schemas.openxmlformats.org/officeDocument/2006/relationships/hyperlink" Target="http://www.chictr.org.cn/abouten.aspx" TargetMode="External"/><Relationship Id="rId89" Type="http://schemas.openxmlformats.org/officeDocument/2006/relationships/hyperlink" Target="https://www.drks.de/" TargetMode="External"/><Relationship Id="rId80" Type="http://schemas.openxmlformats.org/officeDocument/2006/relationships/header" Target="header19.xml"/><Relationship Id="rId82" Type="http://schemas.openxmlformats.org/officeDocument/2006/relationships/footer" Target="footer36.xml"/><Relationship Id="rId81" Type="http://schemas.openxmlformats.org/officeDocument/2006/relationships/header" Target="header18.xml"/><Relationship Id="rId73" Type="http://schemas.openxmlformats.org/officeDocument/2006/relationships/header" Target="header20.xml"/><Relationship Id="rId72" Type="http://schemas.openxmlformats.org/officeDocument/2006/relationships/header" Target="header23.xml"/><Relationship Id="rId75" Type="http://schemas.openxmlformats.org/officeDocument/2006/relationships/footer" Target="footer28.xml"/><Relationship Id="rId74" Type="http://schemas.openxmlformats.org/officeDocument/2006/relationships/footer" Target="footer23.xml"/><Relationship Id="rId77" Type="http://schemas.openxmlformats.org/officeDocument/2006/relationships/header" Target="header26.xml"/><Relationship Id="rId76" Type="http://schemas.openxmlformats.org/officeDocument/2006/relationships/header" Target="header28.xml"/><Relationship Id="rId79" Type="http://schemas.openxmlformats.org/officeDocument/2006/relationships/footer" Target="footer22.xml"/><Relationship Id="rId78" Type="http://schemas.openxmlformats.org/officeDocument/2006/relationships/footer" Target="footer27.xml"/><Relationship Id="rId71" Type="http://schemas.openxmlformats.org/officeDocument/2006/relationships/footer" Target="footer57.xml"/><Relationship Id="rId70" Type="http://schemas.openxmlformats.org/officeDocument/2006/relationships/footer" Target="footer58.xml"/><Relationship Id="rId62" Type="http://schemas.openxmlformats.org/officeDocument/2006/relationships/hyperlink" Target="https://gradepro.org/cite/guidelinedevelopment.org/handbook" TargetMode="External"/><Relationship Id="rId61" Type="http://schemas.openxmlformats.org/officeDocument/2006/relationships/hyperlink" Target="https://training.cochrane.org/handbook/current/chapter-06#section-6-5-2" TargetMode="External"/><Relationship Id="rId64" Type="http://schemas.openxmlformats.org/officeDocument/2006/relationships/hyperlink" Target="https://www.r-project.org/" TargetMode="External"/><Relationship Id="rId63" Type="http://schemas.openxmlformats.org/officeDocument/2006/relationships/hyperlink" Target="https://gradepro.org/cite/guidelinedevelopment.org/handbook" TargetMode="External"/><Relationship Id="rId66" Type="http://schemas.openxmlformats.org/officeDocument/2006/relationships/footer" Target="footer53.xml"/><Relationship Id="rId65" Type="http://schemas.openxmlformats.org/officeDocument/2006/relationships/header" Target="header50.xml"/><Relationship Id="rId68" Type="http://schemas.openxmlformats.org/officeDocument/2006/relationships/header" Target="header56.xml"/><Relationship Id="rId67" Type="http://schemas.openxmlformats.org/officeDocument/2006/relationships/footer" Target="footer52.xml"/><Relationship Id="rId609" Type="http://schemas.openxmlformats.org/officeDocument/2006/relationships/hyperlink" Target="http://refhub.elsevier.com/S0167-5273(23)01296-2/rf0200" TargetMode="External"/><Relationship Id="rId608" Type="http://schemas.openxmlformats.org/officeDocument/2006/relationships/hyperlink" Target="http://refhub.elsevier.com/S0167-5273(23)01296-2/rf0200" TargetMode="External"/><Relationship Id="rId607" Type="http://schemas.openxmlformats.org/officeDocument/2006/relationships/hyperlink" Target="http://refhub.elsevier.com/S0167-5273(23)01296-2/rf0200" TargetMode="External"/><Relationship Id="rId60" Type="http://schemas.openxmlformats.org/officeDocument/2006/relationships/hyperlink" Target="https://training.cochrane.org/handbook/current/chapter-06#section-6-5-2" TargetMode="External"/><Relationship Id="rId602" Type="http://schemas.openxmlformats.org/officeDocument/2006/relationships/hyperlink" Target="http://refhub.elsevier.com/S0167-5273(23)01296-2/rf0195" TargetMode="External"/><Relationship Id="rId601" Type="http://schemas.openxmlformats.org/officeDocument/2006/relationships/hyperlink" Target="http://refhub.elsevier.com/S0167-5273(23)01296-2/rf0195" TargetMode="External"/><Relationship Id="rId600" Type="http://schemas.openxmlformats.org/officeDocument/2006/relationships/hyperlink" Target="http://refhub.elsevier.com/S0167-5273(23)01296-2/rf0195" TargetMode="External"/><Relationship Id="rId606" Type="http://schemas.openxmlformats.org/officeDocument/2006/relationships/hyperlink" Target="http://refhub.elsevier.com/S0167-5273(23)01296-2/rf0200" TargetMode="External"/><Relationship Id="rId605" Type="http://schemas.openxmlformats.org/officeDocument/2006/relationships/hyperlink" Target="http://refhub.elsevier.com/S0167-5273(23)01296-2/rf0200" TargetMode="External"/><Relationship Id="rId604" Type="http://schemas.openxmlformats.org/officeDocument/2006/relationships/hyperlink" Target="http://refhub.elsevier.com/S0167-5273(23)01296-2/rf0200" TargetMode="External"/><Relationship Id="rId603" Type="http://schemas.openxmlformats.org/officeDocument/2006/relationships/hyperlink" Target="http://refhub.elsevier.com/S0167-5273(23)01296-2/rf0195" TargetMode="External"/><Relationship Id="rId69" Type="http://schemas.openxmlformats.org/officeDocument/2006/relationships/header" Target="header55.xml"/><Relationship Id="rId51" Type="http://schemas.openxmlformats.org/officeDocument/2006/relationships/hyperlink" Target="https://journals.sagepub.com./doi/suppl/10.1177/00033197211070908" TargetMode="External"/><Relationship Id="rId50" Type="http://schemas.openxmlformats.org/officeDocument/2006/relationships/hyperlink" Target="https://journals.sagepub.com./doi/suppl/10.1177/00033197211070908" TargetMode="External"/><Relationship Id="rId53" Type="http://schemas.openxmlformats.org/officeDocument/2006/relationships/image" Target="media/image136.png"/><Relationship Id="rId52" Type="http://schemas.openxmlformats.org/officeDocument/2006/relationships/image" Target="media/image148.png"/><Relationship Id="rId55" Type="http://schemas.openxmlformats.org/officeDocument/2006/relationships/hyperlink" Target="http://www.kvakkongre.org/en/" TargetMode="External"/><Relationship Id="rId54" Type="http://schemas.openxmlformats.org/officeDocument/2006/relationships/hyperlink" Target="http://www.kvakkongre.org/en/" TargetMode="External"/><Relationship Id="rId57" Type="http://schemas.openxmlformats.org/officeDocument/2006/relationships/hyperlink" Target="https://orcid.org/0000-0002-1605-9512" TargetMode="External"/><Relationship Id="rId56" Type="http://schemas.openxmlformats.org/officeDocument/2006/relationships/hyperlink" Target="https://orcid.org/0000-0002-1605-9512" TargetMode="External"/><Relationship Id="rId59" Type="http://schemas.openxmlformats.org/officeDocument/2006/relationships/hyperlink" Target="https://training.cochrane.org/handbook/current/chapter-06#section-6-5-2" TargetMode="External"/><Relationship Id="rId58" Type="http://schemas.openxmlformats.org/officeDocument/2006/relationships/hyperlink" Target="https://orcid.org/0000-0002-1605-9512" TargetMode="External"/><Relationship Id="rId590" Type="http://schemas.openxmlformats.org/officeDocument/2006/relationships/hyperlink" Target="http://refhub.elsevier.com/S0167-5273(23)01296-2/rf0180" TargetMode="External"/><Relationship Id="rId107" Type="http://schemas.openxmlformats.org/officeDocument/2006/relationships/hyperlink" Target="https://www.tandfonline.com/action/doSearch?field1=AllField&amp;text1=%22mean%2Bplatelet%2Bvolume%22%2BAND%2B%22acute%2Bcoronary%2Bsyndrome%22&amp;Ppub&amp;startPage&amp;SeriesKey=ierr20" TargetMode="External"/><Relationship Id="rId228" Type="http://schemas.openxmlformats.org/officeDocument/2006/relationships/footer" Target="footer18.xml"/><Relationship Id="rId349" Type="http://schemas.openxmlformats.org/officeDocument/2006/relationships/image" Target="media/image74.jpg"/><Relationship Id="rId106" Type="http://schemas.openxmlformats.org/officeDocument/2006/relationships/hyperlink" Target="https://www.tandfonline.com/action/doSearch?field1=AllField&amp;text1=%22mean%2Bplatelet%2Bvolume%22%2BAND%2B%22acute%2Bcoronary%2Bsyndrome%22&amp;Ppub&amp;startPage&amp;SeriesKey=icdv20" TargetMode="External"/><Relationship Id="rId227" Type="http://schemas.openxmlformats.org/officeDocument/2006/relationships/header" Target="header12.xml"/><Relationship Id="rId348" Type="http://schemas.openxmlformats.org/officeDocument/2006/relationships/image" Target="media/image77.jpg"/><Relationship Id="rId469" Type="http://schemas.openxmlformats.org/officeDocument/2006/relationships/image" Target="media/image8.png"/><Relationship Id="rId105" Type="http://schemas.openxmlformats.org/officeDocument/2006/relationships/hyperlink" Target="https://www.tandfonline.com/action/doSearch?field1=AllField&amp;text1=%22mean%2Bplatelet%2Bvolume%22%2BAND%2B%22acute%2Bcoronary%2Bsyndrome%22&amp;Ppub&amp;startPage&amp;SeriesKey=icdv20" TargetMode="External"/><Relationship Id="rId226" Type="http://schemas.openxmlformats.org/officeDocument/2006/relationships/image" Target="media/image89.png"/><Relationship Id="rId347" Type="http://schemas.openxmlformats.org/officeDocument/2006/relationships/image" Target="media/image130.png"/><Relationship Id="rId468" Type="http://schemas.openxmlformats.org/officeDocument/2006/relationships/image" Target="media/image129.png"/><Relationship Id="rId589" Type="http://schemas.openxmlformats.org/officeDocument/2006/relationships/hyperlink" Target="http://refhub.elsevier.com/S0167-5273(23)01296-2/rf0180" TargetMode="External"/><Relationship Id="rId104" Type="http://schemas.openxmlformats.org/officeDocument/2006/relationships/hyperlink" Target="https://www.tandfonline.com/action/doSearch?field1=AllField&amp;text1=%22mean%2Bplatelet%2Bvolume%22%2BAND%2B%22acute%2Bcoronary%2Bsyndrome%22&amp;Ppub&amp;startPage&amp;SeriesKey=icdv20" TargetMode="External"/><Relationship Id="rId225" Type="http://schemas.openxmlformats.org/officeDocument/2006/relationships/image" Target="media/image110.jpg"/><Relationship Id="rId346" Type="http://schemas.openxmlformats.org/officeDocument/2006/relationships/image" Target="media/image131.png"/><Relationship Id="rId467" Type="http://schemas.openxmlformats.org/officeDocument/2006/relationships/footer" Target="footer9.xml"/><Relationship Id="rId588" Type="http://schemas.openxmlformats.org/officeDocument/2006/relationships/hyperlink" Target="http://refhub.elsevier.com/S0167-5273(23)01296-2/rf0180" TargetMode="External"/><Relationship Id="rId109" Type="http://schemas.openxmlformats.org/officeDocument/2006/relationships/hyperlink" Target="https://www.tandfonline.com/action/doSearch?field1=AllField&amp;text1=%22mean%2Bplatelet%2Bvolume%22%2BAND%2B%22acute%2Bcoronary%2Bsyndrome%22&amp;Ppub&amp;startPage&amp;SeriesKey=ines20" TargetMode="External"/><Relationship Id="rId108" Type="http://schemas.openxmlformats.org/officeDocument/2006/relationships/hyperlink" Target="https://www.tandfonline.com/action/doSearch?field1=AllField&amp;text1=%22mean%2Bplatelet%2Bvolume%22%2BAND%2B%22acute%2Bcoronary%2Bsyndrome%22&amp;Ppub&amp;startPage&amp;SeriesKey=ierr20" TargetMode="External"/><Relationship Id="rId229" Type="http://schemas.openxmlformats.org/officeDocument/2006/relationships/footer" Target="footer21.xml"/><Relationship Id="rId220" Type="http://schemas.openxmlformats.org/officeDocument/2006/relationships/footer" Target="footer13.xml"/><Relationship Id="rId341" Type="http://schemas.openxmlformats.org/officeDocument/2006/relationships/hyperlink" Target="http://dx.doi.org/10.1038/s41569-021-00552-1" TargetMode="External"/><Relationship Id="rId462" Type="http://schemas.openxmlformats.org/officeDocument/2006/relationships/image" Target="media/image103.png"/><Relationship Id="rId583" Type="http://schemas.openxmlformats.org/officeDocument/2006/relationships/hyperlink" Target="http://refhub.elsevier.com/S0167-5273(23)01296-2/rf0175" TargetMode="External"/><Relationship Id="rId340" Type="http://schemas.openxmlformats.org/officeDocument/2006/relationships/hyperlink" Target="http://dx.doi.org/10.7555/JBR.29.20150121" TargetMode="External"/><Relationship Id="rId461" Type="http://schemas.openxmlformats.org/officeDocument/2006/relationships/image" Target="media/image102.png"/><Relationship Id="rId582" Type="http://schemas.openxmlformats.org/officeDocument/2006/relationships/hyperlink" Target="https://doi.org/10.1145/2939672.2939785" TargetMode="External"/><Relationship Id="rId460" Type="http://schemas.openxmlformats.org/officeDocument/2006/relationships/image" Target="media/image96.png"/><Relationship Id="rId581" Type="http://schemas.openxmlformats.org/officeDocument/2006/relationships/hyperlink" Target="http://refhub.elsevier.com/S0167-5273(23)01296-2/rf0165" TargetMode="External"/><Relationship Id="rId580" Type="http://schemas.openxmlformats.org/officeDocument/2006/relationships/hyperlink" Target="http://refhub.elsevier.com/S0167-5273(23)01296-2/rf0165" TargetMode="External"/><Relationship Id="rId103" Type="http://schemas.openxmlformats.org/officeDocument/2006/relationships/hyperlink" Target="https://www.tandfonline.com/action/doSearch?field1=AllField&amp;text1=%22mean%2Bplatelet%2Bvolume%22%2BAND%2B%22acute%2Bcoronary%2Bsyndrome%22&amp;Ppub&amp;startPage&amp;SeriesKey=tacd20" TargetMode="External"/><Relationship Id="rId224" Type="http://schemas.openxmlformats.org/officeDocument/2006/relationships/header" Target="header13.xml"/><Relationship Id="rId345" Type="http://schemas.openxmlformats.org/officeDocument/2006/relationships/hyperlink" Target="https://doi.org/10.1016/j.ijcard.2022.12.035" TargetMode="External"/><Relationship Id="rId466" Type="http://schemas.openxmlformats.org/officeDocument/2006/relationships/header" Target="header3.xml"/><Relationship Id="rId587" Type="http://schemas.openxmlformats.org/officeDocument/2006/relationships/hyperlink" Target="http://refhub.elsevier.com/S0167-5273(23)01296-2/rf0175" TargetMode="External"/><Relationship Id="rId102" Type="http://schemas.openxmlformats.org/officeDocument/2006/relationships/hyperlink" Target="https://www.tandfonline.com/action/doSearch?field1=AllField&amp;text1=%22mean%2Bplatelet%2Bvolume%22%2BAND%2B%22acute%2Bcoronary%2Bsyndrome%22&amp;Ppub&amp;startPage&amp;SeriesKey=tacd20" TargetMode="External"/><Relationship Id="rId223" Type="http://schemas.openxmlformats.org/officeDocument/2006/relationships/image" Target="media/image88.jpg"/><Relationship Id="rId344" Type="http://schemas.openxmlformats.org/officeDocument/2006/relationships/hyperlink" Target="http://dx.doi.org/10.1055/s-2006-949664" TargetMode="External"/><Relationship Id="rId465" Type="http://schemas.openxmlformats.org/officeDocument/2006/relationships/hyperlink" Target="https://doi.org/10.1016/j.ijcard.2023.131339" TargetMode="External"/><Relationship Id="rId586" Type="http://schemas.openxmlformats.org/officeDocument/2006/relationships/hyperlink" Target="http://refhub.elsevier.com/S0167-5273(23)01296-2/rf0175" TargetMode="External"/><Relationship Id="rId101" Type="http://schemas.openxmlformats.org/officeDocument/2006/relationships/hyperlink" Target="https://www.tandfonline.com/action/doSearch?field1=AllField&amp;text1=%22mean%2Bplatelet%2Bvolume%22%2BAND%2B%22acute%2Bcoronary%2Bsyndrome%22&amp;Ppub&amp;startPage&amp;SeriesKey=iplt20" TargetMode="External"/><Relationship Id="rId222" Type="http://schemas.openxmlformats.org/officeDocument/2006/relationships/image" Target="media/image109.png"/><Relationship Id="rId343" Type="http://schemas.openxmlformats.org/officeDocument/2006/relationships/hyperlink" Target="http://dx.doi.org/10.1056/NEJMra035363" TargetMode="External"/><Relationship Id="rId464" Type="http://schemas.openxmlformats.org/officeDocument/2006/relationships/hyperlink" Target="mailto:ahmed.galimzhan@gmail.com" TargetMode="External"/><Relationship Id="rId585" Type="http://schemas.openxmlformats.org/officeDocument/2006/relationships/hyperlink" Target="http://refhub.elsevier.com/S0167-5273(23)01296-2/rf0175" TargetMode="External"/><Relationship Id="rId100" Type="http://schemas.openxmlformats.org/officeDocument/2006/relationships/hyperlink" Target="https://www.tandfonline.com/" TargetMode="External"/><Relationship Id="rId221" Type="http://schemas.openxmlformats.org/officeDocument/2006/relationships/footer" Target="footer15.xml"/><Relationship Id="rId342" Type="http://schemas.openxmlformats.org/officeDocument/2006/relationships/hyperlink" Target="http://www.ncbi.nlm.nih.gov/pubmed/22534274" TargetMode="External"/><Relationship Id="rId463" Type="http://schemas.openxmlformats.org/officeDocument/2006/relationships/image" Target="media/image108.png"/><Relationship Id="rId584" Type="http://schemas.openxmlformats.org/officeDocument/2006/relationships/hyperlink" Target="http://refhub.elsevier.com/S0167-5273(23)01296-2/rf0175" TargetMode="External"/><Relationship Id="rId217" Type="http://schemas.openxmlformats.org/officeDocument/2006/relationships/image" Target="media/image126.jpg"/><Relationship Id="rId338" Type="http://schemas.openxmlformats.org/officeDocument/2006/relationships/hyperlink" Target="http://dx.doi.org/10.3390/jcm9030852" TargetMode="External"/><Relationship Id="rId459" Type="http://schemas.openxmlformats.org/officeDocument/2006/relationships/hyperlink" Target="https://doi.org/10.1016/j.ijcard.2023.131339" TargetMode="External"/><Relationship Id="rId216" Type="http://schemas.openxmlformats.org/officeDocument/2006/relationships/header" Target="header7.xml"/><Relationship Id="rId337" Type="http://schemas.openxmlformats.org/officeDocument/2006/relationships/hyperlink" Target="http://dx.doi.org/10.1016/j.mayocp.2016.05.008" TargetMode="External"/><Relationship Id="rId458" Type="http://schemas.openxmlformats.org/officeDocument/2006/relationships/hyperlink" Target="http://refhub.elsevier.com/S0167-5273(22)01919-2/rf0150" TargetMode="External"/><Relationship Id="rId579" Type="http://schemas.openxmlformats.org/officeDocument/2006/relationships/hyperlink" Target="http://refhub.elsevier.com/S0167-5273(23)01296-2/rf0165" TargetMode="External"/><Relationship Id="rId215" Type="http://schemas.openxmlformats.org/officeDocument/2006/relationships/image" Target="media/image101.png"/><Relationship Id="rId336" Type="http://schemas.openxmlformats.org/officeDocument/2006/relationships/hyperlink" Target="http://dx.doi.org/10.1016/j.ahj.2008.02.003" TargetMode="External"/><Relationship Id="rId457" Type="http://schemas.openxmlformats.org/officeDocument/2006/relationships/hyperlink" Target="http://refhub.elsevier.com/S0167-5273(22)01919-2/rf0150" TargetMode="External"/><Relationship Id="rId578" Type="http://schemas.openxmlformats.org/officeDocument/2006/relationships/hyperlink" Target="https://cran.rstudio.com/web/packages/multiROC/multiROC.pdf" TargetMode="External"/><Relationship Id="rId214" Type="http://schemas.openxmlformats.org/officeDocument/2006/relationships/image" Target="media/image122.jpg"/><Relationship Id="rId335" Type="http://schemas.openxmlformats.org/officeDocument/2006/relationships/hyperlink" Target="http://dx.doi.org/10.1016/j.ahj.2008.02.003" TargetMode="External"/><Relationship Id="rId456" Type="http://schemas.openxmlformats.org/officeDocument/2006/relationships/hyperlink" Target="http://refhub.elsevier.com/S0167-5273(22)01919-2/rf0150" TargetMode="External"/><Relationship Id="rId577" Type="http://schemas.openxmlformats.org/officeDocument/2006/relationships/hyperlink" Target="https://cran.rstudio.com/web/packages/multiROC/multiROC.pdf" TargetMode="External"/><Relationship Id="rId219" Type="http://schemas.openxmlformats.org/officeDocument/2006/relationships/header" Target="header9.xml"/><Relationship Id="rId218" Type="http://schemas.openxmlformats.org/officeDocument/2006/relationships/image" Target="media/image87.png"/><Relationship Id="rId339" Type="http://schemas.openxmlformats.org/officeDocument/2006/relationships/hyperlink" Target="http://dx.doi.org/10.1016/j.amjcard.2013.04.007" TargetMode="External"/><Relationship Id="rId330" Type="http://schemas.openxmlformats.org/officeDocument/2006/relationships/hyperlink" Target="http://dx.doi.org/10.1016/j.jcin.2018.05.033" TargetMode="External"/><Relationship Id="rId451" Type="http://schemas.openxmlformats.org/officeDocument/2006/relationships/hyperlink" Target="http://refhub.elsevier.com/S0167-5273(22)01919-2/rf0135" TargetMode="External"/><Relationship Id="rId572" Type="http://schemas.openxmlformats.org/officeDocument/2006/relationships/hyperlink" Target="https://www.bibsonomy.org/bibtex/2b13a556c2a6c1a3a2a30fe889ea9b738/zeno" TargetMode="External"/><Relationship Id="rId450" Type="http://schemas.openxmlformats.org/officeDocument/2006/relationships/hyperlink" Target="http://refhub.elsevier.com/S0167-5273(22)01919-2/rf0135" TargetMode="External"/><Relationship Id="rId571" Type="http://schemas.openxmlformats.org/officeDocument/2006/relationships/hyperlink" Target="https://www.bibsonomy.org/bibtex/2b13a556c2a6c1a3a2a30fe889ea9b738/zeno" TargetMode="External"/><Relationship Id="rId570" Type="http://schemas.openxmlformats.org/officeDocument/2006/relationships/hyperlink" Target="http://refhub.elsevier.com/S0167-5273(23)01296-2/rf0135" TargetMode="External"/><Relationship Id="rId213" Type="http://schemas.openxmlformats.org/officeDocument/2006/relationships/footer" Target="footer6.xml"/><Relationship Id="rId334" Type="http://schemas.openxmlformats.org/officeDocument/2006/relationships/hyperlink" Target="http://dx.doi.org/10.1016/j.jacc.2014.01.069" TargetMode="External"/><Relationship Id="rId455" Type="http://schemas.openxmlformats.org/officeDocument/2006/relationships/hyperlink" Target="http://refhub.elsevier.com/S0167-5273(22)01919-2/rf0145" TargetMode="External"/><Relationship Id="rId576" Type="http://schemas.openxmlformats.org/officeDocument/2006/relationships/hyperlink" Target="http://refhub.elsevier.com/S0167-5273(23)01296-2/rf0155" TargetMode="External"/><Relationship Id="rId212" Type="http://schemas.openxmlformats.org/officeDocument/2006/relationships/footer" Target="footer4.xml"/><Relationship Id="rId333" Type="http://schemas.openxmlformats.org/officeDocument/2006/relationships/hyperlink" Target="http://dx.doi.org/10.1002/ccd.29314" TargetMode="External"/><Relationship Id="rId454" Type="http://schemas.openxmlformats.org/officeDocument/2006/relationships/hyperlink" Target="http://refhub.elsevier.com/S0167-5273(22)01919-2/rf0145" TargetMode="External"/><Relationship Id="rId575" Type="http://schemas.openxmlformats.org/officeDocument/2006/relationships/hyperlink" Target="https://doi.org/10.48550/ARXIV.1705.07874" TargetMode="External"/><Relationship Id="rId211" Type="http://schemas.openxmlformats.org/officeDocument/2006/relationships/header" Target="header2.xml"/><Relationship Id="rId332" Type="http://schemas.openxmlformats.org/officeDocument/2006/relationships/hyperlink" Target="http://dx.doi.org/10.1155/2021/8836450" TargetMode="External"/><Relationship Id="rId453" Type="http://schemas.openxmlformats.org/officeDocument/2006/relationships/hyperlink" Target="http://refhub.elsevier.com/S0167-5273(22)01919-2/rf0140" TargetMode="External"/><Relationship Id="rId574" Type="http://schemas.openxmlformats.org/officeDocument/2006/relationships/hyperlink" Target="https://doi.org/10.1109/cvprw50498.2020.00171" TargetMode="External"/><Relationship Id="rId210" Type="http://schemas.openxmlformats.org/officeDocument/2006/relationships/image" Target="media/image100.png"/><Relationship Id="rId331" Type="http://schemas.openxmlformats.org/officeDocument/2006/relationships/hyperlink" Target="http://dx.doi.org/10.1016/j.jacc.2020.03.070" TargetMode="External"/><Relationship Id="rId452" Type="http://schemas.openxmlformats.org/officeDocument/2006/relationships/hyperlink" Target="http://refhub.elsevier.com/S0167-5273(22)01919-2/rf0140" TargetMode="External"/><Relationship Id="rId573" Type="http://schemas.openxmlformats.org/officeDocument/2006/relationships/hyperlink" Target="https://doi.org/10.1109/cvprw50498.2020.00171" TargetMode="External"/><Relationship Id="rId370" Type="http://schemas.openxmlformats.org/officeDocument/2006/relationships/hyperlink" Target="https://doi.org/10.1016/j.ijcard.2022.12.035" TargetMode="External"/><Relationship Id="rId491" Type="http://schemas.openxmlformats.org/officeDocument/2006/relationships/hyperlink" Target="http://refhub.elsevier.com/S0167-5273(23)01296-2/rf0015" TargetMode="External"/><Relationship Id="rId490" Type="http://schemas.openxmlformats.org/officeDocument/2006/relationships/hyperlink" Target="http://refhub.elsevier.com/S0167-5273(23)01296-2/rf0015" TargetMode="External"/><Relationship Id="rId129" Type="http://schemas.openxmlformats.org/officeDocument/2006/relationships/hyperlink" Target="https://www.internationaljournalofcardiology.com/" TargetMode="External"/><Relationship Id="rId128" Type="http://schemas.openxmlformats.org/officeDocument/2006/relationships/hyperlink" Target="https://www.atherosclerosis-journal.com/" TargetMode="External"/><Relationship Id="rId249" Type="http://schemas.openxmlformats.org/officeDocument/2006/relationships/image" Target="media/image32.png"/><Relationship Id="rId127" Type="http://schemas.openxmlformats.org/officeDocument/2006/relationships/hyperlink" Target="https://www.ajconline.org/" TargetMode="External"/><Relationship Id="rId248" Type="http://schemas.openxmlformats.org/officeDocument/2006/relationships/hyperlink" Target="http://dx.doi.org/10.1136/heartjnl-2022-320910" TargetMode="External"/><Relationship Id="rId369" Type="http://schemas.openxmlformats.org/officeDocument/2006/relationships/image" Target="media/image1.jpg"/><Relationship Id="rId126" Type="http://schemas.openxmlformats.org/officeDocument/2006/relationships/hyperlink" Target="https://journals.sagepub.com/" TargetMode="External"/><Relationship Id="rId247" Type="http://schemas.openxmlformats.org/officeDocument/2006/relationships/hyperlink" Target="http://dx.doi.org/10.1136/heartjnl-2022-320910" TargetMode="External"/><Relationship Id="rId368" Type="http://schemas.openxmlformats.org/officeDocument/2006/relationships/image" Target="media/image3.jpg"/><Relationship Id="rId489" Type="http://schemas.openxmlformats.org/officeDocument/2006/relationships/hyperlink" Target="http://refhub.elsevier.com/S0167-5273(23)01296-2/rf0010" TargetMode="External"/><Relationship Id="rId121" Type="http://schemas.openxmlformats.org/officeDocument/2006/relationships/hyperlink" Target="https://www.tandfonline.com/action/doSearch?field1=AllField&amp;text1=%22mean%2Bplatelet%2Bvolume%22%2BAND%2B%22acute%2Bcoronary%2Bsyndrome%22&amp;Ppub&amp;startPage&amp;SeriesKey=ierk20" TargetMode="External"/><Relationship Id="rId242" Type="http://schemas.openxmlformats.org/officeDocument/2006/relationships/header" Target="header22.xml"/><Relationship Id="rId363" Type="http://schemas.openxmlformats.org/officeDocument/2006/relationships/footer" Target="footer7.xml"/><Relationship Id="rId484" Type="http://schemas.openxmlformats.org/officeDocument/2006/relationships/hyperlink" Target="http://refhub.elsevier.com/S0167-5273(23)01296-2/rf0005" TargetMode="External"/><Relationship Id="rId120" Type="http://schemas.openxmlformats.org/officeDocument/2006/relationships/header" Target="header36.xml"/><Relationship Id="rId241" Type="http://schemas.openxmlformats.org/officeDocument/2006/relationships/image" Target="media/image6.jpg"/><Relationship Id="rId362" Type="http://schemas.openxmlformats.org/officeDocument/2006/relationships/footer" Target="footer8.xml"/><Relationship Id="rId483" Type="http://schemas.openxmlformats.org/officeDocument/2006/relationships/hyperlink" Target="http://refhub.elsevier.com/S0167-5273(23)01296-2/rf0005" TargetMode="External"/><Relationship Id="rId240" Type="http://schemas.openxmlformats.org/officeDocument/2006/relationships/header" Target="header25.xml"/><Relationship Id="rId361" Type="http://schemas.openxmlformats.org/officeDocument/2006/relationships/header" Target="header48.xml"/><Relationship Id="rId482" Type="http://schemas.openxmlformats.org/officeDocument/2006/relationships/hyperlink" Target="https://doi.org/10.1016/j.ijcard.2023.131339" TargetMode="External"/><Relationship Id="rId360" Type="http://schemas.openxmlformats.org/officeDocument/2006/relationships/header" Target="header49.xml"/><Relationship Id="rId481" Type="http://schemas.openxmlformats.org/officeDocument/2006/relationships/hyperlink" Target="https://doi.org/10.1016/j.ijcard.2023.131339" TargetMode="External"/><Relationship Id="rId125" Type="http://schemas.openxmlformats.org/officeDocument/2006/relationships/hyperlink" Target="https://journals.plos.org/plosone/" TargetMode="External"/><Relationship Id="rId246" Type="http://schemas.openxmlformats.org/officeDocument/2006/relationships/footer" Target="footer47.xml"/><Relationship Id="rId367" Type="http://schemas.openxmlformats.org/officeDocument/2006/relationships/image" Target="media/image2.jpg"/><Relationship Id="rId488" Type="http://schemas.openxmlformats.org/officeDocument/2006/relationships/hyperlink" Target="http://refhub.elsevier.com/S0167-5273(23)01296-2/rf0010" TargetMode="External"/><Relationship Id="rId124" Type="http://schemas.openxmlformats.org/officeDocument/2006/relationships/hyperlink" Target="https://www.nature.com/" TargetMode="External"/><Relationship Id="rId245" Type="http://schemas.openxmlformats.org/officeDocument/2006/relationships/header" Target="header42.xml"/><Relationship Id="rId366" Type="http://schemas.openxmlformats.org/officeDocument/2006/relationships/image" Target="media/image4.jpg"/><Relationship Id="rId487" Type="http://schemas.openxmlformats.org/officeDocument/2006/relationships/hyperlink" Target="http://refhub.elsevier.com/S0167-5273(23)01296-2/rf0010" TargetMode="External"/><Relationship Id="rId123" Type="http://schemas.openxmlformats.org/officeDocument/2006/relationships/hyperlink" Target="https://www.tandfonline.com/action/doSearch?field1=AllField&amp;text1=%22mean%2Bplatelet%2Bvolume%22%2BAND%2B%22acute%2Bcoronary%2Bsyndrome%22&amp;Ppub&amp;startPage&amp;SeriesKey=ierk20" TargetMode="External"/><Relationship Id="rId244" Type="http://schemas.openxmlformats.org/officeDocument/2006/relationships/header" Target="header43.xml"/><Relationship Id="rId365" Type="http://schemas.openxmlformats.org/officeDocument/2006/relationships/image" Target="media/image24.png"/><Relationship Id="rId486" Type="http://schemas.openxmlformats.org/officeDocument/2006/relationships/hyperlink" Target="http://refhub.elsevier.com/S0167-5273(23)01296-2/rf0005" TargetMode="External"/><Relationship Id="rId122" Type="http://schemas.openxmlformats.org/officeDocument/2006/relationships/hyperlink" Target="https://www.tandfonline.com/action/doSearch?field1=AllField&amp;text1=%22mean%2Bplatelet%2Bvolume%22%2BAND%2B%22acute%2Bcoronary%2Bsyndrome%22&amp;Ppub&amp;startPage&amp;SeriesKey=ierk20" TargetMode="External"/><Relationship Id="rId243" Type="http://schemas.openxmlformats.org/officeDocument/2006/relationships/footer" Target="footer35.xml"/><Relationship Id="rId364" Type="http://schemas.openxmlformats.org/officeDocument/2006/relationships/image" Target="media/image53.jpg"/><Relationship Id="rId485" Type="http://schemas.openxmlformats.org/officeDocument/2006/relationships/hyperlink" Target="http://refhub.elsevier.com/S0167-5273(23)01296-2/rf0005" TargetMode="External"/><Relationship Id="rId95" Type="http://schemas.openxmlformats.org/officeDocument/2006/relationships/hyperlink" Target="https://www.irct.ir/" TargetMode="External"/><Relationship Id="rId94" Type="http://schemas.openxmlformats.org/officeDocument/2006/relationships/hyperlink" Target="https://cris.nih.go.kr/cris/" TargetMode="External"/><Relationship Id="rId97" Type="http://schemas.openxmlformats.org/officeDocument/2006/relationships/hyperlink" Target="http://www.ensaiosclinicos.gov.br/" TargetMode="External"/><Relationship Id="rId96" Type="http://schemas.openxmlformats.org/officeDocument/2006/relationships/hyperlink" Target="https://ensayosclinicos-repec.ins.gob.pe/en/" TargetMode="External"/><Relationship Id="rId99" Type="http://schemas.openxmlformats.org/officeDocument/2006/relationships/hyperlink" Target="https://www.isrctn.com/" TargetMode="External"/><Relationship Id="rId480" Type="http://schemas.openxmlformats.org/officeDocument/2006/relationships/image" Target="media/image57.jpg"/><Relationship Id="rId98" Type="http://schemas.openxmlformats.org/officeDocument/2006/relationships/hyperlink" Target="https://ctri.icmr.org.in/" TargetMode="External"/><Relationship Id="rId91" Type="http://schemas.openxmlformats.org/officeDocument/2006/relationships/header" Target="header34.xml"/><Relationship Id="rId90" Type="http://schemas.openxmlformats.org/officeDocument/2006/relationships/hyperlink" Target="https://rctportal.niph.go.jp/" TargetMode="External"/><Relationship Id="rId93" Type="http://schemas.openxmlformats.org/officeDocument/2006/relationships/footer" Target="footer42.xml"/><Relationship Id="rId92" Type="http://schemas.openxmlformats.org/officeDocument/2006/relationships/footer" Target="footer40.xml"/><Relationship Id="rId118" Type="http://schemas.openxmlformats.org/officeDocument/2006/relationships/hyperlink" Target="https://www.tandfonline.com/action/doSearch?field1=AllField&amp;text1=%22mean%2Bplatelet%2Bvolume%22%2BAND%2B%22acute%2Bcoronary%2Bsyndrome%22&amp;Ppub&amp;startPage&amp;SeriesKey=ieop20" TargetMode="External"/><Relationship Id="rId239" Type="http://schemas.openxmlformats.org/officeDocument/2006/relationships/image" Target="media/image83.jpg"/><Relationship Id="rId117" Type="http://schemas.openxmlformats.org/officeDocument/2006/relationships/hyperlink" Target="https://www.tandfonline.com/action/doSearch?field1=AllField&amp;text1=%22mean%2Bplatelet%2Bvolume%22%2BAND%2B%22acute%2Bcoronary%2Bsyndrome%22&amp;Ppub&amp;startPage&amp;SeriesKey=ieop20" TargetMode="External"/><Relationship Id="rId238" Type="http://schemas.openxmlformats.org/officeDocument/2006/relationships/image" Target="media/image112.png"/><Relationship Id="rId359" Type="http://schemas.openxmlformats.org/officeDocument/2006/relationships/image" Target="media/image26.png"/><Relationship Id="rId116" Type="http://schemas.openxmlformats.org/officeDocument/2006/relationships/hyperlink" Target="https://www.tandfonline.com/action/doSearch?field1=AllField&amp;text1=%22mean%2Bplatelet%2Bvolume%22%2BAND%2B%22acute%2Bcoronary%2Bsyndrome%22&amp;Ppub&amp;startPage&amp;SeriesKey=ibmk20" TargetMode="External"/><Relationship Id="rId237" Type="http://schemas.openxmlformats.org/officeDocument/2006/relationships/footer" Target="footer26.xml"/><Relationship Id="rId358" Type="http://schemas.openxmlformats.org/officeDocument/2006/relationships/image" Target="media/image25.png"/><Relationship Id="rId479" Type="http://schemas.openxmlformats.org/officeDocument/2006/relationships/image" Target="media/image35.jpg"/><Relationship Id="rId115" Type="http://schemas.openxmlformats.org/officeDocument/2006/relationships/hyperlink" Target="https://www.tandfonline.com/action/doSearch?field1=AllField&amp;text1=%22mean%2Bplatelet%2Bvolume%22%2BAND%2B%22acute%2Bcoronary%2Bsyndrome%22&amp;Ppub&amp;startPage&amp;SeriesKey=iann20" TargetMode="External"/><Relationship Id="rId236" Type="http://schemas.openxmlformats.org/officeDocument/2006/relationships/footer" Target="footer20.xml"/><Relationship Id="rId357" Type="http://schemas.openxmlformats.org/officeDocument/2006/relationships/footer" Target="footer44.xml"/><Relationship Id="rId478" Type="http://schemas.openxmlformats.org/officeDocument/2006/relationships/image" Target="media/image34.jpg"/><Relationship Id="rId599" Type="http://schemas.openxmlformats.org/officeDocument/2006/relationships/hyperlink" Target="http://refhub.elsevier.com/S0167-5273(23)01296-2/rf0195" TargetMode="External"/><Relationship Id="rId119" Type="http://schemas.openxmlformats.org/officeDocument/2006/relationships/hyperlink" Target="https://www.tandfonline.com/action/doSearch?field1=AllField&amp;text1=%22mean%2Bplatelet%2Bvolume%22%2BAND%2B%22acute%2Bcoronary%2Bsyndrome%22&amp;Ppub&amp;startPage&amp;SeriesKey=ieop20" TargetMode="External"/><Relationship Id="rId110" Type="http://schemas.openxmlformats.org/officeDocument/2006/relationships/hyperlink" Target="https://www.tandfonline.com/action/doSearch?field1=AllField&amp;text1=%22mean%2Bplatelet%2Bvolume%22%2BAND%2B%22acute%2Bcoronary%2Bsyndrome%22&amp;Ppub&amp;startPage&amp;SeriesKey=ines20" TargetMode="External"/><Relationship Id="rId231" Type="http://schemas.openxmlformats.org/officeDocument/2006/relationships/image" Target="media/image90.jpg"/><Relationship Id="rId352" Type="http://schemas.openxmlformats.org/officeDocument/2006/relationships/image" Target="media/image132.png"/><Relationship Id="rId473" Type="http://schemas.openxmlformats.org/officeDocument/2006/relationships/footer" Target="footer11.xml"/><Relationship Id="rId594" Type="http://schemas.openxmlformats.org/officeDocument/2006/relationships/hyperlink" Target="http://refhub.elsevier.com/S0167-5273(23)01296-2/rf0185" TargetMode="External"/><Relationship Id="rId230" Type="http://schemas.openxmlformats.org/officeDocument/2006/relationships/image" Target="media/image111.png"/><Relationship Id="rId351" Type="http://schemas.openxmlformats.org/officeDocument/2006/relationships/image" Target="media/image64.png"/><Relationship Id="rId472" Type="http://schemas.openxmlformats.org/officeDocument/2006/relationships/header" Target="header4.xml"/><Relationship Id="rId593" Type="http://schemas.openxmlformats.org/officeDocument/2006/relationships/hyperlink" Target="http://refhub.elsevier.com/S0167-5273(23)01296-2/rf0185" TargetMode="External"/><Relationship Id="rId350" Type="http://schemas.openxmlformats.org/officeDocument/2006/relationships/image" Target="media/image134.png"/><Relationship Id="rId471" Type="http://schemas.openxmlformats.org/officeDocument/2006/relationships/header" Target="header5.xml"/><Relationship Id="rId592" Type="http://schemas.openxmlformats.org/officeDocument/2006/relationships/hyperlink" Target="http://refhub.elsevier.com/S0167-5273(23)01296-2/rf0185" TargetMode="External"/><Relationship Id="rId470" Type="http://schemas.openxmlformats.org/officeDocument/2006/relationships/image" Target="media/image9.png"/><Relationship Id="rId591" Type="http://schemas.openxmlformats.org/officeDocument/2006/relationships/hyperlink" Target="http://refhub.elsevier.com/S0167-5273(23)01296-2/rf0180" TargetMode="External"/><Relationship Id="rId114" Type="http://schemas.openxmlformats.org/officeDocument/2006/relationships/hyperlink" Target="https://www.tandfonline.com/action/doSearch?field1=AllField&amp;text1=%22mean%2Bplatelet%2Bvolume%22%2BAND%2B%22acute%2Bcoronary%2Bsyndrome%22&amp;Ppub&amp;startPage&amp;SeriesKey=iann20" TargetMode="External"/><Relationship Id="rId235" Type="http://schemas.openxmlformats.org/officeDocument/2006/relationships/header" Target="header15.xml"/><Relationship Id="rId356" Type="http://schemas.openxmlformats.org/officeDocument/2006/relationships/header" Target="header46.xml"/><Relationship Id="rId477" Type="http://schemas.openxmlformats.org/officeDocument/2006/relationships/hyperlink" Target="https://github.com/Akhmetzhan/Prediction_of_clinical_outcomes_after_percutaneous_coronary_intervention_NIS" TargetMode="External"/><Relationship Id="rId598" Type="http://schemas.openxmlformats.org/officeDocument/2006/relationships/hyperlink" Target="http://refhub.elsevier.com/S0167-5273(23)01296-2/rf0190" TargetMode="External"/><Relationship Id="rId113" Type="http://schemas.openxmlformats.org/officeDocument/2006/relationships/hyperlink" Target="https://www.tandfonline.com/action/doSearch?field1=AllField&amp;text1=%22mean%2Bplatelet%2Bvolume%22%2BAND%2B%22acute%2Bcoronary%2Bsyndrome%22&amp;Ppub&amp;startPage&amp;SeriesKey=yacb20" TargetMode="External"/><Relationship Id="rId234" Type="http://schemas.openxmlformats.org/officeDocument/2006/relationships/image" Target="media/image91.jpg"/><Relationship Id="rId355" Type="http://schemas.openxmlformats.org/officeDocument/2006/relationships/image" Target="media/image133.png"/><Relationship Id="rId476" Type="http://schemas.openxmlformats.org/officeDocument/2006/relationships/hyperlink" Target="https://https//github.com/Akhmetzhan/Prediction_of_clinical_outcomes_after_percutaneous_coronary_intervention_NIS" TargetMode="External"/><Relationship Id="rId597" Type="http://schemas.openxmlformats.org/officeDocument/2006/relationships/hyperlink" Target="http://refhub.elsevier.com/S0167-5273(23)01296-2/rf0190" TargetMode="External"/><Relationship Id="rId112" Type="http://schemas.openxmlformats.org/officeDocument/2006/relationships/hyperlink" Target="https://www.tandfonline.com/action/doSearch?field1=AllField&amp;text1=%22mean%2Bplatelet%2Bvolume%22%2BAND%2B%22acute%2Bcoronary%2Bsyndrome%22&amp;Ppub&amp;startPage&amp;SeriesKey=yacb20" TargetMode="External"/><Relationship Id="rId233" Type="http://schemas.openxmlformats.org/officeDocument/2006/relationships/image" Target="media/image113.jpg"/><Relationship Id="rId354" Type="http://schemas.openxmlformats.org/officeDocument/2006/relationships/hyperlink" Target="https://doi.org/10.1016/j.ijcard.2022.12.035" TargetMode="External"/><Relationship Id="rId475" Type="http://schemas.openxmlformats.org/officeDocument/2006/relationships/image" Target="media/image5.jpg"/><Relationship Id="rId596" Type="http://schemas.openxmlformats.org/officeDocument/2006/relationships/hyperlink" Target="http://refhub.elsevier.com/S0167-5273(23)01296-2/rf0190" TargetMode="External"/><Relationship Id="rId111" Type="http://schemas.openxmlformats.org/officeDocument/2006/relationships/hyperlink" Target="https://www.tandfonline.com/action/doSearch?field1=AllField&amp;text1=%22mean%2Bplatelet%2Bvolume%22%2BAND%2B%22acute%2Bcoronary%2Bsyndrome%22&amp;Ppub&amp;startPage&amp;SeriesKey=ines20" TargetMode="External"/><Relationship Id="rId232" Type="http://schemas.openxmlformats.org/officeDocument/2006/relationships/header" Target="header17.xml"/><Relationship Id="rId353" Type="http://schemas.openxmlformats.org/officeDocument/2006/relationships/hyperlink" Target="mailto:ahmed.galimzhan@gmail.com" TargetMode="External"/><Relationship Id="rId474" Type="http://schemas.openxmlformats.org/officeDocument/2006/relationships/footer" Target="footer10.xml"/><Relationship Id="rId595" Type="http://schemas.openxmlformats.org/officeDocument/2006/relationships/hyperlink" Target="http://refhub.elsevier.com/S0167-5273(23)01296-2/rf0185" TargetMode="External"/><Relationship Id="rId305" Type="http://schemas.openxmlformats.org/officeDocument/2006/relationships/hyperlink" Target="http://dx.doi.org/10.1016/j.amjcard.2016.03.001" TargetMode="External"/><Relationship Id="rId426" Type="http://schemas.openxmlformats.org/officeDocument/2006/relationships/hyperlink" Target="http://refhub.elsevier.com/S0167-5273(22)01919-2/rf0085" TargetMode="External"/><Relationship Id="rId547" Type="http://schemas.openxmlformats.org/officeDocument/2006/relationships/hyperlink" Target="http://refhub.elsevier.com/S0167-5273(23)01296-2/rf0090" TargetMode="External"/><Relationship Id="rId304" Type="http://schemas.openxmlformats.org/officeDocument/2006/relationships/hyperlink" Target="http://dx.doi.org/10.1002/ccd.29405" TargetMode="External"/><Relationship Id="rId425" Type="http://schemas.openxmlformats.org/officeDocument/2006/relationships/hyperlink" Target="http://refhub.elsevier.com/S0167-5273(22)01919-2/rf0085" TargetMode="External"/><Relationship Id="rId546" Type="http://schemas.openxmlformats.org/officeDocument/2006/relationships/hyperlink" Target="http://refhub.elsevier.com/S0167-5273(23)01296-2/rf0090" TargetMode="External"/><Relationship Id="rId303" Type="http://schemas.openxmlformats.org/officeDocument/2006/relationships/hyperlink" Target="http://dx.doi.org/10.1186/s12872-021-02210-3" TargetMode="External"/><Relationship Id="rId424" Type="http://schemas.openxmlformats.org/officeDocument/2006/relationships/hyperlink" Target="http://refhub.elsevier.com/S0167-5273(22)01919-2/rf0085" TargetMode="External"/><Relationship Id="rId545" Type="http://schemas.openxmlformats.org/officeDocument/2006/relationships/hyperlink" Target="http://refhub.elsevier.com/S0167-5273(23)01296-2/rf0085" TargetMode="External"/><Relationship Id="rId666" Type="http://schemas.openxmlformats.org/officeDocument/2006/relationships/hyperlink" Target="http://refhub.elsevier.com/S0167-5273(23)01296-2/rf0275" TargetMode="External"/><Relationship Id="rId302" Type="http://schemas.openxmlformats.org/officeDocument/2006/relationships/hyperlink" Target="http://dx.doi.org/10.1016/j.cjca.2015.05.020" TargetMode="External"/><Relationship Id="rId423" Type="http://schemas.openxmlformats.org/officeDocument/2006/relationships/hyperlink" Target="http://refhub.elsevier.com/S0167-5273(22)01919-2/rf0085" TargetMode="External"/><Relationship Id="rId544" Type="http://schemas.openxmlformats.org/officeDocument/2006/relationships/hyperlink" Target="http://refhub.elsevier.com/S0167-5273(23)01296-2/rf0085" TargetMode="External"/><Relationship Id="rId665" Type="http://schemas.openxmlformats.org/officeDocument/2006/relationships/hyperlink" Target="http://refhub.elsevier.com/S0167-5273(23)01296-2/rf0275" TargetMode="External"/><Relationship Id="rId309" Type="http://schemas.openxmlformats.org/officeDocument/2006/relationships/hyperlink" Target="http://dx.doi.org/10.1161/CIRCINTERVENTIONS.114.001360" TargetMode="External"/><Relationship Id="rId308" Type="http://schemas.openxmlformats.org/officeDocument/2006/relationships/hyperlink" Target="http://dx.doi.org/10.11909/j.issn.1671-5411.2018.05.004" TargetMode="External"/><Relationship Id="rId429" Type="http://schemas.openxmlformats.org/officeDocument/2006/relationships/hyperlink" Target="http://refhub.elsevier.com/S0167-5273(22)01919-2/rf0095" TargetMode="External"/><Relationship Id="rId307" Type="http://schemas.openxmlformats.org/officeDocument/2006/relationships/hyperlink" Target="http://dx.doi.org/10.11909/j.issn.1671-5411.2018.05.004" TargetMode="External"/><Relationship Id="rId428" Type="http://schemas.openxmlformats.org/officeDocument/2006/relationships/hyperlink" Target="http://refhub.elsevier.com/S0167-5273(22)01919-2/rf0090" TargetMode="External"/><Relationship Id="rId549" Type="http://schemas.openxmlformats.org/officeDocument/2006/relationships/hyperlink" Target="http://refhub.elsevier.com/S0167-5273(23)01296-2/rf0100" TargetMode="External"/><Relationship Id="rId306" Type="http://schemas.openxmlformats.org/officeDocument/2006/relationships/hyperlink" Target="http://dx.doi.org/10.3390/jcm9103370" TargetMode="External"/><Relationship Id="rId427" Type="http://schemas.openxmlformats.org/officeDocument/2006/relationships/hyperlink" Target="http://refhub.elsevier.com/S0167-5273(22)01919-2/rf0090" TargetMode="External"/><Relationship Id="rId548" Type="http://schemas.openxmlformats.org/officeDocument/2006/relationships/hyperlink" Target="https://github.com/atif-hassan/FRUFS" TargetMode="External"/><Relationship Id="rId660" Type="http://schemas.openxmlformats.org/officeDocument/2006/relationships/hyperlink" Target="http://refhub.elsevier.com/S0167-5273(23)01296-2/rf0270" TargetMode="External"/><Relationship Id="rId301" Type="http://schemas.openxmlformats.org/officeDocument/2006/relationships/hyperlink" Target="http://dx.doi.org/10.1002/ccd.28030" TargetMode="External"/><Relationship Id="rId422" Type="http://schemas.openxmlformats.org/officeDocument/2006/relationships/hyperlink" Target="http://refhub.elsevier.com/S0167-5273(22)01919-2/rf0080" TargetMode="External"/><Relationship Id="rId543" Type="http://schemas.openxmlformats.org/officeDocument/2006/relationships/hyperlink" Target="http://refhub.elsevier.com/S0167-5273(23)01296-2/rf0085" TargetMode="External"/><Relationship Id="rId664" Type="http://schemas.openxmlformats.org/officeDocument/2006/relationships/hyperlink" Target="http://refhub.elsevier.com/S0167-5273(23)01296-2/rf0275" TargetMode="External"/><Relationship Id="rId300" Type="http://schemas.openxmlformats.org/officeDocument/2006/relationships/hyperlink" Target="http://dx.doi.org/10.1016/j.amjcard.2018.02.010" TargetMode="External"/><Relationship Id="rId421" Type="http://schemas.openxmlformats.org/officeDocument/2006/relationships/hyperlink" Target="http://refhub.elsevier.com/S0167-5273(22)01919-2/rf0080" TargetMode="External"/><Relationship Id="rId542" Type="http://schemas.openxmlformats.org/officeDocument/2006/relationships/hyperlink" Target="https://www.hcup-us.ahrq.gov/toolssoftware/comorbidityicd10/comorbidity_icd10.jsp" TargetMode="External"/><Relationship Id="rId663" Type="http://schemas.openxmlformats.org/officeDocument/2006/relationships/hyperlink" Target="http://refhub.elsevier.com/S0167-5273(23)01296-2/rf0275" TargetMode="External"/><Relationship Id="rId420" Type="http://schemas.openxmlformats.org/officeDocument/2006/relationships/hyperlink" Target="http://refhub.elsevier.com/S0167-5273(22)01919-2/rf0075" TargetMode="External"/><Relationship Id="rId541" Type="http://schemas.openxmlformats.org/officeDocument/2006/relationships/hyperlink" Target="https://www.hcup-us.ahrq.gov/toolssoftware/comorbidityicd10/comorbidity_icd10.jsp" TargetMode="External"/><Relationship Id="rId662" Type="http://schemas.openxmlformats.org/officeDocument/2006/relationships/hyperlink" Target="http://refhub.elsevier.com/S0167-5273(23)01296-2/rf0275" TargetMode="External"/><Relationship Id="rId540" Type="http://schemas.openxmlformats.org/officeDocument/2006/relationships/hyperlink" Target="https://www.hcup-us.ahrq.gov/toolssoftware/ccsr/dxccsr.jsp" TargetMode="External"/><Relationship Id="rId661" Type="http://schemas.openxmlformats.org/officeDocument/2006/relationships/hyperlink" Target="http://refhub.elsevier.com/S0167-5273(23)01296-2/rf0270" TargetMode="External"/><Relationship Id="rId415" Type="http://schemas.openxmlformats.org/officeDocument/2006/relationships/hyperlink" Target="http://refhub.elsevier.com/S0167-5273(22)01919-2/rf0065" TargetMode="External"/><Relationship Id="rId536" Type="http://schemas.openxmlformats.org/officeDocument/2006/relationships/hyperlink" Target="https://www.hcup-us.ahrq.gov/nisoverview.jsp" TargetMode="External"/><Relationship Id="rId657" Type="http://schemas.openxmlformats.org/officeDocument/2006/relationships/hyperlink" Target="http://refhub.elsevier.com/S0167-5273(23)01296-2/rf0265" TargetMode="External"/><Relationship Id="rId414" Type="http://schemas.openxmlformats.org/officeDocument/2006/relationships/hyperlink" Target="http://refhub.elsevier.com/S0167-5273(22)01919-2/rf0065" TargetMode="External"/><Relationship Id="rId535" Type="http://schemas.openxmlformats.org/officeDocument/2006/relationships/hyperlink" Target="https://www.hcup-us.ahrq.gov/nisoverview.jsp" TargetMode="External"/><Relationship Id="rId656" Type="http://schemas.openxmlformats.org/officeDocument/2006/relationships/hyperlink" Target="http://refhub.elsevier.com/S0167-5273(23)01296-2/rf0265" TargetMode="External"/><Relationship Id="rId413" Type="http://schemas.openxmlformats.org/officeDocument/2006/relationships/hyperlink" Target="http://refhub.elsevier.com/S0167-5273(22)01919-2/rf0065" TargetMode="External"/><Relationship Id="rId534" Type="http://schemas.openxmlformats.org/officeDocument/2006/relationships/hyperlink" Target="http://refhub.elsevier.com/S0167-5273(23)01296-2/rf0060" TargetMode="External"/><Relationship Id="rId655" Type="http://schemas.openxmlformats.org/officeDocument/2006/relationships/hyperlink" Target="http://refhub.elsevier.com/S0167-5273(23)01296-2/rf0260" TargetMode="External"/><Relationship Id="rId412" Type="http://schemas.openxmlformats.org/officeDocument/2006/relationships/hyperlink" Target="http://refhub.elsevier.com/S0167-5273(22)01919-2/rf0065" TargetMode="External"/><Relationship Id="rId533" Type="http://schemas.openxmlformats.org/officeDocument/2006/relationships/hyperlink" Target="http://refhub.elsevier.com/S0167-5273(23)01296-2/rf0060" TargetMode="External"/><Relationship Id="rId654" Type="http://schemas.openxmlformats.org/officeDocument/2006/relationships/hyperlink" Target="http://refhub.elsevier.com/S0167-5273(23)01296-2/rf0260" TargetMode="External"/><Relationship Id="rId419" Type="http://schemas.openxmlformats.org/officeDocument/2006/relationships/hyperlink" Target="http://refhub.elsevier.com/S0167-5273(22)01919-2/rf0075" TargetMode="External"/><Relationship Id="rId418" Type="http://schemas.openxmlformats.org/officeDocument/2006/relationships/hyperlink" Target="http://refhub.elsevier.com/S0167-5273(22)01919-2/rf0070" TargetMode="External"/><Relationship Id="rId539" Type="http://schemas.openxmlformats.org/officeDocument/2006/relationships/hyperlink" Target="https://www.hcup-us.ahrq.gov/toolssoftware/ccsr/dxccsr.jsp" TargetMode="External"/><Relationship Id="rId417" Type="http://schemas.openxmlformats.org/officeDocument/2006/relationships/hyperlink" Target="http://refhub.elsevier.com/S0167-5273(22)01919-2/rf0070" TargetMode="External"/><Relationship Id="rId538" Type="http://schemas.openxmlformats.org/officeDocument/2006/relationships/hyperlink" Target="https://www.hcup-us.ahrq.gov/toolssoftware/ccsr/prccsr.jsp" TargetMode="External"/><Relationship Id="rId659" Type="http://schemas.openxmlformats.org/officeDocument/2006/relationships/hyperlink" Target="http://refhub.elsevier.com/S0167-5273(23)01296-2/rf0270" TargetMode="External"/><Relationship Id="rId416" Type="http://schemas.openxmlformats.org/officeDocument/2006/relationships/hyperlink" Target="http://refhub.elsevier.com/S0167-5273(22)01919-2/rf0065" TargetMode="External"/><Relationship Id="rId537" Type="http://schemas.openxmlformats.org/officeDocument/2006/relationships/hyperlink" Target="https://www.hcup-us.ahrq.gov/toolssoftware/ccsr/prccsr.jsp" TargetMode="External"/><Relationship Id="rId658" Type="http://schemas.openxmlformats.org/officeDocument/2006/relationships/hyperlink" Target="http://refhub.elsevier.com/S0167-5273(23)01296-2/rf0265" TargetMode="External"/><Relationship Id="rId411" Type="http://schemas.openxmlformats.org/officeDocument/2006/relationships/hyperlink" Target="http://refhub.elsevier.com/S0167-5273(22)01919-2/rf0065" TargetMode="External"/><Relationship Id="rId532" Type="http://schemas.openxmlformats.org/officeDocument/2006/relationships/hyperlink" Target="http://refhub.elsevier.com/S0167-5273(23)01296-2/rf0055" TargetMode="External"/><Relationship Id="rId653" Type="http://schemas.openxmlformats.org/officeDocument/2006/relationships/hyperlink" Target="http://refhub.elsevier.com/S0167-5273(23)01296-2/rf0255" TargetMode="External"/><Relationship Id="rId410" Type="http://schemas.openxmlformats.org/officeDocument/2006/relationships/hyperlink" Target="http://refhub.elsevier.com/S0167-5273(22)01919-2/rf0065" TargetMode="External"/><Relationship Id="rId531" Type="http://schemas.openxmlformats.org/officeDocument/2006/relationships/hyperlink" Target="http://refhub.elsevier.com/S0167-5273(23)01296-2/rf0055" TargetMode="External"/><Relationship Id="rId652" Type="http://schemas.openxmlformats.org/officeDocument/2006/relationships/hyperlink" Target="http://refhub.elsevier.com/S0167-5273(23)01296-2/rf0255" TargetMode="External"/><Relationship Id="rId530" Type="http://schemas.openxmlformats.org/officeDocument/2006/relationships/hyperlink" Target="http://refhub.elsevier.com/S0167-5273(23)01296-2/rf0050" TargetMode="External"/><Relationship Id="rId651" Type="http://schemas.openxmlformats.org/officeDocument/2006/relationships/hyperlink" Target="http://refhub.elsevier.com/S0167-5273(23)01296-2/rf0255" TargetMode="External"/><Relationship Id="rId650" Type="http://schemas.openxmlformats.org/officeDocument/2006/relationships/hyperlink" Target="http://refhub.elsevier.com/S0167-5273(23)01296-2/rf0255" TargetMode="External"/><Relationship Id="rId206" Type="http://schemas.openxmlformats.org/officeDocument/2006/relationships/footer" Target="footer2.xml"/><Relationship Id="rId327" Type="http://schemas.openxmlformats.org/officeDocument/2006/relationships/hyperlink" Target="http://dx.doi.org/10.1002/sim.1009" TargetMode="External"/><Relationship Id="rId448" Type="http://schemas.openxmlformats.org/officeDocument/2006/relationships/hyperlink" Target="http://refhub.elsevier.com/S0167-5273(22)01919-2/rf0130" TargetMode="External"/><Relationship Id="rId569" Type="http://schemas.openxmlformats.org/officeDocument/2006/relationships/hyperlink" Target="http://refhub.elsevier.com/S0167-5273(23)01296-2/rf0135" TargetMode="External"/><Relationship Id="rId205" Type="http://schemas.openxmlformats.org/officeDocument/2006/relationships/footer" Target="footer1.xml"/><Relationship Id="rId326" Type="http://schemas.openxmlformats.org/officeDocument/2006/relationships/hyperlink" Target="http://dx.doi.org/10.1002/sim.3013" TargetMode="External"/><Relationship Id="rId447" Type="http://schemas.openxmlformats.org/officeDocument/2006/relationships/hyperlink" Target="http://refhub.elsevier.com/S0167-5273(22)01919-2/rf0125" TargetMode="External"/><Relationship Id="rId568" Type="http://schemas.openxmlformats.org/officeDocument/2006/relationships/hyperlink" Target="https://doi.org/10.48550/ARXIV.2207.08815" TargetMode="External"/><Relationship Id="rId204" Type="http://schemas.openxmlformats.org/officeDocument/2006/relationships/header" Target="header59.xml"/><Relationship Id="rId325" Type="http://schemas.openxmlformats.org/officeDocument/2006/relationships/hyperlink" Target="http://dx.doi.org/10.1080/00220973.2018.1561404" TargetMode="External"/><Relationship Id="rId446" Type="http://schemas.openxmlformats.org/officeDocument/2006/relationships/hyperlink" Target="http://refhub.elsevier.com/S0167-5273(22)01919-2/rf0125" TargetMode="External"/><Relationship Id="rId567" Type="http://schemas.openxmlformats.org/officeDocument/2006/relationships/hyperlink" Target="https://doi.org/10.48550/ARXIV.2207.08815" TargetMode="External"/><Relationship Id="rId203" Type="http://schemas.openxmlformats.org/officeDocument/2006/relationships/image" Target="media/image99.jpg"/><Relationship Id="rId324" Type="http://schemas.openxmlformats.org/officeDocument/2006/relationships/hyperlink" Target="http://dx.doi.org/10.1080/00220973.2018.1561404" TargetMode="External"/><Relationship Id="rId445" Type="http://schemas.openxmlformats.org/officeDocument/2006/relationships/hyperlink" Target="http://refhub.elsevier.com/S0167-5273(22)01919-2/rf0125" TargetMode="External"/><Relationship Id="rId566" Type="http://schemas.openxmlformats.org/officeDocument/2006/relationships/hyperlink" Target="http://refhub.elsevier.com/S0167-5273(23)01296-2/rf0125" TargetMode="External"/><Relationship Id="rId209" Type="http://schemas.openxmlformats.org/officeDocument/2006/relationships/image" Target="media/image124.jpg"/><Relationship Id="rId208" Type="http://schemas.openxmlformats.org/officeDocument/2006/relationships/header" Target="header1.xml"/><Relationship Id="rId329" Type="http://schemas.openxmlformats.org/officeDocument/2006/relationships/hyperlink" Target="http://dx.doi.org/10.18637/jss.v036.i03" TargetMode="External"/><Relationship Id="rId207" Type="http://schemas.openxmlformats.org/officeDocument/2006/relationships/image" Target="media/image121.jpg"/><Relationship Id="rId328" Type="http://schemas.openxmlformats.org/officeDocument/2006/relationships/hyperlink" Target="http://dx.doi.org/10.18637/jss.v036.i03" TargetMode="External"/><Relationship Id="rId449" Type="http://schemas.openxmlformats.org/officeDocument/2006/relationships/hyperlink" Target="http://refhub.elsevier.com/S0167-5273(22)01919-2/rf0130" TargetMode="External"/><Relationship Id="rId440" Type="http://schemas.openxmlformats.org/officeDocument/2006/relationships/hyperlink" Target="http://refhub.elsevier.com/S0167-5273(22)01919-2/rf0110" TargetMode="External"/><Relationship Id="rId561" Type="http://schemas.openxmlformats.org/officeDocument/2006/relationships/hyperlink" Target="http://refhub.elsevier.com/S0167-5273(23)01296-2/rf0115" TargetMode="External"/><Relationship Id="rId560" Type="http://schemas.openxmlformats.org/officeDocument/2006/relationships/hyperlink" Target="http://refhub.elsevier.com/S0167-5273(23)01296-2/rf0115" TargetMode="External"/><Relationship Id="rId202" Type="http://schemas.openxmlformats.org/officeDocument/2006/relationships/image" Target="media/image125.jpg"/><Relationship Id="rId323" Type="http://schemas.openxmlformats.org/officeDocument/2006/relationships/hyperlink" Target="http://dx.doi.org/10.1371/journal.pone.0054289" TargetMode="External"/><Relationship Id="rId444" Type="http://schemas.openxmlformats.org/officeDocument/2006/relationships/hyperlink" Target="http://refhub.elsevier.com/S0167-5273(22)01919-2/rf0120" TargetMode="External"/><Relationship Id="rId565" Type="http://schemas.openxmlformats.org/officeDocument/2006/relationships/hyperlink" Target="http://refhub.elsevier.com/S0167-5273(23)01296-2/rf0125" TargetMode="External"/><Relationship Id="rId201" Type="http://schemas.openxmlformats.org/officeDocument/2006/relationships/header" Target="header52.xml"/><Relationship Id="rId322" Type="http://schemas.openxmlformats.org/officeDocument/2006/relationships/hyperlink" Target="http://dx.doi.org/10.1002/sim.3841" TargetMode="External"/><Relationship Id="rId443" Type="http://schemas.openxmlformats.org/officeDocument/2006/relationships/hyperlink" Target="http://refhub.elsevier.com/S0167-5273(22)01919-2/rf0120" TargetMode="External"/><Relationship Id="rId564" Type="http://schemas.openxmlformats.org/officeDocument/2006/relationships/hyperlink" Target="http://refhub.elsevier.com/S0167-5273(23)01296-2/rf0120" TargetMode="External"/><Relationship Id="rId200" Type="http://schemas.openxmlformats.org/officeDocument/2006/relationships/image" Target="media/image98.jpg"/><Relationship Id="rId321" Type="http://schemas.openxmlformats.org/officeDocument/2006/relationships/hyperlink" Target="http://dx.doi.org/10.1016/j.cca.2018.06.049" TargetMode="External"/><Relationship Id="rId442" Type="http://schemas.openxmlformats.org/officeDocument/2006/relationships/hyperlink" Target="http://refhub.elsevier.com/S0167-5273(22)01919-2/rf0115" TargetMode="External"/><Relationship Id="rId563" Type="http://schemas.openxmlformats.org/officeDocument/2006/relationships/hyperlink" Target="http://refhub.elsevier.com/S0167-5273(23)01296-2/rf0120" TargetMode="External"/><Relationship Id="rId320" Type="http://schemas.openxmlformats.org/officeDocument/2006/relationships/hyperlink" Target="http://dx.doi.org/10.1177/0962280218773122" TargetMode="External"/><Relationship Id="rId441" Type="http://schemas.openxmlformats.org/officeDocument/2006/relationships/hyperlink" Target="http://refhub.elsevier.com/S0167-5273(22)01919-2/rf0115" TargetMode="External"/><Relationship Id="rId562" Type="http://schemas.openxmlformats.org/officeDocument/2006/relationships/hyperlink" Target="http://refhub.elsevier.com/S0167-5273(23)01296-2/rf0120" TargetMode="External"/><Relationship Id="rId316" Type="http://schemas.openxmlformats.org/officeDocument/2006/relationships/hyperlink" Target="http://dx.doi.org/10.1186/1471-2288-14-135" TargetMode="External"/><Relationship Id="rId437" Type="http://schemas.openxmlformats.org/officeDocument/2006/relationships/hyperlink" Target="http://refhub.elsevier.com/S0167-5273(22)01919-2/rf0100" TargetMode="External"/><Relationship Id="rId558" Type="http://schemas.openxmlformats.org/officeDocument/2006/relationships/hyperlink" Target="http://refhub.elsevier.com/S0167-5273(23)01296-2/rf0110" TargetMode="External"/><Relationship Id="rId315" Type="http://schemas.openxmlformats.org/officeDocument/2006/relationships/hyperlink" Target="http://dx.doi.org/10.1371/journal.pmed.1001744" TargetMode="External"/><Relationship Id="rId436" Type="http://schemas.openxmlformats.org/officeDocument/2006/relationships/hyperlink" Target="http://refhub.elsevier.com/S0167-5273(22)01919-2/rf0100" TargetMode="External"/><Relationship Id="rId557" Type="http://schemas.openxmlformats.org/officeDocument/2006/relationships/hyperlink" Target="http://refhub.elsevier.com/S0167-5273(23)01296-2/rf0110" TargetMode="External"/><Relationship Id="rId314" Type="http://schemas.openxmlformats.org/officeDocument/2006/relationships/hyperlink" Target="http://dx.doi.org/10.1186/s13643-016-0384-4" TargetMode="External"/><Relationship Id="rId435" Type="http://schemas.openxmlformats.org/officeDocument/2006/relationships/hyperlink" Target="http://refhub.elsevier.com/S0167-5273(22)01919-2/rf0100" TargetMode="External"/><Relationship Id="rId556" Type="http://schemas.openxmlformats.org/officeDocument/2006/relationships/hyperlink" Target="http://refhub.elsevier.com/S0167-5273(23)01296-2/rf0110" TargetMode="External"/><Relationship Id="rId313" Type="http://schemas.openxmlformats.org/officeDocument/2006/relationships/hyperlink" Target="http://dx.doi.org/10.3389/frma.2018.00023" TargetMode="External"/><Relationship Id="rId434" Type="http://schemas.openxmlformats.org/officeDocument/2006/relationships/hyperlink" Target="http://refhub.elsevier.com/S0167-5273(22)01919-2/rf0100" TargetMode="External"/><Relationship Id="rId555" Type="http://schemas.openxmlformats.org/officeDocument/2006/relationships/hyperlink" Target="http://refhub.elsevier.com/S0167-5273(23)01296-2/rf0105" TargetMode="External"/><Relationship Id="rId319" Type="http://schemas.openxmlformats.org/officeDocument/2006/relationships/hyperlink" Target="https://srdr.ahrq.gov/projects" TargetMode="External"/><Relationship Id="rId318" Type="http://schemas.openxmlformats.org/officeDocument/2006/relationships/hyperlink" Target="https://srdr.ahrq.gov/projects" TargetMode="External"/><Relationship Id="rId439" Type="http://schemas.openxmlformats.org/officeDocument/2006/relationships/hyperlink" Target="http://refhub.elsevier.com/S0167-5273(22)01919-2/rf0110" TargetMode="External"/><Relationship Id="rId317" Type="http://schemas.openxmlformats.org/officeDocument/2006/relationships/hyperlink" Target="http://dx.doi.org/10.7326/0003-4819-158-4-201302190-00009" TargetMode="External"/><Relationship Id="rId438" Type="http://schemas.openxmlformats.org/officeDocument/2006/relationships/hyperlink" Target="http://refhub.elsevier.com/S0167-5273(22)01919-2/rf0110" TargetMode="External"/><Relationship Id="rId559" Type="http://schemas.openxmlformats.org/officeDocument/2006/relationships/hyperlink" Target="http://refhub.elsevier.com/S0167-5273(23)01296-2/rf0110" TargetMode="External"/><Relationship Id="rId550" Type="http://schemas.openxmlformats.org/officeDocument/2006/relationships/hyperlink" Target="http://refhub.elsevier.com/S0167-5273(23)01296-2/rf0100" TargetMode="External"/><Relationship Id="rId312" Type="http://schemas.openxmlformats.org/officeDocument/2006/relationships/hyperlink" Target="http://dx.doi.org/10.1186/s12874-020-0907-5" TargetMode="External"/><Relationship Id="rId433" Type="http://schemas.openxmlformats.org/officeDocument/2006/relationships/hyperlink" Target="http://refhub.elsevier.com/S0167-5273(22)01919-2/rf0100" TargetMode="External"/><Relationship Id="rId554" Type="http://schemas.openxmlformats.org/officeDocument/2006/relationships/hyperlink" Target="http://refhub.elsevier.com/S0167-5273(23)01296-2/rf0105" TargetMode="External"/><Relationship Id="rId311" Type="http://schemas.openxmlformats.org/officeDocument/2006/relationships/hyperlink" Target="http://dx.doi.org/10.1136/bmj.k4597" TargetMode="External"/><Relationship Id="rId432" Type="http://schemas.openxmlformats.org/officeDocument/2006/relationships/hyperlink" Target="http://refhub.elsevier.com/S0167-5273(22)01919-2/rf0095" TargetMode="External"/><Relationship Id="rId553" Type="http://schemas.openxmlformats.org/officeDocument/2006/relationships/hyperlink" Target="http://refhub.elsevier.com/S0167-5273(23)01296-2/rf0105" TargetMode="External"/><Relationship Id="rId310" Type="http://schemas.openxmlformats.org/officeDocument/2006/relationships/hyperlink" Target="http://dx.doi.org/10.1136/bmj.n71" TargetMode="External"/><Relationship Id="rId431" Type="http://schemas.openxmlformats.org/officeDocument/2006/relationships/hyperlink" Target="http://refhub.elsevier.com/S0167-5273(22)01919-2/rf0095" TargetMode="External"/><Relationship Id="rId552" Type="http://schemas.openxmlformats.org/officeDocument/2006/relationships/hyperlink" Target="http://refhub.elsevier.com/S0167-5273(23)01296-2/rf0100" TargetMode="External"/><Relationship Id="rId430" Type="http://schemas.openxmlformats.org/officeDocument/2006/relationships/hyperlink" Target="http://refhub.elsevier.com/S0167-5273(22)01919-2/rf0095" TargetMode="External"/><Relationship Id="rId551" Type="http://schemas.openxmlformats.org/officeDocument/2006/relationships/hyperlink" Target="http://refhub.elsevier.com/S0167-5273(23)01296-2/rf01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10.xml.rels><?xml version="1.0" encoding="UTF-8" standalone="yes"?><Relationships xmlns="http://schemas.openxmlformats.org/package/2006/relationships"><Relationship Id="rId1" Type="http://schemas.openxmlformats.org/officeDocument/2006/relationships/image" Target="media/image17.png"/></Relationships>
</file>

<file path=word/_rels/footer11.xml.rels><?xml version="1.0" encoding="UTF-8" standalone="yes"?><Relationships xmlns="http://schemas.openxmlformats.org/package/2006/relationships"><Relationship Id="rId1" Type="http://schemas.openxmlformats.org/officeDocument/2006/relationships/image" Target="media/image18.png"/></Relationships>
</file>

<file path=word/_rels/footer12.xml.rels><?xml version="1.0" encoding="UTF-8" standalone="yes"?><Relationships xmlns="http://schemas.openxmlformats.org/package/2006/relationships"><Relationship Id="rId1" Type="http://schemas.openxmlformats.org/officeDocument/2006/relationships/image" Target="media/image12.png"/></Relationships>
</file>

<file path=word/_rels/footer13.xml.rels><?xml version="1.0" encoding="UTF-8" standalone="yes"?><Relationships xmlns="http://schemas.openxmlformats.org/package/2006/relationships"><Relationship Id="rId1" Type="http://schemas.openxmlformats.org/officeDocument/2006/relationships/image" Target="media/image16.png"/></Relationships>
</file>

<file path=word/_rels/footer14.xml.rels><?xml version="1.0" encoding="UTF-8" standalone="yes"?><Relationships xmlns="http://schemas.openxmlformats.org/package/2006/relationships"><Relationship Id="rId1" Type="http://schemas.openxmlformats.org/officeDocument/2006/relationships/image" Target="media/image23.png"/></Relationships>
</file>

<file path=word/_rels/footer15.xml.rels><?xml version="1.0" encoding="UTF-8" standalone="yes"?><Relationships xmlns="http://schemas.openxmlformats.org/package/2006/relationships"><Relationship Id="rId1" Type="http://schemas.openxmlformats.org/officeDocument/2006/relationships/image" Target="media/image51.png"/></Relationships>
</file>

<file path=word/_rels/footer16.xml.rels><?xml version="1.0" encoding="UTF-8" standalone="yes"?><Relationships xmlns="http://schemas.openxmlformats.org/package/2006/relationships"><Relationship Id="rId1" Type="http://schemas.openxmlformats.org/officeDocument/2006/relationships/image" Target="media/image52.png"/></Relationships>
</file>

<file path=word/_rels/footer17.xml.rels><?xml version="1.0" encoding="UTF-8" standalone="yes"?><Relationships xmlns="http://schemas.openxmlformats.org/package/2006/relationships"><Relationship Id="rId1" Type="http://schemas.openxmlformats.org/officeDocument/2006/relationships/image" Target="media/image61.png"/></Relationships>
</file>

<file path=word/_rels/footer18.xml.rels><?xml version="1.0" encoding="UTF-8" standalone="yes"?><Relationships xmlns="http://schemas.openxmlformats.org/package/2006/relationships"><Relationship Id="rId1" Type="http://schemas.openxmlformats.org/officeDocument/2006/relationships/image" Target="media/image62.png"/></Relationships>
</file>

<file path=word/_rels/footer19.xml.rels><?xml version="1.0" encoding="UTF-8" standalone="yes"?><Relationships xmlns="http://schemas.openxmlformats.org/package/2006/relationships"><Relationship Id="rId1" Type="http://schemas.openxmlformats.org/officeDocument/2006/relationships/image" Target="media/image59.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footer20.xml.rels><?xml version="1.0" encoding="UTF-8" standalone="yes"?><Relationships xmlns="http://schemas.openxmlformats.org/package/2006/relationships"><Relationship Id="rId1" Type="http://schemas.openxmlformats.org/officeDocument/2006/relationships/image" Target="media/image60.png"/></Relationships>
</file>

<file path=word/_rels/footer21.xml.rels><?xml version="1.0" encoding="UTF-8" standalone="yes"?><Relationships xmlns="http://schemas.openxmlformats.org/package/2006/relationships"><Relationship Id="rId1" Type="http://schemas.openxmlformats.org/officeDocument/2006/relationships/image" Target="media/image56.png"/></Relationships>
</file>

<file path=word/_rels/footer22.xml.rels><?xml version="1.0" encoding="UTF-8" standalone="yes"?><Relationships xmlns="http://schemas.openxmlformats.org/package/2006/relationships"><Relationship Id="rId1" Type="http://schemas.openxmlformats.org/officeDocument/2006/relationships/image" Target="media/image58.png"/></Relationships>
</file>

<file path=word/_rels/footer23.xml.rels><?xml version="1.0" encoding="UTF-8" standalone="yes"?><Relationships xmlns="http://schemas.openxmlformats.org/package/2006/relationships"><Relationship Id="rId1" Type="http://schemas.openxmlformats.org/officeDocument/2006/relationships/image" Target="media/image54.png"/></Relationships>
</file>

<file path=word/_rels/footer24.xml.rels><?xml version="1.0" encoding="UTF-8" standalone="yes"?><Relationships xmlns="http://schemas.openxmlformats.org/package/2006/relationships"><Relationship Id="rId1" Type="http://schemas.openxmlformats.org/officeDocument/2006/relationships/image" Target="media/image55.png"/></Relationships>
</file>

<file path=word/_rels/footer25.xml.rels><?xml version="1.0" encoding="UTF-8" standalone="yes"?><Relationships xmlns="http://schemas.openxmlformats.org/package/2006/relationships"><Relationship Id="rId1" Type="http://schemas.openxmlformats.org/officeDocument/2006/relationships/image" Target="media/image43.png"/></Relationships>
</file>

<file path=word/_rels/footer26.xml.rels><?xml version="1.0" encoding="UTF-8" standalone="yes"?><Relationships xmlns="http://schemas.openxmlformats.org/package/2006/relationships"><Relationship Id="rId1" Type="http://schemas.openxmlformats.org/officeDocument/2006/relationships/image" Target="media/image40.png"/></Relationships>
</file>

<file path=word/_rels/footer27.xml.rels><?xml version="1.0" encoding="UTF-8" standalone="yes"?><Relationships xmlns="http://schemas.openxmlformats.org/package/2006/relationships"><Relationship Id="rId1" Type="http://schemas.openxmlformats.org/officeDocument/2006/relationships/image" Target="media/image42.png"/></Relationships>
</file>

<file path=word/_rels/footer28.xml.rels><?xml version="1.0" encoding="UTF-8" standalone="yes"?><Relationships xmlns="http://schemas.openxmlformats.org/package/2006/relationships"><Relationship Id="rId1" Type="http://schemas.openxmlformats.org/officeDocument/2006/relationships/image" Target="media/image49.png"/></Relationships>
</file>

<file path=word/_rels/footer29.xml.rels><?xml version="1.0" encoding="UTF-8" standalone="yes"?><Relationships xmlns="http://schemas.openxmlformats.org/package/2006/relationships"><Relationship Id="rId1" Type="http://schemas.openxmlformats.org/officeDocument/2006/relationships/image" Target="media/image50.png"/></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footer30.xml.rels><?xml version="1.0" encoding="UTF-8" standalone="yes"?><Relationships xmlns="http://schemas.openxmlformats.org/package/2006/relationships"><Relationship Id="rId1" Type="http://schemas.openxmlformats.org/officeDocument/2006/relationships/image" Target="media/image47.png"/></Relationships>
</file>

<file path=word/_rels/footer32.xml.rels><?xml version="1.0" encoding="UTF-8" standalone="yes"?><Relationships xmlns="http://schemas.openxmlformats.org/package/2006/relationships"><Relationship Id="rId1" Type="http://schemas.openxmlformats.org/officeDocument/2006/relationships/image" Target="media/image48.png"/></Relationships>
</file>

<file path=word/_rels/footer33.xml.rels><?xml version="1.0" encoding="UTF-8" standalone="yes"?><Relationships xmlns="http://schemas.openxmlformats.org/package/2006/relationships"><Relationship Id="rId1" Type="http://schemas.openxmlformats.org/officeDocument/2006/relationships/image" Target="media/image45.png"/></Relationships>
</file>

<file path=word/_rels/footer34.xml.rels><?xml version="1.0" encoding="UTF-8" standalone="yes"?><Relationships xmlns="http://schemas.openxmlformats.org/package/2006/relationships"><Relationship Id="rId1" Type="http://schemas.openxmlformats.org/officeDocument/2006/relationships/image" Target="media/image46.png"/></Relationships>
</file>

<file path=word/_rels/footer35.xml.rels><?xml version="1.0" encoding="UTF-8" standalone="yes"?><Relationships xmlns="http://schemas.openxmlformats.org/package/2006/relationships"><Relationship Id="rId1" Type="http://schemas.openxmlformats.org/officeDocument/2006/relationships/image" Target="media/image44.png"/></Relationships>
</file>

<file path=word/_rels/footer36.xml.rels><?xml version="1.0" encoding="UTF-8" standalone="yes"?><Relationships xmlns="http://schemas.openxmlformats.org/package/2006/relationships"><Relationship Id="rId1" Type="http://schemas.openxmlformats.org/officeDocument/2006/relationships/image" Target="media/image140.png"/></Relationships>
</file>

<file path=word/_rels/footer37.xml.rels><?xml version="1.0" encoding="UTF-8" standalone="yes"?><Relationships xmlns="http://schemas.openxmlformats.org/package/2006/relationships"><Relationship Id="rId1" Type="http://schemas.openxmlformats.org/officeDocument/2006/relationships/image" Target="media/image141.png"/></Relationships>
</file>

<file path=word/_rels/footer38.xml.rels><?xml version="1.0" encoding="UTF-8" standalone="yes"?><Relationships xmlns="http://schemas.openxmlformats.org/package/2006/relationships"><Relationship Id="rId1" Type="http://schemas.openxmlformats.org/officeDocument/2006/relationships/image" Target="media/image138.png"/></Relationships>
</file>

<file path=word/_rels/footer39.xml.rels><?xml version="1.0" encoding="UTF-8" standalone="yes"?><Relationships xmlns="http://schemas.openxmlformats.org/package/2006/relationships"><Relationship Id="rId1" Type="http://schemas.openxmlformats.org/officeDocument/2006/relationships/image" Target="media/image139.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40.xml.rels><?xml version="1.0" encoding="UTF-8" standalone="yes"?><Relationships xmlns="http://schemas.openxmlformats.org/package/2006/relationships"><Relationship Id="rId1" Type="http://schemas.openxmlformats.org/officeDocument/2006/relationships/image" Target="media/image149.png"/></Relationships>
</file>

<file path=word/_rels/footer41.xml.rels><?xml version="1.0" encoding="UTF-8" standalone="yes"?><Relationships xmlns="http://schemas.openxmlformats.org/package/2006/relationships"><Relationship Id="rId1" Type="http://schemas.openxmlformats.org/officeDocument/2006/relationships/image" Target="media/image150.png"/></Relationships>
</file>

<file path=word/_rels/footer42.xml.rels><?xml version="1.0" encoding="UTF-8" standalone="yes"?><Relationships xmlns="http://schemas.openxmlformats.org/package/2006/relationships"><Relationship Id="rId1" Type="http://schemas.openxmlformats.org/officeDocument/2006/relationships/image" Target="media/image144.png"/></Relationships>
</file>

<file path=word/_rels/footer43.xml.rels><?xml version="1.0" encoding="UTF-8" standalone="yes"?><Relationships xmlns="http://schemas.openxmlformats.org/package/2006/relationships"><Relationship Id="rId1" Type="http://schemas.openxmlformats.org/officeDocument/2006/relationships/image" Target="media/image145.png"/></Relationships>
</file>

<file path=word/_rels/footer45.xml.rels><?xml version="1.0" encoding="UTF-8" standalone="yes"?><Relationships xmlns="http://schemas.openxmlformats.org/package/2006/relationships"><Relationship Id="rId1" Type="http://schemas.openxmlformats.org/officeDocument/2006/relationships/image" Target="media/image142.png"/></Relationships>
</file>

<file path=word/_rels/footer46.xml.rels><?xml version="1.0" encoding="UTF-8" standalone="yes"?><Relationships xmlns="http://schemas.openxmlformats.org/package/2006/relationships"><Relationship Id="rId1" Type="http://schemas.openxmlformats.org/officeDocument/2006/relationships/image" Target="media/image143.png"/></Relationships>
</file>

<file path=word/_rels/footer48.xml.rels><?xml version="1.0" encoding="UTF-8" standalone="yes"?><Relationships xmlns="http://schemas.openxmlformats.org/package/2006/relationships"><Relationship Id="rId1" Type="http://schemas.openxmlformats.org/officeDocument/2006/relationships/image" Target="media/image78.png"/><Relationship Id="rId2" Type="http://schemas.openxmlformats.org/officeDocument/2006/relationships/image" Target="media/image76.png"/><Relationship Id="rId3" Type="http://schemas.openxmlformats.org/officeDocument/2006/relationships/image" Target="media/image81.png"/></Relationships>
</file>

<file path=word/_rels/footer49.xml.rels><?xml version="1.0" encoding="UTF-8" standalone="yes"?><Relationships xmlns="http://schemas.openxmlformats.org/package/2006/relationships"><Relationship Id="rId1" Type="http://schemas.openxmlformats.org/officeDocument/2006/relationships/image" Target="media/image79.png"/><Relationship Id="rId2" Type="http://schemas.openxmlformats.org/officeDocument/2006/relationships/image" Target="media/image65.png"/><Relationship Id="rId3" Type="http://schemas.openxmlformats.org/officeDocument/2006/relationships/image" Target="media/image63.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_rels/footer50.xml.rels><?xml version="1.0" encoding="UTF-8" standalone="yes"?><Relationships xmlns="http://schemas.openxmlformats.org/package/2006/relationships"><Relationship Id="rId1" Type="http://schemas.openxmlformats.org/officeDocument/2006/relationships/image" Target="media/image67.png"/></Relationships>
</file>

<file path=word/_rels/footer51.xml.rels><?xml version="1.0" encoding="UTF-8" standalone="yes"?><Relationships xmlns="http://schemas.openxmlformats.org/package/2006/relationships"><Relationship Id="rId1" Type="http://schemas.openxmlformats.org/officeDocument/2006/relationships/image" Target="media/image66.png"/></Relationships>
</file>

<file path=word/_rels/footer52.xml.rels><?xml version="1.0" encoding="UTF-8" standalone="yes"?><Relationships xmlns="http://schemas.openxmlformats.org/package/2006/relationships"><Relationship Id="rId1" Type="http://schemas.openxmlformats.org/officeDocument/2006/relationships/image" Target="media/image69.png"/></Relationships>
</file>

<file path=word/_rels/footer53.xml.rels><?xml version="1.0" encoding="UTF-8" standalone="yes"?><Relationships xmlns="http://schemas.openxmlformats.org/package/2006/relationships"><Relationship Id="rId1" Type="http://schemas.openxmlformats.org/officeDocument/2006/relationships/image" Target="media/image68.png"/></Relationships>
</file>

<file path=word/_rels/footer54.xml.rels><?xml version="1.0" encoding="UTF-8" standalone="yes"?><Relationships xmlns="http://schemas.openxmlformats.org/package/2006/relationships"><Relationship Id="rId1" Type="http://schemas.openxmlformats.org/officeDocument/2006/relationships/image" Target="media/image70.png"/></Relationships>
</file>

<file path=word/_rels/footer55.xml.rels><?xml version="1.0" encoding="UTF-8" standalone="yes"?><Relationships xmlns="http://schemas.openxmlformats.org/package/2006/relationships"><Relationship Id="rId1" Type="http://schemas.openxmlformats.org/officeDocument/2006/relationships/image" Target="media/image72.png"/></Relationships>
</file>

<file path=word/_rels/footer56.xml.rels><?xml version="1.0" encoding="UTF-8" standalone="yes"?><Relationships xmlns="http://schemas.openxmlformats.org/package/2006/relationships"><Relationship Id="rId1" Type="http://schemas.openxmlformats.org/officeDocument/2006/relationships/image" Target="media/image71.png"/></Relationships>
</file>

<file path=word/_rels/footer57.xml.rels><?xml version="1.0" encoding="UTF-8" standalone="yes"?><Relationships xmlns="http://schemas.openxmlformats.org/package/2006/relationships"><Relationship Id="rId1" Type="http://schemas.openxmlformats.org/officeDocument/2006/relationships/image" Target="media/image75.png"/></Relationships>
</file>

<file path=word/_rels/footer58.xml.rels><?xml version="1.0" encoding="UTF-8" standalone="yes"?><Relationships xmlns="http://schemas.openxmlformats.org/package/2006/relationships"><Relationship Id="rId1" Type="http://schemas.openxmlformats.org/officeDocument/2006/relationships/image" Target="media/image73.png"/></Relationships>
</file>

<file path=word/_rels/footer59.xml.rels><?xml version="1.0" encoding="UTF-8" standalone="yes"?><Relationships xmlns="http://schemas.openxmlformats.org/package/2006/relationships"><Relationship Id="rId1" Type="http://schemas.openxmlformats.org/officeDocument/2006/relationships/image" Target="media/image95.png"/></Relationships>
</file>

<file path=word/_rels/footer6.xml.rels><?xml version="1.0" encoding="UTF-8" standalone="yes"?><Relationships xmlns="http://schemas.openxmlformats.org/package/2006/relationships"><Relationship Id="rId1" Type="http://schemas.openxmlformats.org/officeDocument/2006/relationships/image" Target="media/image22.png"/></Relationships>
</file>

<file path=word/_rels/footer7.xml.rels><?xml version="1.0" encoding="UTF-8" standalone="yes"?><Relationships xmlns="http://schemas.openxmlformats.org/package/2006/relationships"><Relationship Id="rId1" Type="http://schemas.openxmlformats.org/officeDocument/2006/relationships/image" Target="media/image19.png"/></Relationships>
</file>

<file path=word/_rels/footer8.xml.rels><?xml version="1.0" encoding="UTF-8" standalone="yes"?><Relationships xmlns="http://schemas.openxmlformats.org/package/2006/relationships"><Relationship Id="rId1" Type="http://schemas.openxmlformats.org/officeDocument/2006/relationships/image" Target="media/image20.png"/></Relationships>
</file>

<file path=word/_rels/header27.xml.rels><?xml version="1.0" encoding="UTF-8" standalone="yes"?><Relationships xmlns="http://schemas.openxmlformats.org/package/2006/relationships"><Relationship Id="rId1" Type="http://schemas.openxmlformats.org/officeDocument/2006/relationships/image" Target="media/image107.png"/></Relationships>
</file>

<file path=word/_rels/header31.xml.rels><?xml version="1.0" encoding="UTF-8" standalone="yes"?><Relationships xmlns="http://schemas.openxmlformats.org/package/2006/relationships"><Relationship Id="rId1" Type="http://schemas.openxmlformats.org/officeDocument/2006/relationships/image" Target="media/image86.png"/></Relationships>
</file>

<file path=word/_rels/header4.xml.rels><?xml version="1.0" encoding="UTF-8" standalone="yes"?><Relationships xmlns="http://schemas.openxmlformats.org/package/2006/relationships"><Relationship Id="rId1" Type="http://schemas.openxmlformats.org/officeDocument/2006/relationships/image" Target="media/image104.png"/><Relationship Id="rId2" Type="http://schemas.openxmlformats.org/officeDocument/2006/relationships/image" Target="media/image127.png"/></Relationships>
</file>

<file path=word/_rels/header42.xml.rels><?xml version="1.0" encoding="UTF-8" standalone="yes"?><Relationships xmlns="http://schemas.openxmlformats.org/package/2006/relationships"><Relationship Id="rId1" Type="http://schemas.openxmlformats.org/officeDocument/2006/relationships/image" Target="media/image85.png"/></Relationships>
</file>

<file path=word/_rels/header43.xml.rels><?xml version="1.0" encoding="UTF-8" standalone="yes"?><Relationships xmlns="http://schemas.openxmlformats.org/package/2006/relationships"><Relationship Id="rId1" Type="http://schemas.openxmlformats.org/officeDocument/2006/relationships/image" Target="media/image82.png"/><Relationship Id="rId2" Type="http://schemas.openxmlformats.org/officeDocument/2006/relationships/image" Target="media/image84.png"/></Relationships>
</file>

<file path=word/_rels/header44.xml.rels><?xml version="1.0" encoding="UTF-8" standalone="yes"?><Relationships xmlns="http://schemas.openxmlformats.org/package/2006/relationships"><Relationship Id="rId1" Type="http://schemas.openxmlformats.org/officeDocument/2006/relationships/image" Target="media/image93.png"/><Relationship Id="rId2" Type="http://schemas.openxmlformats.org/officeDocument/2006/relationships/image" Target="media/image94.png"/></Relationships>
</file>

<file path=word/_rels/header45.xml.rels><?xml version="1.0" encoding="UTF-8" standalone="yes"?><Relationships xmlns="http://schemas.openxmlformats.org/package/2006/relationships"><Relationship Id="rId1" Type="http://schemas.openxmlformats.org/officeDocument/2006/relationships/image" Target="media/image92.png"/></Relationships>
</file>

<file path=word/_rels/header48.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36.png"/></Relationships>
</file>

<file path=word/_rels/header49.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1.png"/></Relationships>
</file>

<file path=word/_rels/header5.xml.rels><?xml version="1.0" encoding="UTF-8" standalone="yes"?><Relationships xmlns="http://schemas.openxmlformats.org/package/2006/relationships"><Relationship Id="rId1" Type="http://schemas.openxmlformats.org/officeDocument/2006/relationships/image" Target="media/image128.png"/><Relationship Id="rId2"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avGdvQslaDnSXONmIrT6cX8zQ==">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Nxd3BqN24yCWguMjYxenRmZzIIaC5sN2EzbjkyCWguMzU2eG1iMjINaC55ODI4cHJjNjB3djIOaC5reWNvb3JncXN3MnYyCWguNDRidmY2bzIJaC4yYjZqb2d4MghoLnFidHlvcTIJaC4zYWJoaGNqMgloLjNucW5kYmsyDmguaHc1NG9mNzQ0bDk5MghoLmkxN3hyNjIJaC4zMjB2Z2V6MgloLjJnYjNqaWUyCGgudmdkdHE3MgloLjF1bGJtbHQyCWguMnRxOWZoZjIJaC4xOHZqcHA4MgloLjFtYXBsbzkyCWguNDZhZDRjMjIJaC4ybGZuZWp2MgloLjEwa3hvcm8yCWguM2trbDdmaDIJaC4xenB2aG5hMgloLjRqcGowYjMyDmguNDd2eDl2NGlwcmx1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2024-05-18T10:13:22Z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2024-05-18T00:00:00Z</vt:filetime>
  </property>
  <property fmtid="{D5CDD505-2E9C-101B-9397-08002B2CF9AE}" pid="3" name="Producer">
    <vt:lpwstr>iLovePDF</vt:lpwstr>
  </property>
</Properties>
</file>